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Prilog III.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Jedinstveni obrazac s točkama podataka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Svi podaci iz Priloga I. prenose se u jedan jedinstveni obrazac s točkama podataka koji je osnova za jedinstvene informatičke sustave institucija i sanacijskih tijela.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Jedinstveni obrazac s točkama podataka ispunjava sljedeće kriterije: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omogućuje strukturirani prikaz svih podataka iz Priloga I.;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u njemu se utvrđuju svi poslovni koncepti iz Priloga I.;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sadržava rječnik podataka u kojem se utvrđuju oznake tablice, oznake ordinate, oznake osi, oznake domene, oznake dimenzije i oznake člana;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sadržava parametre kojima se definira svojstvo ili iznos točaka podataka;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sadržava definicije točaka podataka koje se izražavaju kao niz značajki kojima se jednoznačno utvrđuje financijski koncept;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sadržava sve relevantne tehničke specifikacije nužne za razvoj informatičkih rješenja za izvješćivanje kako bi se dobili jedinstveni podaci za planiranje sanacije.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HR </w:t>
    </w:r>
    <w:r>
      <w:br/>
    </w:r>
    <w:r>
      <w:t>PRILOG 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hr-HR" w:eastAsia="hr-HR" w:bidi="hr-HR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