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5B425B" w:rsidRDefault="0088603C" w:rsidP="00E13CE3">
      <w:pPr>
        <w:pStyle w:val="ListParagraph"/>
        <w:jc w:val="center"/>
        <w:rPr>
          <w:rFonts w:ascii="Times New Roman" w:hAnsi="Times New Roman"/>
          <w:b/>
          <w:color w:val="000000" w:themeColor="text1"/>
          <w:sz w:val="20"/>
          <w:szCs w:val="20"/>
        </w:rPr>
      </w:pPr>
      <w:r w:rsidRPr="005B425B">
        <w:rPr>
          <w:rFonts w:ascii="Times New Roman" w:hAnsi="Times New Roman"/>
          <w:b/>
          <w:color w:val="000000" w:themeColor="text1"/>
          <w:sz w:val="20"/>
        </w:rPr>
        <w:t>BILAG II Instrukser</w:t>
      </w:r>
    </w:p>
    <w:p w:rsidR="001E5EDF" w:rsidRPr="005B425B" w:rsidRDefault="001E5EDF" w:rsidP="001E5EDF">
      <w:pPr>
        <w:rPr>
          <w:rFonts w:ascii="Times New Roman" w:hAnsi="Times New Roman" w:cs="Times New Roman"/>
          <w:b/>
          <w:color w:val="000000" w:themeColor="text1"/>
          <w:sz w:val="20"/>
          <w:szCs w:val="20"/>
        </w:rPr>
      </w:pPr>
    </w:p>
    <w:p w:rsidR="001E5EDF" w:rsidRPr="005B425B" w:rsidRDefault="001E5EDF" w:rsidP="00385C06">
      <w:pPr>
        <w:rPr>
          <w:rFonts w:ascii="Times New Roman" w:hAnsi="Times New Roman" w:cs="Times New Roman"/>
          <w:b/>
          <w:color w:val="000000" w:themeColor="text1"/>
          <w:sz w:val="20"/>
          <w:szCs w:val="20"/>
        </w:rPr>
      </w:pPr>
    </w:p>
    <w:p w:rsidR="001A3B87" w:rsidRPr="005B425B" w:rsidRDefault="001D258F">
      <w:pPr>
        <w:pStyle w:val="TOC2"/>
        <w:rPr>
          <w:lang w:eastAsia="en-GB" w:bidi="ar-SA"/>
        </w:rPr>
      </w:pPr>
      <w:r w:rsidRPr="005B425B">
        <w:rPr>
          <w:rFonts w:ascii="Times New Roman" w:hAnsi="Times New Roman" w:cs="Times New Roman"/>
          <w:bCs/>
          <w:color w:val="000000" w:themeColor="text1"/>
          <w:sz w:val="20"/>
          <w:szCs w:val="20"/>
        </w:rPr>
        <w:fldChar w:fldCharType="begin"/>
      </w:r>
      <w:r w:rsidR="00C673AC" w:rsidRPr="005B425B">
        <w:rPr>
          <w:rFonts w:ascii="Times New Roman" w:hAnsi="Times New Roman" w:cs="Times New Roman"/>
          <w:bCs/>
          <w:color w:val="000000" w:themeColor="text1"/>
          <w:sz w:val="20"/>
          <w:szCs w:val="20"/>
        </w:rPr>
        <w:instrText xml:space="preserve"> TOC \o "1-3" \h \z \t "Numbered tile level 1,1,Numbered title level 2,2" </w:instrText>
      </w:r>
      <w:r w:rsidRPr="005B425B">
        <w:rPr>
          <w:rFonts w:ascii="Times New Roman" w:hAnsi="Times New Roman" w:cs="Times New Roman"/>
          <w:bCs/>
          <w:color w:val="000000" w:themeColor="text1"/>
          <w:sz w:val="20"/>
          <w:szCs w:val="20"/>
        </w:rPr>
        <w:fldChar w:fldCharType="separate"/>
      </w:r>
      <w:hyperlink w:anchor="_Toc525120130" w:history="1">
        <w:r w:rsidR="001A3B87" w:rsidRPr="005B425B">
          <w:rPr>
            <w:rStyle w:val="Hyperlink"/>
            <w:rFonts w:ascii="Times New Roman" w:hAnsi="Times New Roman" w:cs="Times New Roman"/>
          </w:rPr>
          <w:t>I.</w:t>
        </w:r>
        <w:r w:rsidR="001A3B87" w:rsidRPr="005B425B">
          <w:rPr>
            <w:lang w:eastAsia="en-GB" w:bidi="ar-SA"/>
          </w:rPr>
          <w:tab/>
        </w:r>
        <w:r w:rsidR="001A3B87" w:rsidRPr="005B425B">
          <w:rPr>
            <w:rStyle w:val="Hyperlink"/>
            <w:rFonts w:ascii="Times New Roman" w:hAnsi="Times New Roman"/>
          </w:rPr>
          <w:t>Generelle instrukser</w:t>
        </w:r>
        <w:r w:rsidR="001A3B87" w:rsidRPr="005B425B">
          <w:rPr>
            <w:webHidden/>
          </w:rPr>
          <w:tab/>
        </w:r>
        <w:r w:rsidR="001A3B87" w:rsidRPr="005B425B">
          <w:rPr>
            <w:webHidden/>
          </w:rPr>
          <w:fldChar w:fldCharType="begin"/>
        </w:r>
        <w:r w:rsidR="001A3B87" w:rsidRPr="005B425B">
          <w:rPr>
            <w:webHidden/>
          </w:rPr>
          <w:instrText xml:space="preserve"> PAGEREF _Toc525120130 \h </w:instrText>
        </w:r>
        <w:r w:rsidR="001A3B87" w:rsidRPr="005B425B">
          <w:rPr>
            <w:webHidden/>
          </w:rPr>
        </w:r>
        <w:r w:rsidR="001A3B87" w:rsidRPr="005B425B">
          <w:rPr>
            <w:webHidden/>
          </w:rPr>
          <w:fldChar w:fldCharType="separate"/>
        </w:r>
        <w:r w:rsidR="001A3B87" w:rsidRPr="005B425B">
          <w:rPr>
            <w:webHidden/>
          </w:rPr>
          <w:t>2</w:t>
        </w:r>
        <w:r w:rsidR="001A3B87" w:rsidRPr="005B425B">
          <w:rPr>
            <w:webHidden/>
          </w:rPr>
          <w:fldChar w:fldCharType="end"/>
        </w:r>
      </w:hyperlink>
    </w:p>
    <w:p w:rsidR="001A3B87" w:rsidRPr="005B425B" w:rsidRDefault="005B425B">
      <w:pPr>
        <w:pStyle w:val="TOC2"/>
        <w:rPr>
          <w:lang w:eastAsia="en-GB" w:bidi="ar-SA"/>
        </w:rPr>
      </w:pPr>
      <w:hyperlink w:anchor="_Toc525120131" w:history="1">
        <w:r w:rsidR="001A3B87" w:rsidRPr="005B425B">
          <w:rPr>
            <w:rStyle w:val="Hyperlink"/>
            <w:rFonts w:ascii="Times New Roman" w:hAnsi="Times New Roman" w:cs="Times New Roman"/>
          </w:rPr>
          <w:t>I.1</w:t>
        </w:r>
        <w:r w:rsidR="001A3B87" w:rsidRPr="005B425B">
          <w:rPr>
            <w:lang w:eastAsia="en-GB" w:bidi="ar-SA"/>
          </w:rPr>
          <w:tab/>
        </w:r>
        <w:r w:rsidR="001A3B87" w:rsidRPr="005B425B">
          <w:rPr>
            <w:rStyle w:val="Hyperlink"/>
            <w:rFonts w:ascii="Times New Roman" w:hAnsi="Times New Roman"/>
          </w:rPr>
          <w:t>Struktur</w:t>
        </w:r>
        <w:r w:rsidR="001A3B87" w:rsidRPr="005B425B">
          <w:rPr>
            <w:webHidden/>
          </w:rPr>
          <w:tab/>
        </w:r>
        <w:r w:rsidR="001A3B87" w:rsidRPr="005B425B">
          <w:rPr>
            <w:webHidden/>
          </w:rPr>
          <w:fldChar w:fldCharType="begin"/>
        </w:r>
        <w:r w:rsidR="001A3B87" w:rsidRPr="005B425B">
          <w:rPr>
            <w:webHidden/>
          </w:rPr>
          <w:instrText xml:space="preserve"> PAGEREF _Toc525120131 \h </w:instrText>
        </w:r>
        <w:r w:rsidR="001A3B87" w:rsidRPr="005B425B">
          <w:rPr>
            <w:webHidden/>
          </w:rPr>
        </w:r>
        <w:r w:rsidR="001A3B87" w:rsidRPr="005B425B">
          <w:rPr>
            <w:webHidden/>
          </w:rPr>
          <w:fldChar w:fldCharType="separate"/>
        </w:r>
        <w:r w:rsidR="001A3B87" w:rsidRPr="005B425B">
          <w:rPr>
            <w:webHidden/>
          </w:rPr>
          <w:t>2</w:t>
        </w:r>
        <w:r w:rsidR="001A3B87" w:rsidRPr="005B425B">
          <w:rPr>
            <w:webHidden/>
          </w:rPr>
          <w:fldChar w:fldCharType="end"/>
        </w:r>
      </w:hyperlink>
    </w:p>
    <w:p w:rsidR="001A3B87" w:rsidRPr="005B425B" w:rsidRDefault="005B425B">
      <w:pPr>
        <w:pStyle w:val="TOC2"/>
        <w:rPr>
          <w:lang w:eastAsia="en-GB" w:bidi="ar-SA"/>
        </w:rPr>
      </w:pPr>
      <w:hyperlink w:anchor="_Toc525120132" w:history="1">
        <w:r w:rsidR="001A3B87" w:rsidRPr="005B425B">
          <w:rPr>
            <w:rStyle w:val="Hyperlink"/>
            <w:rFonts w:ascii="Times New Roman" w:hAnsi="Times New Roman" w:cs="Times New Roman"/>
          </w:rPr>
          <w:t>I.2</w:t>
        </w:r>
        <w:r w:rsidR="001A3B87" w:rsidRPr="005B425B">
          <w:rPr>
            <w:lang w:eastAsia="en-GB" w:bidi="ar-SA"/>
          </w:rPr>
          <w:tab/>
        </w:r>
        <w:r w:rsidR="001A3B87" w:rsidRPr="005B425B">
          <w:rPr>
            <w:rStyle w:val="Hyperlink"/>
            <w:rFonts w:ascii="Times New Roman" w:hAnsi="Times New Roman"/>
          </w:rPr>
          <w:t>Referencer</w:t>
        </w:r>
        <w:r w:rsidR="001A3B87" w:rsidRPr="005B425B">
          <w:rPr>
            <w:webHidden/>
          </w:rPr>
          <w:tab/>
        </w:r>
        <w:r w:rsidR="001A3B87" w:rsidRPr="005B425B">
          <w:rPr>
            <w:webHidden/>
          </w:rPr>
          <w:fldChar w:fldCharType="begin"/>
        </w:r>
        <w:r w:rsidR="001A3B87" w:rsidRPr="005B425B">
          <w:rPr>
            <w:webHidden/>
          </w:rPr>
          <w:instrText xml:space="preserve"> PAGEREF _Toc525120132 \h </w:instrText>
        </w:r>
        <w:r w:rsidR="001A3B87" w:rsidRPr="005B425B">
          <w:rPr>
            <w:webHidden/>
          </w:rPr>
        </w:r>
        <w:r w:rsidR="001A3B87" w:rsidRPr="005B425B">
          <w:rPr>
            <w:webHidden/>
          </w:rPr>
          <w:fldChar w:fldCharType="separate"/>
        </w:r>
        <w:r w:rsidR="001A3B87" w:rsidRPr="005B425B">
          <w:rPr>
            <w:webHidden/>
          </w:rPr>
          <w:t>2</w:t>
        </w:r>
        <w:r w:rsidR="001A3B87" w:rsidRPr="005B425B">
          <w:rPr>
            <w:webHidden/>
          </w:rPr>
          <w:fldChar w:fldCharType="end"/>
        </w:r>
      </w:hyperlink>
    </w:p>
    <w:p w:rsidR="001A3B87" w:rsidRPr="005B425B" w:rsidRDefault="005B425B">
      <w:pPr>
        <w:pStyle w:val="TOC2"/>
        <w:rPr>
          <w:lang w:eastAsia="en-GB" w:bidi="ar-SA"/>
        </w:rPr>
      </w:pPr>
      <w:hyperlink w:anchor="_Toc525120133" w:history="1">
        <w:r w:rsidR="001A3B87" w:rsidRPr="005B425B">
          <w:rPr>
            <w:rStyle w:val="Hyperlink"/>
            <w:rFonts w:ascii="Times New Roman" w:hAnsi="Times New Roman" w:cs="Times New Roman"/>
          </w:rPr>
          <w:t>I.3</w:t>
        </w:r>
        <w:r w:rsidR="001A3B87" w:rsidRPr="005B425B">
          <w:rPr>
            <w:lang w:eastAsia="en-GB" w:bidi="ar-SA"/>
          </w:rPr>
          <w:tab/>
        </w:r>
        <w:r w:rsidR="001A3B87" w:rsidRPr="005B425B">
          <w:rPr>
            <w:rStyle w:val="Hyperlink"/>
            <w:rFonts w:ascii="Times New Roman" w:hAnsi="Times New Roman"/>
          </w:rPr>
          <w:t>Regnskabsstandarder</w:t>
        </w:r>
        <w:r w:rsidR="001A3B87" w:rsidRPr="005B425B">
          <w:rPr>
            <w:webHidden/>
          </w:rPr>
          <w:tab/>
        </w:r>
        <w:r w:rsidR="001A3B87" w:rsidRPr="005B425B">
          <w:rPr>
            <w:webHidden/>
          </w:rPr>
          <w:fldChar w:fldCharType="begin"/>
        </w:r>
        <w:r w:rsidR="001A3B87" w:rsidRPr="005B425B">
          <w:rPr>
            <w:webHidden/>
          </w:rPr>
          <w:instrText xml:space="preserve"> PAGEREF _Toc525120133 \h </w:instrText>
        </w:r>
        <w:r w:rsidR="001A3B87" w:rsidRPr="005B425B">
          <w:rPr>
            <w:webHidden/>
          </w:rPr>
        </w:r>
        <w:r w:rsidR="001A3B87" w:rsidRPr="005B425B">
          <w:rPr>
            <w:webHidden/>
          </w:rPr>
          <w:fldChar w:fldCharType="separate"/>
        </w:r>
        <w:r w:rsidR="001A3B87" w:rsidRPr="005B425B">
          <w:rPr>
            <w:webHidden/>
          </w:rPr>
          <w:t>3</w:t>
        </w:r>
        <w:r w:rsidR="001A3B87" w:rsidRPr="005B425B">
          <w:rPr>
            <w:webHidden/>
          </w:rPr>
          <w:fldChar w:fldCharType="end"/>
        </w:r>
      </w:hyperlink>
    </w:p>
    <w:p w:rsidR="001A3B87" w:rsidRPr="005B425B" w:rsidRDefault="005B425B">
      <w:pPr>
        <w:pStyle w:val="TOC2"/>
        <w:rPr>
          <w:lang w:eastAsia="en-GB" w:bidi="ar-SA"/>
        </w:rPr>
      </w:pPr>
      <w:hyperlink w:anchor="_Toc525120134" w:history="1">
        <w:r w:rsidR="001A3B87" w:rsidRPr="005B425B">
          <w:rPr>
            <w:rStyle w:val="Hyperlink"/>
            <w:rFonts w:ascii="Times New Roman" w:hAnsi="Times New Roman" w:cs="Times New Roman"/>
          </w:rPr>
          <w:t>I.4</w:t>
        </w:r>
        <w:r w:rsidR="001A3B87" w:rsidRPr="005B425B">
          <w:rPr>
            <w:lang w:eastAsia="en-GB" w:bidi="ar-SA"/>
          </w:rPr>
          <w:tab/>
        </w:r>
        <w:r w:rsidR="001A3B87" w:rsidRPr="005B425B">
          <w:rPr>
            <w:rStyle w:val="Hyperlink"/>
            <w:rFonts w:ascii="Times New Roman" w:hAnsi="Times New Roman"/>
          </w:rPr>
          <w:t>Konsolideringsramme</w:t>
        </w:r>
        <w:r w:rsidR="001A3B87" w:rsidRPr="005B425B">
          <w:rPr>
            <w:webHidden/>
          </w:rPr>
          <w:tab/>
        </w:r>
        <w:r w:rsidR="001A3B87" w:rsidRPr="005B425B">
          <w:rPr>
            <w:webHidden/>
          </w:rPr>
          <w:fldChar w:fldCharType="begin"/>
        </w:r>
        <w:r w:rsidR="001A3B87" w:rsidRPr="005B425B">
          <w:rPr>
            <w:webHidden/>
          </w:rPr>
          <w:instrText xml:space="preserve"> PAGEREF _Toc525120134 \h </w:instrText>
        </w:r>
        <w:r w:rsidR="001A3B87" w:rsidRPr="005B425B">
          <w:rPr>
            <w:webHidden/>
          </w:rPr>
        </w:r>
        <w:r w:rsidR="001A3B87" w:rsidRPr="005B425B">
          <w:rPr>
            <w:webHidden/>
          </w:rPr>
          <w:fldChar w:fldCharType="separate"/>
        </w:r>
        <w:r w:rsidR="001A3B87" w:rsidRPr="005B425B">
          <w:rPr>
            <w:webHidden/>
          </w:rPr>
          <w:t>3</w:t>
        </w:r>
        <w:r w:rsidR="001A3B87" w:rsidRPr="005B425B">
          <w:rPr>
            <w:webHidden/>
          </w:rPr>
          <w:fldChar w:fldCharType="end"/>
        </w:r>
      </w:hyperlink>
    </w:p>
    <w:p w:rsidR="001A3B87" w:rsidRPr="005B425B" w:rsidRDefault="005B425B">
      <w:pPr>
        <w:pStyle w:val="TOC2"/>
        <w:rPr>
          <w:lang w:eastAsia="en-GB" w:bidi="ar-SA"/>
        </w:rPr>
      </w:pPr>
      <w:hyperlink w:anchor="_Toc525120135" w:history="1">
        <w:r w:rsidR="001A3B87" w:rsidRPr="005B425B">
          <w:rPr>
            <w:rStyle w:val="Hyperlink"/>
            <w:rFonts w:ascii="Times New Roman" w:hAnsi="Times New Roman" w:cs="Times New Roman"/>
          </w:rPr>
          <w:t>I.5</w:t>
        </w:r>
        <w:r w:rsidR="001A3B87" w:rsidRPr="005B425B">
          <w:rPr>
            <w:lang w:eastAsia="en-GB" w:bidi="ar-SA"/>
          </w:rPr>
          <w:tab/>
        </w:r>
        <w:r w:rsidR="001A3B87" w:rsidRPr="005B425B">
          <w:rPr>
            <w:rStyle w:val="Hyperlink"/>
            <w:rFonts w:ascii="Times New Roman" w:hAnsi="Times New Roman"/>
          </w:rPr>
          <w:t>Nummerering og andre konventioner</w:t>
        </w:r>
        <w:r w:rsidR="001A3B87" w:rsidRPr="005B425B">
          <w:rPr>
            <w:webHidden/>
          </w:rPr>
          <w:tab/>
        </w:r>
        <w:r w:rsidR="001A3B87" w:rsidRPr="005B425B">
          <w:rPr>
            <w:webHidden/>
          </w:rPr>
          <w:fldChar w:fldCharType="begin"/>
        </w:r>
        <w:r w:rsidR="001A3B87" w:rsidRPr="005B425B">
          <w:rPr>
            <w:webHidden/>
          </w:rPr>
          <w:instrText xml:space="preserve"> PAGEREF _Toc525120135 \h </w:instrText>
        </w:r>
        <w:r w:rsidR="001A3B87" w:rsidRPr="005B425B">
          <w:rPr>
            <w:webHidden/>
          </w:rPr>
        </w:r>
        <w:r w:rsidR="001A3B87" w:rsidRPr="005B425B">
          <w:rPr>
            <w:webHidden/>
          </w:rPr>
          <w:fldChar w:fldCharType="separate"/>
        </w:r>
        <w:r w:rsidR="001A3B87" w:rsidRPr="005B425B">
          <w:rPr>
            <w:webHidden/>
          </w:rPr>
          <w:t>4</w:t>
        </w:r>
        <w:r w:rsidR="001A3B87" w:rsidRPr="005B425B">
          <w:rPr>
            <w:webHidden/>
          </w:rPr>
          <w:fldChar w:fldCharType="end"/>
        </w:r>
      </w:hyperlink>
    </w:p>
    <w:p w:rsidR="001A3B87" w:rsidRPr="005B425B" w:rsidRDefault="005B425B">
      <w:pPr>
        <w:pStyle w:val="TOC2"/>
        <w:rPr>
          <w:lang w:eastAsia="en-GB" w:bidi="ar-SA"/>
        </w:rPr>
      </w:pPr>
      <w:hyperlink w:anchor="_Toc525120136" w:history="1">
        <w:r w:rsidR="001A3B87" w:rsidRPr="005B425B">
          <w:rPr>
            <w:rStyle w:val="Hyperlink"/>
            <w:rFonts w:ascii="Times New Roman" w:hAnsi="Times New Roman" w:cs="Times New Roman"/>
          </w:rPr>
          <w:t>II.</w:t>
        </w:r>
        <w:r w:rsidR="001A3B87" w:rsidRPr="005B425B">
          <w:rPr>
            <w:lang w:eastAsia="en-GB" w:bidi="ar-SA"/>
          </w:rPr>
          <w:tab/>
        </w:r>
        <w:r w:rsidR="001A3B87" w:rsidRPr="005B425B">
          <w:rPr>
            <w:rStyle w:val="Hyperlink"/>
            <w:rFonts w:ascii="Times New Roman" w:hAnsi="Times New Roman"/>
          </w:rPr>
          <w:t>Instrukser vedrørende de enkelte skemaer</w:t>
        </w:r>
        <w:r w:rsidR="001A3B87" w:rsidRPr="005B425B">
          <w:rPr>
            <w:webHidden/>
          </w:rPr>
          <w:tab/>
        </w:r>
        <w:r w:rsidR="001A3B87" w:rsidRPr="005B425B">
          <w:rPr>
            <w:webHidden/>
          </w:rPr>
          <w:fldChar w:fldCharType="begin"/>
        </w:r>
        <w:r w:rsidR="001A3B87" w:rsidRPr="005B425B">
          <w:rPr>
            <w:webHidden/>
          </w:rPr>
          <w:instrText xml:space="preserve"> PAGEREF _Toc525120136 \h </w:instrText>
        </w:r>
        <w:r w:rsidR="001A3B87" w:rsidRPr="005B425B">
          <w:rPr>
            <w:webHidden/>
          </w:rPr>
        </w:r>
        <w:r w:rsidR="001A3B87" w:rsidRPr="005B425B">
          <w:rPr>
            <w:webHidden/>
          </w:rPr>
          <w:fldChar w:fldCharType="separate"/>
        </w:r>
        <w:r w:rsidR="001A3B87" w:rsidRPr="005B425B">
          <w:rPr>
            <w:webHidden/>
          </w:rPr>
          <w:t>4</w:t>
        </w:r>
        <w:r w:rsidR="001A3B87" w:rsidRPr="005B425B">
          <w:rPr>
            <w:webHidden/>
          </w:rPr>
          <w:fldChar w:fldCharType="end"/>
        </w:r>
      </w:hyperlink>
    </w:p>
    <w:p w:rsidR="001A3B87" w:rsidRPr="005B425B" w:rsidRDefault="005B425B">
      <w:pPr>
        <w:pStyle w:val="TOC2"/>
        <w:rPr>
          <w:lang w:eastAsia="en-GB" w:bidi="ar-SA"/>
        </w:rPr>
      </w:pPr>
      <w:hyperlink w:anchor="_Toc525120137" w:history="1">
        <w:r w:rsidR="001A3B87" w:rsidRPr="005B425B">
          <w:rPr>
            <w:rStyle w:val="Hyperlink"/>
            <w:rFonts w:ascii="Times New Roman" w:hAnsi="Times New Roman" w:cs="Times New Roman"/>
          </w:rPr>
          <w:t>II.1</w:t>
        </w:r>
        <w:r w:rsidR="001A3B87" w:rsidRPr="005B425B">
          <w:rPr>
            <w:lang w:eastAsia="en-GB" w:bidi="ar-SA"/>
          </w:rPr>
          <w:tab/>
        </w:r>
        <w:r w:rsidR="001A3B87" w:rsidRPr="005B425B">
          <w:rPr>
            <w:rStyle w:val="Hyperlink"/>
            <w:rFonts w:ascii="Times New Roman" w:hAnsi="Times New Roman"/>
          </w:rPr>
          <w:t>Z 01.00 — Organisatorisk struktur (ORG)</w:t>
        </w:r>
        <w:r w:rsidR="001A3B87" w:rsidRPr="005B425B">
          <w:rPr>
            <w:webHidden/>
          </w:rPr>
          <w:tab/>
        </w:r>
        <w:r w:rsidR="001A3B87" w:rsidRPr="005B425B">
          <w:rPr>
            <w:webHidden/>
          </w:rPr>
          <w:fldChar w:fldCharType="begin"/>
        </w:r>
        <w:r w:rsidR="001A3B87" w:rsidRPr="005B425B">
          <w:rPr>
            <w:webHidden/>
          </w:rPr>
          <w:instrText xml:space="preserve"> PAGEREF _Toc525120137 \h </w:instrText>
        </w:r>
        <w:r w:rsidR="001A3B87" w:rsidRPr="005B425B">
          <w:rPr>
            <w:webHidden/>
          </w:rPr>
        </w:r>
        <w:r w:rsidR="001A3B87" w:rsidRPr="005B425B">
          <w:rPr>
            <w:webHidden/>
          </w:rPr>
          <w:fldChar w:fldCharType="separate"/>
        </w:r>
        <w:r w:rsidR="001A3B87" w:rsidRPr="005B425B">
          <w:rPr>
            <w:webHidden/>
          </w:rPr>
          <w:t>4</w:t>
        </w:r>
        <w:r w:rsidR="001A3B87" w:rsidRPr="005B425B">
          <w:rPr>
            <w:webHidden/>
          </w:rPr>
          <w:fldChar w:fldCharType="end"/>
        </w:r>
      </w:hyperlink>
    </w:p>
    <w:p w:rsidR="001A3B87" w:rsidRPr="005B425B" w:rsidRDefault="005B425B">
      <w:pPr>
        <w:pStyle w:val="TOC2"/>
        <w:rPr>
          <w:lang w:eastAsia="en-GB" w:bidi="ar-SA"/>
        </w:rPr>
      </w:pPr>
      <w:hyperlink w:anchor="_Toc525120138" w:history="1">
        <w:r w:rsidR="001A3B87" w:rsidRPr="005B425B">
          <w:rPr>
            <w:rStyle w:val="Hyperlink"/>
            <w:rFonts w:ascii="Times New Roman" w:hAnsi="Times New Roman" w:cs="Times New Roman"/>
          </w:rPr>
          <w:t>II.2</w:t>
        </w:r>
        <w:r w:rsidR="001A3B87" w:rsidRPr="005B425B">
          <w:rPr>
            <w:lang w:eastAsia="en-GB" w:bidi="ar-SA"/>
          </w:rPr>
          <w:tab/>
        </w:r>
        <w:r w:rsidR="001A3B87" w:rsidRPr="005B425B">
          <w:rPr>
            <w:rStyle w:val="Hyperlink"/>
            <w:rFonts w:ascii="Times New Roman" w:hAnsi="Times New Roman"/>
          </w:rPr>
          <w:t>Z 02.00 — Udspecificering af forpligtelser (LIAB)</w:t>
        </w:r>
        <w:r w:rsidR="001A3B87" w:rsidRPr="005B425B">
          <w:rPr>
            <w:webHidden/>
          </w:rPr>
          <w:tab/>
        </w:r>
        <w:r w:rsidR="001A3B87" w:rsidRPr="005B425B">
          <w:rPr>
            <w:webHidden/>
          </w:rPr>
          <w:fldChar w:fldCharType="begin"/>
        </w:r>
        <w:r w:rsidR="001A3B87" w:rsidRPr="005B425B">
          <w:rPr>
            <w:webHidden/>
          </w:rPr>
          <w:instrText xml:space="preserve"> PAGEREF _Toc525120138 \h </w:instrText>
        </w:r>
        <w:r w:rsidR="001A3B87" w:rsidRPr="005B425B">
          <w:rPr>
            <w:webHidden/>
          </w:rPr>
        </w:r>
        <w:r w:rsidR="001A3B87" w:rsidRPr="005B425B">
          <w:rPr>
            <w:webHidden/>
          </w:rPr>
          <w:fldChar w:fldCharType="separate"/>
        </w:r>
        <w:r w:rsidR="001A3B87" w:rsidRPr="005B425B">
          <w:rPr>
            <w:webHidden/>
          </w:rPr>
          <w:t>7</w:t>
        </w:r>
        <w:r w:rsidR="001A3B87" w:rsidRPr="005B425B">
          <w:rPr>
            <w:webHidden/>
          </w:rPr>
          <w:fldChar w:fldCharType="end"/>
        </w:r>
      </w:hyperlink>
    </w:p>
    <w:p w:rsidR="001A3B87" w:rsidRPr="005B425B" w:rsidRDefault="005B425B">
      <w:pPr>
        <w:pStyle w:val="TOC2"/>
        <w:rPr>
          <w:lang w:eastAsia="en-GB" w:bidi="ar-SA"/>
        </w:rPr>
      </w:pPr>
      <w:hyperlink w:anchor="_Toc525120139" w:history="1">
        <w:r w:rsidR="001A3B87" w:rsidRPr="005B425B">
          <w:rPr>
            <w:rStyle w:val="Hyperlink"/>
            <w:rFonts w:ascii="Times New Roman" w:hAnsi="Times New Roman" w:cs="Times New Roman"/>
          </w:rPr>
          <w:t>II.3</w:t>
        </w:r>
        <w:r w:rsidR="001A3B87" w:rsidRPr="005B425B">
          <w:rPr>
            <w:lang w:eastAsia="en-GB" w:bidi="ar-SA"/>
          </w:rPr>
          <w:tab/>
        </w:r>
        <w:r w:rsidR="001A3B87" w:rsidRPr="005B425B">
          <w:rPr>
            <w:rStyle w:val="Hyperlink"/>
            <w:rFonts w:ascii="Times New Roman" w:hAnsi="Times New Roman"/>
          </w:rPr>
          <w:t>Z 03.00 — Krav til kapitalgrundlag (OWN)</w:t>
        </w:r>
        <w:r w:rsidR="001A3B87" w:rsidRPr="005B425B">
          <w:rPr>
            <w:webHidden/>
          </w:rPr>
          <w:tab/>
        </w:r>
        <w:r w:rsidR="001A3B87" w:rsidRPr="005B425B">
          <w:rPr>
            <w:webHidden/>
          </w:rPr>
          <w:fldChar w:fldCharType="begin"/>
        </w:r>
        <w:r w:rsidR="001A3B87" w:rsidRPr="005B425B">
          <w:rPr>
            <w:webHidden/>
          </w:rPr>
          <w:instrText xml:space="preserve"> PAGEREF _Toc525120139 \h </w:instrText>
        </w:r>
        <w:r w:rsidR="001A3B87" w:rsidRPr="005B425B">
          <w:rPr>
            <w:webHidden/>
          </w:rPr>
        </w:r>
        <w:r w:rsidR="001A3B87" w:rsidRPr="005B425B">
          <w:rPr>
            <w:webHidden/>
          </w:rPr>
          <w:fldChar w:fldCharType="separate"/>
        </w:r>
        <w:r w:rsidR="001A3B87" w:rsidRPr="005B425B">
          <w:rPr>
            <w:webHidden/>
          </w:rPr>
          <w:t>13</w:t>
        </w:r>
        <w:r w:rsidR="001A3B87" w:rsidRPr="005B425B">
          <w:rPr>
            <w:webHidden/>
          </w:rPr>
          <w:fldChar w:fldCharType="end"/>
        </w:r>
      </w:hyperlink>
    </w:p>
    <w:p w:rsidR="001A3B87" w:rsidRPr="005B425B" w:rsidRDefault="005B425B">
      <w:pPr>
        <w:pStyle w:val="TOC2"/>
        <w:rPr>
          <w:lang w:eastAsia="en-GB" w:bidi="ar-SA"/>
        </w:rPr>
      </w:pPr>
      <w:hyperlink w:anchor="_Toc525120140" w:history="1">
        <w:r w:rsidR="001A3B87" w:rsidRPr="005B425B">
          <w:rPr>
            <w:rStyle w:val="Hyperlink"/>
            <w:rFonts w:ascii="Times New Roman" w:hAnsi="Times New Roman" w:cs="Times New Roman"/>
          </w:rPr>
          <w:t>II.4</w:t>
        </w:r>
        <w:r w:rsidR="001A3B87" w:rsidRPr="005B425B">
          <w:rPr>
            <w:lang w:eastAsia="en-GB" w:bidi="ar-SA"/>
          </w:rPr>
          <w:tab/>
        </w:r>
        <w:r w:rsidR="001A3B87" w:rsidRPr="005B425B">
          <w:rPr>
            <w:rStyle w:val="Hyperlink"/>
            <w:rFonts w:ascii="Times New Roman" w:hAnsi="Times New Roman"/>
          </w:rPr>
          <w:t>Z 04.00 — Koncerninterne indbyrdes finansielle forbindelser (IFC)</w:t>
        </w:r>
        <w:r w:rsidR="001A3B87" w:rsidRPr="005B425B">
          <w:rPr>
            <w:webHidden/>
          </w:rPr>
          <w:tab/>
        </w:r>
        <w:r w:rsidR="001A3B87" w:rsidRPr="005B425B">
          <w:rPr>
            <w:webHidden/>
          </w:rPr>
          <w:fldChar w:fldCharType="begin"/>
        </w:r>
        <w:r w:rsidR="001A3B87" w:rsidRPr="005B425B">
          <w:rPr>
            <w:webHidden/>
          </w:rPr>
          <w:instrText xml:space="preserve"> PAGEREF _Toc525120140 \h </w:instrText>
        </w:r>
        <w:r w:rsidR="001A3B87" w:rsidRPr="005B425B">
          <w:rPr>
            <w:webHidden/>
          </w:rPr>
        </w:r>
        <w:r w:rsidR="001A3B87" w:rsidRPr="005B425B">
          <w:rPr>
            <w:webHidden/>
          </w:rPr>
          <w:fldChar w:fldCharType="separate"/>
        </w:r>
        <w:r w:rsidR="001A3B87" w:rsidRPr="005B425B">
          <w:rPr>
            <w:webHidden/>
          </w:rPr>
          <w:t>17</w:t>
        </w:r>
        <w:r w:rsidR="001A3B87" w:rsidRPr="005B425B">
          <w:rPr>
            <w:webHidden/>
          </w:rPr>
          <w:fldChar w:fldCharType="end"/>
        </w:r>
      </w:hyperlink>
    </w:p>
    <w:p w:rsidR="001A3B87" w:rsidRPr="005B425B" w:rsidRDefault="005B425B">
      <w:pPr>
        <w:pStyle w:val="TOC2"/>
        <w:rPr>
          <w:lang w:eastAsia="en-GB" w:bidi="ar-SA"/>
        </w:rPr>
      </w:pPr>
      <w:hyperlink w:anchor="_Toc525120141" w:history="1">
        <w:r w:rsidR="001A3B87" w:rsidRPr="005B425B">
          <w:rPr>
            <w:rStyle w:val="Hyperlink"/>
            <w:rFonts w:ascii="Times New Roman" w:hAnsi="Times New Roman" w:cs="Times New Roman"/>
          </w:rPr>
          <w:t>II.5</w:t>
        </w:r>
        <w:r w:rsidR="001A3B87" w:rsidRPr="005B425B">
          <w:rPr>
            <w:lang w:eastAsia="en-GB" w:bidi="ar-SA"/>
          </w:rPr>
          <w:tab/>
        </w:r>
        <w:r w:rsidR="001A3B87" w:rsidRPr="005B425B">
          <w:rPr>
            <w:rStyle w:val="Hyperlink"/>
            <w:rFonts w:ascii="Times New Roman" w:hAnsi="Times New Roman"/>
          </w:rPr>
          <w:t>Z 05.01 og Z 05.02 — Store modparter (MCP)</w:t>
        </w:r>
        <w:r w:rsidR="001A3B87" w:rsidRPr="005B425B">
          <w:rPr>
            <w:webHidden/>
          </w:rPr>
          <w:tab/>
        </w:r>
        <w:r w:rsidR="001A3B87" w:rsidRPr="005B425B">
          <w:rPr>
            <w:webHidden/>
          </w:rPr>
          <w:fldChar w:fldCharType="begin"/>
        </w:r>
        <w:r w:rsidR="001A3B87" w:rsidRPr="005B425B">
          <w:rPr>
            <w:webHidden/>
          </w:rPr>
          <w:instrText xml:space="preserve"> PAGEREF _Toc525120141 \h </w:instrText>
        </w:r>
        <w:r w:rsidR="001A3B87" w:rsidRPr="005B425B">
          <w:rPr>
            <w:webHidden/>
          </w:rPr>
        </w:r>
        <w:r w:rsidR="001A3B87" w:rsidRPr="005B425B">
          <w:rPr>
            <w:webHidden/>
          </w:rPr>
          <w:fldChar w:fldCharType="separate"/>
        </w:r>
        <w:r w:rsidR="001A3B87" w:rsidRPr="005B425B">
          <w:rPr>
            <w:webHidden/>
          </w:rPr>
          <w:t>19</w:t>
        </w:r>
        <w:r w:rsidR="001A3B87" w:rsidRPr="005B425B">
          <w:rPr>
            <w:webHidden/>
          </w:rPr>
          <w:fldChar w:fldCharType="end"/>
        </w:r>
      </w:hyperlink>
    </w:p>
    <w:p w:rsidR="001A3B87" w:rsidRPr="005B425B" w:rsidRDefault="005B425B">
      <w:pPr>
        <w:pStyle w:val="TOC2"/>
        <w:rPr>
          <w:lang w:eastAsia="en-GB" w:bidi="ar-SA"/>
        </w:rPr>
      </w:pPr>
      <w:hyperlink w:anchor="_Toc525120142" w:history="1">
        <w:r w:rsidR="001A3B87" w:rsidRPr="005B425B">
          <w:rPr>
            <w:rStyle w:val="Hyperlink"/>
            <w:rFonts w:ascii="Times New Roman" w:hAnsi="Times New Roman" w:cs="Times New Roman"/>
          </w:rPr>
          <w:t>II.6</w:t>
        </w:r>
        <w:r w:rsidR="001A3B87" w:rsidRPr="005B425B">
          <w:rPr>
            <w:lang w:eastAsia="en-GB" w:bidi="ar-SA"/>
          </w:rPr>
          <w:tab/>
        </w:r>
        <w:r w:rsidR="001A3B87" w:rsidRPr="005B425B">
          <w:rPr>
            <w:rStyle w:val="Hyperlink"/>
            <w:rFonts w:ascii="Times New Roman" w:hAnsi="Times New Roman"/>
          </w:rPr>
          <w:t>Z 06.00 — Indskydergarantiordning (DIS)</w:t>
        </w:r>
        <w:r w:rsidR="001A3B87" w:rsidRPr="005B425B">
          <w:rPr>
            <w:webHidden/>
          </w:rPr>
          <w:tab/>
        </w:r>
        <w:r w:rsidR="001A3B87" w:rsidRPr="005B425B">
          <w:rPr>
            <w:webHidden/>
          </w:rPr>
          <w:fldChar w:fldCharType="begin"/>
        </w:r>
        <w:r w:rsidR="001A3B87" w:rsidRPr="005B425B">
          <w:rPr>
            <w:webHidden/>
          </w:rPr>
          <w:instrText xml:space="preserve"> PAGEREF _Toc525120142 \h </w:instrText>
        </w:r>
        <w:r w:rsidR="001A3B87" w:rsidRPr="005B425B">
          <w:rPr>
            <w:webHidden/>
          </w:rPr>
        </w:r>
        <w:r w:rsidR="001A3B87" w:rsidRPr="005B425B">
          <w:rPr>
            <w:webHidden/>
          </w:rPr>
          <w:fldChar w:fldCharType="separate"/>
        </w:r>
        <w:r w:rsidR="001A3B87" w:rsidRPr="005B425B">
          <w:rPr>
            <w:webHidden/>
          </w:rPr>
          <w:t>22</w:t>
        </w:r>
        <w:r w:rsidR="001A3B87" w:rsidRPr="005B425B">
          <w:rPr>
            <w:webHidden/>
          </w:rPr>
          <w:fldChar w:fldCharType="end"/>
        </w:r>
      </w:hyperlink>
    </w:p>
    <w:p w:rsidR="001A3B87" w:rsidRPr="005B425B" w:rsidRDefault="005B425B">
      <w:pPr>
        <w:pStyle w:val="TOC2"/>
        <w:rPr>
          <w:lang w:eastAsia="en-GB" w:bidi="ar-SA"/>
        </w:rPr>
      </w:pPr>
      <w:hyperlink w:anchor="_Toc525120143" w:history="1">
        <w:r w:rsidR="001A3B87" w:rsidRPr="005B425B">
          <w:rPr>
            <w:rStyle w:val="Hyperlink"/>
            <w:rFonts w:ascii="Times New Roman" w:hAnsi="Times New Roman" w:cs="Times New Roman"/>
          </w:rPr>
          <w:t>II.7</w:t>
        </w:r>
        <w:r w:rsidR="001A3B87" w:rsidRPr="005B425B">
          <w:rPr>
            <w:lang w:eastAsia="en-GB" w:bidi="ar-SA"/>
          </w:rPr>
          <w:tab/>
        </w:r>
        <w:r w:rsidR="001A3B87" w:rsidRPr="005B425B">
          <w:rPr>
            <w:rStyle w:val="Hyperlink"/>
            <w:rFonts w:ascii="Times New Roman" w:hAnsi="Times New Roman"/>
          </w:rPr>
          <w:t>Kritiske funktioner og centrale forretningsområder</w:t>
        </w:r>
        <w:r w:rsidR="001A3B87" w:rsidRPr="005B425B">
          <w:rPr>
            <w:webHidden/>
          </w:rPr>
          <w:tab/>
        </w:r>
        <w:r w:rsidR="001A3B87" w:rsidRPr="005B425B">
          <w:rPr>
            <w:webHidden/>
          </w:rPr>
          <w:fldChar w:fldCharType="begin"/>
        </w:r>
        <w:r w:rsidR="001A3B87" w:rsidRPr="005B425B">
          <w:rPr>
            <w:webHidden/>
          </w:rPr>
          <w:instrText xml:space="preserve"> PAGEREF _Toc525120143 \h </w:instrText>
        </w:r>
        <w:r w:rsidR="001A3B87" w:rsidRPr="005B425B">
          <w:rPr>
            <w:webHidden/>
          </w:rPr>
        </w:r>
        <w:r w:rsidR="001A3B87" w:rsidRPr="005B425B">
          <w:rPr>
            <w:webHidden/>
          </w:rPr>
          <w:fldChar w:fldCharType="separate"/>
        </w:r>
        <w:r w:rsidR="001A3B87" w:rsidRPr="005B425B">
          <w:rPr>
            <w:webHidden/>
          </w:rPr>
          <w:t>25</w:t>
        </w:r>
        <w:r w:rsidR="001A3B87" w:rsidRPr="005B425B">
          <w:rPr>
            <w:webHidden/>
          </w:rPr>
          <w:fldChar w:fldCharType="end"/>
        </w:r>
      </w:hyperlink>
    </w:p>
    <w:p w:rsidR="001A3B87" w:rsidRPr="005B425B" w:rsidRDefault="005B425B">
      <w:pPr>
        <w:pStyle w:val="TOC2"/>
        <w:rPr>
          <w:lang w:eastAsia="en-GB" w:bidi="ar-SA"/>
        </w:rPr>
      </w:pPr>
      <w:hyperlink w:anchor="_Toc525120144" w:history="1">
        <w:r w:rsidR="001A3B87" w:rsidRPr="005B425B">
          <w:rPr>
            <w:rStyle w:val="Hyperlink"/>
            <w:rFonts w:ascii="Times New Roman" w:hAnsi="Times New Roman" w:cs="Times New Roman"/>
          </w:rPr>
          <w:t>II.8</w:t>
        </w:r>
        <w:r w:rsidR="001A3B87" w:rsidRPr="005B425B">
          <w:rPr>
            <w:lang w:eastAsia="en-GB" w:bidi="ar-SA"/>
          </w:rPr>
          <w:tab/>
        </w:r>
        <w:r w:rsidR="001A3B87" w:rsidRPr="005B425B">
          <w:rPr>
            <w:rStyle w:val="Hyperlink"/>
            <w:rFonts w:ascii="Times New Roman" w:hAnsi="Times New Roman"/>
          </w:rPr>
          <w:t>Z 08.00 — Kritiske tjenester (SERV)</w:t>
        </w:r>
        <w:r w:rsidR="001A3B87" w:rsidRPr="005B425B">
          <w:rPr>
            <w:webHidden/>
          </w:rPr>
          <w:tab/>
        </w:r>
        <w:r w:rsidR="001A3B87" w:rsidRPr="005B425B">
          <w:rPr>
            <w:webHidden/>
          </w:rPr>
          <w:fldChar w:fldCharType="begin"/>
        </w:r>
        <w:r w:rsidR="001A3B87" w:rsidRPr="005B425B">
          <w:rPr>
            <w:webHidden/>
          </w:rPr>
          <w:instrText xml:space="preserve"> PAGEREF _Toc525120144 \h </w:instrText>
        </w:r>
        <w:r w:rsidR="001A3B87" w:rsidRPr="005B425B">
          <w:rPr>
            <w:webHidden/>
          </w:rPr>
        </w:r>
        <w:r w:rsidR="001A3B87" w:rsidRPr="005B425B">
          <w:rPr>
            <w:webHidden/>
          </w:rPr>
          <w:fldChar w:fldCharType="separate"/>
        </w:r>
        <w:r w:rsidR="001A3B87" w:rsidRPr="005B425B">
          <w:rPr>
            <w:webHidden/>
          </w:rPr>
          <w:t>33</w:t>
        </w:r>
        <w:r w:rsidR="001A3B87" w:rsidRPr="005B425B">
          <w:rPr>
            <w:webHidden/>
          </w:rPr>
          <w:fldChar w:fldCharType="end"/>
        </w:r>
      </w:hyperlink>
    </w:p>
    <w:p w:rsidR="001A3B87" w:rsidRPr="005B425B" w:rsidRDefault="005B425B">
      <w:pPr>
        <w:pStyle w:val="TOC2"/>
        <w:rPr>
          <w:lang w:eastAsia="en-GB" w:bidi="ar-SA"/>
        </w:rPr>
      </w:pPr>
      <w:hyperlink w:anchor="_Toc525120145" w:history="1">
        <w:r w:rsidR="001A3B87" w:rsidRPr="005B425B">
          <w:rPr>
            <w:rStyle w:val="Hyperlink"/>
            <w:rFonts w:ascii="Times New Roman" w:hAnsi="Times New Roman" w:cs="Times New Roman"/>
          </w:rPr>
          <w:t>II.9</w:t>
        </w:r>
        <w:r w:rsidR="001A3B87" w:rsidRPr="005B425B">
          <w:rPr>
            <w:lang w:eastAsia="en-GB" w:bidi="ar-SA"/>
          </w:rPr>
          <w:tab/>
        </w:r>
        <w:r w:rsidR="001A3B87" w:rsidRPr="005B425B">
          <w:rPr>
            <w:rStyle w:val="Hyperlink"/>
            <w:rFonts w:ascii="Times New Roman" w:hAnsi="Times New Roman"/>
          </w:rPr>
          <w:t>Z 09.00 — FMI-tjenester — Udbydere og brugere — Oversigt pr. kritisk funktion</w:t>
        </w:r>
        <w:r w:rsidR="001A3B87" w:rsidRPr="005B425B">
          <w:rPr>
            <w:webHidden/>
          </w:rPr>
          <w:tab/>
        </w:r>
        <w:r w:rsidR="001A3B87" w:rsidRPr="005B425B">
          <w:rPr>
            <w:webHidden/>
          </w:rPr>
          <w:fldChar w:fldCharType="begin"/>
        </w:r>
        <w:r w:rsidR="001A3B87" w:rsidRPr="005B425B">
          <w:rPr>
            <w:webHidden/>
          </w:rPr>
          <w:instrText xml:space="preserve"> PAGEREF _Toc525120145 \h </w:instrText>
        </w:r>
        <w:r w:rsidR="001A3B87" w:rsidRPr="005B425B">
          <w:rPr>
            <w:webHidden/>
          </w:rPr>
        </w:r>
        <w:r w:rsidR="001A3B87" w:rsidRPr="005B425B">
          <w:rPr>
            <w:webHidden/>
          </w:rPr>
          <w:fldChar w:fldCharType="separate"/>
        </w:r>
        <w:r w:rsidR="001A3B87" w:rsidRPr="005B425B">
          <w:rPr>
            <w:webHidden/>
          </w:rPr>
          <w:t>37</w:t>
        </w:r>
        <w:r w:rsidR="001A3B87" w:rsidRPr="005B425B">
          <w:rPr>
            <w:webHidden/>
          </w:rPr>
          <w:fldChar w:fldCharType="end"/>
        </w:r>
      </w:hyperlink>
    </w:p>
    <w:p w:rsidR="001A3B87" w:rsidRPr="005B425B" w:rsidRDefault="005B425B">
      <w:pPr>
        <w:pStyle w:val="TOC2"/>
        <w:rPr>
          <w:lang w:eastAsia="en-GB" w:bidi="ar-SA"/>
        </w:rPr>
      </w:pPr>
      <w:hyperlink w:anchor="_Toc525120146" w:history="1">
        <w:r w:rsidR="001A3B87" w:rsidRPr="005B425B">
          <w:rPr>
            <w:rStyle w:val="Hyperlink"/>
            <w:rFonts w:ascii="Times New Roman" w:hAnsi="Times New Roman" w:cs="Times New Roman"/>
          </w:rPr>
          <w:t>II.10</w:t>
        </w:r>
        <w:r w:rsidR="001A3B87" w:rsidRPr="005B425B">
          <w:rPr>
            <w:lang w:eastAsia="en-GB" w:bidi="ar-SA"/>
          </w:rPr>
          <w:tab/>
        </w:r>
        <w:r w:rsidR="001A3B87" w:rsidRPr="005B425B">
          <w:rPr>
            <w:rStyle w:val="Hyperlink"/>
            <w:rFonts w:ascii="Times New Roman" w:hAnsi="Times New Roman"/>
          </w:rPr>
          <w:t>Kritiske informationssystemer</w:t>
        </w:r>
        <w:r w:rsidR="001A3B87" w:rsidRPr="005B425B">
          <w:rPr>
            <w:webHidden/>
          </w:rPr>
          <w:tab/>
        </w:r>
        <w:r w:rsidR="001A3B87" w:rsidRPr="005B425B">
          <w:rPr>
            <w:webHidden/>
          </w:rPr>
          <w:fldChar w:fldCharType="begin"/>
        </w:r>
        <w:r w:rsidR="001A3B87" w:rsidRPr="005B425B">
          <w:rPr>
            <w:webHidden/>
          </w:rPr>
          <w:instrText xml:space="preserve"> PAGEREF _Toc525120146 \h </w:instrText>
        </w:r>
        <w:r w:rsidR="001A3B87" w:rsidRPr="005B425B">
          <w:rPr>
            <w:webHidden/>
          </w:rPr>
        </w:r>
        <w:r w:rsidR="001A3B87" w:rsidRPr="005B425B">
          <w:rPr>
            <w:webHidden/>
          </w:rPr>
          <w:fldChar w:fldCharType="separate"/>
        </w:r>
        <w:r w:rsidR="001A3B87" w:rsidRPr="005B425B">
          <w:rPr>
            <w:webHidden/>
          </w:rPr>
          <w:t>39</w:t>
        </w:r>
        <w:r w:rsidR="001A3B87" w:rsidRPr="005B425B">
          <w:rPr>
            <w:webHidden/>
          </w:rPr>
          <w:fldChar w:fldCharType="end"/>
        </w:r>
      </w:hyperlink>
    </w:p>
    <w:p w:rsidR="00421CDC" w:rsidRPr="005B425B" w:rsidRDefault="001D258F">
      <w:pPr>
        <w:pStyle w:val="TOC2"/>
      </w:pPr>
      <w:r w:rsidRPr="005B425B">
        <w:rPr>
          <w:rFonts w:ascii="Times New Roman" w:hAnsi="Times New Roman" w:cs="Times New Roman"/>
          <w:bCs/>
          <w:color w:val="000000" w:themeColor="text1"/>
          <w:sz w:val="20"/>
          <w:szCs w:val="20"/>
        </w:rPr>
        <w:fldChar w:fldCharType="end"/>
      </w:r>
    </w:p>
    <w:p w:rsidR="00385C06" w:rsidRPr="005B425B" w:rsidRDefault="00385C06" w:rsidP="00385C06">
      <w:pPr>
        <w:rPr>
          <w:rFonts w:ascii="Times New Roman" w:hAnsi="Times New Roman" w:cs="Times New Roman"/>
          <w:b/>
          <w:color w:val="000000" w:themeColor="text1"/>
          <w:sz w:val="20"/>
          <w:szCs w:val="20"/>
        </w:rPr>
      </w:pPr>
    </w:p>
    <w:p w:rsidR="00E13CE3" w:rsidRPr="005B425B" w:rsidRDefault="00E13CE3" w:rsidP="00585A96">
      <w:pPr>
        <w:pStyle w:val="ListParagraph"/>
        <w:rPr>
          <w:rFonts w:ascii="Times New Roman" w:hAnsi="Times New Roman"/>
          <w:b/>
          <w:color w:val="000000" w:themeColor="text1"/>
          <w:sz w:val="20"/>
          <w:szCs w:val="20"/>
        </w:rPr>
      </w:pPr>
    </w:p>
    <w:p w:rsidR="000D0650" w:rsidRPr="005B425B"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rsidRPr="005B425B">
        <w:br w:type="page"/>
      </w:r>
    </w:p>
    <w:p w:rsidR="00E13CE3" w:rsidRPr="005B425B"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bookmarkStart w:id="2" w:name="_Toc525120130"/>
      <w:r w:rsidRPr="005B425B">
        <w:rPr>
          <w:rFonts w:ascii="Times New Roman" w:hAnsi="Times New Roman"/>
        </w:rPr>
        <w:lastRenderedPageBreak/>
        <w:t>Generelle instrukser</w:t>
      </w:r>
      <w:bookmarkEnd w:id="0"/>
      <w:bookmarkEnd w:id="1"/>
      <w:bookmarkEnd w:id="2"/>
    </w:p>
    <w:p w:rsidR="002B2A61" w:rsidRPr="005B425B" w:rsidRDefault="002B2A61" w:rsidP="004524FA">
      <w:pPr>
        <w:pStyle w:val="Instructionsberschrift2"/>
        <w:numPr>
          <w:ilvl w:val="1"/>
          <w:numId w:val="7"/>
        </w:numPr>
        <w:ind w:left="357" w:hanging="357"/>
        <w:rPr>
          <w:rFonts w:ascii="Times New Roman" w:hAnsi="Times New Roman" w:cs="Times New Roman"/>
          <w:szCs w:val="20"/>
        </w:rPr>
      </w:pPr>
      <w:bookmarkStart w:id="3" w:name="_Toc509909033"/>
      <w:bookmarkStart w:id="4" w:name="_Toc525120131"/>
      <w:r w:rsidRPr="005B425B">
        <w:rPr>
          <w:rFonts w:ascii="Times New Roman" w:hAnsi="Times New Roman"/>
        </w:rPr>
        <w:t>Struktur</w:t>
      </w:r>
      <w:bookmarkEnd w:id="3"/>
      <w:bookmarkEnd w:id="4"/>
    </w:p>
    <w:p w:rsidR="002B2A61" w:rsidRPr="005B425B" w:rsidRDefault="002B2A61"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Rammen består af 15 skemaer inddelt i 3 blokke:</w:t>
      </w:r>
    </w:p>
    <w:p w:rsidR="002B2A61" w:rsidRPr="005B425B" w:rsidRDefault="00170788" w:rsidP="00715DAB">
      <w:pPr>
        <w:pStyle w:val="body"/>
        <w:numPr>
          <w:ilvl w:val="0"/>
          <w:numId w:val="19"/>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"Generelle oplysninger", som giver et overblik over den organisatoriske struktur hos en koncern og dens enheder, fordelingen af aktiver og risikoeksponeringer. Denne blok består af skema "Z 01.00 — Organisatorisk struktur (ORG)"</w:t>
      </w:r>
    </w:p>
    <w:p w:rsidR="00170788" w:rsidRPr="005B425B" w:rsidRDefault="00170788" w:rsidP="00715DAB">
      <w:pPr>
        <w:pStyle w:val="body"/>
        <w:numPr>
          <w:ilvl w:val="0"/>
          <w:numId w:val="19"/>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"Oplysninger om balanceførte og ikke-balanceførte poster", som giver finansielle oplysninger om forpligtelser, kapitalgrundlag, finansielle forbindelser mellem koncernenheder, forpligtelser over for store modparter og ikke-balanceførte poster modtaget fra store modparter samt indskydergarantiordningen. Denne blok består af 6 skemaer:</w:t>
      </w:r>
    </w:p>
    <w:p w:rsidR="00D44790" w:rsidRPr="005B425B" w:rsidRDefault="00A040CC" w:rsidP="00C87003">
      <w:pPr>
        <w:pStyle w:val="body"/>
        <w:numPr>
          <w:ilvl w:val="0"/>
          <w:numId w:val="47"/>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"Z 02.00 — Udspecificering af forpligtelser (LIAB)</w:t>
      </w:r>
    </w:p>
    <w:p w:rsidR="00D44790" w:rsidRPr="005B425B" w:rsidRDefault="00A040CC" w:rsidP="00C87003">
      <w:pPr>
        <w:pStyle w:val="body"/>
        <w:numPr>
          <w:ilvl w:val="0"/>
          <w:numId w:val="47"/>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"Z 03.00 — Krav til kapitalgrundlag (OWN)"</w:t>
      </w:r>
    </w:p>
    <w:p w:rsidR="00D44790" w:rsidRPr="005B425B" w:rsidRDefault="00A040CC" w:rsidP="00C87003">
      <w:pPr>
        <w:pStyle w:val="body"/>
        <w:numPr>
          <w:ilvl w:val="0"/>
          <w:numId w:val="47"/>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"Z 04.00 — Koncerninterne indbyrdes finansielle forbindelser (IFC)"</w:t>
      </w:r>
    </w:p>
    <w:p w:rsidR="001F072D" w:rsidRPr="005B425B" w:rsidRDefault="00C87003" w:rsidP="00C87003">
      <w:pPr>
        <w:pStyle w:val="body"/>
        <w:numPr>
          <w:ilvl w:val="0"/>
          <w:numId w:val="47"/>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To skemaer vedrørende store modparter, "Z 05.01 — Store modparter mht. forpligtelser (Z-MCP 1)" og "Z 05.02 — Store ikke-balanceførte modparter (Z-MCP 2)".</w:t>
      </w:r>
    </w:p>
    <w:p w:rsidR="00A040CC" w:rsidRPr="005B425B" w:rsidRDefault="00A040CC" w:rsidP="00C87003">
      <w:pPr>
        <w:pStyle w:val="body"/>
        <w:numPr>
          <w:ilvl w:val="0"/>
          <w:numId w:val="47"/>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"Z 06.00 — Indskydergarantiordning (Z-DIS)".</w:t>
      </w:r>
    </w:p>
    <w:p w:rsidR="00BB5812" w:rsidRPr="005B425B" w:rsidRDefault="00BB5812" w:rsidP="00715DAB">
      <w:pPr>
        <w:pStyle w:val="body"/>
        <w:numPr>
          <w:ilvl w:val="0"/>
          <w:numId w:val="19"/>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"Kritiske funktioner", som giver et overblik over kritiske funktioner og viser deres fordeling på juridiske enheder, centrale forretningsområder, kritiske tjenester, finansielle markedsinfrastrukturer og informationssystemer. Denne blok består af 7 skemaer:</w:t>
      </w:r>
    </w:p>
    <w:p w:rsidR="002B2A61" w:rsidRPr="005B425B" w:rsidRDefault="001E6258" w:rsidP="00715DAB">
      <w:pPr>
        <w:pStyle w:val="body"/>
        <w:numPr>
          <w:ilvl w:val="0"/>
          <w:numId w:val="20"/>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4 skemaer vedrørende identifikation af kritiske funktioner og deres fordeling på centrale forretningsområder og koncernenheder, "Z 07.01 — Kritikalitetsvurdering af økonomiske funktioner (Z-FUNC 1)", "Z 07.02 — Oversigt over kritiske funktioner pr. juridisk enhed (Z-FUNC 2)", "Z 07.03 — Oversigt over centrale forretningsområder pr. juridisk enhed (Z-FUNC 3)" og "Z 07.04 — Oversigt over kritiske funktioner pr. centralt forretningsområde (Z-FUNC 4)"</w:t>
      </w:r>
    </w:p>
    <w:p w:rsidR="001E6258" w:rsidRPr="005B425B" w:rsidRDefault="00B24A26" w:rsidP="00715DAB">
      <w:pPr>
        <w:pStyle w:val="body"/>
        <w:numPr>
          <w:ilvl w:val="0"/>
          <w:numId w:val="20"/>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"Z 08.00 — Kritiske tjenester (Z-SERV)"</w:t>
      </w:r>
    </w:p>
    <w:p w:rsidR="00B24A26" w:rsidRPr="005B425B" w:rsidRDefault="00B24A26" w:rsidP="006F50B4">
      <w:pPr>
        <w:pStyle w:val="body"/>
        <w:numPr>
          <w:ilvl w:val="0"/>
          <w:numId w:val="20"/>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 xml:space="preserve"> "Z 09.00 — FMI-tjenester — Udbydere og brugere — Oversigt pr. kritisk funktion (FMI)"</w:t>
      </w:r>
    </w:p>
    <w:p w:rsidR="00D91F52" w:rsidRPr="005B425B" w:rsidRDefault="00D62530" w:rsidP="00715DAB">
      <w:pPr>
        <w:pStyle w:val="body"/>
        <w:numPr>
          <w:ilvl w:val="0"/>
          <w:numId w:val="20"/>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2 skemaer vedrørende kritiske informationssystemer, "Z 10.01 — Kritiske informationssystemer (generelle oplysninger) (Z-CIS 1)" og "Z 10.02 — Oversigt over informationssystemer (Z-CIS 2)".</w:t>
      </w:r>
    </w:p>
    <w:p w:rsidR="00C93D9F" w:rsidRPr="005B425B" w:rsidRDefault="00C93D9F" w:rsidP="008854E4">
      <w:pPr>
        <w:pStyle w:val="Instructionsberschrift2"/>
        <w:numPr>
          <w:ilvl w:val="1"/>
          <w:numId w:val="7"/>
        </w:numPr>
        <w:ind w:left="357" w:hanging="357"/>
        <w:rPr>
          <w:rFonts w:ascii="Times New Roman" w:hAnsi="Times New Roman" w:cs="Times New Roman"/>
          <w:szCs w:val="20"/>
        </w:rPr>
      </w:pPr>
      <w:bookmarkStart w:id="5" w:name="_Toc509909034"/>
      <w:bookmarkStart w:id="6" w:name="_Toc525120132"/>
      <w:r w:rsidRPr="005B425B">
        <w:rPr>
          <w:rFonts w:ascii="Times New Roman" w:hAnsi="Times New Roman"/>
        </w:rPr>
        <w:t>Referencer</w:t>
      </w:r>
      <w:bookmarkEnd w:id="5"/>
      <w:bookmarkEnd w:id="6"/>
    </w:p>
    <w:p w:rsidR="00C93D9F" w:rsidRPr="005B425B" w:rsidRDefault="00C93D9F"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I dette bilag bruges følgende forkortelser:</w:t>
      </w:r>
    </w:p>
    <w:p w:rsidR="00CF3051" w:rsidRPr="005B425B" w:rsidRDefault="00CF3051" w:rsidP="00715DAB">
      <w:pPr>
        <w:pStyle w:val="ListParagraph"/>
        <w:numPr>
          <w:ilvl w:val="0"/>
          <w:numId w:val="18"/>
        </w:numPr>
        <w:ind w:left="1074"/>
        <w:jc w:val="both"/>
        <w:rPr>
          <w:rFonts w:ascii="Times New Roman" w:hAnsi="Times New Roman"/>
          <w:color w:val="000000" w:themeColor="text1"/>
          <w:sz w:val="20"/>
          <w:szCs w:val="20"/>
        </w:rPr>
      </w:pPr>
      <w:r w:rsidRPr="005B425B">
        <w:rPr>
          <w:rFonts w:ascii="Times New Roman" w:hAnsi="Times New Roman"/>
          <w:color w:val="000000" w:themeColor="text1"/>
          <w:sz w:val="20"/>
        </w:rPr>
        <w:t>"BCBS": Baselkomitéen for Banktilsyn under Den Internationale Betalingsbank</w:t>
      </w:r>
    </w:p>
    <w:p w:rsidR="00B466DD" w:rsidRPr="005B425B" w:rsidRDefault="00B466DD" w:rsidP="00715DAB">
      <w:pPr>
        <w:pStyle w:val="ListParagraph"/>
        <w:numPr>
          <w:ilvl w:val="0"/>
          <w:numId w:val="18"/>
        </w:numPr>
        <w:ind w:left="1074"/>
        <w:jc w:val="both"/>
        <w:rPr>
          <w:rFonts w:ascii="Times New Roman" w:hAnsi="Times New Roman"/>
          <w:color w:val="000000" w:themeColor="text1"/>
          <w:sz w:val="20"/>
          <w:szCs w:val="20"/>
        </w:rPr>
      </w:pPr>
      <w:r w:rsidRPr="005B425B">
        <w:rPr>
          <w:rFonts w:ascii="Times New Roman" w:hAnsi="Times New Roman"/>
          <w:color w:val="000000" w:themeColor="text1"/>
          <w:sz w:val="20"/>
        </w:rPr>
        <w:t>"CPMI": Udvalget om Betalings- og Markedsinfrastrukturer under Den Internationale Betalingsbank</w:t>
      </w:r>
    </w:p>
    <w:p w:rsidR="00E52C33" w:rsidRPr="005B425B" w:rsidRDefault="00E52C33" w:rsidP="007C4DBB">
      <w:pPr>
        <w:pStyle w:val="ListParagraph"/>
        <w:numPr>
          <w:ilvl w:val="0"/>
          <w:numId w:val="18"/>
        </w:numPr>
        <w:ind w:left="1074"/>
        <w:jc w:val="both"/>
        <w:rPr>
          <w:rFonts w:ascii="Times New Roman" w:hAnsi="Times New Roman"/>
          <w:color w:val="000000" w:themeColor="text1"/>
          <w:sz w:val="20"/>
          <w:szCs w:val="20"/>
        </w:rPr>
      </w:pPr>
      <w:r w:rsidRPr="005B425B">
        <w:rPr>
          <w:rFonts w:ascii="Times New Roman" w:hAnsi="Times New Roman"/>
          <w:color w:val="000000" w:themeColor="text1"/>
          <w:sz w:val="20"/>
        </w:rPr>
        <w:lastRenderedPageBreak/>
        <w:t>"FINREP": skemaerne for finansielle oplysninger i bilag III og IV til samt de yderligere instrukser i bilag V til Kommissionens gennemførelsesforordning (EU) nr. 680/2014</w:t>
      </w:r>
      <w:r w:rsidRPr="005B425B">
        <w:rPr>
          <w:rStyle w:val="FootnoteReference"/>
          <w:rFonts w:ascii="Times New Roman" w:hAnsi="Times New Roman"/>
          <w:sz w:val="20"/>
        </w:rPr>
        <w:footnoteReference w:id="1"/>
      </w:r>
    </w:p>
    <w:p w:rsidR="00D920E5" w:rsidRPr="005B425B" w:rsidRDefault="00D920E5" w:rsidP="007C4DBB">
      <w:pPr>
        <w:pStyle w:val="ListParagraph"/>
        <w:numPr>
          <w:ilvl w:val="0"/>
          <w:numId w:val="18"/>
        </w:numPr>
        <w:ind w:left="1074"/>
        <w:jc w:val="both"/>
        <w:rPr>
          <w:rFonts w:ascii="Times New Roman" w:hAnsi="Times New Roman"/>
          <w:color w:val="000000" w:themeColor="text1"/>
          <w:sz w:val="20"/>
          <w:szCs w:val="20"/>
        </w:rPr>
      </w:pPr>
      <w:r w:rsidRPr="005B425B">
        <w:rPr>
          <w:rFonts w:ascii="Times New Roman" w:hAnsi="Times New Roman"/>
          <w:color w:val="000000" w:themeColor="text1"/>
          <w:sz w:val="20"/>
        </w:rPr>
        <w:t>"COREP (OF)": bilag I (skemaer) og II (instrukser) til gennemførelsesforordning (EU) nr. 680/2014</w:t>
      </w:r>
    </w:p>
    <w:p w:rsidR="00D920E5" w:rsidRPr="005B425B" w:rsidRDefault="00D920E5" w:rsidP="007C4DBB">
      <w:pPr>
        <w:pStyle w:val="ListParagraph"/>
        <w:numPr>
          <w:ilvl w:val="0"/>
          <w:numId w:val="18"/>
        </w:numPr>
        <w:ind w:left="1074"/>
        <w:jc w:val="both"/>
        <w:rPr>
          <w:rFonts w:ascii="Times New Roman" w:hAnsi="Times New Roman"/>
          <w:color w:val="000000" w:themeColor="text1"/>
          <w:sz w:val="20"/>
          <w:szCs w:val="20"/>
        </w:rPr>
      </w:pPr>
      <w:r w:rsidRPr="005B425B">
        <w:rPr>
          <w:rFonts w:ascii="Times New Roman" w:hAnsi="Times New Roman"/>
          <w:color w:val="000000" w:themeColor="text1"/>
          <w:sz w:val="20"/>
        </w:rPr>
        <w:t>"COREP (LR)": bilag X (skemaer) og XI (instrukser) til gennemførelsesforordning (EU) nr. 680/2014</w:t>
      </w:r>
    </w:p>
    <w:p w:rsidR="00B466DD" w:rsidRPr="005B425B" w:rsidRDefault="00B466DD" w:rsidP="00715DAB">
      <w:pPr>
        <w:pStyle w:val="ListParagraph"/>
        <w:numPr>
          <w:ilvl w:val="0"/>
          <w:numId w:val="18"/>
        </w:numPr>
        <w:ind w:left="1074"/>
        <w:jc w:val="both"/>
        <w:rPr>
          <w:rFonts w:ascii="Times New Roman" w:hAnsi="Times New Roman"/>
          <w:color w:val="000000" w:themeColor="text1"/>
          <w:sz w:val="20"/>
          <w:szCs w:val="20"/>
        </w:rPr>
      </w:pPr>
      <w:r w:rsidRPr="005B425B">
        <w:rPr>
          <w:rFonts w:ascii="Times New Roman" w:hAnsi="Times New Roman"/>
          <w:color w:val="000000" w:themeColor="text1"/>
          <w:sz w:val="20"/>
        </w:rPr>
        <w:t>"FSB": Rådet for Finansiel Stabilitet</w:t>
      </w:r>
    </w:p>
    <w:p w:rsidR="00E52C33" w:rsidRPr="005B425B" w:rsidRDefault="00E52C33" w:rsidP="0072422B">
      <w:pPr>
        <w:pStyle w:val="ListParagraph"/>
        <w:numPr>
          <w:ilvl w:val="0"/>
          <w:numId w:val="18"/>
        </w:numPr>
        <w:ind w:left="1074"/>
        <w:jc w:val="both"/>
        <w:rPr>
          <w:rFonts w:ascii="Times New Roman" w:hAnsi="Times New Roman"/>
          <w:color w:val="000000" w:themeColor="text1"/>
          <w:sz w:val="20"/>
          <w:szCs w:val="20"/>
        </w:rPr>
      </w:pPr>
      <w:r w:rsidRPr="005B425B">
        <w:rPr>
          <w:rFonts w:ascii="Times New Roman" w:hAnsi="Times New Roman"/>
          <w:color w:val="000000" w:themeColor="text1"/>
          <w:sz w:val="20"/>
        </w:rPr>
        <w:t>"IAS": internationale regnskabsstandarder som defineret i artikel 2 i Europa-Parlamentets og Rådets forordning (EF) nr. 1606/2002</w:t>
      </w:r>
      <w:r w:rsidRPr="005B425B">
        <w:rPr>
          <w:vertAlign w:val="superscript"/>
        </w:rPr>
        <w:footnoteReference w:id="2"/>
      </w:r>
    </w:p>
    <w:p w:rsidR="0036168C" w:rsidRPr="005B425B" w:rsidRDefault="0036168C" w:rsidP="00715DAB">
      <w:pPr>
        <w:pStyle w:val="ListParagraph"/>
        <w:numPr>
          <w:ilvl w:val="0"/>
          <w:numId w:val="18"/>
        </w:numPr>
        <w:ind w:left="1074"/>
        <w:jc w:val="both"/>
        <w:rPr>
          <w:rFonts w:ascii="Times New Roman" w:hAnsi="Times New Roman"/>
          <w:color w:val="000000" w:themeColor="text1"/>
          <w:sz w:val="20"/>
          <w:szCs w:val="20"/>
        </w:rPr>
      </w:pPr>
      <w:r w:rsidRPr="005B425B">
        <w:rPr>
          <w:rFonts w:ascii="Times New Roman" w:hAnsi="Times New Roman"/>
          <w:color w:val="000000" w:themeColor="text1"/>
          <w:sz w:val="20"/>
        </w:rPr>
        <w:t>"IFRS": International Financial Reporting Standards som defineret i artikel 2 i forordning (EF) nr. 1606/2002</w:t>
      </w:r>
      <w:r w:rsidRPr="005B425B">
        <w:rPr>
          <w:rStyle w:val="FootnoteReference"/>
          <w:rFonts w:ascii="Times New Roman" w:hAnsi="Times New Roman"/>
          <w:color w:val="000000" w:themeColor="text1"/>
          <w:sz w:val="20"/>
        </w:rPr>
        <w:footnoteReference w:id="3"/>
      </w:r>
    </w:p>
    <w:p w:rsidR="007D568C" w:rsidRPr="005B425B" w:rsidRDefault="00CC130F" w:rsidP="00715DAB">
      <w:pPr>
        <w:pStyle w:val="ListParagraph"/>
        <w:numPr>
          <w:ilvl w:val="0"/>
          <w:numId w:val="18"/>
        </w:numPr>
        <w:ind w:left="1074"/>
        <w:jc w:val="both"/>
        <w:rPr>
          <w:rFonts w:ascii="Times New Roman" w:hAnsi="Times New Roman"/>
          <w:color w:val="000000" w:themeColor="text1"/>
          <w:sz w:val="20"/>
          <w:szCs w:val="20"/>
        </w:rPr>
      </w:pPr>
      <w:r w:rsidRPr="005B425B">
        <w:rPr>
          <w:rFonts w:ascii="Times New Roman" w:hAnsi="Times New Roman"/>
          <w:color w:val="000000" w:themeColor="text1"/>
          <w:sz w:val="20"/>
        </w:rPr>
        <w:t xml:space="preserve">"LEI-kode": en ID-kode for juridiske enheder (Legal Entity Identifier), som har til formål at gøre det muligt på verdensplan entydigt at identificere parter i finansielle transaktioner, som foreslået af Rådet for Finansiel Stabilitet (FSB) og godkendt af G20. Indtil det verdensomspændende LEI-system er fuldt ud operationelt, tildeles modparter midlertidige LEI-koder af en lokal enhed, der er blevet godkendt af "Regulatory Oversight Committee" (ROC). Yderligere oplysninger findes på følgende websted: </w:t>
      </w:r>
      <w:hyperlink r:id="rId9">
        <w:r w:rsidRPr="005B425B">
          <w:rPr>
            <w:rStyle w:val="Hyperlink"/>
            <w:rFonts w:ascii="Times New Roman" w:hAnsi="Times New Roman"/>
            <w:color w:val="000000" w:themeColor="text1"/>
            <w:sz w:val="20"/>
          </w:rPr>
          <w:t>www.leiroc.org</w:t>
        </w:r>
      </w:hyperlink>
      <w:r w:rsidRPr="005B425B">
        <w:rPr>
          <w:rFonts w:ascii="Times New Roman" w:hAnsi="Times New Roman"/>
          <w:color w:val="000000" w:themeColor="text1"/>
          <w:sz w:val="20"/>
        </w:rPr>
        <w:t>. Hvis der for en given modpart findes en LEI-kode, skal den anvendes til at identificere denne modpart.</w:t>
      </w:r>
    </w:p>
    <w:p w:rsidR="00B466DD" w:rsidRPr="005B425B" w:rsidRDefault="00B466DD" w:rsidP="007C4DBB">
      <w:pPr>
        <w:pStyle w:val="ListParagraph"/>
        <w:numPr>
          <w:ilvl w:val="0"/>
          <w:numId w:val="18"/>
        </w:numPr>
        <w:ind w:left="1074"/>
        <w:jc w:val="both"/>
        <w:rPr>
          <w:rFonts w:ascii="Times New Roman" w:hAnsi="Times New Roman"/>
          <w:color w:val="000000" w:themeColor="text1"/>
          <w:sz w:val="20"/>
          <w:szCs w:val="20"/>
        </w:rPr>
      </w:pPr>
      <w:r w:rsidRPr="005B425B">
        <w:rPr>
          <w:rFonts w:ascii="Times New Roman" w:hAnsi="Times New Roman"/>
          <w:color w:val="000000" w:themeColor="text1"/>
          <w:sz w:val="20"/>
        </w:rPr>
        <w:t>"NGAAP" eller "nationale almindeligt anerkendte regnskabsprincipper": nationale regnskabssystemer udviklet i overensstemmelse med direktiv 86/635/EØF</w:t>
      </w:r>
      <w:r w:rsidRPr="005B425B">
        <w:rPr>
          <w:rStyle w:val="FootnoteReference"/>
          <w:color w:val="000000" w:themeColor="text1"/>
        </w:rPr>
        <w:footnoteReference w:id="4"/>
      </w:r>
      <w:r w:rsidRPr="005B425B">
        <w:rPr>
          <w:rFonts w:ascii="Times New Roman" w:hAnsi="Times New Roman"/>
          <w:color w:val="000000" w:themeColor="text1"/>
          <w:sz w:val="20"/>
        </w:rPr>
        <w:t>.</w:t>
      </w:r>
    </w:p>
    <w:p w:rsidR="005E66E5" w:rsidRPr="005B425B" w:rsidRDefault="005E66E5" w:rsidP="00FA2A1A">
      <w:pPr>
        <w:pStyle w:val="ListParagraph"/>
        <w:ind w:left="1074"/>
        <w:rPr>
          <w:rFonts w:ascii="Times New Roman" w:hAnsi="Times New Roman"/>
          <w:color w:val="000000" w:themeColor="text1"/>
          <w:sz w:val="20"/>
          <w:szCs w:val="20"/>
        </w:rPr>
      </w:pPr>
    </w:p>
    <w:p w:rsidR="002B2A61" w:rsidRPr="005B425B" w:rsidRDefault="002B2A61" w:rsidP="008854E4">
      <w:pPr>
        <w:pStyle w:val="Instructionsberschrift2"/>
        <w:numPr>
          <w:ilvl w:val="1"/>
          <w:numId w:val="7"/>
        </w:numPr>
        <w:ind w:left="357" w:hanging="357"/>
        <w:rPr>
          <w:rFonts w:ascii="Times New Roman" w:hAnsi="Times New Roman" w:cs="Times New Roman"/>
          <w:szCs w:val="20"/>
        </w:rPr>
      </w:pPr>
      <w:bookmarkStart w:id="7" w:name="_Toc509909035"/>
      <w:bookmarkStart w:id="8" w:name="_Toc525120133"/>
      <w:r w:rsidRPr="005B425B">
        <w:rPr>
          <w:rFonts w:ascii="Times New Roman" w:hAnsi="Times New Roman"/>
        </w:rPr>
        <w:t>Regnskabsstandarder</w:t>
      </w:r>
      <w:bookmarkEnd w:id="7"/>
      <w:bookmarkEnd w:id="8"/>
    </w:p>
    <w:p w:rsidR="002B2A61" w:rsidRPr="005B425B" w:rsidRDefault="00A75967" w:rsidP="00D52306">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 xml:space="preserve">Medmindre andet er angivet i disse instrukser, skal institutter indberette alle beløb på basis af de regnskabssystemer, de anvender til indberetning af finansielle oplysninger i overensstemmelse med artikel 9-11 i gennemførelsesforordning (EU) nr. 680/2014. Institutter, der ikke skal indberette finansielle oplysninger i overensstemmelse med gennemførelsesforordning (EU) nr. 680/2014, skal følge reglerne i deres respektive regnskabssystemer. </w:t>
      </w:r>
    </w:p>
    <w:p w:rsidR="002B2A61" w:rsidRPr="005B425B" w:rsidRDefault="002B2A61"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For institutter, der indberetter i henhold til IFRS, er der indsat henvisninger til de relevante IFRS.</w:t>
      </w:r>
    </w:p>
    <w:p w:rsidR="00D2262D" w:rsidRPr="005B425B" w:rsidRDefault="0015524E" w:rsidP="008854E4">
      <w:pPr>
        <w:pStyle w:val="Instructionsberschrift2"/>
        <w:numPr>
          <w:ilvl w:val="1"/>
          <w:numId w:val="7"/>
        </w:numPr>
        <w:ind w:left="357" w:hanging="357"/>
        <w:rPr>
          <w:rFonts w:ascii="Times New Roman" w:hAnsi="Times New Roman" w:cs="Times New Roman"/>
          <w:szCs w:val="20"/>
        </w:rPr>
      </w:pPr>
      <w:bookmarkStart w:id="9" w:name="_Toc509909036"/>
      <w:bookmarkStart w:id="10" w:name="_Toc525120134"/>
      <w:r w:rsidRPr="005B425B">
        <w:rPr>
          <w:rFonts w:ascii="Times New Roman" w:hAnsi="Times New Roman"/>
        </w:rPr>
        <w:t>Konsolideringsramme</w:t>
      </w:r>
      <w:bookmarkEnd w:id="9"/>
      <w:bookmarkEnd w:id="10"/>
    </w:p>
    <w:p w:rsidR="00CF3051" w:rsidRPr="005B425B" w:rsidRDefault="00883A6B"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Denne ramme omfatter, afhængigt af skemaet:</w:t>
      </w:r>
    </w:p>
    <w:p w:rsidR="00CF3051" w:rsidRPr="005B425B" w:rsidRDefault="00883A6B" w:rsidP="00715DAB">
      <w:pPr>
        <w:pStyle w:val="numberedparagraph"/>
        <w:numPr>
          <w:ilvl w:val="0"/>
          <w:numId w:val="39"/>
        </w:numPr>
        <w:ind w:left="717"/>
        <w:rPr>
          <w:rFonts w:ascii="Times New Roman" w:hAnsi="Times New Roman" w:cs="Times New Roman"/>
          <w:sz w:val="20"/>
          <w:szCs w:val="20"/>
        </w:rPr>
      </w:pPr>
      <w:r w:rsidRPr="005B425B">
        <w:rPr>
          <w:rFonts w:ascii="Times New Roman" w:hAnsi="Times New Roman"/>
          <w:sz w:val="20"/>
        </w:rPr>
        <w:t>konsolidering på grundlag af regnskabskonsolidering (enheder, der indgår i de konsoliderede regnskaber i henhold til det gældende regnskabssystem)</w:t>
      </w:r>
    </w:p>
    <w:p w:rsidR="00CF3051" w:rsidRPr="005B425B" w:rsidRDefault="00883A6B" w:rsidP="00715DAB">
      <w:pPr>
        <w:pStyle w:val="numberedparagraph"/>
        <w:numPr>
          <w:ilvl w:val="0"/>
          <w:numId w:val="39"/>
        </w:numPr>
        <w:ind w:left="717"/>
        <w:rPr>
          <w:rFonts w:ascii="Times New Roman" w:hAnsi="Times New Roman" w:cs="Times New Roman"/>
          <w:sz w:val="20"/>
          <w:szCs w:val="20"/>
        </w:rPr>
      </w:pPr>
      <w:r w:rsidRPr="005B425B">
        <w:rPr>
          <w:rFonts w:ascii="Times New Roman" w:hAnsi="Times New Roman"/>
          <w:sz w:val="20"/>
        </w:rPr>
        <w:t>tilsynskonsolidering (enheder omfattet af konsolidering i henhold til første del, afsnit II, kapitel 2, i Europa-Parlamentets og Rådets forordning (EU) nr. 575/2013</w:t>
      </w:r>
      <w:r w:rsidRPr="005B425B">
        <w:rPr>
          <w:rStyle w:val="FootnoteReference"/>
        </w:rPr>
        <w:footnoteReference w:id="5"/>
      </w:r>
      <w:r w:rsidRPr="005B425B">
        <w:rPr>
          <w:rFonts w:ascii="Times New Roman" w:hAnsi="Times New Roman"/>
          <w:sz w:val="20"/>
        </w:rPr>
        <w:t xml:space="preserve">) for modervirksomheden i Unionen </w:t>
      </w:r>
    </w:p>
    <w:p w:rsidR="00CF3051" w:rsidRPr="005B425B" w:rsidRDefault="00883A6B" w:rsidP="00715DAB">
      <w:pPr>
        <w:pStyle w:val="numberedparagraph"/>
        <w:numPr>
          <w:ilvl w:val="0"/>
          <w:numId w:val="39"/>
        </w:numPr>
        <w:ind w:left="717"/>
        <w:rPr>
          <w:rFonts w:ascii="Times New Roman" w:hAnsi="Times New Roman" w:cs="Times New Roman"/>
          <w:sz w:val="20"/>
          <w:szCs w:val="20"/>
        </w:rPr>
      </w:pPr>
      <w:r w:rsidRPr="005B425B">
        <w:rPr>
          <w:rFonts w:ascii="Times New Roman" w:hAnsi="Times New Roman"/>
          <w:sz w:val="20"/>
        </w:rPr>
        <w:t>konsolidering på afviklingsenhedsniveau for afviklingskoncernen.</w:t>
      </w:r>
    </w:p>
    <w:p w:rsidR="00883A6B" w:rsidRPr="005B425B" w:rsidRDefault="009E43E8" w:rsidP="003E2EE0">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Institutter skal til hvert skema anvende den eller de relevante baser, jf. denne forordnings artikel 4.</w:t>
      </w:r>
    </w:p>
    <w:p w:rsidR="0028403B" w:rsidRPr="005B425B" w:rsidRDefault="00863EFA" w:rsidP="008854E4">
      <w:pPr>
        <w:pStyle w:val="Instructionsberschrift2"/>
        <w:numPr>
          <w:ilvl w:val="1"/>
          <w:numId w:val="7"/>
        </w:numPr>
        <w:ind w:left="357" w:hanging="357"/>
        <w:rPr>
          <w:rFonts w:ascii="Times New Roman" w:hAnsi="Times New Roman" w:cs="Times New Roman"/>
          <w:szCs w:val="20"/>
        </w:rPr>
      </w:pPr>
      <w:bookmarkStart w:id="11" w:name="_Toc509909037"/>
      <w:bookmarkStart w:id="12" w:name="_Toc525120135"/>
      <w:r w:rsidRPr="005B425B">
        <w:rPr>
          <w:rFonts w:ascii="Times New Roman" w:hAnsi="Times New Roman"/>
        </w:rPr>
        <w:lastRenderedPageBreak/>
        <w:t>Nummerering og andre konventioner</w:t>
      </w:r>
      <w:bookmarkEnd w:id="11"/>
      <w:bookmarkEnd w:id="12"/>
    </w:p>
    <w:p w:rsidR="00863EFA" w:rsidRPr="005B425B"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Disse instrukser følger de konventioner for tekst, der er angivet nedenfor, når der henvises til kolonner, rækker og celler i skemaerne. Disse numeriske koder anvendes i vid udstrækning i valideringsreglerne.</w:t>
      </w:r>
    </w:p>
    <w:p w:rsidR="00863EFA" w:rsidRPr="005B425B"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Følgende generelle notation anvendes i disse instrukser, når der henvises til et skemas kolonner, rækker og celler: {Skema;Række;Kolonne}.</w:t>
      </w:r>
    </w:p>
    <w:p w:rsidR="00863EFA" w:rsidRPr="005B425B"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Ved valideringer i et skema, hvor kun datapunkter fra skemaet anvendes, henviser notationer ikke til et skema: {Række;Kolonne}.</w:t>
      </w:r>
    </w:p>
    <w:p w:rsidR="00863EFA" w:rsidRPr="005B425B"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For så vidt angår skemaer med kun én kolonne henvises der kun til rækker: {Skema;Række}.</w:t>
      </w:r>
    </w:p>
    <w:p w:rsidR="00863EFA" w:rsidRPr="005B425B"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En asterisk viser, at valideringen foretages for de angivne rækker eller kolonner.</w:t>
      </w:r>
    </w:p>
    <w:p w:rsidR="00E857A0" w:rsidRPr="005B425B" w:rsidRDefault="00B343C7"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Hvis et oplysningselement ikke er relevant for de enheder, som indberetningen vedrører, udfyldes det pågældende felt ikke.</w:t>
      </w:r>
    </w:p>
    <w:p w:rsidR="00E108B3" w:rsidRPr="005B425B" w:rsidRDefault="00E108B3"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Henvises der i disse instrukser til en primær nøgle, forstås med denne en kolonne eller en kombination af kolonner, der entydigt identificerer alle rækker i skemaet. En primær nøgle har en værdi, der er unik for hver enkelt række i skemaet. Den må ikke indeholde nulværdi.</w:t>
      </w:r>
    </w:p>
    <w:p w:rsidR="001E5EDF" w:rsidRPr="005B425B" w:rsidRDefault="001E5EDF" w:rsidP="008854E4">
      <w:pPr>
        <w:pStyle w:val="Instructionsberschrift2"/>
        <w:numPr>
          <w:ilvl w:val="0"/>
          <w:numId w:val="7"/>
        </w:numPr>
        <w:ind w:left="357" w:hanging="357"/>
        <w:rPr>
          <w:rFonts w:ascii="Times New Roman" w:hAnsi="Times New Roman" w:cs="Times New Roman"/>
          <w:szCs w:val="20"/>
        </w:rPr>
      </w:pPr>
      <w:bookmarkStart w:id="13" w:name="_Toc492542319"/>
      <w:bookmarkStart w:id="14" w:name="_Toc509909038"/>
      <w:bookmarkStart w:id="15" w:name="_Toc525120136"/>
      <w:r w:rsidRPr="005B425B">
        <w:rPr>
          <w:rFonts w:ascii="Times New Roman" w:hAnsi="Times New Roman"/>
        </w:rPr>
        <w:t>Instrukser vedrørende de enkelte skemaer</w:t>
      </w:r>
      <w:bookmarkEnd w:id="13"/>
      <w:bookmarkEnd w:id="14"/>
      <w:bookmarkEnd w:id="15"/>
    </w:p>
    <w:p w:rsidR="00E13CE3" w:rsidRPr="005B425B" w:rsidRDefault="00F7117F" w:rsidP="008854E4">
      <w:pPr>
        <w:pStyle w:val="Instructionsberschrift2"/>
        <w:numPr>
          <w:ilvl w:val="1"/>
          <w:numId w:val="7"/>
        </w:numPr>
        <w:ind w:left="357" w:hanging="357"/>
        <w:rPr>
          <w:rFonts w:ascii="Times New Roman" w:hAnsi="Times New Roman" w:cs="Times New Roman"/>
          <w:szCs w:val="20"/>
        </w:rPr>
      </w:pPr>
      <w:bookmarkStart w:id="16" w:name="_Toc493236007"/>
      <w:bookmarkStart w:id="17" w:name="_Toc509909039"/>
      <w:bookmarkStart w:id="18" w:name="_Toc525120137"/>
      <w:bookmarkEnd w:id="16"/>
      <w:r w:rsidRPr="005B425B">
        <w:rPr>
          <w:rFonts w:ascii="Times New Roman" w:hAnsi="Times New Roman"/>
        </w:rPr>
        <w:t>Z 01.00 — Organisatorisk struktur (ORG)</w:t>
      </w:r>
      <w:bookmarkEnd w:id="17"/>
      <w:bookmarkEnd w:id="18"/>
    </w:p>
    <w:p w:rsidR="00E13CE3" w:rsidRPr="005B425B" w:rsidRDefault="00E13CE3" w:rsidP="00EC261B">
      <w:pPr>
        <w:pStyle w:val="Instructionsberschrift3"/>
      </w:pPr>
      <w:r w:rsidRPr="005B425B">
        <w:t>Generelt</w:t>
      </w:r>
    </w:p>
    <w:p w:rsidR="00273F69" w:rsidRPr="005B425B"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 xml:space="preserve">Dette skema giver et overblik over koncernens juridiske struktur og ejerforhold. Der skal indberettes ét enkelt skema vedrørende alle koncernenheder, der overholder den minimumstærskel, der er fastsat i denne forordnings artikel 4, stk. 2, litra a). Kun juridiske enheder skal identificeres i dette skema. </w:t>
      </w:r>
    </w:p>
    <w:p w:rsidR="00E13CE3" w:rsidRPr="005B425B" w:rsidRDefault="00AF189E" w:rsidP="00EC261B">
      <w:pPr>
        <w:pStyle w:val="Instructionsberschrift3"/>
      </w:pPr>
      <w:r w:rsidRPr="005B425B">
        <w:t>Instrukser vedrørende specifikke positioner</w:t>
      </w:r>
    </w:p>
    <w:p w:rsidR="00E13CE3" w:rsidRPr="005B425B"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791"/>
        <w:gridCol w:w="8292"/>
      </w:tblGrid>
      <w:tr w:rsidR="00D22EB0" w:rsidRPr="005B425B"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5B425B" w:rsidRDefault="00E13CE3" w:rsidP="008017B4">
            <w:pPr>
              <w:pStyle w:val="TableParagraph"/>
              <w:spacing w:before="66"/>
              <w:rPr>
                <w:rFonts w:ascii="Times New Roman" w:eastAsia="Cambria" w:hAnsi="Times New Roman" w:cs="Times New Roman"/>
                <w:color w:val="000000" w:themeColor="text1"/>
                <w:sz w:val="20"/>
                <w:szCs w:val="20"/>
              </w:rPr>
            </w:pPr>
            <w:r w:rsidRPr="005B425B">
              <w:rPr>
                <w:rFonts w:ascii="Times New Roman" w:hAnsi="Times New Roman"/>
                <w:color w:val="000000" w:themeColor="text1"/>
                <w:sz w:val="20"/>
              </w:rPr>
              <w:t>Kolonne</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5B425B"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sidRPr="005B425B">
              <w:rPr>
                <w:rFonts w:ascii="Times New Roman" w:hAnsi="Times New Roman"/>
                <w:color w:val="000000" w:themeColor="text1"/>
                <w:spacing w:val="-1"/>
                <w:w w:val="90"/>
                <w:sz w:val="20"/>
              </w:rPr>
              <w:t>Instrukser</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E13CE3" w:rsidP="0063623E">
            <w:pPr>
              <w:pStyle w:val="TableParagraph"/>
              <w:spacing w:before="106"/>
              <w:ind w:left="-1"/>
              <w:rPr>
                <w:rFonts w:ascii="Times New Roman" w:eastAsia="Cambria" w:hAnsi="Times New Roman" w:cs="Times New Roman"/>
                <w:b/>
                <w:color w:val="000000" w:themeColor="text1"/>
                <w:sz w:val="20"/>
                <w:szCs w:val="20"/>
              </w:rPr>
            </w:pPr>
            <w:r w:rsidRPr="005B425B">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5B425B"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sidRPr="005B425B">
              <w:rPr>
                <w:rFonts w:ascii="Times New Roman" w:hAnsi="Times New Roman"/>
                <w:b/>
                <w:color w:val="000000" w:themeColor="text1"/>
                <w:spacing w:val="-1"/>
                <w:w w:val="95"/>
                <w:sz w:val="20"/>
              </w:rPr>
              <w:t>Enhed</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E13CE3" w:rsidP="001E5EDF">
            <w:pPr>
              <w:pStyle w:val="TableParagraph"/>
              <w:spacing w:before="106"/>
              <w:ind w:left="-1"/>
              <w:rPr>
                <w:rFonts w:ascii="Times New Roman" w:eastAsia="Cambria" w:hAnsi="Times New Roman" w:cs="Times New Roman"/>
                <w:color w:val="000000" w:themeColor="text1"/>
                <w:sz w:val="20"/>
                <w:szCs w:val="20"/>
              </w:rPr>
            </w:pPr>
            <w:r w:rsidRPr="005B425B">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5B425B" w:rsidRDefault="00E13CE3" w:rsidP="001E5EDF">
            <w:pPr>
              <w:pStyle w:val="TableParagraph"/>
              <w:spacing w:before="108"/>
              <w:ind w:left="85"/>
              <w:rPr>
                <w:rFonts w:ascii="Times New Roman" w:hAnsi="Times New Roman" w:cs="Times New Roman"/>
                <w:b/>
                <w:color w:val="000000" w:themeColor="text1"/>
                <w:w w:val="95"/>
                <w:sz w:val="20"/>
                <w:szCs w:val="20"/>
              </w:rPr>
            </w:pPr>
            <w:r w:rsidRPr="005B425B">
              <w:rPr>
                <w:rFonts w:ascii="Times New Roman" w:hAnsi="Times New Roman"/>
                <w:b/>
                <w:color w:val="000000" w:themeColor="text1"/>
                <w:w w:val="95"/>
                <w:sz w:val="20"/>
              </w:rPr>
              <w:t>Navn</w:t>
            </w:r>
          </w:p>
          <w:p w:rsidR="007D6F7E" w:rsidRPr="005B425B" w:rsidRDefault="00420BE2" w:rsidP="007B56D0">
            <w:pPr>
              <w:pStyle w:val="TableParagraph"/>
              <w:spacing w:before="108"/>
              <w:ind w:left="85"/>
              <w:rPr>
                <w:rFonts w:ascii="Times New Roman" w:eastAsia="Book Antiqua" w:hAnsi="Times New Roman" w:cs="Times New Roman"/>
                <w:color w:val="000000" w:themeColor="text1"/>
                <w:sz w:val="20"/>
                <w:szCs w:val="20"/>
              </w:rPr>
            </w:pPr>
            <w:r w:rsidRPr="005B425B">
              <w:rPr>
                <w:rFonts w:ascii="Times New Roman" w:hAnsi="Times New Roman"/>
                <w:color w:val="000000" w:themeColor="text1"/>
                <w:sz w:val="20"/>
              </w:rPr>
              <w:t>Enhedens navn. Officielt navn, som det fremgår af selskabsdokumenterne, herunder angivelse af den juridiske form.</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E13CE3" w:rsidP="001E5EDF">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5B425B" w:rsidRDefault="009651A7" w:rsidP="00AF189E">
            <w:pPr>
              <w:pStyle w:val="TableParagraph"/>
              <w:spacing w:before="108"/>
              <w:ind w:left="85"/>
              <w:rPr>
                <w:rFonts w:ascii="Times New Roman" w:hAnsi="Times New Roman" w:cs="Times New Roman"/>
                <w:b/>
                <w:color w:val="000000" w:themeColor="text1"/>
                <w:w w:val="95"/>
                <w:sz w:val="20"/>
                <w:szCs w:val="20"/>
              </w:rPr>
            </w:pPr>
            <w:r w:rsidRPr="005B425B">
              <w:rPr>
                <w:rFonts w:ascii="Times New Roman" w:hAnsi="Times New Roman"/>
                <w:b/>
                <w:color w:val="000000" w:themeColor="text1"/>
                <w:w w:val="95"/>
                <w:sz w:val="20"/>
              </w:rPr>
              <w:t>Kode</w:t>
            </w:r>
          </w:p>
          <w:p w:rsidR="00C64A45" w:rsidRPr="005B425B" w:rsidRDefault="007B56D0" w:rsidP="008F14EB">
            <w:pPr>
              <w:pStyle w:val="TableParagraph"/>
              <w:spacing w:before="108"/>
              <w:ind w:left="85"/>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Enhedens kode. For institutter er koden den 20-cifrede, alfanumeriske LEI-kode. For andre enheder er koden den 20-cifrede, alfanumeriske LEI-kode eller, hvis denne ikke foreligger, en kode fastsat i henhold til ensartet kodificering i Unionen eller, hvis en sådan ikke foreligger, en national kode.</w:t>
            </w:r>
          </w:p>
          <w:p w:rsidR="004C0A59" w:rsidRPr="005B425B" w:rsidRDefault="008535D5" w:rsidP="00C64A45">
            <w:pPr>
              <w:pStyle w:val="TableParagraph"/>
              <w:spacing w:before="108"/>
              <w:ind w:left="85"/>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Koden skal være unik og skal anvendes konsekvent i alle skemaerne. Koden skal altid have en værdi.</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E13CE3" w:rsidP="001E5EDF">
            <w:pPr>
              <w:pStyle w:val="TableParagraph"/>
              <w:spacing w:before="106"/>
              <w:ind w:left="-1"/>
              <w:rPr>
                <w:rFonts w:ascii="Times New Roman" w:eastAsia="Cambria" w:hAnsi="Times New Roman" w:cs="Times New Roman"/>
                <w:color w:val="000000" w:themeColor="text1"/>
                <w:sz w:val="20"/>
                <w:szCs w:val="20"/>
              </w:rPr>
            </w:pPr>
            <w:r w:rsidRPr="005B425B">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rsidR="00E13CE3" w:rsidRPr="005B425B"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sidRPr="005B425B">
              <w:rPr>
                <w:rFonts w:ascii="Times New Roman" w:hAnsi="Times New Roman"/>
                <w:b/>
                <w:color w:val="000000" w:themeColor="text1"/>
                <w:spacing w:val="-2"/>
                <w:w w:val="95"/>
                <w:sz w:val="20"/>
              </w:rPr>
              <w:t>LEI-kode</w:t>
            </w:r>
          </w:p>
          <w:p w:rsidR="00E13CE3" w:rsidRPr="005B425B"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sidRPr="005B425B">
              <w:rPr>
                <w:rFonts w:ascii="Times New Roman" w:hAnsi="Times New Roman"/>
                <w:color w:val="000000" w:themeColor="text1"/>
                <w:spacing w:val="-2"/>
                <w:sz w:val="20"/>
              </w:rPr>
              <w:t>Enhedens 20-cifrede, alfanumeriske LEI-kode, hvis den foreligger.</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E13CE3" w:rsidP="001E5EDF">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0040</w:t>
            </w:r>
          </w:p>
        </w:tc>
        <w:tc>
          <w:tcPr>
            <w:tcW w:w="0" w:type="auto"/>
            <w:tcBorders>
              <w:top w:val="single" w:sz="4" w:space="0" w:color="1A171C"/>
              <w:left w:val="single" w:sz="4" w:space="0" w:color="1A171C"/>
              <w:bottom w:val="single" w:sz="4" w:space="0" w:color="1A171C"/>
              <w:right w:val="nil"/>
            </w:tcBorders>
          </w:tcPr>
          <w:p w:rsidR="00E13CE3" w:rsidRPr="005B425B"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sidRPr="005B425B">
              <w:rPr>
                <w:rFonts w:ascii="Times New Roman" w:hAnsi="Times New Roman"/>
                <w:b/>
                <w:color w:val="000000" w:themeColor="text1"/>
                <w:spacing w:val="-1"/>
                <w:w w:val="90"/>
                <w:sz w:val="20"/>
              </w:rPr>
              <w:t>Type enhed</w:t>
            </w:r>
          </w:p>
          <w:p w:rsidR="00E13CE3" w:rsidRPr="005B425B" w:rsidRDefault="00E13CE3" w:rsidP="001E5EDF">
            <w:pPr>
              <w:pStyle w:val="TableParagraph"/>
              <w:spacing w:before="108"/>
              <w:ind w:left="85"/>
              <w:rPr>
                <w:rFonts w:ascii="Times New Roman" w:hAnsi="Times New Roman" w:cs="Times New Roman"/>
                <w:color w:val="000000" w:themeColor="text1"/>
                <w:spacing w:val="-1"/>
                <w:w w:val="90"/>
                <w:sz w:val="20"/>
                <w:szCs w:val="20"/>
              </w:rPr>
            </w:pPr>
            <w:r w:rsidRPr="005B425B">
              <w:rPr>
                <w:rFonts w:ascii="Times New Roman" w:hAnsi="Times New Roman"/>
                <w:color w:val="000000" w:themeColor="text1"/>
                <w:spacing w:val="-1"/>
                <w:w w:val="90"/>
                <w:sz w:val="20"/>
              </w:rPr>
              <w:t>Enhedens type angives som et af følgende (i sekventiel rækkefølge):</w:t>
            </w:r>
          </w:p>
          <w:p w:rsidR="004E4AD0" w:rsidRPr="005B425B"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5B425B">
              <w:rPr>
                <w:rFonts w:ascii="Times New Roman" w:hAnsi="Times New Roman"/>
                <w:color w:val="000000" w:themeColor="text1"/>
                <w:sz w:val="20"/>
              </w:rPr>
              <w:t>"Kreditinstitut"</w:t>
            </w:r>
          </w:p>
          <w:p w:rsidR="00EE1625" w:rsidRPr="005B425B" w:rsidRDefault="004E4AD0" w:rsidP="00FB1871">
            <w:pPr>
              <w:pStyle w:val="TableParagraph"/>
              <w:spacing w:before="108"/>
              <w:ind w:left="445"/>
              <w:rPr>
                <w:rFonts w:ascii="Times New Roman" w:hAnsi="Times New Roman" w:cs="Times New Roman"/>
                <w:color w:val="000000" w:themeColor="text1"/>
                <w:sz w:val="20"/>
                <w:szCs w:val="20"/>
              </w:rPr>
            </w:pPr>
            <w:r w:rsidRPr="005B425B">
              <w:rPr>
                <w:rFonts w:ascii="Times New Roman" w:hAnsi="Times New Roman"/>
                <w:color w:val="000000" w:themeColor="text1"/>
                <w:sz w:val="20"/>
              </w:rPr>
              <w:lastRenderedPageBreak/>
              <w:t>Denne kategori omfatter kreditinstitutter som defineret i artikel 4, stk. 1, nr. 1), i forordning (EU) nr. 575/2013, bortset fra de enheder, der er omhandlet i artikel 2, stk. 5, i direktiv 2013/36/EU</w:t>
            </w:r>
            <w:r w:rsidRPr="005B425B">
              <w:rPr>
                <w:rStyle w:val="FootnoteReference"/>
                <w:color w:val="000000" w:themeColor="text1"/>
              </w:rPr>
              <w:footnoteReference w:id="6"/>
            </w:r>
            <w:r w:rsidRPr="005B425B">
              <w:rPr>
                <w:rFonts w:ascii="Times New Roman" w:hAnsi="Times New Roman"/>
                <w:color w:val="000000" w:themeColor="text1"/>
                <w:sz w:val="20"/>
              </w:rPr>
              <w:t xml:space="preserve">. </w:t>
            </w:r>
          </w:p>
          <w:p w:rsidR="00761ED3" w:rsidRPr="005B425B"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5B425B">
              <w:rPr>
                <w:rFonts w:ascii="Times New Roman" w:hAnsi="Times New Roman"/>
                <w:color w:val="000000" w:themeColor="text1"/>
                <w:sz w:val="20"/>
              </w:rPr>
              <w:t>"Investeringsselskab, som er underlagt startkapitalkravet fastsat i artikel 28, stk. 2, i direktiv 2013/36/EU"</w:t>
            </w:r>
          </w:p>
          <w:p w:rsidR="00EE1625" w:rsidRPr="005B425B" w:rsidRDefault="004E4AD0" w:rsidP="00761ED3">
            <w:pPr>
              <w:pStyle w:val="TableParagraph"/>
              <w:spacing w:before="108"/>
              <w:ind w:left="445"/>
              <w:rPr>
                <w:rFonts w:ascii="Times New Roman" w:hAnsi="Times New Roman" w:cs="Times New Roman"/>
                <w:color w:val="000000" w:themeColor="text1"/>
                <w:sz w:val="20"/>
                <w:szCs w:val="20"/>
              </w:rPr>
            </w:pPr>
            <w:r w:rsidRPr="005B425B">
              <w:rPr>
                <w:rFonts w:ascii="Times New Roman" w:hAnsi="Times New Roman"/>
                <w:color w:val="000000" w:themeColor="text1"/>
                <w:sz w:val="20"/>
              </w:rPr>
              <w:t>Denne kategori omfatter investeringsselskaber som defineret i artikel 4, stk. 1, nr. 2), i forordning (EU) nr. 575/2013, som er underlagt startkapitalkravet fastsat i artikel 28, stk. 2, i direktiv 2013/36/EU.</w:t>
            </w:r>
          </w:p>
          <w:p w:rsidR="009B13D7" w:rsidRPr="005B425B"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sidRPr="005B425B">
              <w:rPr>
                <w:rFonts w:ascii="Times New Roman" w:hAnsi="Times New Roman"/>
                <w:color w:val="000000" w:themeColor="text1"/>
                <w:sz w:val="20"/>
              </w:rPr>
              <w:t>"Investeringsselskab, som ikke er underlagt startkapitalkravet fastsat i artikel 28, stk. 2, i direktiv 2013/36/EU"</w:t>
            </w:r>
          </w:p>
          <w:p w:rsidR="00761ED3" w:rsidRPr="005B425B"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5B425B">
              <w:rPr>
                <w:rFonts w:ascii="Times New Roman" w:hAnsi="Times New Roman"/>
                <w:color w:val="000000" w:themeColor="text1"/>
                <w:sz w:val="20"/>
              </w:rPr>
              <w:t>"Finansieringsinstitut"</w:t>
            </w:r>
          </w:p>
          <w:p w:rsidR="002472D0" w:rsidRPr="005B425B" w:rsidRDefault="00377E0E" w:rsidP="00761ED3">
            <w:pPr>
              <w:pStyle w:val="TableParagraph"/>
              <w:spacing w:before="108"/>
              <w:ind w:left="445"/>
              <w:rPr>
                <w:rFonts w:ascii="Times New Roman" w:hAnsi="Times New Roman" w:cs="Times New Roman"/>
                <w:color w:val="000000" w:themeColor="text1"/>
                <w:sz w:val="20"/>
                <w:szCs w:val="20"/>
              </w:rPr>
            </w:pPr>
            <w:r w:rsidRPr="005B425B">
              <w:rPr>
                <w:rFonts w:ascii="Times New Roman" w:hAnsi="Times New Roman"/>
                <w:color w:val="000000" w:themeColor="text1"/>
                <w:sz w:val="20"/>
              </w:rPr>
              <w:t>Denne kategori omfatter finansieringsinstitutter som defineret i artikel 4, stk. 1, nr. 26), i forordning (EU) nr. 575/2013, bortset fra dem, der klassificeres som "holdingselskab", jf. litra e) nedenfor.</w:t>
            </w:r>
          </w:p>
          <w:p w:rsidR="00761ED3" w:rsidRPr="005B425B"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5B425B">
              <w:rPr>
                <w:rFonts w:ascii="Times New Roman" w:hAnsi="Times New Roman"/>
                <w:color w:val="000000" w:themeColor="text1"/>
                <w:sz w:val="20"/>
              </w:rPr>
              <w:t>"Holdingselskab"</w:t>
            </w:r>
          </w:p>
          <w:p w:rsidR="00761ED3" w:rsidRPr="005B425B" w:rsidRDefault="00761ED3" w:rsidP="00761ED3">
            <w:pPr>
              <w:pStyle w:val="TableParagraph"/>
              <w:spacing w:before="108"/>
              <w:ind w:left="445"/>
              <w:rPr>
                <w:rFonts w:ascii="Times New Roman" w:hAnsi="Times New Roman" w:cs="Times New Roman"/>
                <w:color w:val="000000" w:themeColor="text1"/>
                <w:sz w:val="20"/>
                <w:szCs w:val="20"/>
              </w:rPr>
            </w:pPr>
            <w:r w:rsidRPr="005B425B">
              <w:rPr>
                <w:rFonts w:ascii="Times New Roman" w:hAnsi="Times New Roman"/>
                <w:color w:val="000000" w:themeColor="text1"/>
                <w:sz w:val="20"/>
              </w:rPr>
              <w:t>Denne kategori omfatter følgende:</w:t>
            </w:r>
          </w:p>
          <w:p w:rsidR="00EE1625" w:rsidRPr="005B425B"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5B425B">
              <w:rPr>
                <w:rFonts w:ascii="Times New Roman" w:hAnsi="Times New Roman"/>
                <w:color w:val="000000" w:themeColor="text1"/>
                <w:sz w:val="20"/>
              </w:rPr>
              <w:t>Finansielt holdingselskab som defineret i artikel 4, stk. 1, nr. 20), i forordning (EU) nr. 575/2013</w:t>
            </w:r>
          </w:p>
          <w:p w:rsidR="00EE1625" w:rsidRPr="005B425B"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5B425B">
              <w:rPr>
                <w:rFonts w:ascii="Times New Roman" w:hAnsi="Times New Roman"/>
                <w:color w:val="000000" w:themeColor="text1"/>
                <w:sz w:val="20"/>
              </w:rPr>
              <w:t>Blandet finansielt holdingselskab som defineret i artikel 4, stk. 1, nr. 21), i forordning (EU) nr. 575/2013</w:t>
            </w:r>
          </w:p>
          <w:p w:rsidR="00EE1625" w:rsidRPr="005B425B"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5B425B">
              <w:rPr>
                <w:rFonts w:ascii="Times New Roman" w:hAnsi="Times New Roman"/>
                <w:color w:val="000000" w:themeColor="text1"/>
                <w:sz w:val="20"/>
              </w:rPr>
              <w:t>Blandet holdingselskab som defineret i artikel 4, stk. 1, nr. 22), i forordning (EU) nr. 575/2013</w:t>
            </w:r>
          </w:p>
          <w:p w:rsidR="00EE1625" w:rsidRPr="005B425B"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sidRPr="005B425B">
              <w:rPr>
                <w:rFonts w:ascii="Times New Roman" w:hAnsi="Times New Roman"/>
                <w:color w:val="000000" w:themeColor="text1"/>
                <w:sz w:val="20"/>
              </w:rPr>
              <w:t>Finansielle moderholdingselskaber som defineret i artikel 4, stk. 1, nr. 30), i forordning (EU) nr. 575/2013</w:t>
            </w:r>
          </w:p>
          <w:p w:rsidR="00EE1625" w:rsidRPr="005B425B"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5B425B">
              <w:rPr>
                <w:rFonts w:ascii="Times New Roman" w:hAnsi="Times New Roman"/>
                <w:color w:val="000000" w:themeColor="text1"/>
                <w:sz w:val="20"/>
              </w:rPr>
              <w:t>Finansielt moderholdingselskab i Unionen som defineret i artikel 4, stk. 1, nr. 31), i forordning (EU) nr. 575/2013</w:t>
            </w:r>
          </w:p>
          <w:p w:rsidR="00EE1625" w:rsidRPr="005B425B"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5B425B">
              <w:rPr>
                <w:rFonts w:ascii="Times New Roman" w:hAnsi="Times New Roman"/>
                <w:color w:val="000000" w:themeColor="text1"/>
                <w:sz w:val="20"/>
              </w:rPr>
              <w:t>Blandet finansielt moderholdingselskab i en medlemsstat som defineret i artikel 4, stk. 1, nr. 32), i forordning (EU) nr. 575/2013</w:t>
            </w:r>
          </w:p>
          <w:p w:rsidR="002472D0" w:rsidRPr="005B425B"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sidRPr="005B425B">
              <w:rPr>
                <w:rFonts w:ascii="Times New Roman" w:hAnsi="Times New Roman"/>
                <w:color w:val="000000" w:themeColor="text1"/>
                <w:sz w:val="20"/>
              </w:rPr>
              <w:t>Blandede finansielle moderholdingselskaber i Unionen som defineret i artikel 4, stk. 1, nr. 33), i forordning (EU) nr. 575/2013.</w:t>
            </w:r>
          </w:p>
          <w:p w:rsidR="0039173B" w:rsidRPr="005B425B"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5B425B">
              <w:rPr>
                <w:rFonts w:ascii="Times New Roman" w:hAnsi="Times New Roman"/>
                <w:color w:val="000000" w:themeColor="text1"/>
                <w:sz w:val="20"/>
              </w:rPr>
              <w:t>"Forsikringsselskab"</w:t>
            </w:r>
          </w:p>
          <w:p w:rsidR="00EE1625" w:rsidRPr="005B425B" w:rsidRDefault="0039173B" w:rsidP="0039173B">
            <w:pPr>
              <w:pStyle w:val="TableParagraph"/>
              <w:spacing w:before="108"/>
              <w:ind w:left="445"/>
              <w:rPr>
                <w:rFonts w:ascii="Times New Roman" w:hAnsi="Times New Roman" w:cs="Times New Roman"/>
                <w:color w:val="000000" w:themeColor="text1"/>
                <w:sz w:val="20"/>
                <w:szCs w:val="20"/>
              </w:rPr>
            </w:pPr>
            <w:r w:rsidRPr="005B425B">
              <w:rPr>
                <w:rFonts w:ascii="Times New Roman" w:hAnsi="Times New Roman"/>
                <w:color w:val="000000" w:themeColor="text1"/>
                <w:sz w:val="20"/>
              </w:rPr>
              <w:t>Denne kategori omfatter forsikringsselskaber som defineret i artikel 13 i Europa-Parlamentets og Rådets direktiv 2009/138/EF</w:t>
            </w:r>
            <w:r w:rsidRPr="005B425B">
              <w:rPr>
                <w:rStyle w:val="FootnoteReference"/>
                <w:rFonts w:ascii="Times New Roman" w:hAnsi="Times New Roman"/>
                <w:color w:val="000000" w:themeColor="text1"/>
                <w:sz w:val="20"/>
              </w:rPr>
              <w:footnoteReference w:id="7"/>
            </w:r>
            <w:r w:rsidRPr="005B425B">
              <w:rPr>
                <w:rFonts w:ascii="Times New Roman" w:hAnsi="Times New Roman"/>
                <w:color w:val="000000" w:themeColor="text1"/>
                <w:sz w:val="20"/>
              </w:rPr>
              <w:t>.</w:t>
            </w:r>
          </w:p>
          <w:p w:rsidR="00EE1625" w:rsidRPr="005B425B"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sidRPr="005B425B">
              <w:rPr>
                <w:rFonts w:ascii="Times New Roman" w:hAnsi="Times New Roman"/>
                <w:color w:val="000000" w:themeColor="text1"/>
                <w:sz w:val="20"/>
              </w:rPr>
              <w:t>"Anden type enhed", hvis enheden ikke er omfattet af nogen af ovenstående kategorier.</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027265" w:rsidRPr="005B425B" w:rsidRDefault="00B43F4E" w:rsidP="00DF47E6">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lastRenderedPageBreak/>
              <w:t>0050</w:t>
            </w:r>
          </w:p>
        </w:tc>
        <w:tc>
          <w:tcPr>
            <w:tcW w:w="0" w:type="auto"/>
            <w:tcBorders>
              <w:top w:val="single" w:sz="4" w:space="0" w:color="1A171C"/>
              <w:left w:val="single" w:sz="4" w:space="0" w:color="1A171C"/>
              <w:bottom w:val="single" w:sz="4" w:space="0" w:color="1A171C"/>
              <w:right w:val="nil"/>
            </w:tcBorders>
          </w:tcPr>
          <w:p w:rsidR="00027265" w:rsidRPr="005B425B"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sidRPr="005B425B">
              <w:rPr>
                <w:rFonts w:ascii="Times New Roman" w:hAnsi="Times New Roman"/>
                <w:b/>
                <w:color w:val="000000" w:themeColor="text1"/>
                <w:spacing w:val="-1"/>
                <w:w w:val="90"/>
                <w:sz w:val="20"/>
              </w:rPr>
              <w:t>Land</w:t>
            </w:r>
          </w:p>
          <w:p w:rsidR="00027265" w:rsidRPr="005B425B"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Tobogstavskoden efter ISO 3166-1-standarden for det land, hvor enheden har sit hjemsted, hvilket kan være en medlemsstat eller et tredjeland.</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E13CE3" w:rsidP="001E5EDF">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5B425B"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Inkluderet i tilsynsområdet</w:t>
            </w:r>
          </w:p>
          <w:p w:rsidR="00C8615D" w:rsidRPr="005B425B" w:rsidRDefault="00C8615D" w:rsidP="00C8615D">
            <w:pPr>
              <w:pStyle w:val="TableParagraph"/>
              <w:spacing w:before="108"/>
              <w:ind w:left="85"/>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Anvend følgende forkortelser:</w:t>
            </w:r>
          </w:p>
          <w:p w:rsidR="00C8615D" w:rsidRPr="005B425B" w:rsidRDefault="00C8615D" w:rsidP="00C8615D">
            <w:pPr>
              <w:pStyle w:val="TableParagraph"/>
              <w:spacing w:before="108"/>
              <w:ind w:left="85"/>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Y — Ja</w:t>
            </w:r>
          </w:p>
          <w:p w:rsidR="00E13CE3" w:rsidRPr="005B425B"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sidRPr="005B425B">
              <w:rPr>
                <w:rFonts w:ascii="Times New Roman" w:hAnsi="Times New Roman"/>
                <w:color w:val="000000" w:themeColor="text1"/>
                <w:spacing w:val="-2"/>
                <w:w w:val="95"/>
                <w:sz w:val="20"/>
              </w:rPr>
              <w:t>N – Nej</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74F98" w:rsidRPr="005B425B" w:rsidRDefault="00CF6A09" w:rsidP="001E5EDF">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lastRenderedPageBreak/>
              <w:t>0070</w:t>
            </w:r>
          </w:p>
        </w:tc>
        <w:tc>
          <w:tcPr>
            <w:tcW w:w="0" w:type="auto"/>
            <w:tcBorders>
              <w:top w:val="single" w:sz="4" w:space="0" w:color="1A171C"/>
              <w:left w:val="single" w:sz="4" w:space="0" w:color="1A171C"/>
              <w:bottom w:val="single" w:sz="4" w:space="0" w:color="1A171C"/>
              <w:right w:val="nil"/>
            </w:tcBorders>
          </w:tcPr>
          <w:p w:rsidR="00E74F98" w:rsidRPr="005B425B"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Dispensation iht. CRR-forordningens artikel 7</w:t>
            </w:r>
          </w:p>
          <w:p w:rsidR="00E74F98" w:rsidRPr="005B425B"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Anvend følgende forkortelser:</w:t>
            </w:r>
          </w:p>
          <w:p w:rsidR="00E74F98" w:rsidRPr="005B425B"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Y — hvis den kompetente myndighed har dispenseret fra anvendelsen af artikel 6, stk. 1, i forordning (EU) nr. 575/2013 i henhold til samme forordnings artikel 7</w:t>
            </w:r>
          </w:p>
          <w:p w:rsidR="00E74F98" w:rsidRPr="005B425B"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color w:val="000000" w:themeColor="text1"/>
                <w:spacing w:val="-2"/>
                <w:w w:val="95"/>
                <w:sz w:val="20"/>
              </w:rPr>
              <w:t>N — hvis det ikke er tilfældet.</w:t>
            </w:r>
          </w:p>
        </w:tc>
      </w:tr>
      <w:tr w:rsidR="00D22EB0" w:rsidRPr="005B425B" w:rsidTr="004842F3">
        <w:tc>
          <w:tcPr>
            <w:tcW w:w="0" w:type="auto"/>
            <w:tcBorders>
              <w:top w:val="single" w:sz="4" w:space="0" w:color="1A171C"/>
              <w:left w:val="nil"/>
              <w:bottom w:val="single" w:sz="4" w:space="0" w:color="1A171C"/>
              <w:right w:val="single" w:sz="4" w:space="0" w:color="1A171C"/>
            </w:tcBorders>
          </w:tcPr>
          <w:p w:rsidR="00EA468E" w:rsidRPr="005B425B" w:rsidRDefault="00EA468E" w:rsidP="00EA468E">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5B425B"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Dispensation iht. CRR-forordningens artikel 10</w:t>
            </w:r>
          </w:p>
          <w:p w:rsidR="00EA468E" w:rsidRPr="005B425B"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Anvend følgende forkortelser:</w:t>
            </w:r>
          </w:p>
          <w:p w:rsidR="00EA468E" w:rsidRPr="005B425B"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Y — hvis den kompetente myndighed har dispenseret i henhold til artikel 10 i forordning (EU) nr. 575/2013</w:t>
            </w:r>
          </w:p>
          <w:p w:rsidR="00EA468E" w:rsidRPr="005B425B"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color w:val="000000" w:themeColor="text1"/>
                <w:spacing w:val="-2"/>
                <w:w w:val="95"/>
                <w:sz w:val="20"/>
              </w:rPr>
              <w:t>N — hvis det ikke er tilfældet.</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064140" w:rsidP="00064140">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5B425B"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Aktiver i alt</w:t>
            </w:r>
          </w:p>
          <w:p w:rsidR="00E13CE3" w:rsidRPr="005B425B"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sidRPr="005B425B">
              <w:rPr>
                <w:rFonts w:ascii="Times New Roman" w:hAnsi="Times New Roman"/>
                <w:color w:val="000000" w:themeColor="text1"/>
                <w:spacing w:val="-2"/>
                <w:w w:val="95"/>
                <w:sz w:val="20"/>
              </w:rPr>
              <w:t>Aktiver i alt som defineret for FINREP {F 01.01;380,010}</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B43F4E" w:rsidP="001E5EDF">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5B425B"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Samlet risikoeksponering</w:t>
            </w:r>
          </w:p>
          <w:p w:rsidR="00E13CE3" w:rsidRPr="005B425B" w:rsidRDefault="00310A05" w:rsidP="00310A05">
            <w:pPr>
              <w:pStyle w:val="TableParagraph"/>
              <w:spacing w:before="108"/>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Den samlede risikoeksponering som defineret for COREP (OF): {C 02.00;010;010}</w:t>
            </w:r>
          </w:p>
          <w:p w:rsidR="00310A05" w:rsidRPr="005B425B"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sidRPr="005B425B">
              <w:rPr>
                <w:rFonts w:ascii="Times New Roman" w:hAnsi="Times New Roman"/>
                <w:color w:val="000000" w:themeColor="text1"/>
                <w:spacing w:val="-2"/>
                <w:w w:val="95"/>
                <w:sz w:val="20"/>
              </w:rPr>
              <w:t>Denne post indberettes ikke for enheder, der ikke er institutter, eller enheder, der er omfattet af en dispensation i henhold til artikel 7 eller artikel 10 i forordning (EU) nr. 575/2013.</w:t>
            </w:r>
          </w:p>
        </w:tc>
      </w:tr>
      <w:tr w:rsidR="00D22EB0" w:rsidRPr="005B425B" w:rsidTr="00367C1E">
        <w:tc>
          <w:tcPr>
            <w:tcW w:w="0" w:type="auto"/>
            <w:tcBorders>
              <w:top w:val="single" w:sz="4" w:space="0" w:color="1A171C"/>
              <w:left w:val="nil"/>
              <w:bottom w:val="single" w:sz="4" w:space="0" w:color="1A171C"/>
              <w:right w:val="single" w:sz="4" w:space="0" w:color="1A171C"/>
            </w:tcBorders>
          </w:tcPr>
          <w:p w:rsidR="00CF6A09" w:rsidRPr="005B425B" w:rsidRDefault="00B43F4E" w:rsidP="00835CC3">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5B425B"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 xml:space="preserve">Eksponeringsværdi bag gearingsgraden </w:t>
            </w:r>
          </w:p>
          <w:p w:rsidR="00CF6A09" w:rsidRPr="005B425B"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Samlet eksponeringsværdi bag gearingsgraden som defineret for COREP (LR): {C 47.00;290;010}</w:t>
            </w:r>
          </w:p>
          <w:p w:rsidR="00DD5DC2" w:rsidRPr="005B425B"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Denne post indberettes ikke for enheder, der ikke er institutter, eller enheder, der er omfattet af en dispensation i henhold til artikel 7 eller artikel 10 i forordning (EU) nr. 575/2013.</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9A061B" w:rsidRPr="005B425B"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5B425B"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Regnskabsstandard</w:t>
            </w:r>
          </w:p>
          <w:p w:rsidR="009A061B" w:rsidRPr="005B425B" w:rsidRDefault="009A061B" w:rsidP="00C8615D">
            <w:pPr>
              <w:pStyle w:val="TableParagraph"/>
              <w:spacing w:before="108"/>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Regnskabsstandarder, der anvendes af virksomheden. Anvend følgende forkortelser:</w:t>
            </w:r>
          </w:p>
          <w:p w:rsidR="009A061B" w:rsidRPr="005B425B"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IFRS</w:t>
            </w:r>
          </w:p>
          <w:p w:rsidR="009A061B" w:rsidRPr="005B425B"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nGAAP</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245A9E" w:rsidP="00255C59">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5B425B"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Bidrag til de samlede konsoliderede aktiver</w:t>
            </w:r>
          </w:p>
          <w:p w:rsidR="00E13CE3" w:rsidRPr="005B425B"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sidRPr="005B425B">
              <w:rPr>
                <w:rFonts w:ascii="Times New Roman" w:hAnsi="Times New Roman"/>
                <w:color w:val="000000" w:themeColor="text1"/>
                <w:spacing w:val="-2"/>
                <w:w w:val="95"/>
                <w:sz w:val="20"/>
              </w:rPr>
              <w:t>Beløb, som enheden bidrager med til de samlede konsoliderede aktiver for den koncern, indberetningen vedrører.</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245A9E" w:rsidP="00255C59">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5B425B"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 xml:space="preserve">Bidrag til den samlede konsoliderede risikoeksponering </w:t>
            </w:r>
          </w:p>
          <w:p w:rsidR="00E13CE3" w:rsidRPr="005B425B"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sidRPr="005B425B">
              <w:rPr>
                <w:rFonts w:ascii="Times New Roman" w:hAnsi="Times New Roman"/>
                <w:color w:val="000000" w:themeColor="text1"/>
                <w:spacing w:val="-2"/>
                <w:w w:val="95"/>
                <w:sz w:val="20"/>
              </w:rPr>
              <w:t xml:space="preserve">Beløb, som enheden bidrager med til den samlede konsoliderede risikoeksponering for den koncern, indberetningen vedrører. </w:t>
            </w:r>
          </w:p>
        </w:tc>
      </w:tr>
      <w:tr w:rsidR="00D22EB0" w:rsidRPr="005B425B" w:rsidTr="003848DE">
        <w:trPr>
          <w:trHeight w:val="749"/>
        </w:trPr>
        <w:tc>
          <w:tcPr>
            <w:tcW w:w="0" w:type="auto"/>
            <w:tcBorders>
              <w:top w:val="single" w:sz="4" w:space="0" w:color="1A171C"/>
              <w:left w:val="nil"/>
              <w:bottom w:val="single" w:sz="4" w:space="0" w:color="1A171C"/>
              <w:right w:val="single" w:sz="4" w:space="0" w:color="1A171C"/>
            </w:tcBorders>
          </w:tcPr>
          <w:p w:rsidR="00CF6A09" w:rsidRPr="005B425B" w:rsidRDefault="00245A9E" w:rsidP="00255C59">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5B425B"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Bidrag til den konsoliderede eksponeringsværdi bag gearingsgraden</w:t>
            </w:r>
          </w:p>
          <w:p w:rsidR="00CF6A09" w:rsidRPr="005B425B"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color w:val="000000" w:themeColor="text1"/>
                <w:spacing w:val="-2"/>
                <w:w w:val="95"/>
                <w:sz w:val="20"/>
              </w:rPr>
              <w:t>Beløb, som enheden bidrager med til den samlede eksponeringsværdi bag gearingsgraden for den koncern, indberetningen vedrører.</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255C59" w:rsidRPr="005B425B"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5B425B"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Relevant juridisk enhed</w:t>
            </w:r>
          </w:p>
          <w:p w:rsidR="00255C59" w:rsidRPr="005B425B"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Hvorvidt enheden er en relevant juridisk enhed i henhold til definitionen i denne forordnings artikel 2.</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245A9E" w:rsidP="00DA31D1">
            <w:pPr>
              <w:pStyle w:val="TableParagraph"/>
              <w:spacing w:before="106"/>
              <w:ind w:left="-1"/>
              <w:rPr>
                <w:rFonts w:ascii="Times New Roman" w:hAnsi="Times New Roman" w:cs="Times New Roman"/>
                <w:b/>
                <w:color w:val="000000" w:themeColor="text1"/>
                <w:spacing w:val="-2"/>
                <w:sz w:val="20"/>
                <w:szCs w:val="20"/>
              </w:rPr>
            </w:pPr>
            <w:r w:rsidRPr="005B425B">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5B425B"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Direkte moderselskab</w:t>
            </w:r>
          </w:p>
          <w:p w:rsidR="00E74F98" w:rsidRPr="005B425B"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Enhedens direkte moderselskab. Kun et direkte moderselskab, der har mere end 5 % af stemmerettighederne i enheden, skal indberettes.</w:t>
            </w:r>
          </w:p>
          <w:p w:rsidR="00CF6A09" w:rsidRPr="005B425B"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Hvis enheden har mere end ét direkte moderselskab, indberettes kun det direkte moderselskab, der har den største kapitalandel — eller den største andel af stemmerettighederne, hvis det er relevant.</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245A9E" w:rsidP="001E5EDF">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lastRenderedPageBreak/>
              <w:t>0140</w:t>
            </w:r>
          </w:p>
        </w:tc>
        <w:tc>
          <w:tcPr>
            <w:tcW w:w="0" w:type="auto"/>
            <w:tcBorders>
              <w:top w:val="single" w:sz="4" w:space="0" w:color="1A171C"/>
              <w:left w:val="single" w:sz="4" w:space="0" w:color="1A171C"/>
              <w:bottom w:val="single" w:sz="4" w:space="0" w:color="1A171C"/>
              <w:right w:val="nil"/>
            </w:tcBorders>
          </w:tcPr>
          <w:p w:rsidR="00E13CE3" w:rsidRPr="005B425B"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 xml:space="preserve">Navn </w:t>
            </w:r>
          </w:p>
          <w:p w:rsidR="00E13CE3" w:rsidRPr="005B425B"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color w:val="000000" w:themeColor="text1"/>
                <w:sz w:val="20"/>
              </w:rPr>
              <w:t>Navnet på enhedens direkte moderselskab</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245A9E" w:rsidP="001E5EDF">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5B425B"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Kode</w:t>
            </w:r>
          </w:p>
          <w:p w:rsidR="00FC3DBA" w:rsidRPr="005B425B" w:rsidRDefault="00FC3DBA" w:rsidP="00FC3DBA">
            <w:pPr>
              <w:pStyle w:val="TableParagraph"/>
              <w:spacing w:before="108"/>
              <w:ind w:left="85"/>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Det direkte moderselskabs kode. For institutter er koden den 20-cifrede, alfanumeriske LEI-kode. For andre enheder er koden den 20-cifrede, alfanumeriske LEI-kode eller, hvis denne ikke foreligger, en kode fastsat i henhold til ensartet kodificering i Unionen eller, hvis en sådan ikke foreligger, en national kode.</w:t>
            </w:r>
          </w:p>
          <w:p w:rsidR="00E13CE3" w:rsidRPr="005B425B"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sidRPr="005B425B">
              <w:rPr>
                <w:rFonts w:ascii="Times New Roman" w:hAnsi="Times New Roman"/>
                <w:color w:val="000000" w:themeColor="text1"/>
                <w:spacing w:val="-2"/>
                <w:w w:val="95"/>
                <w:sz w:val="20"/>
              </w:rPr>
              <w:t>Koden skal være unik og skal anvendes konsekvent i alle skemaerne. Koden skal altid have en værdi.</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AC59C6" w:rsidP="001E5EDF">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5B425B"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sidRPr="005B425B">
              <w:rPr>
                <w:rFonts w:ascii="Times New Roman" w:hAnsi="Times New Roman"/>
                <w:b/>
                <w:color w:val="000000" w:themeColor="text1"/>
                <w:sz w:val="20"/>
              </w:rPr>
              <w:t>LEI-kode</w:t>
            </w:r>
          </w:p>
          <w:p w:rsidR="00E13CE3" w:rsidRPr="005B425B"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sidRPr="005B425B">
              <w:rPr>
                <w:rFonts w:ascii="Times New Roman" w:hAnsi="Times New Roman"/>
                <w:color w:val="000000" w:themeColor="text1"/>
                <w:spacing w:val="-2"/>
                <w:sz w:val="20"/>
              </w:rPr>
              <w:t>Enhedens 20-cifrede, alfanumeriske LEI-kode, hvis den foreligger.</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AC59C6" w:rsidP="001E5EDF">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5B425B"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Aktiekapital</w:t>
            </w:r>
          </w:p>
          <w:p w:rsidR="00E13CE3" w:rsidRPr="005B425B"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color w:val="000000" w:themeColor="text1"/>
                <w:spacing w:val="-2"/>
                <w:w w:val="95"/>
                <w:sz w:val="20"/>
              </w:rPr>
              <w:t>Det direkte moderselskabs aktiekapital i enheden, ekskl. reserver.</w:t>
            </w:r>
          </w:p>
        </w:tc>
      </w:tr>
      <w:tr w:rsidR="00D22EB0" w:rsidRPr="005B425B" w:rsidTr="0036322A">
        <w:tc>
          <w:tcPr>
            <w:tcW w:w="0" w:type="auto"/>
            <w:tcBorders>
              <w:top w:val="single" w:sz="4" w:space="0" w:color="1A171C"/>
              <w:left w:val="nil"/>
              <w:bottom w:val="single" w:sz="4" w:space="0" w:color="1A171C"/>
              <w:right w:val="single" w:sz="4" w:space="0" w:color="1A171C"/>
            </w:tcBorders>
          </w:tcPr>
          <w:p w:rsidR="00E13CE3" w:rsidRPr="005B425B" w:rsidRDefault="00AC59C6" w:rsidP="001E5EDF">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5B425B" w:rsidRDefault="00E13CE3" w:rsidP="001E5EDF">
            <w:pPr>
              <w:pStyle w:val="TableParagraph"/>
              <w:spacing w:before="108"/>
              <w:ind w:left="85"/>
              <w:rPr>
                <w:rFonts w:ascii="Times New Roman" w:eastAsia="Book Antiqua" w:hAnsi="Times New Roman" w:cs="Times New Roman"/>
                <w:color w:val="000000" w:themeColor="text1"/>
                <w:sz w:val="20"/>
                <w:szCs w:val="20"/>
              </w:rPr>
            </w:pPr>
            <w:r w:rsidRPr="005B425B">
              <w:rPr>
                <w:rFonts w:ascii="Times New Roman" w:hAnsi="Times New Roman"/>
                <w:b/>
                <w:color w:val="000000" w:themeColor="text1"/>
                <w:spacing w:val="-2"/>
                <w:w w:val="95"/>
                <w:sz w:val="20"/>
              </w:rPr>
              <w:t>Stemmerettigheder i enheden</w:t>
            </w:r>
          </w:p>
          <w:p w:rsidR="00E13CE3" w:rsidRPr="005B425B"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sidRPr="005B425B">
              <w:rPr>
                <w:rFonts w:ascii="Times New Roman" w:hAnsi="Times New Roman"/>
                <w:color w:val="000000" w:themeColor="text1"/>
                <w:spacing w:val="-1"/>
                <w:w w:val="95"/>
                <w:sz w:val="20"/>
              </w:rPr>
              <w:t>Det direkte moderselskabs procentuelle andel af stemmerettighederne i enheden.</w:t>
            </w:r>
          </w:p>
          <w:p w:rsidR="00E13CE3" w:rsidRPr="005B425B"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color w:val="000000" w:themeColor="text1"/>
                <w:spacing w:val="-1"/>
                <w:w w:val="95"/>
                <w:sz w:val="20"/>
              </w:rPr>
              <w:t>Denne oplysning er kun påkrævet, hvis én aktie ikke er lig med én stemme (således at stemmerettighederne ikke svarer til aktiekapitalen).</w:t>
            </w:r>
          </w:p>
        </w:tc>
      </w:tr>
    </w:tbl>
    <w:p w:rsidR="00E13CE3" w:rsidRPr="005B425B" w:rsidRDefault="00E13CE3" w:rsidP="00E13CE3">
      <w:pPr>
        <w:rPr>
          <w:rFonts w:ascii="Times New Roman" w:hAnsi="Times New Roman" w:cs="Times New Roman"/>
          <w:color w:val="000000" w:themeColor="text1"/>
          <w:sz w:val="20"/>
          <w:szCs w:val="20"/>
        </w:rPr>
      </w:pPr>
    </w:p>
    <w:p w:rsidR="00E13CE3" w:rsidRPr="005B425B"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2"/>
      <w:bookmarkStart w:id="20" w:name="_Toc509909040"/>
      <w:bookmarkStart w:id="21" w:name="_Toc525120138"/>
      <w:r w:rsidRPr="005B425B">
        <w:rPr>
          <w:rFonts w:ascii="Times New Roman" w:hAnsi="Times New Roman"/>
        </w:rPr>
        <w:t>Z 02.00 — Udspecificering af forpligtelser (LIAB)</w:t>
      </w:r>
      <w:bookmarkEnd w:id="19"/>
      <w:bookmarkEnd w:id="20"/>
      <w:bookmarkEnd w:id="21"/>
    </w:p>
    <w:p w:rsidR="005B4526" w:rsidRPr="005B425B" w:rsidRDefault="005B4526" w:rsidP="00EC261B">
      <w:pPr>
        <w:pStyle w:val="Instructionsberschrift3"/>
      </w:pPr>
      <w:r w:rsidRPr="005B425B">
        <w:t>Generelt</w:t>
      </w:r>
    </w:p>
    <w:p w:rsidR="00E13CE3" w:rsidRPr="005B425B"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I dette skema skal der gives en detaljeret udspecificering af forpligtelsesstrukturen i enheden eller koncernen. Forpligtelserne opdeles i hhv. forpligtelser, der er udelukket fra bail-in, og forpligtelser, der ikke er udelukket fra bail-in. Der foretages yderligere opdeling efter forpligtelseskategori, modpartsklasse og løbetid.</w:t>
      </w:r>
    </w:p>
    <w:p w:rsidR="00E13CE3" w:rsidRPr="005B425B" w:rsidRDefault="00BD69D5"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Hvor der foretages en opdeling efter løbetid i dette skema, er restløbetiden tidsrummet indtil den kontraktlige udløbsdato eller, hvis indehaveren af et instrument eksplicit eller implicit, i henhold til aftale eller lovgivning, har ret til tilbagebetaling på et tidligere tidspunkt, indtil den dato, hvor en sådan ret først opstår. Mellemliggende betalinger af afdrag på hovedstol opdeles i de respektive løbetidskurver. I givet fald betragtes løbetiden separat for hovedstolen og for påløbne renter.</w:t>
      </w:r>
    </w:p>
    <w:p w:rsidR="00E13CE3" w:rsidRPr="005B425B" w:rsidRDefault="00296A07"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 xml:space="preserve">Beløb, der indberettes i dette skema, er som standard udestående beløb. Det udestående beløb for en fordring eller et instrument er summen af fordringens eller instrumentets hovedstol og påløbne renter. Det udestående beløb er lig med værdien af den fordring, kreditor ville kunne anmelde i forbindelse med insolvensbehandling. </w:t>
      </w:r>
    </w:p>
    <w:p w:rsidR="00E13CE3" w:rsidRPr="005B425B" w:rsidRDefault="009927F0"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 xml:space="preserve">Som undtagelse fra foregående stykke skal forpligtelser på balancen hidrørende fra derivater (indberettet i række 0330) indberettes som balanceværdier. Balanceværdien er balanceværdien som defineret til FINREP-formål i henhold til enten IFRS eller nGAAP, alt efter hvad der er relevant. Ellers anvendes de tal, der bruges i nGAAP-indberetningssystemer. </w:t>
      </w:r>
    </w:p>
    <w:p w:rsidR="00E13CE3" w:rsidRPr="005B425B" w:rsidRDefault="00E13CE3" w:rsidP="00EC261B">
      <w:pPr>
        <w:pStyle w:val="Instructionsberschrift3"/>
      </w:pPr>
      <w:r w:rsidRPr="005B425B">
        <w:t>Instrukser vedrørende specifikke positioner</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5B425B"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5B425B" w:rsidRDefault="0081175C" w:rsidP="00367C1E">
            <w:pPr>
              <w:pStyle w:val="TableParagraph"/>
              <w:spacing w:before="66"/>
              <w:rPr>
                <w:rFonts w:ascii="Times New Roman" w:eastAsia="Cambria" w:hAnsi="Times New Roman" w:cs="Times New Roman"/>
                <w:color w:val="000000" w:themeColor="text1"/>
                <w:sz w:val="20"/>
                <w:szCs w:val="20"/>
              </w:rPr>
            </w:pPr>
            <w:r w:rsidRPr="005B425B">
              <w:rPr>
                <w:rFonts w:ascii="Times New Roman" w:hAnsi="Times New Roman"/>
                <w:color w:val="000000" w:themeColor="text1"/>
                <w:sz w:val="20"/>
              </w:rPr>
              <w:t>Kolonne</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5B425B"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sidRPr="005B425B">
              <w:rPr>
                <w:rFonts w:ascii="Times New Roman" w:hAnsi="Times New Roman"/>
                <w:color w:val="000000" w:themeColor="text1"/>
                <w:spacing w:val="-1"/>
                <w:w w:val="90"/>
                <w:sz w:val="20"/>
              </w:rPr>
              <w:t>Instrukser</w:t>
            </w:r>
          </w:p>
        </w:tc>
      </w:tr>
      <w:tr w:rsidR="00D22EB0" w:rsidRPr="005B425B" w:rsidTr="00FF209B">
        <w:tc>
          <w:tcPr>
            <w:tcW w:w="908" w:type="dxa"/>
            <w:tcBorders>
              <w:top w:val="single" w:sz="4" w:space="0" w:color="1A171C"/>
              <w:left w:val="nil"/>
              <w:bottom w:val="single" w:sz="4" w:space="0" w:color="1A171C"/>
              <w:right w:val="single" w:sz="4" w:space="0" w:color="1A171C"/>
            </w:tcBorders>
            <w:vAlign w:val="center"/>
          </w:tcPr>
          <w:p w:rsidR="0081175C" w:rsidRPr="005B425B" w:rsidRDefault="0081175C" w:rsidP="00367C1E">
            <w:pPr>
              <w:pStyle w:val="TableParagraph"/>
              <w:spacing w:before="106"/>
              <w:ind w:left="-1"/>
              <w:rPr>
                <w:rFonts w:ascii="Times New Roman" w:eastAsia="Cambria" w:hAnsi="Times New Roman" w:cs="Times New Roman"/>
                <w:b/>
                <w:color w:val="000000" w:themeColor="text1"/>
                <w:sz w:val="20"/>
                <w:szCs w:val="20"/>
              </w:rPr>
            </w:pPr>
            <w:r w:rsidRPr="005B425B">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5B425B"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Husholdninger</w:t>
            </w:r>
          </w:p>
          <w:p w:rsidR="0081175C" w:rsidRPr="005B425B"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FINREP, bilag V, del 1, punkt 42, litra f) </w:t>
            </w:r>
          </w:p>
          <w:p w:rsidR="0081175C" w:rsidRPr="005B425B"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sidRPr="005B425B">
              <w:rPr>
                <w:rFonts w:ascii="Times New Roman" w:hAnsi="Times New Roman"/>
                <w:color w:val="000000" w:themeColor="text1"/>
                <w:spacing w:val="-2"/>
                <w:w w:val="95"/>
                <w:sz w:val="20"/>
              </w:rPr>
              <w:t xml:space="preserve">Enkeltpersoner eller grupper af enkeltpersoner i deres egenskab af forbrugere samt producenter af varer og ikke-finansielle tjenester udelukkende til eget forbrug og som producenter af markedsmæssige varer og </w:t>
            </w:r>
            <w:r w:rsidRPr="005B425B">
              <w:rPr>
                <w:rFonts w:ascii="Times New Roman" w:hAnsi="Times New Roman"/>
                <w:color w:val="000000" w:themeColor="text1"/>
                <w:spacing w:val="-2"/>
                <w:w w:val="95"/>
                <w:sz w:val="20"/>
              </w:rPr>
              <w:lastRenderedPageBreak/>
              <w:t>ikke-finansielle og finansielle tjenester, såfremt de ikke udøver deres aktiviteter i egenskab af kvasi-selskaber. Dette omfatter non-profitinstitutioner rettet mod husholdninger, som hovedsagelig beskæftiger sig med produktion af ikke-markedsmæssige varer og tjenester rettet mod bestemte grupper af husholdninger.</w:t>
            </w:r>
          </w:p>
        </w:tc>
      </w:tr>
      <w:tr w:rsidR="00D22EB0" w:rsidRPr="005B425B" w:rsidTr="00FF209B">
        <w:tc>
          <w:tcPr>
            <w:tcW w:w="908" w:type="dxa"/>
            <w:tcBorders>
              <w:top w:val="single" w:sz="4" w:space="0" w:color="1A171C"/>
              <w:left w:val="nil"/>
              <w:bottom w:val="single" w:sz="4" w:space="0" w:color="1A171C"/>
              <w:right w:val="single" w:sz="4" w:space="0" w:color="1A171C"/>
            </w:tcBorders>
            <w:vAlign w:val="center"/>
          </w:tcPr>
          <w:p w:rsidR="0081175C" w:rsidRPr="005B425B" w:rsidRDefault="0081175C" w:rsidP="00367C1E">
            <w:pPr>
              <w:pStyle w:val="TableParagraph"/>
              <w:spacing w:before="106"/>
              <w:ind w:left="-1"/>
              <w:rPr>
                <w:rFonts w:ascii="Times New Roman" w:eastAsia="Cambria" w:hAnsi="Times New Roman" w:cs="Times New Roman"/>
                <w:color w:val="000000" w:themeColor="text1"/>
                <w:sz w:val="20"/>
                <w:szCs w:val="20"/>
              </w:rPr>
            </w:pPr>
            <w:r w:rsidRPr="005B425B">
              <w:rPr>
                <w:rFonts w:ascii="Times New Roman" w:hAnsi="Times New Roman"/>
                <w:color w:val="000000" w:themeColor="text1"/>
                <w:sz w:val="20"/>
              </w:rPr>
              <w:lastRenderedPageBreak/>
              <w:t>0020</w:t>
            </w:r>
          </w:p>
        </w:tc>
        <w:tc>
          <w:tcPr>
            <w:tcW w:w="8118" w:type="dxa"/>
            <w:tcBorders>
              <w:top w:val="single" w:sz="4" w:space="0" w:color="1A171C"/>
              <w:left w:val="single" w:sz="4" w:space="0" w:color="1A171C"/>
              <w:bottom w:val="single" w:sz="4" w:space="0" w:color="1A171C"/>
              <w:right w:val="nil"/>
            </w:tcBorders>
            <w:vAlign w:val="center"/>
          </w:tcPr>
          <w:p w:rsidR="0081175C" w:rsidRPr="005B425B"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Ikke-finansielle selskaber (SMV'er)</w:t>
            </w:r>
          </w:p>
          <w:p w:rsidR="0081175C" w:rsidRPr="005B425B"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Afsnit I, artikel 2, stk. 1, i bilaget til Kommissionens henstilling af 6. maj 2003</w:t>
            </w:r>
            <w:r w:rsidRPr="005B425B">
              <w:rPr>
                <w:rStyle w:val="FootnoteReference"/>
                <w:color w:val="1A171C"/>
                <w:spacing w:val="-2"/>
                <w:w w:val="95"/>
              </w:rPr>
              <w:footnoteReference w:id="8"/>
            </w:r>
            <w:r w:rsidRPr="005B425B">
              <w:rPr>
                <w:rFonts w:ascii="Times New Roman" w:hAnsi="Times New Roman"/>
                <w:color w:val="000000" w:themeColor="text1"/>
                <w:spacing w:val="-2"/>
                <w:w w:val="95"/>
                <w:sz w:val="20"/>
              </w:rPr>
              <w:t>; FINREP, bilag V, del 1, punkt 5, litra i)</w:t>
            </w:r>
          </w:p>
          <w:p w:rsidR="0081175C" w:rsidRPr="005B425B"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sidRPr="005B425B">
              <w:rPr>
                <w:rFonts w:ascii="Times New Roman" w:hAnsi="Times New Roman"/>
                <w:color w:val="000000" w:themeColor="text1"/>
                <w:spacing w:val="-2"/>
                <w:w w:val="95"/>
                <w:sz w:val="20"/>
              </w:rPr>
              <w:t>Virksomheder, der beskæftiger under 250 personer, og som har en årlig omsætning på ikke over 50 mio. EUR og/eller en samlet årlig balance på ikke over 43 mio. EUR.</w:t>
            </w:r>
          </w:p>
        </w:tc>
      </w:tr>
      <w:tr w:rsidR="00D22EB0" w:rsidRPr="005B425B" w:rsidTr="00FF209B">
        <w:tc>
          <w:tcPr>
            <w:tcW w:w="908" w:type="dxa"/>
            <w:tcBorders>
              <w:top w:val="single" w:sz="4" w:space="0" w:color="1A171C"/>
              <w:left w:val="nil"/>
              <w:bottom w:val="single" w:sz="4" w:space="0" w:color="1A171C"/>
              <w:right w:val="single" w:sz="4" w:space="0" w:color="1A171C"/>
            </w:tcBorders>
            <w:vAlign w:val="center"/>
          </w:tcPr>
          <w:p w:rsidR="0081175C" w:rsidRPr="005B425B" w:rsidRDefault="0081175C"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5B425B"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Ikke-finansielle selskaber (ikke-SMV'er)</w:t>
            </w:r>
          </w:p>
          <w:p w:rsidR="0081175C" w:rsidRPr="005B425B"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FINREP, bilag V, del 1, punkt 42, litra e)</w:t>
            </w:r>
          </w:p>
          <w:p w:rsidR="0081175C" w:rsidRPr="005B425B"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Selskaber og kvasi-selskaber, der ikke beskæftiger sig med finansiel formidling, men hvis hovedaktivitet er produktion af markedsmæssige varer og ikke-finansielle tjenester, jf. Den Europæiske Centralbanks forordning (EU) nr. 1071/2013</w:t>
            </w:r>
            <w:r w:rsidRPr="005B425B">
              <w:rPr>
                <w:rFonts w:ascii="Times New Roman" w:hAnsi="Times New Roman"/>
                <w:color w:val="000000" w:themeColor="text1"/>
                <w:sz w:val="20"/>
                <w:vertAlign w:val="superscript"/>
              </w:rPr>
              <w:footnoteReference w:id="9"/>
            </w:r>
            <w:r w:rsidRPr="005B425B">
              <w:rPr>
                <w:rFonts w:ascii="Times New Roman" w:hAnsi="Times New Roman"/>
                <w:color w:val="000000" w:themeColor="text1"/>
                <w:spacing w:val="-2"/>
                <w:w w:val="95"/>
                <w:sz w:val="20"/>
              </w:rPr>
              <w:t>.</w:t>
            </w:r>
          </w:p>
          <w:p w:rsidR="0081175C" w:rsidRPr="005B425B" w:rsidRDefault="0081175C" w:rsidP="00CF4CE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 xml:space="preserve">Omfatter ikke "SMV'er" indberettet i kolonne 0020. </w:t>
            </w:r>
          </w:p>
        </w:tc>
      </w:tr>
      <w:tr w:rsidR="00D22EB0" w:rsidRPr="005B425B" w:rsidTr="00FF209B">
        <w:tc>
          <w:tcPr>
            <w:tcW w:w="908" w:type="dxa"/>
            <w:tcBorders>
              <w:top w:val="single" w:sz="4" w:space="0" w:color="1A171C"/>
              <w:left w:val="nil"/>
              <w:bottom w:val="single" w:sz="4" w:space="0" w:color="1A171C"/>
              <w:right w:val="single" w:sz="4" w:space="0" w:color="1A171C"/>
            </w:tcBorders>
            <w:vAlign w:val="center"/>
          </w:tcPr>
          <w:p w:rsidR="0081175C" w:rsidRPr="005B425B" w:rsidRDefault="0081175C"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5B425B"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Kreditinstitutter</w:t>
            </w:r>
          </w:p>
          <w:p w:rsidR="0081175C" w:rsidRPr="005B425B"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FINREP, bilag V, del 1, punkt 42, litra c)</w:t>
            </w:r>
          </w:p>
          <w:p w:rsidR="0081175C" w:rsidRPr="005B425B" w:rsidRDefault="00F97BC8" w:rsidP="00573846">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Kreditinstitutter som defineret i artikel 4, stk. 1, nr. 1), i forordning (EU) nr. 575/2013 og multilaterale udviklingsbanker.</w:t>
            </w:r>
          </w:p>
        </w:tc>
      </w:tr>
      <w:tr w:rsidR="00D22EB0" w:rsidRPr="005B425B" w:rsidTr="00FF209B">
        <w:tc>
          <w:tcPr>
            <w:tcW w:w="908" w:type="dxa"/>
            <w:tcBorders>
              <w:top w:val="single" w:sz="4" w:space="0" w:color="1A171C"/>
              <w:left w:val="nil"/>
              <w:bottom w:val="single" w:sz="4" w:space="0" w:color="1A171C"/>
              <w:right w:val="single" w:sz="4" w:space="0" w:color="1A171C"/>
            </w:tcBorders>
            <w:vAlign w:val="center"/>
          </w:tcPr>
          <w:p w:rsidR="0081175C" w:rsidRPr="005B425B" w:rsidRDefault="0081175C"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5B425B"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Andre finansielle selskaber</w:t>
            </w:r>
          </w:p>
          <w:p w:rsidR="0081175C" w:rsidRPr="005B425B"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FINREP, bilag V, del 1, punkt 42, litra d)</w:t>
            </w:r>
          </w:p>
          <w:p w:rsidR="0081175C" w:rsidRPr="005B425B" w:rsidRDefault="0081175C" w:rsidP="00F97BC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Alle finansielle selskaber og kvasi-selskaber, bortset fra kreditinstitutter, som f.eks. investeringsselskaber, investeringsfonde, forsikringsselskaber, pensionsfonde, institutter for kollektiv investering og clearinginstitutter samt øvrige finansielle formidlere, finansielle hjælpeenheder og koncerntilknyttede finansieringsinstitutter og pengeudlånere.</w:t>
            </w:r>
          </w:p>
        </w:tc>
      </w:tr>
      <w:tr w:rsidR="00D22EB0" w:rsidRPr="005B425B" w:rsidTr="00FF209B">
        <w:tc>
          <w:tcPr>
            <w:tcW w:w="908" w:type="dxa"/>
            <w:tcBorders>
              <w:top w:val="single" w:sz="4" w:space="0" w:color="1A171C"/>
              <w:left w:val="nil"/>
              <w:bottom w:val="single" w:sz="4" w:space="0" w:color="1A171C"/>
              <w:right w:val="single" w:sz="4" w:space="0" w:color="1A171C"/>
            </w:tcBorders>
            <w:vAlign w:val="center"/>
          </w:tcPr>
          <w:p w:rsidR="0081175C" w:rsidRPr="005B425B" w:rsidRDefault="0081175C"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5B425B"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Offentlige forvaltning og service &amp; centralbanker</w:t>
            </w:r>
          </w:p>
          <w:p w:rsidR="0081175C" w:rsidRPr="005B425B"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FINREP, bilag V, del 1, punkt 42, litra a) og b)</w:t>
            </w:r>
          </w:p>
          <w:p w:rsidR="0081175C" w:rsidRPr="005B425B" w:rsidRDefault="0081175C" w:rsidP="00AA2A99">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Centralbanker og centralregeringer, statslige eller regionale myndigheder og lokale myndigheder, herunder administrative organer og ikke-kommercielle virksomheder, men ekskl. offentlige foretagender og private selskaber, der indehaves af sådanne forvaltninger, som driver kommerciel virksomhed (som skal indberettes under "kreditinstitutter", "andre finansielle selskaber" eller "ikke-finansielle selskaber" afhængigt af deres aktivitet), samt sociale kasser og fonde og internationale organisationer, som f.eks. Den Europæiske Union, Den Internationale Valutafond og Den Internationale Betalingsbank.</w:t>
            </w:r>
          </w:p>
        </w:tc>
      </w:tr>
      <w:tr w:rsidR="00D22EB0" w:rsidRPr="005B425B" w:rsidTr="00FF209B">
        <w:tc>
          <w:tcPr>
            <w:tcW w:w="908" w:type="dxa"/>
            <w:tcBorders>
              <w:top w:val="single" w:sz="4" w:space="0" w:color="1A171C"/>
              <w:left w:val="nil"/>
              <w:bottom w:val="single" w:sz="4" w:space="0" w:color="1A171C"/>
              <w:right w:val="single" w:sz="4" w:space="0" w:color="1A171C"/>
            </w:tcBorders>
            <w:vAlign w:val="center"/>
          </w:tcPr>
          <w:p w:rsidR="0081175C" w:rsidRPr="005B425B" w:rsidRDefault="0081175C"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5B425B"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Ikke identificeret, noteret på en markedsplads</w:t>
            </w:r>
          </w:p>
          <w:p w:rsidR="0081175C" w:rsidRPr="005B425B" w:rsidRDefault="00FF209B" w:rsidP="00F82306">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Beløbene skal henføres til denne kolonne, hvis identiteten på indehaveren af et værdipapir, på grund af instrumenternes notering på en markedsplads, som defineret i Europa-Parlamentets og Rådets direktiv 2014/65/EU af 15. maj 2014 om markeder for finansielle instrumenter, ikke er kendt.</w:t>
            </w:r>
          </w:p>
        </w:tc>
      </w:tr>
      <w:tr w:rsidR="00D22EB0" w:rsidRPr="005B425B" w:rsidTr="00FF209B">
        <w:tc>
          <w:tcPr>
            <w:tcW w:w="908" w:type="dxa"/>
            <w:tcBorders>
              <w:top w:val="single" w:sz="4" w:space="0" w:color="1A171C"/>
              <w:left w:val="nil"/>
              <w:bottom w:val="single" w:sz="4" w:space="0" w:color="1A171C"/>
              <w:right w:val="single" w:sz="4" w:space="0" w:color="1A171C"/>
            </w:tcBorders>
            <w:vAlign w:val="center"/>
          </w:tcPr>
          <w:p w:rsidR="00FF209B" w:rsidRPr="005B425B" w:rsidRDefault="00FF209B" w:rsidP="00FF209B">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5B425B"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Ikke identificeret, ikke noteret på en markedsplads</w:t>
            </w:r>
          </w:p>
          <w:p w:rsidR="00FF209B" w:rsidRPr="005B425B"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Beløbene skal henføres til denne kolonne, hvis identiteten på indehaveren af et værdipapir, uden at instrumenterne er noteret på en markedsplads, ikke er kendt, uden at yderligere opdeling af modparter er påkrævet. Enheder skal gøre deres yderste for at identificere modparter og begrænse brugen af denne </w:t>
            </w:r>
            <w:r w:rsidRPr="005B425B">
              <w:rPr>
                <w:rFonts w:ascii="Times New Roman" w:hAnsi="Times New Roman"/>
                <w:color w:val="000000" w:themeColor="text1"/>
                <w:spacing w:val="-2"/>
                <w:w w:val="95"/>
                <w:sz w:val="20"/>
              </w:rPr>
              <w:lastRenderedPageBreak/>
              <w:t>kolonne til et minimum.</w:t>
            </w:r>
          </w:p>
        </w:tc>
      </w:tr>
      <w:tr w:rsidR="00D22EB0" w:rsidRPr="005B425B" w:rsidTr="00FF209B">
        <w:tc>
          <w:tcPr>
            <w:tcW w:w="908" w:type="dxa"/>
            <w:tcBorders>
              <w:top w:val="single" w:sz="4" w:space="0" w:color="1A171C"/>
              <w:left w:val="nil"/>
              <w:bottom w:val="single" w:sz="4" w:space="0" w:color="1A171C"/>
              <w:right w:val="single" w:sz="4" w:space="0" w:color="1A171C"/>
            </w:tcBorders>
            <w:vAlign w:val="center"/>
          </w:tcPr>
          <w:p w:rsidR="00FF209B" w:rsidRPr="005B425B" w:rsidRDefault="00FF209B" w:rsidP="00FF209B">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lastRenderedPageBreak/>
              <w:t>0090</w:t>
            </w:r>
          </w:p>
        </w:tc>
        <w:tc>
          <w:tcPr>
            <w:tcW w:w="8118" w:type="dxa"/>
            <w:tcBorders>
              <w:top w:val="single" w:sz="4" w:space="0" w:color="1A171C"/>
              <w:left w:val="single" w:sz="4" w:space="0" w:color="1A171C"/>
              <w:bottom w:val="single" w:sz="4" w:space="0" w:color="1A171C"/>
              <w:right w:val="nil"/>
            </w:tcBorders>
            <w:vAlign w:val="center"/>
          </w:tcPr>
          <w:p w:rsidR="00FF209B" w:rsidRPr="005B425B"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pacing w:val="-2"/>
                <w:w w:val="95"/>
                <w:sz w:val="20"/>
              </w:rPr>
              <w:t>I alt</w:t>
            </w:r>
          </w:p>
        </w:tc>
      </w:tr>
      <w:tr w:rsidR="00D22EB0" w:rsidRPr="005B425B" w:rsidTr="00FF209B">
        <w:tc>
          <w:tcPr>
            <w:tcW w:w="908" w:type="dxa"/>
            <w:tcBorders>
              <w:top w:val="single" w:sz="4" w:space="0" w:color="1A171C"/>
              <w:left w:val="nil"/>
              <w:bottom w:val="single" w:sz="4" w:space="0" w:color="1A171C"/>
              <w:right w:val="single" w:sz="4" w:space="0" w:color="1A171C"/>
            </w:tcBorders>
            <w:vAlign w:val="center"/>
          </w:tcPr>
          <w:p w:rsidR="00FF209B" w:rsidRPr="005B425B" w:rsidRDefault="00FF209B" w:rsidP="00FF209B">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5B425B"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Heraf: koncernintern</w:t>
            </w:r>
          </w:p>
          <w:p w:rsidR="00FF209B" w:rsidRPr="005B425B"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 xml:space="preserve">Forpligtelser over for enheder, der indgår i de konsoliderede regnskaber for det øverste moderselskab (i modsætning til den lovbestemte konsolideringsramme). </w:t>
            </w:r>
          </w:p>
        </w:tc>
      </w:tr>
      <w:tr w:rsidR="00D22EB0" w:rsidRPr="005B425B" w:rsidTr="00FF209B">
        <w:tc>
          <w:tcPr>
            <w:tcW w:w="908" w:type="dxa"/>
            <w:tcBorders>
              <w:top w:val="single" w:sz="4" w:space="0" w:color="1A171C"/>
              <w:left w:val="nil"/>
              <w:bottom w:val="single" w:sz="4" w:space="0" w:color="1A171C"/>
              <w:right w:val="single" w:sz="4" w:space="0" w:color="1A171C"/>
            </w:tcBorders>
            <w:vAlign w:val="center"/>
          </w:tcPr>
          <w:p w:rsidR="00FF209B" w:rsidRPr="005B425B" w:rsidRDefault="009B423F" w:rsidP="00FF209B">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5B425B"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Heraf: forpligtelser underlagt lovgivningen i et tredjeland, ekskl. koncerninterne</w:t>
            </w:r>
          </w:p>
          <w:p w:rsidR="00FF209B" w:rsidRPr="005B425B"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Her indberettes forpligtelser (bruttobeløb), der er underlagt lovgivningen i et tredjeland og/eller er udstedt af koncernenheder etableret i tredjelande. Koncerninterne forpligtelser medtages ikke.</w:t>
            </w:r>
          </w:p>
          <w:p w:rsidR="00FF209B" w:rsidRPr="005B425B" w:rsidRDefault="0028783E" w:rsidP="00B77FC7">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Hvis afviklingsmyndigheden har bekræftet, at den finder det godtgjort, jf. artikel 45, stk. 5, i Europa-Parlamentets og Rådets direktiv 2014/59/EU</w:t>
            </w:r>
            <w:r w:rsidRPr="005B425B">
              <w:rPr>
                <w:rStyle w:val="FootnoteReference"/>
                <w:color w:val="000000" w:themeColor="text1"/>
                <w:spacing w:val="-2"/>
                <w:w w:val="95"/>
              </w:rPr>
              <w:footnoteReference w:id="10"/>
            </w:r>
            <w:r w:rsidRPr="005B425B">
              <w:rPr>
                <w:rFonts w:ascii="Times New Roman" w:hAnsi="Times New Roman"/>
                <w:color w:val="000000" w:themeColor="text1"/>
                <w:spacing w:val="-2"/>
                <w:w w:val="95"/>
                <w:sz w:val="20"/>
              </w:rPr>
              <w:t>, at en afgørelse fra en afviklingsmyndighed om at nedskrive eller konvertere en forpligtelse vil træde i kraft i henhold til dette tredjelands lovgivning, indberettes den pågældende forpligtelse ikke i dette felt.</w:t>
            </w:r>
          </w:p>
        </w:tc>
      </w:tr>
      <w:tr w:rsidR="00FF209B" w:rsidRPr="005B425B" w:rsidTr="00FF209B">
        <w:tc>
          <w:tcPr>
            <w:tcW w:w="908" w:type="dxa"/>
            <w:tcBorders>
              <w:top w:val="single" w:sz="4" w:space="0" w:color="1A171C"/>
              <w:left w:val="nil"/>
              <w:bottom w:val="single" w:sz="4" w:space="0" w:color="1A171C"/>
              <w:right w:val="single" w:sz="4" w:space="0" w:color="1A171C"/>
            </w:tcBorders>
            <w:vAlign w:val="center"/>
          </w:tcPr>
          <w:p w:rsidR="00FF209B" w:rsidRPr="005B425B"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5B425B"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5B425B"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5B425B"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5B425B" w:rsidRDefault="0081175C" w:rsidP="00367C1E">
            <w:pPr>
              <w:pStyle w:val="TableParagraph"/>
              <w:spacing w:before="66"/>
              <w:rPr>
                <w:rFonts w:ascii="Times New Roman" w:eastAsia="Cambria" w:hAnsi="Times New Roman" w:cs="Times New Roman"/>
                <w:color w:val="000000" w:themeColor="text1"/>
                <w:sz w:val="20"/>
                <w:szCs w:val="20"/>
              </w:rPr>
            </w:pPr>
            <w:r w:rsidRPr="005B425B">
              <w:rPr>
                <w:rFonts w:ascii="Times New Roman" w:hAnsi="Times New Roman"/>
                <w:color w:val="000000" w:themeColor="text1"/>
                <w:sz w:val="20"/>
              </w:rPr>
              <w:t>Række</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5B425B"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sidRPr="005B425B">
              <w:rPr>
                <w:rFonts w:ascii="Times New Roman" w:hAnsi="Times New Roman"/>
                <w:color w:val="000000" w:themeColor="text1"/>
                <w:spacing w:val="-1"/>
                <w:w w:val="90"/>
                <w:sz w:val="20"/>
              </w:rPr>
              <w:t>Instrukser</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eastAsia="Cambria" w:hAnsi="Times New Roman" w:cs="Times New Roman"/>
                <w:b/>
                <w:color w:val="000000" w:themeColor="text1"/>
                <w:sz w:val="20"/>
                <w:szCs w:val="20"/>
              </w:rPr>
            </w:pPr>
            <w:r w:rsidRPr="005B425B">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Forpligtelser, der er udelukket fra bail-in</w:t>
            </w:r>
          </w:p>
          <w:p w:rsidR="0081175C" w:rsidRPr="005B425B"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sidRPr="005B425B">
              <w:rPr>
                <w:rFonts w:ascii="Times New Roman" w:hAnsi="Times New Roman"/>
                <w:color w:val="000000" w:themeColor="text1"/>
                <w:spacing w:val="-2"/>
                <w:w w:val="95"/>
                <w:sz w:val="20"/>
              </w:rPr>
              <w:t>I artikel 44, stk. 2, i direktiv 2014/59/EU hedder det: "Afviklingsmyndigheder må ikke gøre brug af deres nedskrivnings- eller konverteringsbeføjelser i forhold til følgende passiver, uanset om de er omfattet af en medlemsstats eller tredjelands lovgivning".</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eastAsia="Cambria" w:hAnsi="Times New Roman" w:cs="Times New Roman"/>
                <w:color w:val="000000" w:themeColor="text1"/>
                <w:sz w:val="20"/>
                <w:szCs w:val="20"/>
              </w:rPr>
            </w:pPr>
            <w:r w:rsidRPr="005B425B">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Dækkede indskud</w:t>
            </w:r>
          </w:p>
          <w:p w:rsidR="0081175C" w:rsidRPr="005B425B"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sidRPr="005B425B">
              <w:rPr>
                <w:rFonts w:ascii="Times New Roman" w:hAnsi="Times New Roman"/>
                <w:color w:val="000000" w:themeColor="text1"/>
                <w:spacing w:val="-2"/>
                <w:w w:val="95"/>
                <w:sz w:val="20"/>
              </w:rPr>
              <w:t>De samlede dækkede indskud som defineret i artikel 2, stk. 1, nr. 5), i Europa-Parlamentets og Rådets direktiv 2014/49/EU</w:t>
            </w:r>
            <w:r w:rsidRPr="005B425B">
              <w:rPr>
                <w:rStyle w:val="FootnoteReference"/>
                <w:color w:val="000000" w:themeColor="text1"/>
              </w:rPr>
              <w:footnoteReference w:id="11"/>
            </w:r>
            <w:r w:rsidRPr="005B425B">
              <w:rPr>
                <w:rFonts w:ascii="Times New Roman" w:hAnsi="Times New Roman"/>
                <w:color w:val="000000" w:themeColor="text1"/>
                <w:spacing w:val="-2"/>
                <w:w w:val="95"/>
                <w:sz w:val="20"/>
              </w:rPr>
              <w:t>, bortset fra midlertidigt høje balancer som defineret i samme direktivs artikel 6, stk. 2.</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eastAsia="Cambria" w:hAnsi="Times New Roman" w:cs="Times New Roman"/>
                <w:color w:val="000000" w:themeColor="text1"/>
                <w:sz w:val="20"/>
                <w:szCs w:val="20"/>
              </w:rPr>
            </w:pPr>
            <w:r w:rsidRPr="005B425B">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Sikrede passiver — del, for hvilken der er stillet sikkerhed</w:t>
            </w:r>
          </w:p>
          <w:p w:rsidR="0081175C" w:rsidRPr="005B425B"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44, stk. 2, litra b), i direktiv 2014/59/EU</w:t>
            </w:r>
          </w:p>
          <w:p w:rsidR="0081175C" w:rsidRPr="005B425B"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Sikrede passiver, herunder genkøbsaftaler (repo-forretninger), dækkede obligationer og passiver i form af finansielle instrumenter, som udgør en integreret del af sikkerhedspuljen, og som i henhold til national ret er sikret på en måde svarende til dækkede obligationer.</w:t>
            </w:r>
          </w:p>
          <w:p w:rsidR="0081175C" w:rsidRPr="005B425B"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Hverken forpligtelsen til at sikre, at alle sikrede aktiver i tilknytning til en sikkerhedspulje med dækkede obligationer er uberørte, holdes adskilt og finansieres i tilstrækkeligt omfang, eller undtagelsen omhandlet i artikel 44, stk. 2, litra b), i direktiv 2014/59/EU er til hinder for, at afviklingsmyndighederne, når det er hensigtsmæssigt, udøver disse beføjelser i forhold til en hvilken som helst del af et sikret passiv eller en forpligtelse, for hvilken der er stillet sikkerhed, som overstiger værdien af de aktiver, det pant, den tilbageholdelsesret eller den kaution, der stilles som sikkerhed. Et sådant udækket beløb af disse sikrede passiver indberettes ikke i denne række, men derimod i række 0340, efter yderligere opdeling.</w:t>
            </w:r>
          </w:p>
          <w:p w:rsidR="0081175C" w:rsidRPr="005B425B"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Centralbankforpligtelser, der er dækket af en sikkerhedspulje (f.eks. primære markedsoperationer, langfristede markedsoperationer, målrettede langfristede markedsoperationer osv.), betragtes som sikrede passiver. </w:t>
            </w:r>
          </w:p>
          <w:p w:rsidR="0081175C" w:rsidRPr="005B425B"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sidRPr="005B425B">
              <w:rPr>
                <w:rFonts w:ascii="Times New Roman" w:hAnsi="Times New Roman"/>
                <w:color w:val="000000" w:themeColor="text1"/>
                <w:spacing w:val="-2"/>
                <w:w w:val="95"/>
                <w:sz w:val="20"/>
              </w:rPr>
              <w:t xml:space="preserve">En særlig type forpligtelser er positioner vedrørende sikkerhedsstillelse (f.eks. kontant sikkerhed) modtaget og opført på balancen. Hvis sådanne positioner vedrørende sikkerhedsstillelse er juridisk bundet til en </w:t>
            </w:r>
            <w:r w:rsidRPr="005B425B">
              <w:rPr>
                <w:rFonts w:ascii="Times New Roman" w:hAnsi="Times New Roman"/>
                <w:color w:val="000000" w:themeColor="text1"/>
                <w:spacing w:val="-2"/>
                <w:w w:val="95"/>
                <w:sz w:val="20"/>
              </w:rPr>
              <w:lastRenderedPageBreak/>
              <w:t>aktivposition, skal de behandles som sikrede passiver i denne indberetning.</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Forpligtelser over for kunder, hvis beskyttet i tilfælde af insolvens</w:t>
            </w:r>
          </w:p>
          <w:p w:rsidR="0081175C" w:rsidRPr="005B425B"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44, stk. 2, litra c), i direktiv 2014/59/EU</w:t>
            </w:r>
          </w:p>
          <w:p w:rsidR="0081175C" w:rsidRPr="005B425B" w:rsidRDefault="0081175C" w:rsidP="00A824E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Enhver forpligtelse, der opstår som følge af instituttets eller enhedens, jf. artikel 1, stk. 1, litra b), c) eller d), i direktiv 2014/59/EU, besiddelse af kunders aktiver eller penge, herunder kunders aktiver eller penge, der er deponeret på vegne af investeringsinstitutter som defineret i artikel 1, stk. 2, i Europa-Parlamentets og Rådets direktiv 2009/65/EF</w:t>
            </w:r>
            <w:r w:rsidRPr="005B425B">
              <w:rPr>
                <w:rStyle w:val="FootnoteReference"/>
                <w:color w:val="000000" w:themeColor="text1"/>
                <w:spacing w:val="-2"/>
                <w:w w:val="95"/>
              </w:rPr>
              <w:footnoteReference w:id="12"/>
            </w:r>
            <w:r w:rsidRPr="005B425B">
              <w:rPr>
                <w:rFonts w:ascii="Times New Roman" w:hAnsi="Times New Roman"/>
                <w:color w:val="000000" w:themeColor="text1"/>
                <w:spacing w:val="-2"/>
                <w:w w:val="95"/>
                <w:sz w:val="20"/>
              </w:rPr>
              <w:t xml:space="preserve"> eller af AIF’er som defineret i artikel 4, stk. 1, litra a), i Europa-Parlamentets og Rådets direktiv 2011/61/EU</w:t>
            </w:r>
            <w:r w:rsidRPr="005B425B">
              <w:rPr>
                <w:rStyle w:val="FootnoteReference"/>
                <w:color w:val="000000" w:themeColor="text1"/>
                <w:spacing w:val="-2"/>
                <w:w w:val="95"/>
              </w:rPr>
              <w:footnoteReference w:id="13"/>
            </w:r>
            <w:r w:rsidRPr="005B425B">
              <w:rPr>
                <w:rFonts w:ascii="Times New Roman" w:hAnsi="Times New Roman"/>
                <w:color w:val="000000" w:themeColor="text1"/>
                <w:spacing w:val="-2"/>
                <w:w w:val="95"/>
                <w:sz w:val="20"/>
              </w:rPr>
              <w:t>, under forudsætning af at kunden er beskyttet i henhold til gældende insolvensret.</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Betroede forpligtelser, hvis beskyttet i tilfælde af insolvens</w:t>
            </w:r>
          </w:p>
          <w:p w:rsidR="0081175C" w:rsidRPr="005B425B"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44, stk. 2, litra d), i direktiv 2014/59/EU</w:t>
            </w:r>
          </w:p>
          <w:p w:rsidR="0081175C" w:rsidRPr="005B425B" w:rsidRDefault="0081175C" w:rsidP="00AB621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Enhver forpligtelse, der opstår som følge af et tillidsforhold mellem instituttet eller enheden som omhandlet i artikel 1, stk. 1, litra b), c) eller d), i direktiv 2014/59/EU (som administrator) og en anden person (som begunstiget), under forudsætning af at den begunstigede er beskyttet i henhold til gældende insolvens- eller civilret.</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 xml:space="preserve">Forpligtelser over for kreditinstitutter &lt; 7 dage </w:t>
            </w:r>
          </w:p>
          <w:p w:rsidR="0081175C" w:rsidRPr="005B425B"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44, stk. 2, litra e), i direktiv 2014/59/EU</w:t>
            </w:r>
          </w:p>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Forpligtelser over for kreditinstitutter, bortset fra enheder, der indgår i samme regnskabsgruppe, med en oprindelig løbetid på mindre end syv dage.</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Forpligtelser over for systemer/systemoperatører &lt; 7 dage</w:t>
            </w:r>
          </w:p>
          <w:p w:rsidR="0081175C" w:rsidRPr="005B425B"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44, stk. 2, litra f), i direktiv 2014/59/EU</w:t>
            </w:r>
          </w:p>
          <w:p w:rsidR="0081175C" w:rsidRPr="005B425B" w:rsidRDefault="0081175C" w:rsidP="00CC130F">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Forpligtelser med en restløbetid på mindre end syv dage over for systemer eller systemoperatører, der er betegnet som sådanne i overensstemmelse med Europa-Parlamentets og Rådets direktiv 98/26/EF</w:t>
            </w:r>
            <w:r w:rsidRPr="005B425B">
              <w:rPr>
                <w:rStyle w:val="FootnoteReference"/>
                <w:color w:val="000000" w:themeColor="text1"/>
                <w:spacing w:val="-2"/>
                <w:w w:val="95"/>
              </w:rPr>
              <w:footnoteReference w:id="14"/>
            </w:r>
            <w:r w:rsidRPr="005B425B">
              <w:rPr>
                <w:rFonts w:ascii="Times New Roman" w:hAnsi="Times New Roman"/>
                <w:color w:val="000000" w:themeColor="text1"/>
                <w:spacing w:val="-2"/>
                <w:w w:val="95"/>
                <w:sz w:val="20"/>
              </w:rPr>
              <w:t>, eller deltagere heri og som følge af deltagelse i et sådant system.</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Forpligtelser over for medarbejdere</w:t>
            </w:r>
          </w:p>
          <w:p w:rsidR="0081175C" w:rsidRPr="005B425B"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44, stk. 2, litra g), nr. i), i direktiv 2014/59/EU</w:t>
            </w:r>
          </w:p>
          <w:p w:rsidR="0081175C" w:rsidRPr="005B425B" w:rsidRDefault="0081175C" w:rsidP="00AB621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Forpligtelser over for en medarbejder som følge af et løntilgodehavende, pensionsydelser eller anden fast godtgørelse, undtagen den variable del af lønnen, som ikke er reguleret ved kollektive overenskomster. Dette gælder dog ikke for den variable del af lønnen for væsentlige risikotagere som omhandlet i artikel 92, stk. 2, i direktiv 2013/36/EU.</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5B425B"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Forpligtelser, der er kritiske for den daglige drift</w:t>
            </w:r>
          </w:p>
          <w:p w:rsidR="0081175C" w:rsidRPr="005B425B"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44, stk. 2, litra g), nr. ii), i direktiv 2014/59/EU</w:t>
            </w:r>
          </w:p>
          <w:p w:rsidR="0081175C" w:rsidRPr="005B425B" w:rsidRDefault="0081175C" w:rsidP="00AB621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Forpligtelser over for en kommerciel eller handelsmæssig kreditor som følge af levering til instituttet eller enheden som omhandlet i artikel 1, stk. 1, litra b), c) eller d), i direktiv 2014/59/EU af varer eller tjenester, der er af kritisk betydning for instituttets daglige aktiviteter, herunder IT-tjenester, forsyninger og leje, servicering og vedligeholdelse af lokaler.</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Forpligtelser over for skatte- og socialsikringsmyndigheder (hvis fortrinsret)</w:t>
            </w:r>
          </w:p>
          <w:p w:rsidR="0081175C" w:rsidRPr="005B425B"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Artikel 44, stk. 2, litra g), nr. iii), i direktiv 2014/59/EU</w:t>
            </w:r>
          </w:p>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Forpligtelser over for skatte- og socialsikringsmyndigheder, såfremt disse forpligtelser har fortrinsret i henhold til gældende ret.</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lastRenderedPageBreak/>
              <w:t>0200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Forpligtelser over for indskudsgarantiordninger</w:t>
            </w:r>
          </w:p>
          <w:p w:rsidR="0081175C" w:rsidRPr="005B425B"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44, stk. 2, litra g), nr. iv), i direktiv 2014/59/EU</w:t>
            </w:r>
          </w:p>
          <w:p w:rsidR="0081175C" w:rsidRPr="005B425B" w:rsidRDefault="0081175C" w:rsidP="002E7149">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Forpligtelser over for indskudsgarantiordninger som følge af forfaldne bidrag i overensstemmelse med direktiv 2014/49/EU.</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Forpligtelser, der ikke er udelukket fra bail-in</w:t>
            </w:r>
          </w:p>
          <w:p w:rsidR="00431BCA" w:rsidRPr="005B425B" w:rsidRDefault="00431BCA" w:rsidP="00D840C3">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Dette er summen af række 0310, 0320, 0334, 0340, 0350, 0360, 0365, 0370, 0380, 0390 og 0400.</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Indskud, udækkede, men foranstillede</w:t>
            </w:r>
          </w:p>
          <w:p w:rsidR="0081175C" w:rsidRPr="005B425B"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108 i direktiv 2014/59/EU</w:t>
            </w:r>
          </w:p>
          <w:p w:rsidR="0081175C" w:rsidRPr="005B425B" w:rsidRDefault="0081175C" w:rsidP="004B7ECB">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 xml:space="preserve">Indskud som defineret i artikel 2, stk. 1, nr. 3), i direktiv 2014/49/EU, der ikke opfylder betingelserne for udelukkelse fra bail-in (artikel 44, stk. 2, litra a), i direktiv 2014/59/EU), men som er omfattet af muligheden for præferencebehandling i overensstemmelse med artikel 108 i direktiv 2014/59/EU. </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Indskud, udækkede og ikke foranstillede</w:t>
            </w:r>
          </w:p>
          <w:p w:rsidR="0081175C" w:rsidRPr="005B425B" w:rsidRDefault="0081175C" w:rsidP="001654C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Indskud som defineret i artikel 2, stk. 1, nr. 3), i direktiv 2014/49/EU, der ikke opfylder betingelserne for udelukkelse fra bail-in eller præferencebehandling i henhold til artikel 44, stk. 2, litra a), eller artikel 108 i direktiv 2014/59/EU.</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Forpligtelser på balancen hidrørende fra derivater</w:t>
            </w:r>
          </w:p>
          <w:p w:rsidR="0081175C" w:rsidRPr="005B425B" w:rsidRDefault="0081175C" w:rsidP="0013115B">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Regnskabsværdien af forpligtelser hidrørende fra derivater — for det samlede beløb i overensstemmelse med FINREP: {F 01.02;020;010) + {F 01.02;150;010}.</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Summen af nettogældspositioner under hensyntagen til kontraktlige nettinggrupper, efter mark-to-market-tilpasninger, inden modregning af sikkerhedsstillelse</w:t>
            </w:r>
          </w:p>
          <w:p w:rsidR="0081175C" w:rsidRPr="005B425B" w:rsidRDefault="0081175C" w:rsidP="0013115B">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Som standard summen af nettomarkedsværdien af alle derivatforpligtelser pr. kontraktlig nettinggruppe. Kun hvis nettomarkedsværdien af en nettinggruppe er en forpligtelse, indberettes nettinggruppen. I denne forbindelse gælder det, at derivater, der ikke er omfattet af nettingaftaler, skal behandles som én enkelt aftale, dvs. som om der var tale om en nettinggruppe med kun ét derivat.</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Summen af nettogældspositioner under hensyntagen til kontraktlige nettinggrupper, efter mark-to-market-tilpasninger, efter modregning af sikkerhedsstillelse</w:t>
            </w:r>
          </w:p>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For værdiansættelsen i række 0331 vil der skulle foretages en justering for sikkerhed stillet for at sikre denne eksponering, hvilket resulterer i summen af disse nettomarkedsværdier efter modregning af sikkerhedsstillelse til markedsværdien.</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Summen af nettogældspositioner under hensyntagen til kontraktlige nettinggrupper, efter mark-to-market-tilpasninger, efter modregning af sikkerhedsstillelse, iberegnet estimerede "close-out amounts"</w:t>
            </w:r>
          </w:p>
          <w:p w:rsidR="0081175C" w:rsidRPr="005B425B"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 overensstemmelse med Kommissionens delegerede forordning 2016/1401</w:t>
            </w:r>
            <w:r w:rsidRPr="005B425B">
              <w:rPr>
                <w:rStyle w:val="FootnoteReference"/>
                <w:color w:val="1A171C"/>
                <w:spacing w:val="-2"/>
                <w:w w:val="95"/>
              </w:rPr>
              <w:footnoteReference w:id="15"/>
            </w:r>
            <w:r w:rsidRPr="005B425B">
              <w:rPr>
                <w:rFonts w:ascii="Times New Roman" w:hAnsi="Times New Roman"/>
                <w:color w:val="000000" w:themeColor="text1"/>
                <w:spacing w:val="-2"/>
                <w:w w:val="95"/>
                <w:sz w:val="20"/>
              </w:rPr>
              <w:t xml:space="preserve"> vedrørende værdiansættelse af forpligtelser hidrørende fra derivater et supplerende "close-out amount", som dækker de tab eller omkostninger, der påføres derivatmodparter, eller de gevinster, disse realiserer, ved at genanskaffe eller opnå den økonomiske modværdi af aftalernes væsentlige vilkår og parternes optionsret, hvad angår de opsagte aftaler.</w:t>
            </w:r>
          </w:p>
          <w:p w:rsidR="0081175C" w:rsidRPr="005B425B" w:rsidRDefault="0081175C" w:rsidP="00C43160">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lastRenderedPageBreak/>
              <w:t>De skøn, der er påkrævet til fastlæggelse af et "close-out amount" i overensstemmelse med ovennævnte forordning, kan være temmelig vanskelige at foretage på individuel basis. Der kan af samme grund i stedet anvendes proxy-værdier, som kan være baseret på tilgængelige data såsom de tilsynsmæssige krav vedrørende markedsrisiko. Hvis det viser sig at være umuligt at beregne et "close-out amount" for derivatforpligtelserne, skal det indberettede beløb være det samme som det beløb, der indberettes i række 0332.</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lastRenderedPageBreak/>
              <w:t>0334</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Summen af nettogældspositioner under hensyntagen til reglerne for tilsynsmæssig netting</w:t>
            </w:r>
          </w:p>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Nettogældspositionerne for derivater under hensyntagen til reglerne for tilsynsmæssig netting i artikel 429 i forordning (EU) nr. 575/2013 (vedrørende beregningen af det samlede eksponeringsmål i tilknytning til gearingsgraden) skal indberettes.</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pacing w:val="-2"/>
                <w:w w:val="95"/>
                <w:sz w:val="20"/>
              </w:rPr>
              <w:t>Sikrede passiver, for hvilke der ikke er stillet sikkerhed</w:t>
            </w:r>
          </w:p>
          <w:p w:rsidR="0081175C" w:rsidRPr="005B425B" w:rsidRDefault="0081175C" w:rsidP="00504E92">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Sikrede passiver eller passiver, for hvilke der er stillet sikkerhed, som overstiger værdien af de aktiver, det pant, den tilbageholdelsesret eller den kaution, der stilles som sikkerhed. Dette omfatter den underkollateraliserede del af forpligtelser omfattet af sikkerhedsstillelse, f.eks. den underkollateralisede del af dækkede obligationer eller repo-forretninger.</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pacing w:val="-2"/>
                <w:w w:val="95"/>
                <w:sz w:val="20"/>
              </w:rPr>
              <w:t>Strukturerede obligationer</w:t>
            </w:r>
          </w:p>
          <w:p w:rsidR="0081175C" w:rsidRPr="005B425B" w:rsidRDefault="0081175C" w:rsidP="00077AFC">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Strukturerede obligationer defineres til dette formål som gældsforpligtelser, der indeholder en indbygget derivatkomponent, med afkast, der er knyttet til et underliggende værdipapir eller indeks (offentligt eller skræddersyet, såsom aktier eller obligationer, "fixed income-renter" eller kredit, valuta, råvarer osv.). Strukturerede obligationer omfatter ikke gældsinstrumenter, der udelukkende omfatter call- eller put-optioner, dvs. instrumentets værdi afhænger ikke af en indbygget derivatkomponent.</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pacing w:val="-2"/>
                <w:w w:val="95"/>
                <w:sz w:val="20"/>
              </w:rPr>
              <w:t>Usikret seniorgæld</w:t>
            </w:r>
          </w:p>
          <w:p w:rsidR="0081175C" w:rsidRPr="005B425B" w:rsidRDefault="00EF01C1"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Dette omfatter alle usikrede seniorinstrumenter, der ikke indgår i kategorien strukturerede obligationer.</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0B7DC6"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5B425B"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Ikke-foranstillet seniorgæld</w:t>
            </w:r>
          </w:p>
          <w:p w:rsidR="00C92D66" w:rsidRPr="005B425B"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Beløbet for enhver af følgende forpligtelser:</w:t>
            </w:r>
          </w:p>
          <w:p w:rsidR="00C92D66" w:rsidRPr="005B425B"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Usikrede fordringer vedrørende gældsinstrumenter, der opfylder betingelserne i artikel 108, stk. 2, litra a), b) og c), og stk. 3, i direktiv 2014/59/EU </w:t>
            </w:r>
          </w:p>
          <w:p w:rsidR="00C92D66" w:rsidRPr="005B425B"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Usikrede fordringer vedrørende gældsinstrumenter som omhandlet i artikel 108, stk. 5, første afsnit, litra b), i direktiv 2014/59/EF eller</w:t>
            </w:r>
          </w:p>
          <w:p w:rsidR="000B7DC6" w:rsidRPr="005B425B"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Gældsinstrumenter med den laveste prioritet blandt almindelige usikrede fordringer vedrørende gældsinstrumenter som omhandlet i artikel 108, stk. 7, i direktiv 2014/59/EU, for hvilke en medlemsstat, i overensstemmelse med samme stykke, har fastsat, at de har den samme prioritet som fordringer, der opfylder betingelserne i artikel 108, stk. 2, litra a), b) og c), og stk. 3, i direktiv 2014/59/EU.</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pacing w:val="-2"/>
                <w:w w:val="95"/>
                <w:sz w:val="20"/>
              </w:rPr>
              <w:t>Efterstillede forpligtelser</w:t>
            </w:r>
          </w:p>
          <w:p w:rsidR="0081175C" w:rsidRPr="005B425B"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Forpligtelser, der i henhold til national insolvensret først vil blive tilbagebetalt, efter at alle klasser af simple kreditorer og kreditorer til ikke-foranstillet seniorgæld er tilbagebetalt fuldt ud. Dette omfatter både kontraktmæssigt og vedtægtsmæssigt efterstillede forpligtelser. For så vidt angår holdingselskaber kan ikke-efterstillede gældsværdipapirer også indberettes i denne kategori (dvs. strukturel efterstillelse).</w:t>
            </w:r>
          </w:p>
          <w:p w:rsidR="00EF01C1" w:rsidRPr="005B425B"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Kun efterstillede instrumenter, der ikke anerkendes som kapitalgrundlag, skal inkluderes i denne kategori. </w:t>
            </w:r>
          </w:p>
          <w:p w:rsidR="0081175C" w:rsidRPr="005B425B" w:rsidRDefault="00EF01C1" w:rsidP="00EF01C1">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 xml:space="preserve">Denne række omfatter også den del af efterstillede forpligtelser, der i princippet betragtes som kapitalgrundlag, men som pga. udfasningsbestemmelser — som f.eks. artikel 64 i forordning (EU) nr. 575/2013 (restløbetid) eller tiende del i forordning (EU) nr. 575/2013 (grandfathering impact) — ikke indgår i kapitalgrundlaget. </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Andre MREL-nedskrivningsrelevante passiver</w:t>
            </w:r>
          </w:p>
          <w:p w:rsidR="0081175C" w:rsidRPr="005B425B" w:rsidRDefault="0081175C" w:rsidP="00CF2F2B">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Ethvert instrument, der er MREL-nedskrivningsrelevant, men ikke falder ind under række 0320 og 0340-</w:t>
            </w:r>
            <w:r w:rsidRPr="005B425B">
              <w:rPr>
                <w:rFonts w:ascii="Times New Roman" w:hAnsi="Times New Roman"/>
                <w:color w:val="000000" w:themeColor="text1"/>
                <w:spacing w:val="-2"/>
                <w:w w:val="95"/>
                <w:sz w:val="20"/>
              </w:rPr>
              <w:lastRenderedPageBreak/>
              <w:t>0370.</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lastRenderedPageBreak/>
              <w:t>0390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Ikke-finansielle forpligtelser</w:t>
            </w:r>
          </w:p>
          <w:p w:rsidR="0081175C" w:rsidRPr="005B425B" w:rsidRDefault="0081175C" w:rsidP="005B425B">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 xml:space="preserve">Denne række omfatter ikke-finansielle forpligtelser, der ikke vedrører gældsinstrumenter, hvis indehavere kan være omfattet af bail-in af praktiske årsager, f.eks. </w:t>
            </w:r>
            <w:r w:rsidR="005B425B" w:rsidRPr="005B425B">
              <w:rPr>
                <w:rFonts w:ascii="Times New Roman" w:hAnsi="Times New Roman"/>
                <w:color w:val="000000" w:themeColor="text1"/>
                <w:spacing w:val="-2"/>
                <w:w w:val="95"/>
                <w:sz w:val="20"/>
              </w:rPr>
              <w:t xml:space="preserve">beløb afsat til </w:t>
            </w:r>
            <w:r w:rsidRPr="005B425B">
              <w:rPr>
                <w:rFonts w:ascii="Times New Roman" w:hAnsi="Times New Roman"/>
                <w:color w:val="000000" w:themeColor="text1"/>
                <w:spacing w:val="-2"/>
                <w:w w:val="95"/>
                <w:sz w:val="20"/>
              </w:rPr>
              <w:t xml:space="preserve">retstvister, som virksomheden er genstand for. </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pacing w:val="-2"/>
                <w:w w:val="95"/>
                <w:sz w:val="20"/>
              </w:rPr>
              <w:t>Resterende forpligtelser</w:t>
            </w:r>
          </w:p>
          <w:p w:rsidR="0081175C" w:rsidRPr="005B425B" w:rsidRDefault="0081175C" w:rsidP="00C3490B">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 xml:space="preserve">Enhver forpligtelse, der ikke indberettes i række 0100-0390. </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5B425B"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z w:val="20"/>
              </w:rPr>
              <w:t>Kapitalgrundlag</w:t>
            </w:r>
          </w:p>
          <w:p w:rsidR="0081175C" w:rsidRPr="005B425B"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4, stk. 1, nr. 118), og artikel 72 i forordning (EU) nr. 575/2013</w:t>
            </w:r>
          </w:p>
          <w:p w:rsidR="00C62EEE" w:rsidRPr="005B425B"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Samme definition som COREP (OF): {C 01.00;010;010}</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pacing w:val="-2"/>
                <w:w w:val="95"/>
                <w:sz w:val="20"/>
              </w:rPr>
              <w:t>Egentlig kernekapital</w:t>
            </w:r>
          </w:p>
          <w:p w:rsidR="00C62EEE" w:rsidRPr="005B425B"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50 i forordning (EU) nr. 575/2013</w:t>
            </w:r>
          </w:p>
          <w:p w:rsidR="0081175C" w:rsidRPr="005B425B"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Samme definition som COREP (OF): {C 01.00;020;010}</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Heraf: kapitalinstrumenter/aktiekapital</w:t>
            </w:r>
          </w:p>
          <w:p w:rsidR="0081175C" w:rsidRPr="005B425B" w:rsidRDefault="00FA24AE"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Retlige instrumenter, der udgør (en del af) den egentlige kernekapital i form af kapitalinstrumenter/aktiekapital</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Heraf: instrumenter, der rangerer på samme niveau som ordinære aktier</w:t>
            </w:r>
          </w:p>
          <w:p w:rsidR="0081175C" w:rsidRPr="005B425B" w:rsidRDefault="00FA24AE"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Retlige instrumenter, der udgør (en del af) det egentlige kernekapitalgrundlag i form af andre instrumenter end kapitalinstrumenter/aktiekapital, men rangerer på samme niveau som denne kategori</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pacing w:val="-2"/>
                <w:w w:val="95"/>
                <w:sz w:val="20"/>
              </w:rPr>
              <w:t>Hybrid kernekapital</w:t>
            </w:r>
          </w:p>
          <w:p w:rsidR="00C62EEE" w:rsidRPr="005B425B"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61 i forordning (EU) nr. 575/2013</w:t>
            </w:r>
          </w:p>
          <w:p w:rsidR="0081175C" w:rsidRPr="005B425B"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Samme definition som COREP (OF): {C 01.00;530;010}</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Heraf: (del af) efterstillede forpligtelser, der indgår i kapitalgrundlaget</w:t>
            </w:r>
          </w:p>
          <w:p w:rsidR="0081175C" w:rsidRPr="005B425B" w:rsidRDefault="00FA24AE" w:rsidP="00FA24A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Retlige instrumenter, der udgør (en del af) den hybride kernekapital.</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Supplerende kapital</w:t>
            </w:r>
          </w:p>
          <w:p w:rsidR="00C62EEE" w:rsidRPr="005B425B"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71 i forordning (EU) nr. 575/2013</w:t>
            </w:r>
          </w:p>
          <w:p w:rsidR="0081175C" w:rsidRPr="005B425B"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Samme definition som COREP (OF): {C 01.00;750;010}</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Heraf: (del af) efterstillede forpligtelser, der indgår i kapitalgrundlaget</w:t>
            </w:r>
          </w:p>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Denne oversigt indeholder de retlige instrumenter, der udgør (en del af) det supplerende kapitalgrundlag.</w:t>
            </w:r>
          </w:p>
        </w:tc>
      </w:tr>
      <w:tr w:rsidR="00D22EB0" w:rsidRPr="005B425B" w:rsidTr="00367C1E">
        <w:tc>
          <w:tcPr>
            <w:tcW w:w="908" w:type="dxa"/>
            <w:tcBorders>
              <w:top w:val="single" w:sz="4" w:space="0" w:color="1A171C"/>
              <w:left w:val="nil"/>
              <w:bottom w:val="single" w:sz="4" w:space="0" w:color="1A171C"/>
              <w:right w:val="single" w:sz="4" w:space="0" w:color="1A171C"/>
            </w:tcBorders>
            <w:vAlign w:val="center"/>
          </w:tcPr>
          <w:p w:rsidR="0081175C" w:rsidRPr="005B425B" w:rsidRDefault="00903E0D" w:rsidP="00367C1E">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5B425B"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Samlede forpligtelser &amp; kapitalgrundlag inkl. derivatforpligtelser</w:t>
            </w:r>
          </w:p>
          <w:p w:rsidR="0081175C" w:rsidRPr="005B425B" w:rsidRDefault="0081175C" w:rsidP="00100FC4">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Summen af alle forpligtelser indberettet i dette skema og det lovpligtige kapitalgrundlag. Beløbet fås ved sammenlægning af alle beløbene i ovenstående rækker. For derivater er den værdi, der skal anvendes, række 0334, "Summen af nettogældspositioner under hensyntagen til reglerne for tilsynsmæssig netting".</w:t>
            </w:r>
          </w:p>
        </w:tc>
      </w:tr>
    </w:tbl>
    <w:p w:rsidR="00E13CE3" w:rsidRPr="005B425B" w:rsidRDefault="00F7117F" w:rsidP="008854E4">
      <w:pPr>
        <w:pStyle w:val="Instructionsberschrift2"/>
        <w:numPr>
          <w:ilvl w:val="1"/>
          <w:numId w:val="7"/>
        </w:numPr>
        <w:ind w:left="357" w:hanging="357"/>
        <w:rPr>
          <w:rFonts w:ascii="Times New Roman" w:hAnsi="Times New Roman" w:cs="Times New Roman"/>
          <w:szCs w:val="20"/>
        </w:rPr>
      </w:pPr>
      <w:bookmarkStart w:id="22" w:name="_Toc492542323"/>
      <w:bookmarkStart w:id="23" w:name="_Toc509909041"/>
      <w:bookmarkStart w:id="24" w:name="_Toc525120139"/>
      <w:r w:rsidRPr="005B425B">
        <w:rPr>
          <w:rFonts w:ascii="Times New Roman" w:hAnsi="Times New Roman"/>
        </w:rPr>
        <w:t>Z 03.00 — Krav til kapitalgrundlag (OWN)</w:t>
      </w:r>
      <w:bookmarkEnd w:id="22"/>
      <w:bookmarkEnd w:id="23"/>
      <w:bookmarkEnd w:id="24"/>
    </w:p>
    <w:p w:rsidR="00F73F97" w:rsidRPr="005B425B" w:rsidRDefault="00F73F97" w:rsidP="00EC261B">
      <w:pPr>
        <w:pStyle w:val="Instructionsberschrift3"/>
      </w:pPr>
      <w:r w:rsidRPr="005B425B">
        <w:t>Generelt</w:t>
      </w:r>
    </w:p>
    <w:p w:rsidR="002449CC" w:rsidRPr="005B425B" w:rsidRDefault="002449CC"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Formået med dette skema er at indsamle oplysninger om kravene til kapitalgrundlag for en enhed eller en koncern.</w:t>
      </w:r>
    </w:p>
    <w:p w:rsidR="00B93E39" w:rsidRPr="005B425B" w:rsidRDefault="00B93E39"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lastRenderedPageBreak/>
        <w:t>Alle indberettede oplysninger skal være i overensstemmelse med de krav til kapitalgrundlag, der gælder på referencedatoen for indberetningen.</w:t>
      </w:r>
    </w:p>
    <w:p w:rsidR="00B93E39" w:rsidRPr="005B425B" w:rsidRDefault="000447AD"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De oplysninger om søjle 2-krav, der indberettes i dette skema, skal være baseret på den seneste tilgængelige officielle skrivelse fra SREP, som oplyst af den kompetente myndighed.</w:t>
      </w:r>
    </w:p>
    <w:p w:rsidR="00066E8E" w:rsidRPr="005B425B" w:rsidRDefault="00066E8E"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Hvis den enhed, indberetningen vedrører, ikke er underlagt kapitalkrav på individuel basis, skal den kun indberette række 0110.</w:t>
      </w:r>
    </w:p>
    <w:p w:rsidR="00E13CE3" w:rsidRPr="005B425B" w:rsidRDefault="00E13CE3" w:rsidP="00EC261B">
      <w:pPr>
        <w:pStyle w:val="Instructionsberschrift3"/>
      </w:pPr>
      <w:r w:rsidRPr="005B425B">
        <w:t>Instrukser vedrørende specifikke positioner</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5B425B"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5B425B" w:rsidRDefault="00FE3E96" w:rsidP="001C68A5">
            <w:pPr>
              <w:pStyle w:val="TableParagraph"/>
              <w:spacing w:before="66"/>
              <w:rPr>
                <w:rFonts w:ascii="Times New Roman" w:eastAsia="Cambria" w:hAnsi="Times New Roman" w:cs="Times New Roman"/>
                <w:color w:val="000000" w:themeColor="text1"/>
                <w:sz w:val="20"/>
                <w:szCs w:val="20"/>
              </w:rPr>
            </w:pPr>
            <w:r w:rsidRPr="005B425B">
              <w:rPr>
                <w:rFonts w:ascii="Times New Roman" w:hAnsi="Times New Roman"/>
                <w:color w:val="000000" w:themeColor="text1"/>
                <w:sz w:val="20"/>
              </w:rPr>
              <w:t>Række</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5B425B"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sidRPr="005B425B">
              <w:rPr>
                <w:rFonts w:ascii="Times New Roman" w:hAnsi="Times New Roman"/>
                <w:color w:val="000000" w:themeColor="text1"/>
                <w:spacing w:val="-1"/>
                <w:w w:val="90"/>
                <w:sz w:val="20"/>
              </w:rPr>
              <w:t>Instrukser</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FE3E96" w:rsidRPr="005B425B" w:rsidRDefault="007F33DF" w:rsidP="001C68A5">
            <w:pPr>
              <w:pStyle w:val="TableParagraph"/>
              <w:spacing w:before="106"/>
              <w:ind w:left="-1"/>
              <w:rPr>
                <w:rFonts w:ascii="Times New Roman" w:eastAsia="Cambria" w:hAnsi="Times New Roman" w:cs="Times New Roman"/>
                <w:b/>
                <w:color w:val="000000" w:themeColor="text1"/>
                <w:sz w:val="20"/>
                <w:szCs w:val="20"/>
              </w:rPr>
            </w:pPr>
            <w:r w:rsidRPr="005B425B">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5B425B" w:rsidRDefault="00FE3E96" w:rsidP="00B525EC">
            <w:pPr>
              <w:pStyle w:val="TableParagraph"/>
              <w:spacing w:before="108"/>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Samlet risikoeksponering</w:t>
            </w:r>
          </w:p>
          <w:p w:rsidR="00FE3E96" w:rsidRPr="005B425B"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92, stk. 3, i forordning (EU) nr. 575/2013</w:t>
            </w:r>
          </w:p>
          <w:p w:rsidR="00271815" w:rsidRPr="005B425B" w:rsidRDefault="009F5277" w:rsidP="00B525EC">
            <w:pPr>
              <w:pStyle w:val="TableParagraph"/>
              <w:spacing w:before="108"/>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1"/>
                <w:w w:val="95"/>
                <w:sz w:val="20"/>
              </w:rPr>
              <w:t>Se Z 01.00, kolonne 0100</w:t>
            </w:r>
          </w:p>
          <w:p w:rsidR="00255A8C" w:rsidRPr="005B425B" w:rsidRDefault="00271815" w:rsidP="00B525EC">
            <w:pPr>
              <w:pStyle w:val="TableParagraph"/>
              <w:spacing w:before="108"/>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Den samlede risikoeksponering som defineret for COREP (OF): {C 02.00;010;010}</w:t>
            </w:r>
          </w:p>
        </w:tc>
      </w:tr>
      <w:tr w:rsidR="00D22EB0" w:rsidRPr="005B425B" w:rsidTr="007D4291">
        <w:trPr>
          <w:trHeight w:val="1152"/>
        </w:trPr>
        <w:tc>
          <w:tcPr>
            <w:tcW w:w="0" w:type="auto"/>
            <w:tcBorders>
              <w:top w:val="single" w:sz="4" w:space="0" w:color="1A171C"/>
              <w:left w:val="nil"/>
              <w:bottom w:val="single" w:sz="4" w:space="0" w:color="1A171C"/>
              <w:right w:val="single" w:sz="4" w:space="0" w:color="1A171C"/>
            </w:tcBorders>
          </w:tcPr>
          <w:p w:rsidR="00271815" w:rsidRPr="005B425B" w:rsidRDefault="00271815" w:rsidP="00D66D58">
            <w:pPr>
              <w:pStyle w:val="TableParagraph"/>
              <w:spacing w:before="106"/>
              <w:ind w:left="-1"/>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5B425B"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sidRPr="005B425B">
              <w:rPr>
                <w:rFonts w:ascii="Times New Roman" w:hAnsi="Times New Roman"/>
                <w:b/>
                <w:color w:val="000000" w:themeColor="text1"/>
                <w:spacing w:val="-2"/>
                <w:w w:val="95"/>
                <w:sz w:val="20"/>
              </w:rPr>
              <w:t xml:space="preserve">Bidrag til den samlede konsoliderede risikoeksponering </w:t>
            </w:r>
          </w:p>
          <w:p w:rsidR="00D66D58" w:rsidRPr="005B425B" w:rsidRDefault="00D66D58" w:rsidP="00B525EC">
            <w:pPr>
              <w:pStyle w:val="TableParagraph"/>
              <w:spacing w:before="108"/>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Se Z 01.00, kolonne 0140</w:t>
            </w:r>
          </w:p>
          <w:p w:rsidR="00D66D58" w:rsidRPr="005B425B" w:rsidRDefault="00D66D58" w:rsidP="00B525EC">
            <w:pPr>
              <w:pStyle w:val="TableParagraph"/>
              <w:spacing w:before="108"/>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Samlet eksponeringsværdi bag gearingsgraden som defineret for COREP (LR): {C 47.00;290;010}</w:t>
            </w:r>
          </w:p>
          <w:p w:rsidR="00271815" w:rsidRPr="005B425B"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sidRPr="005B425B">
              <w:rPr>
                <w:rFonts w:ascii="Times New Roman" w:hAnsi="Times New Roman"/>
                <w:color w:val="000000" w:themeColor="text1"/>
                <w:spacing w:val="-2"/>
                <w:w w:val="95"/>
                <w:sz w:val="20"/>
              </w:rPr>
              <w:t>Denne post indberettes kun for enheder, der ikke er underlagt kapitalkrav på individuel basis.</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7E7CB4" w:rsidRPr="005B425B" w:rsidRDefault="007F33DF" w:rsidP="001C68A5">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0210 - 0250</w:t>
            </w:r>
          </w:p>
        </w:tc>
        <w:tc>
          <w:tcPr>
            <w:tcW w:w="8277" w:type="dxa"/>
            <w:tcBorders>
              <w:top w:val="single" w:sz="4" w:space="0" w:color="1A171C"/>
              <w:left w:val="single" w:sz="4" w:space="0" w:color="1A171C"/>
              <w:bottom w:val="single" w:sz="4" w:space="0" w:color="1A171C"/>
              <w:right w:val="nil"/>
            </w:tcBorders>
            <w:vAlign w:val="center"/>
          </w:tcPr>
          <w:p w:rsidR="007E7CB4" w:rsidRPr="005B425B" w:rsidRDefault="009C3899"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Krav til startkapital og gearingsgrad</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FE3E96" w:rsidRPr="005B425B" w:rsidRDefault="007F33DF" w:rsidP="00BA3A8B">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5B425B" w:rsidRDefault="00B52DAF"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Startkapital</w:t>
            </w:r>
          </w:p>
          <w:p w:rsidR="00FE3E96" w:rsidRPr="005B425B"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12 samt artikel 28-31 i direktiv 2013/36/EU og artikel 93 i forordning (EU) nr. 575/2013</w:t>
            </w:r>
          </w:p>
          <w:p w:rsidR="00FE3E96" w:rsidRPr="005B425B" w:rsidRDefault="00FE3E96"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Den startkapital, der kræves som en betingelse for tilladelse til at påbegynde virksomhed som institut.</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FE3E96" w:rsidRPr="005B425B" w:rsidRDefault="007F33DF" w:rsidP="00BA3A8B">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5B425B" w:rsidRDefault="00FE3E96"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Krav til gearingsgrad</w:t>
            </w:r>
          </w:p>
          <w:p w:rsidR="00FE3E96" w:rsidRPr="005B425B"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Krav til gearingsgraden for enheden eller koncernen, udtrykt som en procentdel af den samlede eksponering bag gearingsgraden. Hvis der ikke gælder nogen formelle krav, skal enheden ikke udfylde denne celle.</w:t>
            </w:r>
          </w:p>
          <w:p w:rsidR="00A20924" w:rsidRPr="005B425B" w:rsidRDefault="00A20924" w:rsidP="00B525EC">
            <w:pPr>
              <w:pStyle w:val="TableParagraph"/>
              <w:spacing w:before="108"/>
              <w:jc w:val="both"/>
              <w:rPr>
                <w:rFonts w:ascii="Times New Roman"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Samlet eksponeringsværdi bag gearingsgraden som defineret for COREP (LR): {C 47.00;290;010}</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517EFA" w:rsidRPr="005B425B" w:rsidRDefault="009968AE" w:rsidP="001C68A5">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5B425B" w:rsidRDefault="009968AE"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Samlet SREP-kapitalkrav (TSCR) </w:t>
            </w:r>
          </w:p>
          <w:p w:rsidR="002F55A8" w:rsidRPr="005B425B"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COREP (OF): {C 03.00;130;010}</w:t>
            </w:r>
          </w:p>
          <w:p w:rsidR="00517EFA" w:rsidRPr="005B425B" w:rsidRDefault="00517EFA" w:rsidP="0073582D">
            <w:pPr>
              <w:pStyle w:val="InstructionsText"/>
              <w:numPr>
                <w:ilvl w:val="0"/>
                <w:numId w:val="0"/>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Summen af i) og ii) som følger:</w:t>
            </w:r>
          </w:p>
          <w:p w:rsidR="00517EFA" w:rsidRPr="005B425B" w:rsidRDefault="00517EFA" w:rsidP="0073582D">
            <w:pPr>
              <w:pStyle w:val="InstructionsText"/>
              <w:ind w:left="789" w:hanging="567"/>
              <w:rPr>
                <w:rFonts w:ascii="Times New Roman" w:hAnsi="Times New Roman" w:cs="Times New Roman"/>
                <w:color w:val="000000" w:themeColor="text1"/>
                <w:sz w:val="20"/>
                <w:szCs w:val="20"/>
              </w:rPr>
            </w:pPr>
            <w:r w:rsidRPr="005B425B">
              <w:rPr>
                <w:rFonts w:ascii="Times New Roman" w:hAnsi="Times New Roman"/>
                <w:color w:val="000000" w:themeColor="text1"/>
                <w:sz w:val="20"/>
              </w:rPr>
              <w:t xml:space="preserve">den samlede kapitalprocent (8 %) som specificeret i artikel 92, stk. 1, litra c), i forordning (EU) nr. 575/2013 </w:t>
            </w:r>
          </w:p>
          <w:p w:rsidR="00517EFA" w:rsidRPr="005B425B" w:rsidRDefault="00517EFA" w:rsidP="0073582D">
            <w:pPr>
              <w:pStyle w:val="InstructionsText"/>
              <w:ind w:left="789" w:hanging="567"/>
              <w:rPr>
                <w:rFonts w:ascii="Times New Roman" w:hAnsi="Times New Roman" w:cs="Times New Roman"/>
                <w:color w:val="000000" w:themeColor="text1"/>
                <w:sz w:val="20"/>
                <w:szCs w:val="20"/>
              </w:rPr>
            </w:pPr>
            <w:r w:rsidRPr="005B425B">
              <w:rPr>
                <w:rFonts w:ascii="Times New Roman" w:hAnsi="Times New Roman"/>
                <w:color w:val="000000" w:themeColor="text1"/>
                <w:sz w:val="20"/>
              </w:rPr>
              <w:t xml:space="preserve">de yderligere krav til kapitalgrundlag (søjle 2-krav — P2R), beregnet i overensstemmelse med kriterierne i EBA's retningslinjer </w:t>
            </w:r>
            <w:r w:rsidRPr="005B425B">
              <w:rPr>
                <w:rFonts w:ascii="Times New Roman" w:hAnsi="Times New Roman"/>
                <w:i/>
                <w:color w:val="000000" w:themeColor="text1"/>
                <w:sz w:val="20"/>
              </w:rPr>
              <w:t xml:space="preserve">Guidelines on common procedures and methodologies for the supervisory review and evaluation process and supervisory stress testing </w:t>
            </w:r>
            <w:r w:rsidRPr="005B425B">
              <w:rPr>
                <w:rFonts w:ascii="Times New Roman" w:hAnsi="Times New Roman"/>
                <w:color w:val="000000" w:themeColor="text1"/>
                <w:sz w:val="20"/>
              </w:rPr>
              <w:t>(EBA SREP GL).</w:t>
            </w:r>
          </w:p>
          <w:p w:rsidR="00517EFA" w:rsidRPr="005B425B" w:rsidRDefault="00517EFA" w:rsidP="0073582D">
            <w:pPr>
              <w:pStyle w:val="InstructionsText"/>
              <w:numPr>
                <w:ilvl w:val="0"/>
                <w:numId w:val="0"/>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Denne post skal vise det samlede SREP-kapitalkrav (TSCR) som meddelt instituttet af den kompetente myndighed. TSCR er defineret i afsnit punkt 1.2 i EBA SREP GL.</w:t>
            </w:r>
          </w:p>
          <w:p w:rsidR="00517EFA" w:rsidRPr="005B425B" w:rsidRDefault="00517EFA"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z w:val="20"/>
              </w:rPr>
              <w:t>Hvis den kompetente myndighed ikke har oplyst om nogen yderligere krav til kapitalgrundlag, er det kun nr. i), der skal indberettes.</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122E1B" w:rsidRPr="005B425B" w:rsidRDefault="0060078E" w:rsidP="009D7DA8">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5B425B" w:rsidRDefault="00122E1B"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TSCR: som skal bestå af egentlig kernekapital </w:t>
            </w:r>
          </w:p>
          <w:p w:rsidR="002F55A8" w:rsidRPr="005B425B"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COREP (OF): {C 03.00;140;010}</w:t>
            </w:r>
          </w:p>
          <w:p w:rsidR="00122E1B" w:rsidRPr="005B425B" w:rsidRDefault="00122E1B" w:rsidP="00B525EC">
            <w:pPr>
              <w:pStyle w:val="TableParagraph"/>
              <w:spacing w:before="108"/>
              <w:jc w:val="both"/>
              <w:rPr>
                <w:rFonts w:ascii="Times New Roman" w:hAnsi="Times New Roman" w:cs="Times New Roman"/>
                <w:bCs/>
                <w:color w:val="000000" w:themeColor="text1"/>
                <w:sz w:val="20"/>
                <w:szCs w:val="20"/>
              </w:rPr>
            </w:pPr>
            <w:r w:rsidRPr="005B425B">
              <w:rPr>
                <w:rFonts w:ascii="Times New Roman" w:hAnsi="Times New Roman"/>
                <w:color w:val="000000" w:themeColor="text1"/>
                <w:sz w:val="20"/>
              </w:rPr>
              <w:lastRenderedPageBreak/>
              <w:t>Summen af i) og ii) som følger:</w:t>
            </w:r>
          </w:p>
          <w:p w:rsidR="00122E1B" w:rsidRPr="005B425B" w:rsidRDefault="00122E1B" w:rsidP="00B525EC">
            <w:pPr>
              <w:pStyle w:val="TableParagraph"/>
              <w:spacing w:before="108"/>
              <w:jc w:val="both"/>
              <w:rPr>
                <w:rFonts w:ascii="Times New Roman" w:hAnsi="Times New Roman" w:cs="Times New Roman"/>
                <w:bCs/>
                <w:color w:val="000000" w:themeColor="text1"/>
                <w:sz w:val="20"/>
                <w:szCs w:val="20"/>
              </w:rPr>
            </w:pPr>
            <w:r w:rsidRPr="005B425B">
              <w:rPr>
                <w:rFonts w:ascii="Times New Roman" w:hAnsi="Times New Roman"/>
                <w:color w:val="000000" w:themeColor="text1"/>
                <w:sz w:val="20"/>
              </w:rPr>
              <w:t>i)</w:t>
            </w:r>
            <w:r w:rsidRPr="005B425B">
              <w:tab/>
            </w:r>
            <w:r w:rsidRPr="005B425B">
              <w:rPr>
                <w:rFonts w:ascii="Times New Roman" w:hAnsi="Times New Roman"/>
                <w:color w:val="000000" w:themeColor="text1"/>
                <w:sz w:val="20"/>
              </w:rPr>
              <w:t>den egentlige kernekapitalprocent (4,5 %) som specificeret i artikel 92, stk. 1, litra a), i forordning (EU) nr. 575/2013</w:t>
            </w:r>
          </w:p>
          <w:p w:rsidR="00122E1B" w:rsidRPr="005B425B" w:rsidRDefault="00122E1B" w:rsidP="00B525EC">
            <w:pPr>
              <w:pStyle w:val="TableParagraph"/>
              <w:spacing w:before="108"/>
              <w:jc w:val="both"/>
              <w:rPr>
                <w:rFonts w:ascii="Times New Roman" w:hAnsi="Times New Roman" w:cs="Times New Roman"/>
                <w:bCs/>
                <w:color w:val="000000" w:themeColor="text1"/>
                <w:sz w:val="20"/>
                <w:szCs w:val="20"/>
              </w:rPr>
            </w:pPr>
            <w:r w:rsidRPr="005B425B">
              <w:rPr>
                <w:rFonts w:ascii="Times New Roman" w:hAnsi="Times New Roman"/>
                <w:color w:val="000000" w:themeColor="text1"/>
                <w:sz w:val="20"/>
              </w:rPr>
              <w:t>ii)</w:t>
            </w:r>
            <w:r w:rsidRPr="005B425B">
              <w:tab/>
            </w:r>
            <w:r w:rsidRPr="005B425B">
              <w:rPr>
                <w:rFonts w:ascii="Times New Roman" w:hAnsi="Times New Roman"/>
                <w:color w:val="000000" w:themeColor="text1"/>
                <w:sz w:val="20"/>
              </w:rPr>
              <w:t>den del af P2R-andelen, jf. nr. ii) i række 300, som den kompetente myndighed kræver holdt i form af egentlig kernekapital.</w:t>
            </w:r>
          </w:p>
          <w:p w:rsidR="00122E1B" w:rsidRPr="005B425B" w:rsidRDefault="00122E1B"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z w:val="20"/>
              </w:rPr>
              <w:t>Hvis den kompetente myndighed ikke har oplyst om nogen yderligere krav til kapitalgrundlag, der skal holdes i form af egentlig kernekapital, er det kun nr. i), der skal indberettes.</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122E1B" w:rsidRPr="005B425B" w:rsidRDefault="0060078E" w:rsidP="009D7DA8">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lastRenderedPageBreak/>
              <w:t>0320</w:t>
            </w:r>
          </w:p>
        </w:tc>
        <w:tc>
          <w:tcPr>
            <w:tcW w:w="8277" w:type="dxa"/>
            <w:tcBorders>
              <w:top w:val="single" w:sz="4" w:space="0" w:color="1A171C"/>
              <w:left w:val="single" w:sz="4" w:space="0" w:color="1A171C"/>
              <w:bottom w:val="single" w:sz="4" w:space="0" w:color="1A171C"/>
              <w:right w:val="nil"/>
            </w:tcBorders>
            <w:vAlign w:val="center"/>
          </w:tcPr>
          <w:p w:rsidR="00122E1B" w:rsidRPr="005B425B" w:rsidRDefault="00122E1B" w:rsidP="0073582D">
            <w:pPr>
              <w:pStyle w:val="InstructionsText"/>
              <w:rPr>
                <w:rStyle w:val="InstructionsTabelleberschrift"/>
                <w:rFonts w:ascii="Times New Roman" w:hAnsi="Times New Roman"/>
                <w:color w:val="000000" w:themeColor="text1"/>
                <w:szCs w:val="20"/>
                <w:u w:val="none"/>
              </w:rPr>
            </w:pPr>
            <w:r w:rsidRPr="005B425B">
              <w:rPr>
                <w:rStyle w:val="InstructionsTabelleberschrift"/>
                <w:rFonts w:ascii="Times New Roman" w:hAnsi="Times New Roman"/>
                <w:color w:val="000000" w:themeColor="text1"/>
                <w:u w:val="none"/>
              </w:rPr>
              <w:t>TSCR: som skal bestå af kernekapital</w:t>
            </w:r>
          </w:p>
          <w:p w:rsidR="002F55A8" w:rsidRPr="005B425B"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COREP (OF): {C 03.00;150;010}</w:t>
            </w:r>
          </w:p>
          <w:p w:rsidR="00122E1B" w:rsidRPr="005B425B" w:rsidRDefault="00122E1B" w:rsidP="00C80BDE">
            <w:pPr>
              <w:pStyle w:val="InstructionsText"/>
              <w:numPr>
                <w:ilvl w:val="0"/>
                <w:numId w:val="0"/>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Summen af i) og ii) som følger:</w:t>
            </w:r>
          </w:p>
          <w:p w:rsidR="00122E1B" w:rsidRPr="005B425B" w:rsidRDefault="00122E1B" w:rsidP="00715DAB">
            <w:pPr>
              <w:pStyle w:val="InstructionsText"/>
              <w:numPr>
                <w:ilvl w:val="0"/>
                <w:numId w:val="31"/>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kernekapitalprocenten (6 %) som specificeret i artikel 92, stk. 1, litra b), i forordning (EU) nr. 575/2013</w:t>
            </w:r>
          </w:p>
          <w:p w:rsidR="00122E1B" w:rsidRPr="005B425B"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sidRPr="005B425B">
              <w:rPr>
                <w:rFonts w:ascii="Times New Roman" w:hAnsi="Times New Roman"/>
                <w:color w:val="000000" w:themeColor="text1"/>
                <w:sz w:val="20"/>
              </w:rPr>
              <w:t>den del af P2R-andelen, jf. nr. ii) i række 300, som den kompetente myndighed kræver holdt i form af kernekapital.</w:t>
            </w:r>
          </w:p>
          <w:p w:rsidR="00122E1B" w:rsidRPr="005B425B" w:rsidRDefault="00122E1B"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z w:val="20"/>
              </w:rPr>
              <w:t>Hvis den kompetente myndighed ikke har oplyst om nogen yderligere krav til kapitalgrundlag, der skal holdes i form af kernekapital, er det kun nr. i), der skal indberettes.</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F24B99" w:rsidRPr="005B425B" w:rsidRDefault="00F24B99" w:rsidP="009D7DA8">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5B425B" w:rsidRDefault="00F24B99"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Kombinerede bufferkrav</w:t>
            </w:r>
          </w:p>
          <w:p w:rsidR="00F24B99" w:rsidRPr="005B425B"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128, nr. 6), i direktiv 2013/36/EU</w:t>
            </w:r>
          </w:p>
          <w:p w:rsidR="005337DD" w:rsidRPr="005B425B"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COREP (OF): {C 04.00;740;010}</w:t>
            </w:r>
          </w:p>
          <w:p w:rsidR="00F24B99" w:rsidRPr="005B425B"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046CD0" w:rsidRPr="005B425B" w:rsidRDefault="00046CD0" w:rsidP="009D7DA8">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5B425B" w:rsidRDefault="00046CD0"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Kapitalbevaringsbuffer</w:t>
            </w:r>
          </w:p>
          <w:p w:rsidR="00046CD0" w:rsidRPr="005B425B"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128, nr. 1), og artikel 129 i direktiv 2013/36/EU</w:t>
            </w:r>
          </w:p>
          <w:p w:rsidR="005337DD" w:rsidRPr="005B425B" w:rsidRDefault="005337DD" w:rsidP="00B525EC">
            <w:pPr>
              <w:pStyle w:val="TableParagraph"/>
              <w:spacing w:before="108"/>
              <w:jc w:val="both"/>
              <w:rPr>
                <w:rFonts w:ascii="Times New Roman" w:hAnsi="Times New Roman" w:cs="Times New Roman"/>
                <w:color w:val="000000" w:themeColor="text1"/>
                <w:sz w:val="20"/>
                <w:szCs w:val="20"/>
              </w:rPr>
            </w:pPr>
            <w:r w:rsidRPr="005B425B">
              <w:rPr>
                <w:rFonts w:ascii="Times New Roman" w:hAnsi="Times New Roman"/>
                <w:color w:val="000000" w:themeColor="text1"/>
                <w:spacing w:val="-2"/>
                <w:w w:val="95"/>
                <w:sz w:val="20"/>
              </w:rPr>
              <w:t>COREP (OF): {C 04.00;750;010}).</w:t>
            </w:r>
          </w:p>
          <w:p w:rsidR="00413A0F" w:rsidRPr="005B425B"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I henhold til artikel 129, stk. 1, er kapitalbevaringsbufferen et beløb ud over den egentlige kernekapital. Eftersom satsen på 2,5 % for kapitalbevaringsbufferen er stabil, skal der indberettes et beløb i denne celle.</w:t>
            </w:r>
          </w:p>
          <w:p w:rsidR="00046CD0" w:rsidRPr="005B425B"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5337DD" w:rsidRPr="005B425B" w:rsidRDefault="005337DD" w:rsidP="008C24D4">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5B425B" w:rsidRDefault="005337DD" w:rsidP="00B525EC">
            <w:pPr>
              <w:rPr>
                <w:rStyle w:val="InstructionsTabelleberschrift"/>
                <w:rFonts w:ascii="Times New Roman" w:hAnsi="Times New Roman"/>
                <w:color w:val="000000" w:themeColor="text1"/>
                <w:szCs w:val="20"/>
                <w:u w:val="none"/>
              </w:rPr>
            </w:pPr>
            <w:r w:rsidRPr="005B425B">
              <w:rPr>
                <w:rStyle w:val="InstructionsTabelleberschrift"/>
                <w:rFonts w:ascii="Times New Roman" w:hAnsi="Times New Roman"/>
                <w:color w:val="000000" w:themeColor="text1"/>
                <w:u w:val="none"/>
              </w:rPr>
              <w:t>Bevaringsbuffer som følge af makroprudentiel eller systemisk risiko identificeret på medlemsstatsniveau</w:t>
            </w:r>
          </w:p>
          <w:p w:rsidR="005337DD" w:rsidRPr="005B425B" w:rsidRDefault="005337DD" w:rsidP="00B525EC">
            <w:pPr>
              <w:rPr>
                <w:rStyle w:val="InstructionsTabelleberschrift"/>
                <w:rFonts w:ascii="Times New Roman" w:hAnsi="Times New Roman"/>
                <w:color w:val="000000" w:themeColor="text1"/>
                <w:szCs w:val="20"/>
                <w:u w:val="none"/>
              </w:rPr>
            </w:pPr>
          </w:p>
          <w:p w:rsidR="005337DD" w:rsidRPr="005B425B" w:rsidRDefault="005337DD" w:rsidP="00B525EC">
            <w:pPr>
              <w:rPr>
                <w:rStyle w:val="InstructionsTabelleberschrift"/>
                <w:rFonts w:ascii="Times New Roman" w:hAnsi="Times New Roman"/>
                <w:b w:val="0"/>
                <w:color w:val="000000" w:themeColor="text1"/>
                <w:szCs w:val="20"/>
                <w:u w:val="none"/>
              </w:rPr>
            </w:pPr>
            <w:r w:rsidRPr="005B425B">
              <w:rPr>
                <w:rStyle w:val="InstructionsTabelleberschrift"/>
                <w:rFonts w:ascii="Times New Roman" w:hAnsi="Times New Roman"/>
                <w:b w:val="0"/>
                <w:color w:val="000000" w:themeColor="text1"/>
                <w:u w:val="none"/>
              </w:rPr>
              <w:t>Artikel 458, stk. 2, litra d), nr. iv), i forordning (EU) nr. 575/2013</w:t>
            </w:r>
          </w:p>
          <w:p w:rsidR="0039780B" w:rsidRPr="005B425B"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sidRPr="005B425B">
              <w:rPr>
                <w:rFonts w:ascii="Times New Roman" w:hAnsi="Times New Roman"/>
                <w:color w:val="000000" w:themeColor="text1"/>
                <w:spacing w:val="-2"/>
                <w:w w:val="95"/>
                <w:sz w:val="20"/>
              </w:rPr>
              <w:t>COREP (OF): {C 04.00;760;010}).</w:t>
            </w:r>
          </w:p>
          <w:p w:rsidR="005337DD" w:rsidRPr="005B425B" w:rsidRDefault="005337DD" w:rsidP="00B525EC">
            <w:pPr>
              <w:pStyle w:val="TableParagraph"/>
              <w:spacing w:before="108"/>
              <w:jc w:val="both"/>
              <w:rPr>
                <w:rFonts w:ascii="Times New Roman" w:hAnsi="Times New Roman" w:cs="Times New Roman"/>
                <w:color w:val="000000" w:themeColor="text1"/>
                <w:sz w:val="20"/>
                <w:szCs w:val="20"/>
              </w:rPr>
            </w:pPr>
            <w:r w:rsidRPr="005B425B">
              <w:rPr>
                <w:rFonts w:ascii="Times New Roman" w:hAnsi="Times New Roman"/>
                <w:color w:val="000000" w:themeColor="text1"/>
                <w:sz w:val="20"/>
              </w:rPr>
              <w:t>I denne celle indberettes det beløb for bevaringsbufferen som følge af makroprudentiel eller systemisk risiko identificeret på medlemsstatsniveau, der ud over kapitalbevaringsbufferen kan kræves i henhold til artikel 458 i forordning (EU) nr. 575/2013.</w:t>
            </w:r>
          </w:p>
          <w:p w:rsidR="002F55A8" w:rsidRPr="005B425B" w:rsidRDefault="002F55A8" w:rsidP="00B525EC">
            <w:pPr>
              <w:pStyle w:val="TableParagraph"/>
              <w:spacing w:before="108"/>
              <w:jc w:val="both"/>
              <w:rPr>
                <w:rFonts w:ascii="Times New Roman" w:hAnsi="Times New Roman" w:cs="Times New Roman"/>
                <w:color w:val="000000" w:themeColor="text1"/>
                <w:sz w:val="20"/>
                <w:szCs w:val="20"/>
              </w:rPr>
            </w:pPr>
            <w:r w:rsidRPr="005B425B">
              <w:rPr>
                <w:rFonts w:ascii="Times New Roman" w:hAnsi="Times New Roman"/>
                <w:color w:val="000000" w:themeColor="text1"/>
                <w:sz w:val="20"/>
              </w:rPr>
              <w:t>Det indberettede beløb skal repræsentere det kapitalgrundlag, der er nødvendigt for at opfylde de respektive kapitalbufferkrav på indberetningsdatoen.</w:t>
            </w:r>
          </w:p>
          <w:p w:rsidR="005337DD" w:rsidRPr="005B425B"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1F7941" w:rsidRPr="005B425B" w:rsidRDefault="001F7941" w:rsidP="00A94CD3">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5B425B" w:rsidRDefault="001F7941"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Institutspecifik kontracyklisk kapitalbuffer </w:t>
            </w:r>
          </w:p>
          <w:p w:rsidR="001F7941" w:rsidRPr="005B425B"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128, nr. 2), artikel 130 og artikel 135-140 i direktiv 2013/36/EU</w:t>
            </w:r>
          </w:p>
          <w:p w:rsidR="005337DD" w:rsidRPr="005B425B"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(se COREP (OF): {C 04.00;770;010}).</w:t>
            </w:r>
          </w:p>
          <w:p w:rsidR="001F7941" w:rsidRPr="005B425B"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Det indberettede beløb skal repræsentere det kapitalgrundlag, der er nødvendigt for at opfylde de respektive kapitalbufferkrav på indberetningsdatoen.</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046CD0" w:rsidRPr="005B425B" w:rsidRDefault="00046CD0" w:rsidP="00A94CD3">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lastRenderedPageBreak/>
              <w:t>0440</w:t>
            </w:r>
          </w:p>
        </w:tc>
        <w:tc>
          <w:tcPr>
            <w:tcW w:w="8277" w:type="dxa"/>
            <w:tcBorders>
              <w:top w:val="single" w:sz="4" w:space="0" w:color="1A171C"/>
              <w:left w:val="single" w:sz="4" w:space="0" w:color="1A171C"/>
              <w:bottom w:val="single" w:sz="4" w:space="0" w:color="1A171C"/>
              <w:right w:val="nil"/>
            </w:tcBorders>
            <w:vAlign w:val="center"/>
          </w:tcPr>
          <w:p w:rsidR="00046CD0" w:rsidRPr="005B425B" w:rsidRDefault="00046CD0"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Systemisk risikobuffer</w:t>
            </w:r>
          </w:p>
          <w:p w:rsidR="00046CD0" w:rsidRPr="005B425B"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128, nr. 5), samt artikel 133 og 134 i direktiv 2013/36/EU</w:t>
            </w:r>
          </w:p>
          <w:p w:rsidR="005337DD" w:rsidRPr="005B425B"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(se COREP (OF): {C 04.00;780;010}).</w:t>
            </w:r>
          </w:p>
          <w:p w:rsidR="00046CD0" w:rsidRPr="005B425B"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Det indberettede beløb skal repræsentere det kapitalgrundlag, der er nødvendigt for at opfylde de respektive kapitalbufferkrav på indberetningsdatoen.</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046CD0" w:rsidRPr="005B425B" w:rsidRDefault="00046CD0" w:rsidP="00331567">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5B425B" w:rsidRDefault="00046CD0"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Buffer for globale systemisk vigtige institutter</w:t>
            </w:r>
          </w:p>
          <w:p w:rsidR="00046CD0" w:rsidRPr="005B425B"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128, nr. 3), og artikel 131 i direktiv 2013/36/EU</w:t>
            </w:r>
          </w:p>
          <w:p w:rsidR="002F55A8" w:rsidRPr="005B425B"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COREP (OF): {C 04.00;800;010}</w:t>
            </w:r>
          </w:p>
          <w:p w:rsidR="00046CD0" w:rsidRPr="005B425B"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Det indberettede beløb skal repræsentere det kapitalgrundlag, der er nødvendigt for at opfylde de respektive kapitalbufferkrav på indberetningsdatoen.</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046CD0" w:rsidRPr="005B425B" w:rsidRDefault="00046CD0" w:rsidP="00331567">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5B425B" w:rsidRDefault="00046CD0"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Buffer for andre systemisk vigtige institutter</w:t>
            </w:r>
          </w:p>
          <w:p w:rsidR="00046CD0" w:rsidRPr="005B425B"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128, nr. 4), og artikel 131 i direktiv 2013/36/EU</w:t>
            </w:r>
          </w:p>
          <w:p w:rsidR="0039780B" w:rsidRPr="005B425B"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COREP (OF): {C 04.00;810;010}</w:t>
            </w:r>
          </w:p>
          <w:p w:rsidR="00046CD0" w:rsidRPr="005B425B"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Det indberettede beløb skal repræsentere det kapitalgrundlag, der er nødvendigt for at opfylde de respektive kapitalbufferkrav på indberetningsdatoen.</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7E7CB4" w:rsidRPr="005B425B" w:rsidRDefault="005C514D" w:rsidP="001C68A5">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5B425B" w:rsidRDefault="005C514D"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Overordnet kapitalkrav (OCR)</w:t>
            </w:r>
          </w:p>
          <w:p w:rsidR="00B4561B" w:rsidRPr="005B425B"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COREP (OF): {C 03.00;160;010}</w:t>
            </w:r>
          </w:p>
          <w:p w:rsidR="00B77E4E" w:rsidRPr="005B425B"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sidRPr="005B425B">
              <w:rPr>
                <w:rFonts w:ascii="Times New Roman" w:hAnsi="Times New Roman"/>
                <w:color w:val="000000" w:themeColor="text1"/>
                <w:sz w:val="20"/>
              </w:rPr>
              <w:t>Summen af i) og ii) som følger:</w:t>
            </w:r>
          </w:p>
          <w:p w:rsidR="00B77E4E" w:rsidRPr="005B425B" w:rsidRDefault="00B77E4E" w:rsidP="00715DAB">
            <w:pPr>
              <w:pStyle w:val="InstructionsText"/>
              <w:numPr>
                <w:ilvl w:val="0"/>
                <w:numId w:val="32"/>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TSCR-andelen, jf. række 0300</w:t>
            </w:r>
          </w:p>
          <w:p w:rsidR="00B77E4E" w:rsidRPr="005B425B" w:rsidRDefault="00B77E4E" w:rsidP="00715DAB">
            <w:pPr>
              <w:pStyle w:val="InstructionsText"/>
              <w:numPr>
                <w:ilvl w:val="0"/>
                <w:numId w:val="32"/>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hvis det er påkrævet iht. lovgivningen, det kombinerede bufferkrav, jf. artikel 128, nr. 6), i direktiv 2013/36/EU.</w:t>
            </w:r>
          </w:p>
          <w:p w:rsidR="00B77E4E" w:rsidRPr="005B425B" w:rsidRDefault="00B77E4E" w:rsidP="00C80BDE">
            <w:pPr>
              <w:pStyle w:val="InstructionsText"/>
              <w:numPr>
                <w:ilvl w:val="0"/>
                <w:numId w:val="0"/>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Denne post skal vis det overordnede kapitalkrav (OCR) som defineret i punkt 1.2 i EBA's SREP-retningslinjer.</w:t>
            </w:r>
          </w:p>
          <w:p w:rsidR="00B77E4E" w:rsidRPr="005B425B" w:rsidRDefault="00B77E4E"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z w:val="20"/>
              </w:rPr>
              <w:t>Hvis der ikke gælder bufferkrav, er det kun nr. i), der skal indberettes.</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4E1838" w:rsidRPr="005B425B" w:rsidRDefault="004E1838" w:rsidP="001C68A5">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5B425B" w:rsidRDefault="004E1838"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OCR: som skal bestå af egentlig kernekapital</w:t>
            </w:r>
          </w:p>
          <w:p w:rsidR="004E1838" w:rsidRPr="005B425B"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COREP (OF): {C 03.00;170;010}</w:t>
            </w:r>
          </w:p>
          <w:p w:rsidR="004E1838" w:rsidRPr="005B425B" w:rsidRDefault="004E1838" w:rsidP="00C80BDE">
            <w:pPr>
              <w:pStyle w:val="InstructionsText"/>
              <w:numPr>
                <w:ilvl w:val="0"/>
                <w:numId w:val="0"/>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Summen af i) og ii) som følger:</w:t>
            </w:r>
          </w:p>
          <w:p w:rsidR="004E1838" w:rsidRPr="005B425B" w:rsidRDefault="004E1838" w:rsidP="00715DAB">
            <w:pPr>
              <w:pStyle w:val="InstructionsText"/>
              <w:numPr>
                <w:ilvl w:val="0"/>
                <w:numId w:val="33"/>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den TSCR-andel, der skal bestå af egentlig kernekapital, jf. række 0310</w:t>
            </w:r>
          </w:p>
          <w:p w:rsidR="004E1838" w:rsidRPr="005B425B"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sidRPr="005B425B">
              <w:rPr>
                <w:rFonts w:ascii="Times New Roman" w:hAnsi="Times New Roman"/>
                <w:color w:val="000000" w:themeColor="text1"/>
                <w:sz w:val="20"/>
              </w:rPr>
              <w:t>hvis det er påkrævet iht. lovgivningen, det kombinerede bufferkrav, jf. artikel 128, nr. 6), i direktiv 2013/36/EU.</w:t>
            </w:r>
          </w:p>
          <w:p w:rsidR="004E1838" w:rsidRPr="005B425B" w:rsidRDefault="004E1838"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z w:val="20"/>
              </w:rPr>
              <w:t>Hvis der ikke gælder bufferkrav, er det kun nr. i), der skal indberettes.</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4E1838" w:rsidRPr="005B425B" w:rsidRDefault="004E1838" w:rsidP="001C68A5">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5B425B" w:rsidRDefault="004E1838"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OCR: som skal bestå af kernekapital</w:t>
            </w:r>
          </w:p>
          <w:p w:rsidR="004E1838" w:rsidRPr="005B425B"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COREP (OF): {C 03.00;180;010}</w:t>
            </w:r>
          </w:p>
          <w:p w:rsidR="004E1838" w:rsidRPr="005B425B"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sidRPr="005B425B">
              <w:rPr>
                <w:rFonts w:ascii="Times New Roman" w:hAnsi="Times New Roman"/>
                <w:color w:val="000000" w:themeColor="text1"/>
                <w:sz w:val="20"/>
              </w:rPr>
              <w:t>Summen af i) og ii) som følger:</w:t>
            </w:r>
          </w:p>
          <w:p w:rsidR="004E1838" w:rsidRPr="005B425B" w:rsidRDefault="004E1838" w:rsidP="00715DAB">
            <w:pPr>
              <w:pStyle w:val="InstructionsText"/>
              <w:numPr>
                <w:ilvl w:val="0"/>
                <w:numId w:val="34"/>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den TSCR-andel, der skal bestå af kernekapital, jf. række 0320</w:t>
            </w:r>
          </w:p>
          <w:p w:rsidR="004E1838" w:rsidRPr="005B425B"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sidRPr="005B425B">
              <w:rPr>
                <w:rFonts w:ascii="Times New Roman" w:hAnsi="Times New Roman"/>
                <w:color w:val="000000" w:themeColor="text1"/>
                <w:sz w:val="20"/>
              </w:rPr>
              <w:t>hvis det er påkrævet iht. lovgivningen, det kombinerede bufferkrav, jf. artikel 128, nr. 6), i direktiv 2013/36/EU.</w:t>
            </w:r>
          </w:p>
          <w:p w:rsidR="004E1838" w:rsidRPr="005B425B" w:rsidRDefault="004E1838"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z w:val="20"/>
              </w:rPr>
              <w:t>Hvis der ikke gælder bufferkrav, er det kun nr. i), der skal indberettes.</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FE3E96" w:rsidRPr="005B425B" w:rsidRDefault="00B27F8F" w:rsidP="001C68A5">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5B425B" w:rsidRDefault="00B27F8F"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OCR/søjle 2-vejledning (P2G)</w:t>
            </w:r>
          </w:p>
          <w:p w:rsidR="00B27F8F" w:rsidRPr="005B425B"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COREP (OF): {C 03.00;190;010}</w:t>
            </w:r>
          </w:p>
          <w:p w:rsidR="00B27F8F" w:rsidRPr="005B425B" w:rsidRDefault="00B27F8F" w:rsidP="00C80BDE">
            <w:pPr>
              <w:pStyle w:val="InstructionsText"/>
              <w:numPr>
                <w:ilvl w:val="0"/>
                <w:numId w:val="0"/>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lastRenderedPageBreak/>
              <w:t>Summen af i) og ii) som følger:</w:t>
            </w:r>
          </w:p>
          <w:p w:rsidR="00B27F8F" w:rsidRPr="005B425B" w:rsidRDefault="00B27F8F" w:rsidP="00715DAB">
            <w:pPr>
              <w:pStyle w:val="InstructionsText"/>
              <w:numPr>
                <w:ilvl w:val="0"/>
                <w:numId w:val="35"/>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OCR-andelen, jf. række 0500</w:t>
            </w:r>
          </w:p>
          <w:p w:rsidR="00B27F8F" w:rsidRPr="005B425B"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sidRPr="005B425B">
              <w:rPr>
                <w:rFonts w:ascii="Times New Roman" w:hAnsi="Times New Roman"/>
                <w:color w:val="000000" w:themeColor="text1"/>
                <w:sz w:val="20"/>
              </w:rPr>
              <w:t>hvis det er relevant, søjle 2-vejledningen (P2G) som defineret i EBA SREP GL. P2G inkluderes kun, hvis oplyst til instituttet af den kompetente myndighed.</w:t>
            </w:r>
          </w:p>
          <w:p w:rsidR="00FE3E96" w:rsidRPr="005B425B"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Hvis den kompetente myndighed ikke har oplyst om nogen P2G, er det kun nr. i), der skal indberettes.</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FE3E96" w:rsidRPr="005B425B" w:rsidRDefault="004B50C4" w:rsidP="001C68A5">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lastRenderedPageBreak/>
              <w:t>0610</w:t>
            </w:r>
          </w:p>
        </w:tc>
        <w:tc>
          <w:tcPr>
            <w:tcW w:w="8277" w:type="dxa"/>
            <w:tcBorders>
              <w:top w:val="single" w:sz="4" w:space="0" w:color="1A171C"/>
              <w:left w:val="single" w:sz="4" w:space="0" w:color="1A171C"/>
              <w:bottom w:val="single" w:sz="4" w:space="0" w:color="1A171C"/>
              <w:right w:val="nil"/>
            </w:tcBorders>
            <w:vAlign w:val="center"/>
          </w:tcPr>
          <w:p w:rsidR="00FE3E96" w:rsidRPr="005B425B" w:rsidRDefault="00B27F8F"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OCR: som skal bestå af egentlig kernekapital</w:t>
            </w:r>
          </w:p>
          <w:p w:rsidR="00B27F8F" w:rsidRPr="005B425B"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COREP (OF): {C 03.00;200;010}</w:t>
            </w:r>
          </w:p>
          <w:p w:rsidR="00B27F8F" w:rsidRPr="005B425B" w:rsidRDefault="00B27F8F" w:rsidP="00C80BDE">
            <w:pPr>
              <w:pStyle w:val="InstructionsText"/>
              <w:numPr>
                <w:ilvl w:val="0"/>
                <w:numId w:val="0"/>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Summen af i) og ii) som følger:</w:t>
            </w:r>
          </w:p>
          <w:p w:rsidR="00B27F8F" w:rsidRPr="005B425B" w:rsidRDefault="00B27F8F" w:rsidP="00715DAB">
            <w:pPr>
              <w:pStyle w:val="InstructionsText"/>
              <w:numPr>
                <w:ilvl w:val="0"/>
                <w:numId w:val="36"/>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den OCR-andel, der skal bestå af egentlig kernekapital, jf. række 0520</w:t>
            </w:r>
          </w:p>
          <w:p w:rsidR="00B27F8F" w:rsidRPr="005B425B"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sidRPr="005B425B">
              <w:rPr>
                <w:rFonts w:ascii="Times New Roman" w:hAnsi="Times New Roman"/>
                <w:color w:val="000000" w:themeColor="text1"/>
                <w:sz w:val="20"/>
              </w:rPr>
              <w:t>hvis det er relevant, den del af P2R-andelen, jf. nr. ii) i række 0600, som den kompetente myndighed kræver holdt i form af egentlig kernekapital. P2G inkluderes kun, hvis oplyst til instituttet af den kompetente myndighed.</w:t>
            </w:r>
          </w:p>
          <w:p w:rsidR="00B27F8F" w:rsidRPr="005B425B"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Hvis den kompetente myndighed ikke har oplyst om nogen P2G, er det kun nr. i), der skal indberettes.</w:t>
            </w:r>
          </w:p>
        </w:tc>
      </w:tr>
      <w:tr w:rsidR="00D22EB0" w:rsidRPr="005B425B" w:rsidTr="00E54104">
        <w:tc>
          <w:tcPr>
            <w:tcW w:w="749" w:type="dxa"/>
            <w:tcBorders>
              <w:top w:val="single" w:sz="4" w:space="0" w:color="1A171C"/>
              <w:left w:val="nil"/>
              <w:bottom w:val="single" w:sz="4" w:space="0" w:color="1A171C"/>
              <w:right w:val="single" w:sz="4" w:space="0" w:color="1A171C"/>
            </w:tcBorders>
            <w:vAlign w:val="center"/>
          </w:tcPr>
          <w:p w:rsidR="00FE3E96" w:rsidRPr="005B425B" w:rsidRDefault="004B50C4" w:rsidP="001C68A5">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0620</w:t>
            </w:r>
          </w:p>
        </w:tc>
        <w:tc>
          <w:tcPr>
            <w:tcW w:w="8277" w:type="dxa"/>
            <w:tcBorders>
              <w:top w:val="single" w:sz="4" w:space="0" w:color="1A171C"/>
              <w:left w:val="single" w:sz="4" w:space="0" w:color="1A171C"/>
              <w:bottom w:val="single" w:sz="4" w:space="0" w:color="1A171C"/>
              <w:right w:val="nil"/>
            </w:tcBorders>
            <w:vAlign w:val="center"/>
          </w:tcPr>
          <w:p w:rsidR="00B27F8F" w:rsidRPr="005B425B" w:rsidRDefault="00B27F8F" w:rsidP="00B525EC">
            <w:pPr>
              <w:pStyle w:val="TableParagraph"/>
              <w:spacing w:before="108"/>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OCR og P2G: som skal bestå af kernekapital</w:t>
            </w:r>
          </w:p>
          <w:p w:rsidR="00B27F8F" w:rsidRPr="005B425B"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COREP (OF): {C 03.00;210;010}</w:t>
            </w:r>
          </w:p>
          <w:p w:rsidR="00B27F8F" w:rsidRPr="005B425B" w:rsidRDefault="00B27F8F" w:rsidP="00C80BDE">
            <w:pPr>
              <w:pStyle w:val="InstructionsText"/>
              <w:numPr>
                <w:ilvl w:val="0"/>
                <w:numId w:val="0"/>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Summen af i) og ii) som følger:</w:t>
            </w:r>
          </w:p>
          <w:p w:rsidR="00B27F8F" w:rsidRPr="005B425B" w:rsidRDefault="00B27F8F" w:rsidP="00715DAB">
            <w:pPr>
              <w:pStyle w:val="InstructionsText"/>
              <w:numPr>
                <w:ilvl w:val="0"/>
                <w:numId w:val="37"/>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den OCR-andel, der skal bestå af kernekapital, jf. række 0520</w:t>
            </w:r>
          </w:p>
          <w:p w:rsidR="00B27F8F" w:rsidRPr="005B425B" w:rsidRDefault="00B27F8F" w:rsidP="00715DAB">
            <w:pPr>
              <w:pStyle w:val="InstructionsText"/>
              <w:numPr>
                <w:ilvl w:val="0"/>
                <w:numId w:val="37"/>
              </w:numPr>
              <w:rPr>
                <w:rFonts w:ascii="Times New Roman" w:hAnsi="Times New Roman" w:cs="Times New Roman"/>
                <w:color w:val="000000" w:themeColor="text1"/>
                <w:sz w:val="20"/>
                <w:szCs w:val="20"/>
              </w:rPr>
            </w:pPr>
            <w:r w:rsidRPr="005B425B">
              <w:rPr>
                <w:rFonts w:ascii="Times New Roman" w:hAnsi="Times New Roman"/>
                <w:color w:val="000000" w:themeColor="text1"/>
                <w:sz w:val="20"/>
              </w:rPr>
              <w:t>hvis det er relevant, den del af P2R-andelen, jf. nr. ii) i række 600, som den kompetente myndighed kræver holdt i form af kernekapital. P2G inkluderes kun, hvis oplyst til instituttet af den kompetente myndighed.</w:t>
            </w:r>
          </w:p>
          <w:p w:rsidR="00E05E83" w:rsidRPr="005B425B"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Hvis den kompetente myndighed ikke har oplyst om nogen P2G, er det kun nr. i), der skal indberettes.</w:t>
            </w:r>
          </w:p>
        </w:tc>
      </w:tr>
    </w:tbl>
    <w:p w:rsidR="00FE3E96" w:rsidRPr="005B425B" w:rsidRDefault="00FE3E96" w:rsidP="00E13CE3">
      <w:pPr>
        <w:rPr>
          <w:rFonts w:ascii="Times New Roman" w:hAnsi="Times New Roman" w:cs="Times New Roman"/>
          <w:color w:val="000000" w:themeColor="text1"/>
          <w:sz w:val="20"/>
          <w:szCs w:val="20"/>
        </w:rPr>
      </w:pPr>
    </w:p>
    <w:p w:rsidR="00E13CE3" w:rsidRPr="005B425B" w:rsidRDefault="00F7117F" w:rsidP="008854E4">
      <w:pPr>
        <w:pStyle w:val="Instructionsberschrift2"/>
        <w:numPr>
          <w:ilvl w:val="1"/>
          <w:numId w:val="7"/>
        </w:numPr>
        <w:ind w:left="357" w:hanging="357"/>
        <w:rPr>
          <w:rFonts w:ascii="Times New Roman" w:hAnsi="Times New Roman" w:cs="Times New Roman"/>
          <w:szCs w:val="20"/>
        </w:rPr>
      </w:pPr>
      <w:bookmarkStart w:id="25" w:name="_Toc492542324"/>
      <w:bookmarkStart w:id="26" w:name="_Toc509909042"/>
      <w:bookmarkStart w:id="27" w:name="_Toc525120140"/>
      <w:r w:rsidRPr="005B425B">
        <w:rPr>
          <w:rFonts w:ascii="Times New Roman" w:hAnsi="Times New Roman"/>
        </w:rPr>
        <w:t>Z 04.00 — Koncerninterne indbyrdes finansielle forbindelser (IFC)</w:t>
      </w:r>
      <w:bookmarkEnd w:id="25"/>
      <w:bookmarkEnd w:id="26"/>
      <w:bookmarkEnd w:id="27"/>
    </w:p>
    <w:p w:rsidR="00E13CE3" w:rsidRPr="005B425B" w:rsidRDefault="00AD2380" w:rsidP="00EC261B">
      <w:pPr>
        <w:pStyle w:val="Instructionsberschrift3"/>
      </w:pPr>
      <w:r w:rsidRPr="005B425B">
        <w:t>Generelt</w:t>
      </w:r>
    </w:p>
    <w:p w:rsidR="00E13CE3" w:rsidRPr="005B425B"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 xml:space="preserve">I dette skema skal der gives oplysninger om koncerninterne forpligtelser, der ikke er udelukket fra bail-in, samt kapitalinstrumenter og garantier. </w:t>
      </w:r>
    </w:p>
    <w:p w:rsidR="00395330" w:rsidRPr="005B425B" w:rsidRDefault="00395330"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Alle indbyrdes finansielle forbindelser mellem relevante juridiske enheder, som indgår i de konsoliderede regnskaber, skal indberettes. De indberettede beløb skal sammenlægges, hvis de vedrører de samme modparter (både udsteder eller garanteret enhed, og kreditor, indehaver eller garantistiller) og den samme type forpligtelser, kapitalinstrumenter eller garantier.</w:t>
      </w:r>
    </w:p>
    <w:p w:rsidR="00E13CE3" w:rsidRPr="005B425B"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Kombinationen af værdier, der indberettes i kolonne 0020, 0040 og 0050 i dette skema, udgør en primær nøgle, som skal være unik for hver enkelt række i skemaet.</w:t>
      </w:r>
    </w:p>
    <w:p w:rsidR="00E13CE3" w:rsidRPr="005B425B" w:rsidRDefault="00E13CE3" w:rsidP="00715DAB">
      <w:pPr>
        <w:pStyle w:val="Instructionsberschrift3"/>
      </w:pPr>
      <w:r w:rsidRPr="005B425B">
        <w:t>Instrukser vedrørende specifikke positioner</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5B425B"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5B425B" w:rsidRDefault="004D27A1" w:rsidP="00DF1EA4">
            <w:pPr>
              <w:pStyle w:val="TableParagraph"/>
              <w:spacing w:before="66"/>
              <w:rPr>
                <w:rFonts w:ascii="Times New Roman" w:eastAsia="Cambria" w:hAnsi="Times New Roman" w:cs="Times New Roman"/>
                <w:color w:val="000000" w:themeColor="text1"/>
                <w:sz w:val="20"/>
                <w:szCs w:val="20"/>
              </w:rPr>
            </w:pPr>
            <w:r w:rsidRPr="005B425B">
              <w:rPr>
                <w:rFonts w:ascii="Times New Roman" w:hAnsi="Times New Roman"/>
                <w:color w:val="000000" w:themeColor="text1"/>
                <w:sz w:val="20"/>
              </w:rPr>
              <w:t>Kolonne</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5B425B"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sidRPr="005B425B">
              <w:rPr>
                <w:rFonts w:ascii="Times New Roman" w:hAnsi="Times New Roman"/>
                <w:color w:val="000000" w:themeColor="text1"/>
                <w:spacing w:val="-1"/>
                <w:w w:val="90"/>
                <w:sz w:val="20"/>
              </w:rPr>
              <w:t>Instrukser</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4D27A1" w:rsidRPr="005B425B" w:rsidRDefault="00AF56D5" w:rsidP="00DF1EA4">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5B425B"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Udsteder eller garanteret enhed</w:t>
            </w:r>
          </w:p>
          <w:p w:rsidR="004D27A1" w:rsidRPr="005B425B"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Juridisk enhed, der udsteder forpligtelserne eller kapitalinstrumentet eller er den garanterede enhed.</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4D27A1" w:rsidRPr="005B425B" w:rsidRDefault="004D27A1" w:rsidP="00DF1EA4">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5B425B"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Enhedens navn </w:t>
            </w:r>
          </w:p>
          <w:p w:rsidR="004D27A1" w:rsidRPr="005B425B"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Må ikke være det samme navn som det, der er angivet i kolonne 0030. </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4D27A1" w:rsidRPr="005B425B" w:rsidRDefault="004D27A1" w:rsidP="00DF1EA4">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5B425B"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Kode</w:t>
            </w:r>
          </w:p>
          <w:p w:rsidR="00F0371B" w:rsidRPr="005B425B"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Udstederens eller garantimodtagerens kode. For institutter er koden den 20-cifrede, alfanumeriske LEI-kode. For andre enheder er koden den 20-cifrede, alfanumeriske LEI-kode eller, hvis denne ikke foreligger, en kode fastsat i henhold til ensartet kodificering i Unionen eller, hvis en sådan ikke foreligger, en national kode.</w:t>
            </w:r>
          </w:p>
          <w:p w:rsidR="00F0371B" w:rsidRPr="005B425B"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Koden skal være unik og skal anvendes konsekvent i alle skemaerne.</w:t>
            </w:r>
          </w:p>
          <w:p w:rsidR="004D27A1" w:rsidRPr="005B425B"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Koden må ikke være den samme som den, der er angivet i kolonne 0040.</w:t>
            </w:r>
          </w:p>
          <w:p w:rsidR="00F0371B" w:rsidRPr="005B425B"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4D27A1" w:rsidRPr="005B425B" w:rsidRDefault="004D27A1" w:rsidP="00DF1EA4">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lastRenderedPageBreak/>
              <w:t xml:space="preserve">0030-0040 </w:t>
            </w:r>
          </w:p>
        </w:tc>
        <w:tc>
          <w:tcPr>
            <w:tcW w:w="8175" w:type="dxa"/>
            <w:tcBorders>
              <w:top w:val="single" w:sz="4" w:space="0" w:color="1A171C"/>
              <w:left w:val="single" w:sz="4" w:space="0" w:color="1A171C"/>
              <w:bottom w:val="single" w:sz="4" w:space="0" w:color="1A171C"/>
              <w:right w:val="nil"/>
            </w:tcBorders>
            <w:vAlign w:val="center"/>
          </w:tcPr>
          <w:p w:rsidR="004D27A1" w:rsidRPr="005B425B" w:rsidRDefault="00DA2347" w:rsidP="00F244B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Kreditor, indehaver eller garantistiller</w:t>
            </w:r>
          </w:p>
          <w:p w:rsidR="004D27A1" w:rsidRPr="005B425B"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Juridisk enhed, der er kreditor for forpligtelsen, besidder kapitalinstrumentet eller stiller garantien.</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4D27A1" w:rsidRPr="005B425B" w:rsidRDefault="004D27A1" w:rsidP="00DF1EA4">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5B425B"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Enhedens navn </w:t>
            </w:r>
          </w:p>
          <w:p w:rsidR="004D27A1" w:rsidRPr="005B425B"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Må ikke være det samme navn som det, der er angivet i kolonne 0010. </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4D27A1" w:rsidRPr="005B425B" w:rsidRDefault="004D27A1" w:rsidP="00DF1EA4">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5B425B"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Kode</w:t>
            </w:r>
          </w:p>
          <w:p w:rsidR="000C7729" w:rsidRPr="005B425B"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Kreditgiverens, indehaverens eller garantistillerens kode. For institutter er koden den 20-cifrede, alfanumeriske LEI-kode. For andre enheder er koden den 20-cifrede, alfanumeriske LEI-kode eller, hvis denne ikke foreligger, en kode fastsat i henhold til ensartet kodificering i Unionen eller, hvis en sådan ikke foreligger, en national kode.</w:t>
            </w:r>
          </w:p>
          <w:p w:rsidR="000C7729" w:rsidRPr="005B425B"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Koden skal være unik og skal anvendes konsekvent i alle skemaerne.</w:t>
            </w:r>
          </w:p>
          <w:p w:rsidR="004D27A1" w:rsidRPr="005B425B"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Må ikke være den samme kode som den, der er angivet i kolonne 0020.</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4D27A1" w:rsidRPr="005B425B" w:rsidRDefault="004D27A1" w:rsidP="00DF1EA4">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 xml:space="preserve">0050- 0070 </w:t>
            </w:r>
          </w:p>
        </w:tc>
        <w:tc>
          <w:tcPr>
            <w:tcW w:w="8175" w:type="dxa"/>
            <w:tcBorders>
              <w:top w:val="single" w:sz="4" w:space="0" w:color="1A171C"/>
              <w:left w:val="single" w:sz="4" w:space="0" w:color="1A171C"/>
              <w:bottom w:val="single" w:sz="4" w:space="0" w:color="1A171C"/>
              <w:right w:val="nil"/>
            </w:tcBorders>
            <w:vAlign w:val="center"/>
          </w:tcPr>
          <w:p w:rsidR="004D27A1" w:rsidRPr="005B425B"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Indbyrdes finansielle forbindelser</w:t>
            </w:r>
          </w:p>
          <w:p w:rsidR="004D27A1" w:rsidRPr="005B425B"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Dette felt beskriver de indbyrdes finansielle forbindelser mellem de relevante juridiske enheder.</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4D27A1" w:rsidRPr="005B425B" w:rsidRDefault="004D27A1" w:rsidP="00DF1EA4">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5B425B"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Type</w:t>
            </w:r>
          </w:p>
          <w:p w:rsidR="004D27A1" w:rsidRPr="005B425B"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Vælg fra følgende liste:</w:t>
            </w:r>
          </w:p>
          <w:p w:rsidR="004D27A1" w:rsidRPr="005B425B"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5B425B">
              <w:rPr>
                <w:rFonts w:ascii="Times New Roman" w:hAnsi="Times New Roman"/>
                <w:color w:val="000000" w:themeColor="text1"/>
                <w:spacing w:val="-2"/>
                <w:w w:val="95"/>
                <w:sz w:val="20"/>
                <w:u w:val="single"/>
              </w:rPr>
              <w:t>Koncerninterne forpligtelser</w:t>
            </w:r>
          </w:p>
          <w:p w:rsidR="0005258C" w:rsidRPr="005B425B"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Indskud, udækkede, men foranstillede</w:t>
            </w:r>
          </w:p>
          <w:p w:rsidR="00967F9A" w:rsidRPr="005B425B"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Samme definition som Z 02.00 (LIAB), række 0310</w:t>
            </w:r>
          </w:p>
          <w:p w:rsidR="004D27A1" w:rsidRPr="005B425B"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Indskud, udækkede og ikke foranstillede</w:t>
            </w:r>
          </w:p>
          <w:p w:rsidR="004D27A1" w:rsidRPr="005B425B"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Samme definition som Z 02.00 (LIAB), række 0320</w:t>
            </w:r>
          </w:p>
          <w:p w:rsidR="004D27A1" w:rsidRPr="005B425B"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Forpligtelser hidrørende fra derivater ("close-out amounts")</w:t>
            </w:r>
          </w:p>
          <w:p w:rsidR="004D27A1" w:rsidRPr="005B425B"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Samme definition som Z 02.00 (LIAB), række 0330</w:t>
            </w:r>
          </w:p>
          <w:p w:rsidR="004D27A1" w:rsidRPr="005B425B"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Sikrede passiver, for hvilke der ikke er stillet sikkerhed</w:t>
            </w:r>
          </w:p>
          <w:p w:rsidR="004D27A1" w:rsidRPr="005B425B"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Samme definition som Z 02.00 (LIAB), række 0340</w:t>
            </w:r>
          </w:p>
          <w:p w:rsidR="004D27A1" w:rsidRPr="005B425B"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Strukturerede obligationer</w:t>
            </w:r>
          </w:p>
          <w:p w:rsidR="004D27A1" w:rsidRPr="005B425B"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Samme definition som Z 02.00 (LIAB), række 0350</w:t>
            </w:r>
          </w:p>
          <w:p w:rsidR="004D27A1" w:rsidRPr="005B425B"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Usikret seniorgæld</w:t>
            </w:r>
          </w:p>
          <w:p w:rsidR="004D27A1" w:rsidRPr="005B425B"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Samme definition som Z 02.00 (LIAB), række 0360</w:t>
            </w:r>
          </w:p>
          <w:p w:rsidR="00863F05" w:rsidRPr="005B425B"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Ikke-foranstillet seniorgæld</w:t>
            </w:r>
          </w:p>
          <w:p w:rsidR="00863F05" w:rsidRPr="005B425B"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Samme definition som Z 02.00 (LIAB), række 0365</w:t>
            </w:r>
          </w:p>
          <w:p w:rsidR="004D27A1" w:rsidRPr="005B425B"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Efterstillede forpligtelser</w:t>
            </w:r>
          </w:p>
          <w:p w:rsidR="004D27A1" w:rsidRPr="005B425B"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Samme definition som Z 02.00 (LIAB), række 0370</w:t>
            </w:r>
          </w:p>
          <w:p w:rsidR="004D27A1" w:rsidRPr="005B425B"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Andre MREL-nedskrivningsrelevante passiver</w:t>
            </w:r>
          </w:p>
          <w:p w:rsidR="004D27A1" w:rsidRPr="005B425B"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Samme definition som Z 02.00 (LIAB), række 0380</w:t>
            </w:r>
          </w:p>
          <w:p w:rsidR="004D27A1" w:rsidRPr="005B425B"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Ikke-finansielle forpligtelser</w:t>
            </w:r>
          </w:p>
          <w:p w:rsidR="004D27A1" w:rsidRPr="005B425B"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Samme definition som Z 02.00 (LIAB), række 0390</w:t>
            </w:r>
          </w:p>
          <w:p w:rsidR="004D27A1" w:rsidRPr="005B425B"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Resterende forpligtelser</w:t>
            </w:r>
          </w:p>
          <w:p w:rsidR="004D27A1" w:rsidRPr="005B425B"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Samme definition som Z 02.00 (LIAB), række 0400. Enhver forpligtelse, der ikke er omfattet af nogen af de foregående poster.</w:t>
            </w:r>
          </w:p>
          <w:p w:rsidR="004D27A1" w:rsidRPr="005B425B"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Supplerende kapital</w:t>
            </w:r>
          </w:p>
          <w:p w:rsidR="004D27A1" w:rsidRPr="005B425B"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Samme definition som Z 02.00 (LIAB), række 0530</w:t>
            </w:r>
          </w:p>
          <w:p w:rsidR="004D27A1" w:rsidRPr="005B425B"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Hybrid kernekapital</w:t>
            </w:r>
          </w:p>
          <w:p w:rsidR="004D27A1" w:rsidRPr="005B425B"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Samme definition som Z 02.00 (LIAB), række 0520</w:t>
            </w:r>
          </w:p>
          <w:p w:rsidR="004D27A1" w:rsidRPr="005B425B"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Egentlig kernekapital</w:t>
            </w:r>
          </w:p>
          <w:p w:rsidR="004D27A1" w:rsidRPr="005B425B"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Samme definition som Z 02.00 (LIAB), række 0510</w:t>
            </w:r>
          </w:p>
          <w:p w:rsidR="004D27A1" w:rsidRPr="005B425B"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5B425B">
              <w:rPr>
                <w:rFonts w:ascii="Times New Roman" w:hAnsi="Times New Roman"/>
                <w:color w:val="000000" w:themeColor="text1"/>
                <w:spacing w:val="-2"/>
                <w:w w:val="95"/>
                <w:sz w:val="20"/>
                <w:u w:val="single"/>
              </w:rPr>
              <w:t>Koncerninterne garantier</w:t>
            </w:r>
          </w:p>
          <w:p w:rsidR="004D27A1" w:rsidRPr="005B425B"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Udstedelse </w:t>
            </w:r>
          </w:p>
          <w:p w:rsidR="004D27A1" w:rsidRPr="005B425B"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Garantier for specifikke instrumenter/forpligtelser, der er udstedt</w:t>
            </w:r>
          </w:p>
          <w:p w:rsidR="004D27A1" w:rsidRPr="005B425B"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Modpart </w:t>
            </w:r>
          </w:p>
          <w:p w:rsidR="004D27A1" w:rsidRPr="005B425B"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Garantier ydet til en af instituttets modparter</w:t>
            </w:r>
          </w:p>
          <w:p w:rsidR="004D27A1" w:rsidRPr="005B425B"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Ubegrænset</w:t>
            </w:r>
          </w:p>
          <w:p w:rsidR="004D27A1" w:rsidRPr="005B425B"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Generelle garantier uden en bestemt beløbsgrænse </w:t>
            </w:r>
          </w:p>
          <w:p w:rsidR="004D27A1" w:rsidRPr="005B425B"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Andet </w:t>
            </w:r>
          </w:p>
          <w:p w:rsidR="004D27A1" w:rsidRPr="005B425B"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Enhver form for garanti, der ikke er omfattet af ovenstående kategorier. </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4D27A1" w:rsidRPr="005B425B" w:rsidRDefault="004D27A1" w:rsidP="00DF1EA4">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5B425B" w:rsidRDefault="0009740A" w:rsidP="00F244B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Udestående beløb</w:t>
            </w:r>
          </w:p>
          <w:p w:rsidR="004D27A1" w:rsidRPr="005B425B"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For forpligtelser (kolonne 0050, type L.1, L.2 og L.4-L.14) det udestående beløb for de koncerninterne forpligtelser; for forpligtelser hidrørende fra derivater (type L.3) "close-out amounts" som defineret for skema Z 02.00 (LIAB), række 0333.</w:t>
            </w:r>
          </w:p>
          <w:p w:rsidR="004D27A1" w:rsidRPr="005B425B"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For garantier (kolonne 0050, værdierne G.1-G.4), det maksimale potentielle beløb for fremtidige betalinger inden for rammerne af garantien </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0526E3" w:rsidRPr="005B425B" w:rsidRDefault="000526E3" w:rsidP="00DF1EA4">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5B425B" w:rsidRDefault="006560B6" w:rsidP="00F244B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Heraf udstedt iht. 3.-landslovgivning</w:t>
            </w:r>
          </w:p>
          <w:p w:rsidR="000526E3" w:rsidRPr="005B425B" w:rsidRDefault="000526E3" w:rsidP="001D706F">
            <w:pPr>
              <w:pStyle w:val="TableParagraph"/>
              <w:spacing w:before="108"/>
              <w:ind w:left="85"/>
              <w:jc w:val="both"/>
              <w:rPr>
                <w:rFonts w:ascii="Times New Roman" w:hAnsi="Times New Roman" w:cs="Times New Roman"/>
                <w:bCs/>
                <w:color w:val="000000" w:themeColor="text1"/>
                <w:sz w:val="20"/>
                <w:szCs w:val="20"/>
              </w:rPr>
            </w:pPr>
            <w:r w:rsidRPr="005B425B">
              <w:rPr>
                <w:rFonts w:ascii="Times New Roman" w:hAnsi="Times New Roman"/>
                <w:color w:val="000000" w:themeColor="text1"/>
                <w:sz w:val="20"/>
              </w:rPr>
              <w:t>Andelen i pengebeløb, af det udestående beløb, som er underlagt lovgivningen i et tredjeland.</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4D27A1" w:rsidRPr="005B425B" w:rsidRDefault="004D27A1" w:rsidP="00AF56D5">
            <w:pPr>
              <w:pStyle w:val="TableParagraph"/>
              <w:spacing w:before="106"/>
              <w:ind w:left="-1"/>
              <w:rPr>
                <w:rFonts w:ascii="Times New Roman" w:hAnsi="Times New Roman" w:cs="Times New Roman"/>
                <w:color w:val="000000" w:themeColor="text1"/>
                <w:sz w:val="20"/>
                <w:szCs w:val="20"/>
              </w:rPr>
            </w:pPr>
            <w:r w:rsidRPr="005B425B">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5B425B"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b/>
                <w:color w:val="000000" w:themeColor="text1"/>
                <w:sz w:val="20"/>
              </w:rPr>
              <w:t>Heraf: MREL-nedskrivningsrelevante</w:t>
            </w:r>
          </w:p>
          <w:p w:rsidR="004D27A1" w:rsidRPr="005B425B"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Det udestående beløb for MREL-nedskrivningsrelevante passiver beregnet i overensstemmelse med artikel 45, stk. 4, litra a) og litra c)-f), i direktiv 2014/59/EU. I denne forbindelse må forpligtelser ikke holdes ude fra beregningen alene med den begrundelse, at de er udstedt til eller besiddes af en koncernenhed.</w:t>
            </w:r>
          </w:p>
        </w:tc>
      </w:tr>
    </w:tbl>
    <w:p w:rsidR="00E13CE3" w:rsidRPr="005B425B" w:rsidRDefault="00E13CE3" w:rsidP="00E13CE3">
      <w:pPr>
        <w:jc w:val="both"/>
        <w:rPr>
          <w:rFonts w:ascii="Times New Roman" w:hAnsi="Times New Roman" w:cs="Times New Roman"/>
          <w:color w:val="000000" w:themeColor="text1"/>
          <w:sz w:val="20"/>
          <w:szCs w:val="20"/>
        </w:rPr>
      </w:pPr>
    </w:p>
    <w:p w:rsidR="00E13CE3" w:rsidRPr="005B425B" w:rsidRDefault="00F7117F" w:rsidP="008854E4">
      <w:pPr>
        <w:pStyle w:val="Instructionsberschrift2"/>
        <w:numPr>
          <w:ilvl w:val="1"/>
          <w:numId w:val="7"/>
        </w:numPr>
        <w:ind w:left="357" w:hanging="357"/>
        <w:rPr>
          <w:rFonts w:ascii="Times New Roman" w:hAnsi="Times New Roman" w:cs="Times New Roman"/>
          <w:szCs w:val="20"/>
        </w:rPr>
      </w:pPr>
      <w:bookmarkStart w:id="28" w:name="_Toc509909043"/>
      <w:bookmarkStart w:id="29" w:name="_Toc525120141"/>
      <w:r w:rsidRPr="005B425B">
        <w:rPr>
          <w:rFonts w:ascii="Times New Roman" w:hAnsi="Times New Roman"/>
        </w:rPr>
        <w:t xml:space="preserve">Z 05.01 og Z 05.02 — </w:t>
      </w:r>
      <w:bookmarkStart w:id="30" w:name="_Toc492542325"/>
      <w:r w:rsidRPr="005B425B">
        <w:rPr>
          <w:rFonts w:ascii="Times New Roman" w:hAnsi="Times New Roman"/>
        </w:rPr>
        <w:t>Store modparter (MCP)</w:t>
      </w:r>
      <w:bookmarkEnd w:id="28"/>
      <w:bookmarkEnd w:id="29"/>
      <w:bookmarkEnd w:id="30"/>
    </w:p>
    <w:p w:rsidR="00BF5063" w:rsidRPr="005B425B" w:rsidRDefault="00BF5063" w:rsidP="00715DAB">
      <w:pPr>
        <w:pStyle w:val="Instructionsberschrift3"/>
      </w:pPr>
      <w:r w:rsidRPr="005B425B">
        <w:t>Generelt</w:t>
      </w:r>
    </w:p>
    <w:p w:rsidR="00747EE2" w:rsidRPr="005B425B" w:rsidRDefault="005B6B0C"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I disse skemaer gives der oplysninger om forpligtelser over for store modparter (Z 05.01) og ikke-balanceførte poster modtaget fra store modparter (Z 05.02).Hvad angår beløb tilhørende den samme modpart og den samme type forpligtelser eller ikke-balanceførte poster, indberettes disse samlet som aggregerede beløb.</w:t>
      </w:r>
    </w:p>
    <w:p w:rsidR="0056559D" w:rsidRPr="005B425B" w:rsidRDefault="007B491F"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Forpligtelser og ikke-balanceførte poster, for hvilke modparten ikke kan identificeres, indberettes ikke i disse skemaer. Forpligtelser og ikke-balanceførte poster, for hvilke modparten er en enhed, der indgår i de konsoliderede regnskaber, indbe</w:t>
      </w:r>
      <w:r w:rsidR="002B39FA">
        <w:rPr>
          <w:rFonts w:ascii="Times New Roman" w:hAnsi="Times New Roman"/>
          <w:sz w:val="20"/>
        </w:rPr>
        <w:t>re</w:t>
      </w:r>
      <w:r w:rsidRPr="005B425B">
        <w:rPr>
          <w:rFonts w:ascii="Times New Roman" w:hAnsi="Times New Roman"/>
          <w:sz w:val="20"/>
        </w:rPr>
        <w:t>ttes ikke.</w:t>
      </w:r>
    </w:p>
    <w:p w:rsidR="00DF1EA4" w:rsidRPr="005B425B" w:rsidRDefault="00F7117F" w:rsidP="00715DAB">
      <w:pPr>
        <w:pStyle w:val="Instructionsberschrift3"/>
      </w:pPr>
      <w:r w:rsidRPr="005B425B">
        <w:t>Z 05.01 — Store modparter mht. forpligtelser — instrukser vedrørende specifikke positioner</w:t>
      </w:r>
    </w:p>
    <w:p w:rsidR="00DF1EA4" w:rsidRPr="005B425B" w:rsidRDefault="00DF1EA4"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Kombinationen af værdier, der indberettes i kolonne 0020 og 0060 i dette skema, udgør en primær nøgle, som skal være unik for hver enkelt række i skemaet.</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5B425B"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5B425B" w:rsidRDefault="007F5A56" w:rsidP="00DF1EA4">
            <w:pPr>
              <w:pStyle w:val="TableParagraph"/>
              <w:spacing w:before="66"/>
              <w:rPr>
                <w:rFonts w:ascii="Times New Roman" w:eastAsia="Cambria" w:hAnsi="Times New Roman" w:cs="Times New Roman"/>
                <w:color w:val="000000" w:themeColor="text1"/>
                <w:sz w:val="20"/>
                <w:szCs w:val="20"/>
              </w:rPr>
            </w:pPr>
            <w:r w:rsidRPr="005B425B">
              <w:rPr>
                <w:rFonts w:ascii="Times New Roman" w:hAnsi="Times New Roman"/>
                <w:color w:val="000000" w:themeColor="text1"/>
                <w:sz w:val="20"/>
              </w:rPr>
              <w:t>Kolonne</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5B425B"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sidRPr="005B425B">
              <w:rPr>
                <w:rFonts w:ascii="Times New Roman" w:hAnsi="Times New Roman"/>
                <w:color w:val="000000" w:themeColor="text1"/>
                <w:spacing w:val="-1"/>
                <w:w w:val="90"/>
                <w:sz w:val="20"/>
              </w:rPr>
              <w:t>Instrukser</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7F5A56" w:rsidRPr="005B425B"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rsidR="007F5A56" w:rsidRPr="005B425B"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Modpart</w:t>
            </w:r>
          </w:p>
          <w:p w:rsidR="00550D93" w:rsidRPr="005B425B"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Oplysninger om den store modpart, i forhold til hvem forpligtelsen opstår </w:t>
            </w:r>
          </w:p>
          <w:p w:rsidR="004571D1" w:rsidRPr="005B425B"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Store modparter identificeres ved at sammenlægge de udestående beløb for alle forpligtelser for den enhed eller koncern, som skemaet indberettes for, over for hver enkelt modpart eller gruppe af indbyrdes forbundne kunder, ekskl. forpligtelser over for enheder, der indgår i de konsoliderede regnskaber.</w:t>
            </w:r>
          </w:p>
          <w:p w:rsidR="008744AF" w:rsidRPr="005B425B"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Derefter rangordnes de pågældende modparter og grupper af indbyrdes forbundne modparter efter samlet </w:t>
            </w:r>
            <w:r w:rsidRPr="005B425B">
              <w:rPr>
                <w:rFonts w:ascii="Times New Roman" w:hAnsi="Times New Roman"/>
                <w:color w:val="000000" w:themeColor="text1"/>
                <w:spacing w:val="-2"/>
                <w:w w:val="95"/>
                <w:sz w:val="20"/>
              </w:rPr>
              <w:lastRenderedPageBreak/>
              <w:t>udestående beløb med henblik på at identificere de 10 største modparter, som der skal gives oplysninger om i dette skema.</w:t>
            </w:r>
          </w:p>
          <w:p w:rsidR="00AD011A" w:rsidRPr="005B425B"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5B425B"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Definitionen af "gruppe af indbyrdes forbundne modparter" er definitionen af "gruppe af indbyrdes forbundne kunder" i artikel 4, stk. 1, nr. 39), i forordning (EU) nr. 575/2013. </w:t>
            </w:r>
          </w:p>
          <w:p w:rsidR="00AD011A" w:rsidRPr="005B425B"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5B425B" w:rsidRDefault="007F5A56" w:rsidP="004571D1">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I dette skema kan en modpart ikke være en enhed, der indgår i de konsoliderede regnskaber.</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7F5A56" w:rsidRPr="005B425B"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0010</w:t>
            </w:r>
          </w:p>
        </w:tc>
        <w:tc>
          <w:tcPr>
            <w:tcW w:w="8175" w:type="dxa"/>
            <w:tcBorders>
              <w:top w:val="single" w:sz="4" w:space="0" w:color="1A171C"/>
              <w:left w:val="single" w:sz="4" w:space="0" w:color="1A171C"/>
              <w:bottom w:val="single" w:sz="4" w:space="0" w:color="1A171C"/>
              <w:right w:val="nil"/>
            </w:tcBorders>
            <w:vAlign w:val="center"/>
          </w:tcPr>
          <w:p w:rsidR="007F5A56" w:rsidRPr="005B425B" w:rsidRDefault="00632490" w:rsidP="007F5A56">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Enhedens navn</w:t>
            </w:r>
          </w:p>
          <w:p w:rsidR="007F5A56" w:rsidRPr="005B425B"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Navnet på den store modpart eller, hvis det er relevant, navnet på en gruppe af indbyrdes forbundne kunder.</w:t>
            </w:r>
          </w:p>
          <w:p w:rsidR="007F5A56" w:rsidRPr="005B425B"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Navnet på en gruppe af indbyrdes forbundne kunder skal være navnet på moderselskabet eller, hvis gruppen af indbyrdes forbundne kunder ikke har et moderselskab, gruppens forretningsmæssige navn.</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7F5A56" w:rsidRPr="005B425B"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5B425B"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Kode</w:t>
            </w:r>
          </w:p>
          <w:p w:rsidR="005D56E3" w:rsidRPr="005B425B"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Koden for den store modpart eller gruppen af indbyrdes forbundne kunder. For institutter er koden den 20-cifrede, alfanumeriske LEI-kode. For andre enheder er koden den 20-cifrede, alfanumeriske LEI-kode eller, hvis denne ikke foreligger, en kode fastsat i henhold til ensartet kodificering i Unionen eller, hvis en sådan ikke foreligger, en national kode.</w:t>
            </w:r>
          </w:p>
          <w:p w:rsidR="005D56E3" w:rsidRPr="005B425B"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Koden skal være unik og skal anvendes konsekvent i alle skemaerne.</w:t>
            </w:r>
          </w:p>
          <w:p w:rsidR="00BE2A9D" w:rsidRPr="005B425B"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7F5A56" w:rsidRPr="005B425B"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5B425B" w:rsidRDefault="007F5A56" w:rsidP="00BE2A9D">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Gruppe eller individuel kunde</w:t>
            </w:r>
          </w:p>
          <w:p w:rsidR="007F5A56" w:rsidRPr="005B425B" w:rsidRDefault="00BE2A9D" w:rsidP="00774595">
            <w:pPr>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Instituttet skal angive "1" for individuelle store modparter og "2" for grupper af indbyrdes forbundne kunder.</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7F5A56" w:rsidRPr="005B425B"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5B425B" w:rsidRDefault="00B65144" w:rsidP="007F5A56">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Land</w:t>
            </w:r>
          </w:p>
          <w:p w:rsidR="007F5A56" w:rsidRPr="005B425B"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Tobogstavskoden efter ISO 3166-1-standarden for det land, hvor modparten har sit hjemsted. Dette omfatter pseudo-ISO-koder for internationale organisationer, som findes i den seneste udgave af Eurostats "Balance of Payments Vademecum". </w:t>
            </w:r>
          </w:p>
          <w:p w:rsidR="007F5A56" w:rsidRPr="005B425B"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Landet bestemmes vha. henvisning til modpartens vedtægtsmæssige hjemsted. For grupper af indbyrdes forbundne kunder det land, hvor moderselskabet har sit hjemsted. </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7F5A56" w:rsidRPr="005B425B"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5B425B"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Sektor</w:t>
            </w:r>
          </w:p>
          <w:p w:rsidR="007F5A56" w:rsidRPr="005B425B"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Der skal tildeles én sektor til hver modpart på grundlag af FINREP's økonomiske sektorklasser (FINREP, bilag V, del 1, kapitel 6):</w:t>
            </w:r>
          </w:p>
          <w:p w:rsidR="00774595" w:rsidRPr="005B425B"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Centralbanker</w:t>
            </w:r>
          </w:p>
          <w:p w:rsidR="007F5A56" w:rsidRPr="005B425B"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Offentlig forvaltning og service</w:t>
            </w:r>
          </w:p>
          <w:p w:rsidR="007F5A56" w:rsidRPr="005B425B"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Kreditinstitutter </w:t>
            </w:r>
          </w:p>
          <w:p w:rsidR="007F5A56" w:rsidRPr="005B425B"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Andre finansielle selskaber</w:t>
            </w:r>
          </w:p>
          <w:p w:rsidR="007F5A56" w:rsidRPr="005B425B"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Ikke-finansielle selskaber</w:t>
            </w:r>
          </w:p>
          <w:p w:rsidR="007F5A56" w:rsidRPr="005B425B"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Husholdninger</w:t>
            </w:r>
          </w:p>
          <w:p w:rsidR="007F5A56" w:rsidRPr="005B425B"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For grupper af indbyrdes forbundne kunder indberettes der ikke sektor.</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7F5A56" w:rsidRPr="005B425B"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5B425B"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Type</w:t>
            </w:r>
          </w:p>
          <w:p w:rsidR="007F5A56" w:rsidRPr="005B425B"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Forpligtelsestypen skal være en af de typer forpligtelser, der er anført i skema Z 02.00 — Udspecificering af forpligtelser (LIAB), nemlig:</w:t>
            </w:r>
          </w:p>
          <w:p w:rsidR="007F5A56" w:rsidRPr="005B425B"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L.0</w:t>
            </w:r>
            <w:r w:rsidRPr="005B425B">
              <w:tab/>
            </w:r>
            <w:r w:rsidRPr="005B425B">
              <w:rPr>
                <w:rFonts w:ascii="Times New Roman" w:hAnsi="Times New Roman"/>
                <w:color w:val="000000" w:themeColor="text1"/>
                <w:spacing w:val="-2"/>
                <w:w w:val="95"/>
                <w:sz w:val="20"/>
              </w:rPr>
              <w:t>Forpligtelser, der er udelukket fra bail-in</w:t>
            </w:r>
          </w:p>
          <w:p w:rsidR="007F5A56" w:rsidRPr="005B425B"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L.1</w:t>
            </w:r>
            <w:r w:rsidRPr="005B425B">
              <w:tab/>
            </w:r>
            <w:r w:rsidRPr="005B425B">
              <w:rPr>
                <w:rFonts w:ascii="Times New Roman" w:hAnsi="Times New Roman"/>
                <w:color w:val="000000" w:themeColor="text1"/>
                <w:spacing w:val="-2"/>
                <w:w w:val="95"/>
                <w:sz w:val="20"/>
              </w:rPr>
              <w:t>Indskud, udækkede, men foranstillede</w:t>
            </w:r>
          </w:p>
          <w:p w:rsidR="007F5A56" w:rsidRPr="005B425B"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L.2</w:t>
            </w:r>
            <w:r w:rsidRPr="005B425B">
              <w:tab/>
            </w:r>
            <w:r w:rsidRPr="005B425B">
              <w:rPr>
                <w:rFonts w:ascii="Times New Roman" w:hAnsi="Times New Roman"/>
                <w:color w:val="000000" w:themeColor="text1"/>
                <w:spacing w:val="-2"/>
                <w:w w:val="95"/>
                <w:sz w:val="20"/>
              </w:rPr>
              <w:t>Indskud, udækkede og ikke foranstillede</w:t>
            </w:r>
          </w:p>
          <w:p w:rsidR="007F5A56" w:rsidRPr="005B425B"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L.3</w:t>
            </w:r>
            <w:r w:rsidRPr="005B425B">
              <w:tab/>
            </w:r>
            <w:r w:rsidRPr="005B425B">
              <w:rPr>
                <w:rFonts w:ascii="Times New Roman" w:hAnsi="Times New Roman"/>
                <w:color w:val="000000" w:themeColor="text1"/>
                <w:spacing w:val="-2"/>
                <w:w w:val="95"/>
                <w:sz w:val="20"/>
              </w:rPr>
              <w:t>Forpligtelser hidrørende fra derivater</w:t>
            </w:r>
          </w:p>
          <w:p w:rsidR="007F5A56" w:rsidRPr="005B425B"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L.4</w:t>
            </w:r>
            <w:r w:rsidRPr="005B425B">
              <w:tab/>
            </w:r>
            <w:r w:rsidRPr="005B425B">
              <w:rPr>
                <w:rFonts w:ascii="Times New Roman" w:hAnsi="Times New Roman"/>
                <w:color w:val="000000" w:themeColor="text1"/>
                <w:spacing w:val="-2"/>
                <w:w w:val="95"/>
                <w:sz w:val="20"/>
              </w:rPr>
              <w:t>Sikrede passiver, for hvilke der ikke er stillet sikkerhed</w:t>
            </w:r>
          </w:p>
          <w:p w:rsidR="007F5A56" w:rsidRPr="005B425B"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L.5</w:t>
            </w:r>
            <w:r w:rsidRPr="005B425B">
              <w:tab/>
            </w:r>
            <w:r w:rsidRPr="005B425B">
              <w:rPr>
                <w:rFonts w:ascii="Times New Roman" w:hAnsi="Times New Roman"/>
                <w:color w:val="000000" w:themeColor="text1"/>
                <w:spacing w:val="-2"/>
                <w:w w:val="95"/>
                <w:sz w:val="20"/>
              </w:rPr>
              <w:t>Strukturerede obligationer</w:t>
            </w:r>
          </w:p>
          <w:p w:rsidR="007F5A56" w:rsidRPr="005B425B"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L.6</w:t>
            </w:r>
            <w:r w:rsidRPr="005B425B">
              <w:tab/>
            </w:r>
            <w:r w:rsidRPr="005B425B">
              <w:rPr>
                <w:rFonts w:ascii="Times New Roman" w:hAnsi="Times New Roman"/>
                <w:color w:val="000000" w:themeColor="text1"/>
                <w:spacing w:val="-2"/>
                <w:w w:val="95"/>
                <w:sz w:val="20"/>
              </w:rPr>
              <w:t>Usikret seniorgæld</w:t>
            </w:r>
          </w:p>
          <w:p w:rsidR="00306CCC" w:rsidRPr="005B425B"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L.7        Ikke-foranstillet seniorgæld</w:t>
            </w:r>
          </w:p>
          <w:p w:rsidR="007F5A56" w:rsidRPr="005B425B"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L.8</w:t>
            </w:r>
            <w:r w:rsidRPr="005B425B">
              <w:tab/>
            </w:r>
            <w:r w:rsidRPr="005B425B">
              <w:rPr>
                <w:rFonts w:ascii="Times New Roman" w:hAnsi="Times New Roman"/>
                <w:color w:val="000000" w:themeColor="text1"/>
                <w:spacing w:val="-2"/>
                <w:w w:val="95"/>
                <w:sz w:val="20"/>
              </w:rPr>
              <w:t>Efterstillede forpligtelser (der ikke indgår i kapitalgrundlaget)</w:t>
            </w:r>
          </w:p>
          <w:p w:rsidR="007F5A56" w:rsidRPr="005B425B"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L.9</w:t>
            </w:r>
            <w:r w:rsidRPr="005B425B">
              <w:tab/>
            </w:r>
            <w:r w:rsidRPr="005B425B">
              <w:rPr>
                <w:rFonts w:ascii="Times New Roman" w:hAnsi="Times New Roman"/>
                <w:color w:val="000000" w:themeColor="text1"/>
                <w:spacing w:val="-2"/>
                <w:w w:val="95"/>
                <w:sz w:val="20"/>
              </w:rPr>
              <w:t>Andre MREL-nedskrivningsrelevante passiver</w:t>
            </w:r>
          </w:p>
          <w:p w:rsidR="007F5A56" w:rsidRPr="005B425B"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L.10</w:t>
            </w:r>
            <w:r w:rsidRPr="005B425B">
              <w:tab/>
            </w:r>
            <w:r w:rsidRPr="005B425B">
              <w:rPr>
                <w:rFonts w:ascii="Times New Roman" w:hAnsi="Times New Roman"/>
                <w:color w:val="000000" w:themeColor="text1"/>
                <w:spacing w:val="-2"/>
                <w:w w:val="95"/>
                <w:sz w:val="20"/>
              </w:rPr>
              <w:t>Ikke-finansielle forpligtelser</w:t>
            </w:r>
          </w:p>
          <w:p w:rsidR="00C9331A" w:rsidRPr="005B425B"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L.11</w:t>
            </w:r>
            <w:r w:rsidRPr="005B425B">
              <w:tab/>
            </w:r>
            <w:r w:rsidRPr="005B425B">
              <w:rPr>
                <w:rFonts w:ascii="Times New Roman" w:hAnsi="Times New Roman"/>
                <w:color w:val="000000" w:themeColor="text1"/>
                <w:spacing w:val="-2"/>
                <w:w w:val="95"/>
                <w:sz w:val="20"/>
              </w:rPr>
              <w:t>Resterende forpligtelser</w:t>
            </w:r>
          </w:p>
          <w:p w:rsidR="007F5A56" w:rsidRPr="005B425B" w:rsidRDefault="00C9331A" w:rsidP="009B516A">
            <w:pPr>
              <w:pStyle w:val="TableParagraph"/>
              <w:spacing w:before="108"/>
              <w:ind w:left="85"/>
              <w:jc w:val="both"/>
              <w:rPr>
                <w:rFonts w:ascii="Times New Roman" w:hAnsi="Times New Roman" w:cs="Times New Roman"/>
                <w:color w:val="000000" w:themeColor="text1"/>
                <w:w w:val="95"/>
                <w:sz w:val="20"/>
                <w:szCs w:val="20"/>
              </w:rPr>
            </w:pPr>
            <w:r w:rsidRPr="005B425B">
              <w:rPr>
                <w:rFonts w:ascii="Times New Roman" w:hAnsi="Times New Roman"/>
                <w:color w:val="000000" w:themeColor="text1"/>
                <w:spacing w:val="-2"/>
                <w:w w:val="95"/>
                <w:sz w:val="20"/>
              </w:rPr>
              <w:t>Hvis forpligtelserne over for en stor modpart består af mere end én af ovennævnte typer, skal hver enkelt type forpligtelse indberettes i en separat række.</w:t>
            </w:r>
          </w:p>
        </w:tc>
      </w:tr>
      <w:tr w:rsidR="00D22EB0" w:rsidRPr="005B425B" w:rsidTr="00DF1EA4">
        <w:tc>
          <w:tcPr>
            <w:tcW w:w="908" w:type="dxa"/>
            <w:tcBorders>
              <w:top w:val="single" w:sz="4" w:space="0" w:color="1A171C"/>
              <w:left w:val="nil"/>
              <w:bottom w:val="single" w:sz="4" w:space="0" w:color="1A171C"/>
              <w:right w:val="single" w:sz="4" w:space="0" w:color="1A171C"/>
            </w:tcBorders>
            <w:vAlign w:val="center"/>
          </w:tcPr>
          <w:p w:rsidR="007F5A56" w:rsidRPr="005B425B"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rsidR="007F5A56" w:rsidRPr="005B425B"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Beløb</w:t>
            </w:r>
          </w:p>
          <w:p w:rsidR="007F5A56" w:rsidRPr="005B425B"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Beløbet skal være i overensstemmelse med definitionen på et "udestående beløb" som foreskrevet i skema Z 02.00 — Udspecificering af forpligtelser. For forpligtelser hidrørende fra derivater (type L.3) indberettes "close-out amounts" som defineret for række 0333 i skema Z 02.00.</w:t>
            </w:r>
          </w:p>
        </w:tc>
      </w:tr>
    </w:tbl>
    <w:p w:rsidR="00627D51" w:rsidRPr="005B425B" w:rsidRDefault="00627D51" w:rsidP="007F5A56">
      <w:pPr>
        <w:pStyle w:val="body"/>
        <w:rPr>
          <w:rFonts w:ascii="Times New Roman" w:hAnsi="Times New Roman" w:cs="Times New Roman"/>
          <w:color w:val="000000" w:themeColor="text1"/>
          <w:sz w:val="20"/>
          <w:szCs w:val="20"/>
        </w:rPr>
      </w:pPr>
    </w:p>
    <w:p w:rsidR="005A6A04" w:rsidRPr="005B425B" w:rsidRDefault="00F7117F" w:rsidP="00715DAB">
      <w:pPr>
        <w:pStyle w:val="Instructionsberschrift3"/>
      </w:pPr>
      <w:r w:rsidRPr="005B425B">
        <w:t>Z 05.02 — Store ikke-balanceførte modparter: Instrukser vedrørende specifikke positioner</w:t>
      </w:r>
    </w:p>
    <w:p w:rsidR="0056559D" w:rsidRPr="005B425B" w:rsidRDefault="005A6A04"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Kombinationen af værdier, der indberettes i kolonne 0020 og 0060 i dette skema, udgør en primær nøgle, som skal være unik for hver enkelt række i skemaet.</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5B425B"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5B425B"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Kolonne</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5B425B"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Instrukser</w:t>
            </w:r>
          </w:p>
        </w:tc>
      </w:tr>
      <w:tr w:rsidR="00D22EB0" w:rsidRPr="005B425B" w:rsidTr="005A6A04">
        <w:tc>
          <w:tcPr>
            <w:tcW w:w="909" w:type="dxa"/>
            <w:tcBorders>
              <w:top w:val="single" w:sz="4" w:space="0" w:color="1A171C"/>
              <w:left w:val="nil"/>
              <w:bottom w:val="single" w:sz="4" w:space="0" w:color="1A171C"/>
              <w:right w:val="single" w:sz="4" w:space="0" w:color="1A171C"/>
            </w:tcBorders>
            <w:vAlign w:val="center"/>
          </w:tcPr>
          <w:p w:rsidR="00627D51" w:rsidRPr="005B425B"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5B425B"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Modparter</w:t>
            </w:r>
          </w:p>
          <w:p w:rsidR="00627D51" w:rsidRPr="005B425B"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Oplysninger om store ikke-balanceførte modparter</w:t>
            </w:r>
          </w:p>
          <w:p w:rsidR="00627D51" w:rsidRPr="005B425B"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Store ikke-balanceførte modparter identificeres ved at sammenlægge den samlede nominelle værdi af forpligtelser og finansielle garantier (som defineret for FINREP, skema F 09) modtaget af den enhed eller de koncernenheder, som skemaet indberettes for, fra modparter eller en gruppe af indbyrdes forbundne kunder. Store ikke-balanceførte modparter må ikke omfatte enheder, der indgår i koncernens konsoliderede regnskaber. Derefter rangordnes de pågældende modparter og grupper af indbyrdes forbundne kunder efter samlet beløb med henblik på at identificere de 10 største ikke-balanceførte modparter, som der skal gives oplysninger om i dette skema.</w:t>
            </w:r>
          </w:p>
          <w:p w:rsidR="00627D51" w:rsidRPr="005B425B"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 dette skema indberettes kun modparter, der ikke indgår i de konsoliderede regnskaber.</w:t>
            </w:r>
          </w:p>
        </w:tc>
      </w:tr>
      <w:tr w:rsidR="00D22EB0" w:rsidRPr="005B425B" w:rsidTr="005A6A04">
        <w:tc>
          <w:tcPr>
            <w:tcW w:w="909" w:type="dxa"/>
            <w:tcBorders>
              <w:top w:val="single" w:sz="4" w:space="0" w:color="1A171C"/>
              <w:left w:val="nil"/>
              <w:bottom w:val="single" w:sz="4" w:space="0" w:color="1A171C"/>
              <w:right w:val="single" w:sz="4" w:space="0" w:color="1A171C"/>
            </w:tcBorders>
            <w:vAlign w:val="center"/>
          </w:tcPr>
          <w:p w:rsidR="00627D51" w:rsidRPr="005B425B"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5B425B" w:rsidRDefault="00FB1FB9" w:rsidP="00627D51">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Enhedens navn</w:t>
            </w:r>
          </w:p>
          <w:p w:rsidR="00627D51" w:rsidRPr="005B425B"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Se instrukserne vedrørende kolonne 0010 i skema Z 05.01</w:t>
            </w:r>
          </w:p>
        </w:tc>
      </w:tr>
      <w:tr w:rsidR="00D22EB0" w:rsidRPr="005B425B" w:rsidTr="005A6A04">
        <w:tc>
          <w:tcPr>
            <w:tcW w:w="909" w:type="dxa"/>
            <w:tcBorders>
              <w:top w:val="single" w:sz="4" w:space="0" w:color="1A171C"/>
              <w:left w:val="nil"/>
              <w:bottom w:val="single" w:sz="4" w:space="0" w:color="1A171C"/>
              <w:right w:val="single" w:sz="4" w:space="0" w:color="1A171C"/>
            </w:tcBorders>
            <w:vAlign w:val="center"/>
          </w:tcPr>
          <w:p w:rsidR="00627D51" w:rsidRPr="005B425B"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5B425B"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Kode</w:t>
            </w:r>
          </w:p>
          <w:p w:rsidR="00627D51" w:rsidRPr="005B425B"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Se instrukserne vedrørende kolonne 0020 i skema Z 05.01</w:t>
            </w:r>
          </w:p>
        </w:tc>
      </w:tr>
      <w:tr w:rsidR="00D22EB0" w:rsidRPr="005B425B" w:rsidTr="005A6A04">
        <w:tc>
          <w:tcPr>
            <w:tcW w:w="909" w:type="dxa"/>
            <w:tcBorders>
              <w:top w:val="single" w:sz="4" w:space="0" w:color="1A171C"/>
              <w:left w:val="nil"/>
              <w:bottom w:val="single" w:sz="4" w:space="0" w:color="1A171C"/>
              <w:right w:val="single" w:sz="4" w:space="0" w:color="1A171C"/>
            </w:tcBorders>
            <w:vAlign w:val="center"/>
          </w:tcPr>
          <w:p w:rsidR="00627D51" w:rsidRPr="005B425B"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5B425B"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Gruppe eller individuel kunde</w:t>
            </w:r>
          </w:p>
          <w:p w:rsidR="00627D51" w:rsidRPr="005B425B"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Se instrukserne vedrørende kolonne 0030 i skema Z 05.01</w:t>
            </w:r>
          </w:p>
        </w:tc>
      </w:tr>
      <w:tr w:rsidR="00D22EB0" w:rsidRPr="005B425B" w:rsidTr="005A6A04">
        <w:tc>
          <w:tcPr>
            <w:tcW w:w="909" w:type="dxa"/>
            <w:tcBorders>
              <w:top w:val="single" w:sz="4" w:space="0" w:color="1A171C"/>
              <w:left w:val="nil"/>
              <w:bottom w:val="single" w:sz="4" w:space="0" w:color="1A171C"/>
              <w:right w:val="single" w:sz="4" w:space="0" w:color="1A171C"/>
            </w:tcBorders>
            <w:vAlign w:val="center"/>
          </w:tcPr>
          <w:p w:rsidR="00627D51" w:rsidRPr="005B425B"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5B425B" w:rsidRDefault="00FA6204" w:rsidP="00AE7D80">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Land</w:t>
            </w:r>
          </w:p>
          <w:p w:rsidR="00627D51" w:rsidRPr="005B425B"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Se instrukserne vedrørende kolonne 0040 i skema Z 05.01</w:t>
            </w:r>
          </w:p>
        </w:tc>
      </w:tr>
      <w:tr w:rsidR="00D22EB0" w:rsidRPr="005B425B" w:rsidTr="005A6A04">
        <w:tc>
          <w:tcPr>
            <w:tcW w:w="909" w:type="dxa"/>
            <w:tcBorders>
              <w:top w:val="single" w:sz="4" w:space="0" w:color="1A171C"/>
              <w:left w:val="nil"/>
              <w:bottom w:val="single" w:sz="4" w:space="0" w:color="1A171C"/>
              <w:right w:val="single" w:sz="4" w:space="0" w:color="1A171C"/>
            </w:tcBorders>
            <w:vAlign w:val="center"/>
          </w:tcPr>
          <w:p w:rsidR="00627D51" w:rsidRPr="005B425B"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5B425B"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Sektor</w:t>
            </w:r>
          </w:p>
          <w:p w:rsidR="00627D51" w:rsidRPr="005B425B"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Se instrukserne vedrørende kolonne 0050 i skema Z 05.01</w:t>
            </w:r>
          </w:p>
        </w:tc>
      </w:tr>
      <w:tr w:rsidR="00D22EB0" w:rsidRPr="005B425B" w:rsidTr="005A6A04">
        <w:tc>
          <w:tcPr>
            <w:tcW w:w="909" w:type="dxa"/>
            <w:tcBorders>
              <w:top w:val="single" w:sz="4" w:space="0" w:color="1A171C"/>
              <w:left w:val="nil"/>
              <w:bottom w:val="single" w:sz="4" w:space="0" w:color="1A171C"/>
              <w:right w:val="single" w:sz="4" w:space="0" w:color="1A171C"/>
            </w:tcBorders>
            <w:vAlign w:val="center"/>
          </w:tcPr>
          <w:p w:rsidR="00627D51" w:rsidRPr="005B425B"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0060</w:t>
            </w:r>
          </w:p>
        </w:tc>
        <w:tc>
          <w:tcPr>
            <w:tcW w:w="8174" w:type="dxa"/>
            <w:tcBorders>
              <w:top w:val="single" w:sz="4" w:space="0" w:color="1A171C"/>
              <w:left w:val="single" w:sz="4" w:space="0" w:color="1A171C"/>
              <w:bottom w:val="single" w:sz="4" w:space="0" w:color="1A171C"/>
              <w:right w:val="nil"/>
            </w:tcBorders>
            <w:vAlign w:val="center"/>
          </w:tcPr>
          <w:p w:rsidR="00627D51" w:rsidRPr="005B425B"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Type</w:t>
            </w:r>
          </w:p>
          <w:p w:rsidR="00627D51" w:rsidRPr="005B425B"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Typen af ikke-balanceført eksponering angives som en af følgende som defineret i FINREP, skema F 09.02:</w:t>
            </w:r>
          </w:p>
          <w:p w:rsidR="00532D56" w:rsidRPr="005B425B"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OBS.1</w:t>
            </w:r>
            <w:r w:rsidRPr="005B425B">
              <w:tab/>
            </w:r>
            <w:r w:rsidRPr="005B425B">
              <w:rPr>
                <w:rFonts w:ascii="Times New Roman" w:hAnsi="Times New Roman"/>
                <w:color w:val="000000" w:themeColor="text1"/>
                <w:spacing w:val="-2"/>
                <w:w w:val="95"/>
                <w:sz w:val="20"/>
              </w:rPr>
              <w:t>Modtagne lånetilsagn</w:t>
            </w:r>
          </w:p>
          <w:p w:rsidR="00532D56" w:rsidRPr="005B425B"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OBS.2</w:t>
            </w:r>
            <w:r w:rsidRPr="005B425B">
              <w:tab/>
            </w:r>
            <w:r w:rsidRPr="005B425B">
              <w:rPr>
                <w:rFonts w:ascii="Times New Roman" w:hAnsi="Times New Roman"/>
                <w:color w:val="000000" w:themeColor="text1"/>
                <w:spacing w:val="-2"/>
                <w:w w:val="95"/>
                <w:sz w:val="20"/>
              </w:rPr>
              <w:t>Modtagne finansielle garantier</w:t>
            </w:r>
          </w:p>
          <w:p w:rsidR="00627D51" w:rsidRPr="005B425B"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OBS.3</w:t>
            </w:r>
            <w:r w:rsidRPr="005B425B">
              <w:tab/>
            </w:r>
            <w:r w:rsidRPr="005B425B">
              <w:rPr>
                <w:rFonts w:ascii="Times New Roman" w:hAnsi="Times New Roman"/>
                <w:color w:val="000000" w:themeColor="text1"/>
                <w:spacing w:val="-2"/>
                <w:w w:val="95"/>
                <w:sz w:val="20"/>
              </w:rPr>
              <w:t>Andre modtagne forpligtelser</w:t>
            </w:r>
          </w:p>
          <w:p w:rsidR="007514EE" w:rsidRPr="005B425B"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Hvis de ikke-balanceførte poster, der er modtaget fra en stor modpart, består af mere end én af ovennævnte typer, skal hver enkelt type ikke-balanceført post indberettes i en separat række.</w:t>
            </w:r>
          </w:p>
        </w:tc>
      </w:tr>
      <w:tr w:rsidR="00D22EB0" w:rsidRPr="005B425B" w:rsidTr="005A6A04">
        <w:tc>
          <w:tcPr>
            <w:tcW w:w="909" w:type="dxa"/>
            <w:tcBorders>
              <w:top w:val="single" w:sz="4" w:space="0" w:color="1A171C"/>
              <w:left w:val="nil"/>
              <w:bottom w:val="single" w:sz="4" w:space="0" w:color="1A171C"/>
              <w:right w:val="single" w:sz="4" w:space="0" w:color="1A171C"/>
            </w:tcBorders>
            <w:vAlign w:val="center"/>
          </w:tcPr>
          <w:p w:rsidR="00627D51" w:rsidRPr="005B425B"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5B425B" w:rsidRDefault="00627D51" w:rsidP="00486C71">
            <w:pPr>
              <w:pStyle w:val="TableParagraph"/>
              <w:spacing w:before="108"/>
              <w:ind w:left="85"/>
              <w:jc w:val="both"/>
              <w:rPr>
                <w:rFonts w:ascii="Times New Roman" w:hAnsi="Times New Roman" w:cs="Times New Roman"/>
                <w:bCs/>
                <w:color w:val="000000" w:themeColor="text1"/>
                <w:sz w:val="20"/>
                <w:szCs w:val="20"/>
              </w:rPr>
            </w:pPr>
            <w:r w:rsidRPr="005B425B">
              <w:rPr>
                <w:rFonts w:ascii="Times New Roman" w:hAnsi="Times New Roman"/>
                <w:b/>
                <w:color w:val="000000" w:themeColor="text1"/>
                <w:sz w:val="20"/>
              </w:rPr>
              <w:t xml:space="preserve">Beløb </w:t>
            </w:r>
          </w:p>
        </w:tc>
      </w:tr>
    </w:tbl>
    <w:p w:rsidR="00241763" w:rsidRPr="005B425B" w:rsidRDefault="00241763" w:rsidP="0056559D">
      <w:pPr>
        <w:rPr>
          <w:rFonts w:ascii="Times New Roman" w:hAnsi="Times New Roman" w:cs="Times New Roman"/>
          <w:color w:val="000000" w:themeColor="text1"/>
          <w:sz w:val="20"/>
          <w:szCs w:val="20"/>
        </w:rPr>
      </w:pPr>
    </w:p>
    <w:p w:rsidR="00E13CE3" w:rsidRPr="005B425B" w:rsidRDefault="00F7117F" w:rsidP="008854E4">
      <w:pPr>
        <w:pStyle w:val="Instructionsberschrift2"/>
        <w:numPr>
          <w:ilvl w:val="1"/>
          <w:numId w:val="7"/>
        </w:numPr>
        <w:ind w:left="357" w:hanging="357"/>
        <w:rPr>
          <w:rFonts w:ascii="Times New Roman" w:hAnsi="Times New Roman" w:cs="Times New Roman"/>
          <w:szCs w:val="20"/>
        </w:rPr>
      </w:pPr>
      <w:bookmarkStart w:id="31" w:name="_Toc492542326"/>
      <w:bookmarkStart w:id="32" w:name="_Toc509909044"/>
      <w:bookmarkStart w:id="33" w:name="_Toc525120142"/>
      <w:r w:rsidRPr="005B425B">
        <w:rPr>
          <w:rFonts w:ascii="Times New Roman" w:hAnsi="Times New Roman"/>
        </w:rPr>
        <w:t>Z 06.00 — Indskydergarantiordning (DIS)</w:t>
      </w:r>
      <w:bookmarkEnd w:id="31"/>
      <w:bookmarkEnd w:id="32"/>
      <w:bookmarkEnd w:id="33"/>
    </w:p>
    <w:p w:rsidR="008F7980" w:rsidRPr="005B425B" w:rsidRDefault="006A7DCF" w:rsidP="00715DAB">
      <w:pPr>
        <w:pStyle w:val="Instructionsberschrift3"/>
      </w:pPr>
      <w:r w:rsidRPr="005B425B">
        <w:t>Generelt</w:t>
      </w:r>
    </w:p>
    <w:p w:rsidR="0076289A" w:rsidRPr="005B425B" w:rsidRDefault="00DF64E1"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Dette skema giver et overblik over indskudsforsikring inden for en koncern og de indskudsgarantiordninger, som kreditinstitutter, der er relevante juridiske enheder, er medlem af.</w:t>
      </w:r>
    </w:p>
    <w:p w:rsidR="000C2D75" w:rsidRPr="005B425B" w:rsidRDefault="0057049E"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Hvert enkelt kreditinstitut, der tilhører koncernen, skal indberettes i en separat række.</w:t>
      </w:r>
    </w:p>
    <w:p w:rsidR="006A7DCF" w:rsidRPr="005B425B" w:rsidRDefault="006A7DCF" w:rsidP="00715DAB">
      <w:pPr>
        <w:pStyle w:val="Instructionsberschrift3"/>
      </w:pPr>
      <w:r w:rsidRPr="005B425B">
        <w:t>Instrukser vedrørende specifikke positioner</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5B425B"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5B425B"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5B425B"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Instrukser</w:t>
            </w:r>
          </w:p>
        </w:tc>
      </w:tr>
      <w:tr w:rsidR="00D22EB0" w:rsidRPr="005B425B" w:rsidTr="00DD2B90">
        <w:tc>
          <w:tcPr>
            <w:tcW w:w="1191" w:type="dxa"/>
            <w:tcBorders>
              <w:top w:val="single" w:sz="4" w:space="0" w:color="1A171C"/>
              <w:left w:val="nil"/>
              <w:bottom w:val="single" w:sz="4" w:space="0" w:color="1A171C"/>
              <w:right w:val="single" w:sz="4" w:space="0" w:color="1A171C"/>
            </w:tcBorders>
          </w:tcPr>
          <w:p w:rsidR="0057049E" w:rsidRPr="005B425B"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5B425B"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b/>
                <w:color w:val="000000" w:themeColor="text1"/>
                <w:sz w:val="20"/>
              </w:rPr>
              <w:t>Enhed</w:t>
            </w:r>
          </w:p>
        </w:tc>
      </w:tr>
      <w:tr w:rsidR="00D22EB0" w:rsidRPr="005B425B" w:rsidTr="00DD2B90">
        <w:tc>
          <w:tcPr>
            <w:tcW w:w="1191" w:type="dxa"/>
            <w:tcBorders>
              <w:top w:val="single" w:sz="4" w:space="0" w:color="1A171C"/>
              <w:left w:val="nil"/>
              <w:bottom w:val="single" w:sz="4" w:space="0" w:color="1A171C"/>
              <w:right w:val="single" w:sz="4" w:space="0" w:color="1A171C"/>
            </w:tcBorders>
          </w:tcPr>
          <w:p w:rsidR="0057049E" w:rsidRPr="005B425B"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5B425B"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Enhedens navn</w:t>
            </w:r>
          </w:p>
          <w:p w:rsidR="0057049E" w:rsidRPr="005B425B"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Enhedens navn som indberettet i Z 01.00 — Organisatorisk struktur (ORG). </w:t>
            </w:r>
          </w:p>
        </w:tc>
      </w:tr>
      <w:tr w:rsidR="00D22EB0" w:rsidRPr="005B425B" w:rsidTr="00DD2B90">
        <w:tc>
          <w:tcPr>
            <w:tcW w:w="1191" w:type="dxa"/>
            <w:tcBorders>
              <w:top w:val="single" w:sz="4" w:space="0" w:color="1A171C"/>
              <w:left w:val="nil"/>
              <w:bottom w:val="single" w:sz="4" w:space="0" w:color="1A171C"/>
              <w:right w:val="single" w:sz="4" w:space="0" w:color="1A171C"/>
            </w:tcBorders>
          </w:tcPr>
          <w:p w:rsidR="0057049E" w:rsidRPr="005B425B"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5B425B"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Kode </w:t>
            </w:r>
          </w:p>
          <w:p w:rsidR="0057049E" w:rsidRPr="005B425B"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Enhedens kode som indberettet i Z 01.00 — Organisatorisk struktur (ORG).</w:t>
            </w:r>
          </w:p>
          <w:p w:rsidR="0057049E" w:rsidRPr="005B425B"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Dette er en rækkeidentifikator, som skal være unik for hver enkelt række i skemaet.</w:t>
            </w:r>
          </w:p>
        </w:tc>
      </w:tr>
      <w:tr w:rsidR="00D22EB0" w:rsidRPr="005B425B" w:rsidTr="00DD2B90">
        <w:tc>
          <w:tcPr>
            <w:tcW w:w="1191" w:type="dxa"/>
            <w:tcBorders>
              <w:top w:val="single" w:sz="4" w:space="0" w:color="1A171C"/>
              <w:left w:val="nil"/>
              <w:bottom w:val="single" w:sz="4" w:space="0" w:color="1A171C"/>
              <w:right w:val="single" w:sz="4" w:space="0" w:color="1A171C"/>
            </w:tcBorders>
          </w:tcPr>
          <w:p w:rsidR="0057049E" w:rsidRPr="005B425B"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5B425B"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Indskudsgarantiordning</w:t>
            </w:r>
          </w:p>
          <w:p w:rsidR="0057049E" w:rsidRPr="005B425B"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4, stk. 3, i direktiv 2014/49/EU</w:t>
            </w:r>
          </w:p>
          <w:p w:rsidR="0057049E" w:rsidRPr="005B425B"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Navnet på den officielt anerkendte indskudsgarantiordning, som enheden er medlem af i medfør af direktiv 2014/49/EU. Dette skal være indskudsgarantiordningen i den medlemsstat, hvor enheden har sit hjemsted, uden at medtage andre indskudsgarantiordninger som — i andre medlemsstater — kunne give supplerende beskyttelse ("top up") til enhedens kunder i en filial i den pågældende medlemsstat. Hvis et institut er medlem af en institutsikringsordning, der også er officielt anerkendt som en indskudsgarantiordning i henhold til artikel 4, stk. 2, i direktiv 2014/49/EU, skal navnet på indskudsgarantiordningen være identisk med navnet på institutsikringsordningen i række 050.</w:t>
            </w:r>
          </w:p>
          <w:p w:rsidR="00607BC1" w:rsidRPr="005B425B"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Indskudsgarantiordningen skal vælges for hvert land, hvor enheden har hjemsted, blandt følgende:</w:t>
            </w:r>
          </w:p>
          <w:p w:rsidR="004842F3" w:rsidRPr="005B425B"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For Østrig</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"Einlagensicherung der Banken und Bankiers GmbH"</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"Sparkassen-Haftungs AG"</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"Österreichische</w:t>
            </w:r>
            <w:bookmarkStart w:id="34" w:name="_GoBack"/>
            <w:bookmarkEnd w:id="34"/>
            <w:r w:rsidRPr="005B425B">
              <w:rPr>
                <w:rFonts w:ascii="Times New Roman" w:hAnsi="Times New Roman"/>
                <w:color w:val="000000" w:themeColor="text1"/>
                <w:spacing w:val="-2"/>
                <w:w w:val="95"/>
                <w:sz w:val="20"/>
              </w:rPr>
              <w:t xml:space="preserve"> Raiffeisen-Einlagensicherung eGen"</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''Volksbank Einlagensicherung eG"</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"Hypo Haftungs-Gesellschaft m.b.H."</w:t>
            </w:r>
          </w:p>
          <w:p w:rsidR="004842F3" w:rsidRPr="005B425B"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lastRenderedPageBreak/>
              <w:t>Belgien</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"Garantiefonds voor financiële diensten / Fonds de garantie pour les services financiers"</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Bulgarien</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"Фондът за гарантиране на влоговете в банките"</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Kroatien</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"Državna agencija za osiguranje štednih uloga i sanaciju banaka"</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Cypern</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"Σύστημα Εγγύησης των Καταθέσεων και Εξυγίανσης Πιστωτικών και Άλλων Ιδρυμάτων"</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Tjekkiet</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"Garanční systém finančního trhu"</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Danmark</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"Garantiformuen"</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 xml:space="preserve">Estland </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"Tagastisfond"</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 xml:space="preserve">Finland </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"Talletussuojarahasto"</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Frankrig</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"Fonds de Garantie des Dépôts et de Résolution"</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 xml:space="preserve">Tyskland </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"Entschädigungseinrichtung deutscher Banken GmbH"</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"Entschädigungseinrichtung des Bundesverbandes Öffentlicher Banken Deutschlands GmbH"</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"Sicherungseinrichtung des Deutschen Sparkassen- und Giroverbandes (DSGV-Haftungsverbund)"</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"BVR Institutssicherung GmbH"</w:t>
            </w:r>
          </w:p>
          <w:p w:rsidR="00EE17EF" w:rsidRPr="005B425B"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Gibraltar</w:t>
            </w:r>
          </w:p>
          <w:p w:rsidR="00EE17EF"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"Gibraltar Deposit Guarantee Scheme"</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 xml:space="preserve">Grækenland </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"Ταμείο Εγγύησης Καταθέσεων και Επενδύσεων"</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 xml:space="preserve">Ungarn </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"Országos Betétbiztosítási Alap"</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Island</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"Tryggingarsjóður innstæðueigenda og fjárfesta"</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Irland</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"Irish Deposit Protection Scheme"</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 xml:space="preserve">Italien </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"Fondo Interbancario di Tutela dei Depositi"</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"Fondo di Garanzia dei Depositanti del Credito Cooperativo"</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Letland</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"Latvijas Noguldījumu garantiju fonds"</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 xml:space="preserve">Lichtenstein </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"Einlagensicherungs- und Anlegerentschädigungs-Stiftung SV"</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lastRenderedPageBreak/>
              <w:t>Litauen</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"Indėlių ir investicijų draudimas"</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Luxembourg</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"Fond de garantie des Dépôts Luxembourg"</w:t>
            </w:r>
          </w:p>
          <w:p w:rsidR="004842F3" w:rsidRPr="005B425B"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Μalta</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"Depositor Compensation Scheme"</w:t>
            </w:r>
          </w:p>
          <w:p w:rsidR="004842F3" w:rsidRPr="005B425B"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 xml:space="preserve">Nederlandene </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 Nederlandsche Bank, Depositogarantiestelsel"</w:t>
            </w:r>
          </w:p>
          <w:p w:rsidR="004842F3" w:rsidRPr="005B425B"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Norge</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"Bankenes sikringsfond"</w:t>
            </w:r>
          </w:p>
          <w:p w:rsidR="004842F3" w:rsidRPr="005B425B"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Polen</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"Bankowy Fundusz Gwarancyjny"</w:t>
            </w:r>
          </w:p>
          <w:p w:rsidR="004842F3" w:rsidRPr="005B425B"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Portugal</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"Fundo de Garantia de Depósitos"</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"Fundo de Garantia do Crédito Agrícola Mútuo"</w:t>
            </w:r>
          </w:p>
          <w:p w:rsidR="004842F3" w:rsidRPr="005B425B"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Rumænien</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"Fondul de Garantare a Depozitelor in Sistemul Bancar"</w:t>
            </w:r>
          </w:p>
          <w:p w:rsidR="004842F3" w:rsidRPr="005B425B"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Slovakiet</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"Fond ochrany vkladov"</w:t>
            </w:r>
          </w:p>
          <w:p w:rsidR="004842F3" w:rsidRPr="005B425B"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 xml:space="preserve">Slovenien </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"Banka Slovenije"</w:t>
            </w:r>
          </w:p>
          <w:p w:rsidR="004842F3" w:rsidRPr="005B425B"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Spanien</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"Fondo de Garantía de Depósitos de Entidades de Crédito"</w:t>
            </w:r>
          </w:p>
          <w:p w:rsidR="004842F3" w:rsidRPr="005B425B"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Sverige</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"Riksgälden"</w:t>
            </w:r>
          </w:p>
          <w:p w:rsidR="004842F3" w:rsidRPr="005B425B"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5B425B">
              <w:rPr>
                <w:rFonts w:ascii="Times New Roman" w:hAnsi="Times New Roman"/>
                <w:b/>
                <w:color w:val="000000" w:themeColor="text1"/>
                <w:spacing w:val="-2"/>
                <w:w w:val="95"/>
                <w:sz w:val="20"/>
                <w:u w:val="single"/>
              </w:rPr>
              <w:t>Det Forenede Kongerige</w:t>
            </w:r>
          </w:p>
          <w:p w:rsidR="004842F3" w:rsidRPr="005B425B"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"Financial Services Compensation Scheme"</w:t>
            </w:r>
          </w:p>
          <w:p w:rsidR="00EE17EF" w:rsidRPr="005B425B"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5B425B"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Hvis den officielt anerkendte indskudsgarantiordning, som enheden er medlem af, ikke figurerer på listen ovenfor, angives "Andet".</w:t>
            </w:r>
          </w:p>
        </w:tc>
      </w:tr>
      <w:tr w:rsidR="00D22EB0" w:rsidRPr="005B425B" w:rsidTr="00DD2B90">
        <w:tc>
          <w:tcPr>
            <w:tcW w:w="1191" w:type="dxa"/>
            <w:tcBorders>
              <w:top w:val="single" w:sz="4" w:space="0" w:color="1A171C"/>
              <w:left w:val="nil"/>
              <w:bottom w:val="single" w:sz="4" w:space="0" w:color="1A171C"/>
              <w:right w:val="single" w:sz="4" w:space="0" w:color="1A171C"/>
            </w:tcBorders>
          </w:tcPr>
          <w:p w:rsidR="0057049E" w:rsidRPr="005B425B"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5B425B"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Dækkede indskud</w:t>
            </w:r>
          </w:p>
          <w:p w:rsidR="0057049E" w:rsidRPr="005B425B"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2, stk. 1, nr. 5), og artikel 6, stk. 2, i direktiv 2014/49/EU</w:t>
            </w:r>
          </w:p>
          <w:p w:rsidR="0057049E" w:rsidRPr="005B425B"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 samlede dækkede indskud som defineret i artikel 2, stk. 1, nr. 5), sammenholdt med artikel 6 i direktiv 2014/49/EU, som dækket af indskudsgarantiordningen i række 00030, ekskl. midlertidigt høje balancer som defineret i samme direktivs artikel 6, stk. 2.</w:t>
            </w:r>
          </w:p>
        </w:tc>
      </w:tr>
      <w:tr w:rsidR="00D22EB0" w:rsidRPr="005B425B" w:rsidTr="00DD2B90">
        <w:tc>
          <w:tcPr>
            <w:tcW w:w="1191" w:type="dxa"/>
            <w:tcBorders>
              <w:top w:val="single" w:sz="4" w:space="0" w:color="1A171C"/>
              <w:left w:val="nil"/>
              <w:bottom w:val="single" w:sz="4" w:space="0" w:color="1A171C"/>
              <w:right w:val="single" w:sz="4" w:space="0" w:color="1A171C"/>
            </w:tcBorders>
          </w:tcPr>
          <w:p w:rsidR="0057049E" w:rsidRPr="005B425B"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5B425B"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Institutsikringsordning</w:t>
            </w:r>
          </w:p>
          <w:p w:rsidR="0057049E" w:rsidRPr="005B425B"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113, stk. 7, i forordning (EU) nr. 575/2013</w:t>
            </w:r>
          </w:p>
          <w:p w:rsidR="006550E5" w:rsidRPr="005B425B"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Navnet på den institutsikringsordning, jf. artikel 113, stk. 7, i forordning (EU) nr. 575/2013, som enheden er medlem af. Der angives ikke noget, hvis enheden ikke er medlem af en institutsikringsordning. Hvis enheden er medlem af en institutsikringsordning, der også er officielt anerkendt som en indskudsgarantiordning i henhold til artikel 4, stk. 2, i direktiv 2014/49/EU, skal navnet på institutsikringsordningen være identisk med navnet på indskudsgarantiordningen i række 030.</w:t>
            </w:r>
          </w:p>
          <w:p w:rsidR="0057049E" w:rsidRPr="005B425B"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5B425B" w:rsidTr="00DD2B90">
        <w:tc>
          <w:tcPr>
            <w:tcW w:w="1191" w:type="dxa"/>
            <w:tcBorders>
              <w:top w:val="single" w:sz="4" w:space="0" w:color="1A171C"/>
              <w:left w:val="nil"/>
              <w:bottom w:val="single" w:sz="4" w:space="0" w:color="1A171C"/>
              <w:right w:val="single" w:sz="4" w:space="0" w:color="1A171C"/>
            </w:tcBorders>
          </w:tcPr>
          <w:p w:rsidR="0057049E" w:rsidRPr="005B425B"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tcPr>
          <w:p w:rsidR="0057049E" w:rsidRPr="005B425B"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Supplerende beskyttelse iht. aftalemæssig ordning</w:t>
            </w:r>
          </w:p>
          <w:p w:rsidR="0057049E" w:rsidRPr="005B425B"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1, stk. 3, litra a), i direktiv 2014/49/EU</w:t>
            </w:r>
          </w:p>
          <w:p w:rsidR="0057049E" w:rsidRPr="005B425B"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Indskud, der er dækket af en aftalemæssig ordning hos enheden.</w:t>
            </w:r>
          </w:p>
        </w:tc>
      </w:tr>
    </w:tbl>
    <w:p w:rsidR="0057049E" w:rsidRPr="005B425B" w:rsidRDefault="0057049E" w:rsidP="008F7980">
      <w:pPr>
        <w:rPr>
          <w:rFonts w:ascii="Times New Roman" w:hAnsi="Times New Roman" w:cs="Times New Roman"/>
          <w:b/>
          <w:color w:val="000000" w:themeColor="text1"/>
          <w:sz w:val="20"/>
          <w:szCs w:val="20"/>
          <w:u w:val="single"/>
        </w:rPr>
      </w:pPr>
    </w:p>
    <w:p w:rsidR="00E13CE3" w:rsidRPr="005B425B" w:rsidRDefault="00E13CE3" w:rsidP="008854E4">
      <w:pPr>
        <w:pStyle w:val="Instructionsberschrift2"/>
        <w:numPr>
          <w:ilvl w:val="1"/>
          <w:numId w:val="7"/>
        </w:numPr>
        <w:ind w:left="357" w:hanging="357"/>
        <w:rPr>
          <w:rFonts w:ascii="Times New Roman" w:hAnsi="Times New Roman" w:cs="Times New Roman"/>
          <w:szCs w:val="20"/>
        </w:rPr>
      </w:pPr>
      <w:bookmarkStart w:id="35" w:name="_Toc492542327"/>
      <w:bookmarkStart w:id="36" w:name="_Toc509909045"/>
      <w:bookmarkStart w:id="37" w:name="_Toc525120143"/>
      <w:r w:rsidRPr="005B425B">
        <w:rPr>
          <w:rFonts w:ascii="Times New Roman" w:hAnsi="Times New Roman"/>
        </w:rPr>
        <w:t>Kritiske funktioner og centrale forretningsområder</w:t>
      </w:r>
      <w:bookmarkEnd w:id="35"/>
      <w:bookmarkEnd w:id="36"/>
      <w:bookmarkEnd w:id="37"/>
    </w:p>
    <w:p w:rsidR="00AA4026" w:rsidRPr="005B425B" w:rsidRDefault="00AA4026" w:rsidP="00715DAB">
      <w:pPr>
        <w:pStyle w:val="Instructionsberschrift3"/>
      </w:pPr>
      <w:r w:rsidRPr="005B425B">
        <w:t>Generelt</w:t>
      </w:r>
    </w:p>
    <w:p w:rsidR="001D72E4" w:rsidRPr="005B425B" w:rsidRDefault="001D72E4"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I de fire skemaer i denne del gives der nøgledata og kvalitative vurderinger af virkningerne, substituerbarheden og kritikaliteten af økonomiske funktioner, som koncernen udfører, suppleret med en oversigt over de pågældende kritiske funktioner pr. centralt forretningsområde og juridisk enhed.</w:t>
      </w:r>
    </w:p>
    <w:p w:rsidR="005B5989" w:rsidRPr="005B425B" w:rsidRDefault="0001511A"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Mere specifikt vedrører skemaerne følgende emner:</w:t>
      </w:r>
    </w:p>
    <w:p w:rsidR="004D12A4" w:rsidRPr="005B425B" w:rsidRDefault="0000307C"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Skema Z 07.01 — Kritikalitetsvurdering af økonomiske funktioner (FUNC 1) identificerer, baseret på kvantitative og kvalitative indikatorer, de ikke-kritiske og kritiske funktioner, som koncernen udfører, for hver af de medlemsstater, hvor koncernen er aktiv.</w:t>
      </w:r>
    </w:p>
    <w:p w:rsidR="00DF4780" w:rsidRPr="005B425B" w:rsidRDefault="000103DF"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Skema Z 07.02 — Oversigt over kritiske funktioner pr. juridisk enhed (FUNC 2) viser de identificerede kritiske funktioners fordeling på juridiske enheder, med en vurdering af, om den enkelte juridiske enhed anses for at være af væsentlig betydning for udførelsen af den kritiske funktion eller ej.</w:t>
      </w:r>
    </w:p>
    <w:p w:rsidR="00DF4780" w:rsidRPr="005B425B" w:rsidRDefault="00F7117F"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Z 07.03 — Oversigt over centrale forretningsområder pr. juridisk enhed (FUNC 3) indeholder en udtømmende liste over de centrale forretningsområder og deres fordeling på juridiske enheder</w:t>
      </w:r>
    </w:p>
    <w:p w:rsidR="00DF4780" w:rsidRPr="005B425B" w:rsidRDefault="00AD488F"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Skema Z 07.04 — Oversigt over kritiske funktioner pr. centralt forretningsområde (FUNC 4) viser de identificerede kritiske funktioners fordeling på forretningsområder.</w:t>
      </w:r>
    </w:p>
    <w:p w:rsidR="003A344F" w:rsidRPr="005B425B" w:rsidRDefault="006B4A6D"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 xml:space="preserve">Ved kritiske funktioner forstås, jf. artikel 2, stk. 1, nr. 35), i direktiv 2014/59/EU, aktiviteter, ydelser eller transaktioner, hvis ophør i en eller flere medlemsstater kan forventes at føre til forstyrrelser i ydelser, der er af afgørende betydning for realøkonomien, eller til forstyrrelse af den finansielle stabilitet som følge af et instituts eller en koncerns størrelse, markedsandel, eksterne og interne forbundethed, kompleksitet eller grænseoverskridende aktiviteter, navnlig med hensyn til muligheden for at erstatte de pågældende aktiviteter, ydelser eller transaktioner (substituerbarhed). </w:t>
      </w:r>
    </w:p>
    <w:p w:rsidR="0056559D" w:rsidRPr="005B425B" w:rsidRDefault="003A344F"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I henhold til artikel 6, stk. 1, i Kommissionens forordning (EU) 2016/778</w:t>
      </w:r>
      <w:r w:rsidRPr="005B425B">
        <w:rPr>
          <w:rFonts w:ascii="Times New Roman" w:hAnsi="Times New Roman"/>
          <w:vertAlign w:val="superscript"/>
        </w:rPr>
        <w:footnoteReference w:id="16"/>
      </w:r>
      <w:r w:rsidRPr="005B425B">
        <w:rPr>
          <w:rFonts w:ascii="Times New Roman" w:hAnsi="Times New Roman"/>
          <w:sz w:val="20"/>
        </w:rPr>
        <w:t xml:space="preserve"> anses en funktion for kritisk, hvis den opfylder begge følgende kriterier:</w:t>
      </w:r>
    </w:p>
    <w:p w:rsidR="0056559D" w:rsidRPr="005B425B"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sidRPr="005B425B">
        <w:rPr>
          <w:rFonts w:ascii="Times New Roman" w:hAnsi="Times New Roman"/>
          <w:color w:val="000000" w:themeColor="text1"/>
          <w:sz w:val="20"/>
        </w:rPr>
        <w:t>funktionen ydes af instituttet til tredjeparter, som ikke er tilknyttet instituttet eller koncernen, og</w:t>
      </w:r>
    </w:p>
    <w:p w:rsidR="0056559D" w:rsidRPr="005B425B"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sidRPr="005B425B">
        <w:rPr>
          <w:rFonts w:ascii="Times New Roman" w:hAnsi="Times New Roman"/>
          <w:color w:val="000000" w:themeColor="text1"/>
          <w:sz w:val="20"/>
        </w:rPr>
        <w:t>en pludselig forstyrrelse ville sandsynligvis have væsentlige negative virkninger for tredjepart, føre til afsmitning eller underminere markedsaktørernes generelle tillid på grund af funktionens systemiske relevans for tredjepart og den systemiske relevans af, at instituttet eller koncernen udfører funktionen.</w:t>
      </w:r>
    </w:p>
    <w:p w:rsidR="00291ADD" w:rsidRPr="005B425B" w:rsidRDefault="00AC1C52"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I henhold til artikel 2, stk. 1, nr. 36), i direktiv 2014/59/EU forstås ved "centrale forretningsområder" forretningsområder og hertil knyttede ydelser, der repræsenterer væsentlige kilder til indtægter, fortjeneste eller franchiseværdi for et institut eller en koncern, som et institut er en del af.</w:t>
      </w:r>
    </w:p>
    <w:p w:rsidR="007827E9" w:rsidRPr="005B425B" w:rsidRDefault="007827E9"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I dette skema forstås ved økonomiske funktioner de funktioner, der er angivet i tabellen nedenfor.</w:t>
      </w:r>
    </w:p>
    <w:p w:rsidR="00881545" w:rsidRPr="005B425B" w:rsidRDefault="00905475"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lastRenderedPageBreak/>
        <w:t>For hver kategori af økonomiske funktioner er det muligt at vælge "Andet", hvis funktionen ikke er omfattet af andre af de foruddefinerede funktioner.</w:t>
      </w:r>
    </w:p>
    <w:p w:rsidR="00AC1C52" w:rsidRPr="005B425B" w:rsidRDefault="005E0691"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Modparter nævnt i række 0010-0070 samt række 0080-0150 defineres på samme måde som modpartssektorer, jf. FINREP, bilag V, del 1, kapitel 6. Ved "SMV'er" forstås små og mellemstore virksomheder som defineret i FINREP, bilag V, del 1, punkt 5, litra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5B425B"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5B425B"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ID</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5B425B"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Økonomisk funktion</w:t>
            </w:r>
          </w:p>
        </w:tc>
      </w:tr>
      <w:tr w:rsidR="00D22EB0" w:rsidRPr="005B425B" w:rsidTr="00905475">
        <w:tc>
          <w:tcPr>
            <w:tcW w:w="9083" w:type="dxa"/>
            <w:gridSpan w:val="2"/>
            <w:tcBorders>
              <w:top w:val="single" w:sz="4" w:space="0" w:color="1A171C"/>
              <w:left w:val="nil"/>
              <w:bottom w:val="single" w:sz="4" w:space="0" w:color="1A171C"/>
            </w:tcBorders>
          </w:tcPr>
          <w:p w:rsidR="007827E9" w:rsidRPr="005B425B"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Indskud</w:t>
            </w:r>
          </w:p>
          <w:p w:rsidR="00905475" w:rsidRPr="005B425B"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Ved indskud forstås modtagelse af indskud fra ikke-finansielle formidlere. Det omfatter ikke låntagning fra andre finansielle formidlere (behandles særskilt under "engrosfinansiering"). </w:t>
            </w:r>
          </w:p>
          <w:p w:rsidR="007827E9" w:rsidRPr="005B425B"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Indskud omfatter: i) anfordringskonti/dag til dag-indskud, ii) tidsindskud og iii) indskud med opsigelsesvarsel — genkøbsaftaler er ikke omfattet.</w:t>
            </w:r>
          </w:p>
          <w:p w:rsidR="007827E9" w:rsidRPr="005B425B"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Referencer: FSB's</w:t>
            </w:r>
            <w:r w:rsidRPr="005B425B">
              <w:rPr>
                <w:rFonts w:ascii="Times New Roman" w:hAnsi="Times New Roman"/>
                <w:i/>
                <w:color w:val="000000" w:themeColor="text1"/>
                <w:spacing w:val="-2"/>
                <w:w w:val="95"/>
                <w:sz w:val="20"/>
              </w:rPr>
              <w:t xml:space="preserve"> Guidance on Identification of Critical Functions and Critical Shared Services</w:t>
            </w:r>
            <w:r w:rsidRPr="005B425B">
              <w:rPr>
                <w:rFonts w:ascii="Times New Roman" w:hAnsi="Times New Roman"/>
                <w:color w:val="000000" w:themeColor="text1"/>
                <w:spacing w:val="-2"/>
                <w:w w:val="95"/>
                <w:sz w:val="20"/>
              </w:rPr>
              <w:t xml:space="preserve"> (2013), s.14; Del 2, punkt 9.1, 9.2 og 9.3, i bilag II til forordning (EU) nr. 1071/2013.</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7827E9" w:rsidRPr="005B425B"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b/>
                <w:color w:val="000000" w:themeColor="text1"/>
                <w:sz w:val="20"/>
              </w:rPr>
              <w:t>Husholdninger</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7827E9" w:rsidRPr="005B425B"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b/>
                <w:color w:val="000000" w:themeColor="text1"/>
                <w:sz w:val="20"/>
              </w:rPr>
              <w:t>Ikke-finansielle selskaber (SMV'er)</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7827E9" w:rsidRPr="005B425B"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b/>
                <w:color w:val="000000" w:themeColor="text1"/>
                <w:sz w:val="20"/>
              </w:rPr>
              <w:t>Ikke-finansielle selskaber (ikke-SMV'er)</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7827E9" w:rsidRPr="005B425B"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b/>
                <w:color w:val="000000" w:themeColor="text1"/>
                <w:sz w:val="20"/>
              </w:rPr>
              <w:t>Offentlig forvaltning og service</w:t>
            </w:r>
          </w:p>
        </w:tc>
      </w:tr>
      <w:tr w:rsidR="00D22EB0" w:rsidRPr="005B425B" w:rsidTr="0018458C">
        <w:tc>
          <w:tcPr>
            <w:tcW w:w="1191" w:type="dxa"/>
            <w:tcBorders>
              <w:top w:val="single" w:sz="4" w:space="0" w:color="1A171C"/>
              <w:left w:val="nil"/>
              <w:bottom w:val="single" w:sz="4" w:space="0" w:color="1A171C"/>
              <w:right w:val="single" w:sz="4" w:space="0" w:color="1A171C"/>
            </w:tcBorders>
          </w:tcPr>
          <w:p w:rsidR="008B292D" w:rsidRPr="005B425B"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b/>
                <w:color w:val="000000" w:themeColor="text1"/>
                <w:sz w:val="20"/>
              </w:rPr>
              <w:t>Andre sektorer/modparter (1), (2) og (3)</w:t>
            </w:r>
          </w:p>
        </w:tc>
      </w:tr>
      <w:tr w:rsidR="00D22EB0" w:rsidRPr="005B425B" w:rsidTr="0018458C">
        <w:tc>
          <w:tcPr>
            <w:tcW w:w="9083" w:type="dxa"/>
            <w:gridSpan w:val="2"/>
            <w:tcBorders>
              <w:top w:val="single" w:sz="4" w:space="0" w:color="1A171C"/>
              <w:left w:val="nil"/>
              <w:bottom w:val="single" w:sz="4" w:space="0" w:color="1A171C"/>
            </w:tcBorders>
          </w:tcPr>
          <w:p w:rsidR="007827E9" w:rsidRPr="005B425B" w:rsidRDefault="007827E9" w:rsidP="0088154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Udlån</w:t>
            </w:r>
          </w:p>
          <w:p w:rsidR="007827E9" w:rsidRPr="005B425B"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Ved udlån forstås tilrådighedsstillelse af midler til ikke-finansielle modparter, såsom erhvervskunder og detailkunder. Udlån til finansielle modparter er en særskilt aktivitet og vurderes under "engrosfinansiering". Lån omfatter gældsinstrumenter, som besiddes af instituttet, men omfatter ikke gældsinstrumenter, der er værdipapirer, uanset deres regnskabsmæssige klassificering (f.eks. "hold-til-udløb" eller "disponibel for salg").</w:t>
            </w:r>
          </w:p>
          <w:p w:rsidR="007827E9" w:rsidRPr="005B425B"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Referencer: FSB's</w:t>
            </w:r>
            <w:r w:rsidRPr="005B425B">
              <w:rPr>
                <w:rFonts w:ascii="Times New Roman" w:hAnsi="Times New Roman"/>
                <w:i/>
                <w:color w:val="000000" w:themeColor="text1"/>
                <w:spacing w:val="-2"/>
                <w:w w:val="95"/>
                <w:sz w:val="20"/>
              </w:rPr>
              <w:t xml:space="preserve"> Guidance on Identification of Critical Functions and Critical Shared Services</w:t>
            </w:r>
            <w:r w:rsidRPr="005B425B">
              <w:rPr>
                <w:rFonts w:ascii="Times New Roman" w:hAnsi="Times New Roman"/>
                <w:color w:val="000000" w:themeColor="text1"/>
                <w:spacing w:val="-2"/>
                <w:w w:val="95"/>
                <w:sz w:val="20"/>
              </w:rPr>
              <w:t xml:space="preserve"> (2013), s. 17; Del 2, punkt 2, i bilag II til forordning (EU) nr. 1071/2013.</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7827E9"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5B425B" w:rsidRDefault="007827E9" w:rsidP="00261F96">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Husholdninger — udlån til boligkøb</w:t>
            </w:r>
          </w:p>
          <w:p w:rsidR="007827E9" w:rsidRPr="005B425B"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Ved udlån til boligkøb forstås lån, der ydes til husholdninger med henblik på investering i boliger til eget brug og udlejning, herunder opførelse og renovering.</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261F96"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5B425B" w:rsidRDefault="00261F96" w:rsidP="00261F96">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Husholdninger — andre udlån</w:t>
            </w:r>
          </w:p>
        </w:tc>
      </w:tr>
      <w:tr w:rsidR="00D22EB0" w:rsidRPr="005B425B" w:rsidTr="00336AC0">
        <w:tc>
          <w:tcPr>
            <w:tcW w:w="1191" w:type="dxa"/>
            <w:tcBorders>
              <w:top w:val="single" w:sz="4" w:space="0" w:color="1A171C"/>
              <w:left w:val="nil"/>
              <w:bottom w:val="single" w:sz="4" w:space="0" w:color="1A171C"/>
              <w:right w:val="single" w:sz="4" w:space="0" w:color="1A171C"/>
            </w:tcBorders>
            <w:vAlign w:val="bottom"/>
          </w:tcPr>
          <w:p w:rsidR="00336AC0"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5B425B"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Ikke-finansielle selskaber - SMV'er</w:t>
            </w:r>
          </w:p>
        </w:tc>
      </w:tr>
      <w:tr w:rsidR="00D22EB0" w:rsidRPr="005B425B" w:rsidTr="00336AC0">
        <w:tc>
          <w:tcPr>
            <w:tcW w:w="1191" w:type="dxa"/>
            <w:tcBorders>
              <w:top w:val="single" w:sz="4" w:space="0" w:color="1A171C"/>
              <w:left w:val="nil"/>
              <w:bottom w:val="single" w:sz="4" w:space="0" w:color="1A171C"/>
              <w:right w:val="single" w:sz="4" w:space="0" w:color="1A171C"/>
            </w:tcBorders>
            <w:vAlign w:val="bottom"/>
          </w:tcPr>
          <w:p w:rsidR="00336AC0"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5B425B"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Ikke-finansielle selskaber - ikke-SMV'er</w:t>
            </w:r>
          </w:p>
        </w:tc>
      </w:tr>
      <w:tr w:rsidR="00D22EB0" w:rsidRPr="005B425B" w:rsidTr="00336AC0">
        <w:tc>
          <w:tcPr>
            <w:tcW w:w="1191" w:type="dxa"/>
            <w:tcBorders>
              <w:top w:val="single" w:sz="4" w:space="0" w:color="1A171C"/>
              <w:left w:val="nil"/>
              <w:bottom w:val="single" w:sz="4" w:space="0" w:color="1A171C"/>
              <w:right w:val="single" w:sz="4" w:space="0" w:color="1A171C"/>
            </w:tcBorders>
            <w:vAlign w:val="bottom"/>
          </w:tcPr>
          <w:p w:rsidR="00336AC0"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5B425B"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Offentlig forvaltning og service</w:t>
            </w:r>
          </w:p>
        </w:tc>
      </w:tr>
      <w:tr w:rsidR="00D22EB0" w:rsidRPr="005B425B" w:rsidTr="0018458C">
        <w:tc>
          <w:tcPr>
            <w:tcW w:w="1191" w:type="dxa"/>
            <w:tcBorders>
              <w:top w:val="single" w:sz="4" w:space="0" w:color="1A171C"/>
              <w:left w:val="nil"/>
              <w:bottom w:val="single" w:sz="4" w:space="0" w:color="1A171C"/>
              <w:right w:val="single" w:sz="4" w:space="0" w:color="1A171C"/>
            </w:tcBorders>
          </w:tcPr>
          <w:p w:rsidR="007827E9" w:rsidRPr="005B425B"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b/>
                <w:color w:val="000000" w:themeColor="text1"/>
                <w:sz w:val="20"/>
              </w:rPr>
              <w:t>Andre sektorer/modparter (1), (2) og (3)</w:t>
            </w:r>
          </w:p>
        </w:tc>
      </w:tr>
      <w:tr w:rsidR="00D22EB0" w:rsidRPr="005B425B" w:rsidTr="00955D42">
        <w:tc>
          <w:tcPr>
            <w:tcW w:w="9083" w:type="dxa"/>
            <w:gridSpan w:val="2"/>
            <w:tcBorders>
              <w:top w:val="single" w:sz="4" w:space="0" w:color="1A171C"/>
              <w:left w:val="nil"/>
              <w:bottom w:val="single" w:sz="4" w:space="0" w:color="1A171C"/>
            </w:tcBorders>
          </w:tcPr>
          <w:p w:rsidR="007827E9" w:rsidRPr="005B425B"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Betalinger, kontanter, afvikling, clearing, deponeringstjenester</w:t>
            </w:r>
          </w:p>
          <w:p w:rsidR="00D71DD0" w:rsidRPr="005B425B"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Reference: FSB's</w:t>
            </w:r>
            <w:r w:rsidRPr="005B425B">
              <w:rPr>
                <w:rFonts w:ascii="Times New Roman" w:hAnsi="Times New Roman"/>
                <w:i/>
                <w:color w:val="000000" w:themeColor="text1"/>
                <w:spacing w:val="-2"/>
                <w:w w:val="95"/>
                <w:sz w:val="20"/>
              </w:rPr>
              <w:t xml:space="preserve"> Guidance on Identification of Critical Functions and Critical Shared Services</w:t>
            </w:r>
            <w:r w:rsidRPr="005B425B">
              <w:rPr>
                <w:rFonts w:ascii="Times New Roman" w:hAnsi="Times New Roman"/>
                <w:color w:val="000000" w:themeColor="text1"/>
                <w:spacing w:val="-2"/>
                <w:w w:val="95"/>
                <w:sz w:val="20"/>
              </w:rPr>
              <w:t xml:space="preserve"> (2013), s. 20.</w:t>
            </w:r>
          </w:p>
          <w:p w:rsidR="007827E9" w:rsidRPr="005B425B"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De økonomiske funktioner, der hører ind under denne overskrift, er tilrådighedsstillelse af betalinger, kontanter, afvikling, clearing og deponeringstjenester fra et kreditinstituts side, som formidler mellem egne kunder eller som formidler mellem en kunde og en eller flere relevante finansielle markedsinfrastrukturer (FMI'er), eller tilvejebringelse af (indirekte) adgang til FMI'er for andre banker. I tråd med FSB's </w:t>
            </w:r>
            <w:r w:rsidRPr="005B425B">
              <w:rPr>
                <w:rFonts w:ascii="Times New Roman" w:hAnsi="Times New Roman"/>
                <w:i/>
                <w:color w:val="000000" w:themeColor="text1"/>
                <w:spacing w:val="-2"/>
                <w:w w:val="95"/>
                <w:sz w:val="20"/>
              </w:rPr>
              <w:t xml:space="preserve">Guidance on Identification of Critical Functions and </w:t>
            </w:r>
            <w:r w:rsidRPr="005B425B">
              <w:rPr>
                <w:rFonts w:ascii="Times New Roman" w:hAnsi="Times New Roman"/>
                <w:i/>
                <w:color w:val="000000" w:themeColor="text1"/>
                <w:spacing w:val="-2"/>
                <w:w w:val="95"/>
                <w:sz w:val="20"/>
              </w:rPr>
              <w:lastRenderedPageBreak/>
              <w:t>Critical Shared Services</w:t>
            </w:r>
            <w:r w:rsidRPr="005B425B">
              <w:rPr>
                <w:rFonts w:ascii="Times New Roman" w:hAnsi="Times New Roman"/>
                <w:color w:val="000000" w:themeColor="text1"/>
                <w:spacing w:val="-2"/>
                <w:w w:val="95"/>
                <w:sz w:val="20"/>
              </w:rPr>
              <w:t xml:space="preserve"> er betalings-, clearing- og afregningsfunktionen begrænset til tjenester, som bankerne tilbyder deres kunder. Denne kategori omfatter ikke tjenester leveret af (rene) FMI-udbydere. I dette skema omfatter FMI'er betalingssystemer, værdipapirafviklingssystemer, værdipapircentraler og centrale modparter (men ikke transaktionsregistre).</w:t>
            </w:r>
          </w:p>
          <w:p w:rsidR="008762AF" w:rsidRPr="005B425B"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"Betalingstjeneste",</w:t>
            </w:r>
            <w:r w:rsidR="002B39FA">
              <w:rPr>
                <w:rFonts w:ascii="Times New Roman" w:hAnsi="Times New Roman"/>
                <w:color w:val="000000" w:themeColor="text1"/>
                <w:spacing w:val="-2"/>
                <w:w w:val="95"/>
                <w:sz w:val="20"/>
              </w:rPr>
              <w:t xml:space="preserve"> </w:t>
            </w:r>
            <w:r w:rsidRPr="005B425B">
              <w:rPr>
                <w:rFonts w:ascii="Times New Roman" w:hAnsi="Times New Roman"/>
                <w:color w:val="000000" w:themeColor="text1"/>
                <w:spacing w:val="-2"/>
                <w:w w:val="95"/>
                <w:sz w:val="20"/>
              </w:rPr>
              <w:t>"betalingstransaktion" og "betalingssystem" har samme betydning som defineret i artikel 4, henholdsvis nr. 3), 5) og 7), i direktiv 2015/2366 om betalingstjenester i det indre marked</w:t>
            </w:r>
            <w:r w:rsidRPr="005B425B">
              <w:rPr>
                <w:rStyle w:val="FootnoteReference"/>
                <w:rFonts w:ascii="Times New Roman" w:hAnsi="Times New Roman"/>
                <w:color w:val="000000" w:themeColor="text1"/>
                <w:spacing w:val="-2"/>
                <w:w w:val="95"/>
                <w:sz w:val="20"/>
              </w:rPr>
              <w:footnoteReference w:id="17"/>
            </w:r>
            <w:r w:rsidRPr="005B425B">
              <w:rPr>
                <w:rFonts w:ascii="Times New Roman" w:hAnsi="Times New Roman"/>
                <w:color w:val="000000" w:themeColor="text1"/>
                <w:spacing w:val="-2"/>
                <w:w w:val="95"/>
                <w:sz w:val="20"/>
              </w:rPr>
              <w:t>.</w:t>
            </w:r>
          </w:p>
          <w:p w:rsidR="007827E9" w:rsidRPr="005B425B"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7827E9"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3.1</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Betalingstjenester til MFI'er</w:t>
            </w:r>
          </w:p>
          <w:p w:rsidR="007827E9" w:rsidRPr="005B425B"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Denne række omfatter betalingstjenester, der tilbydes til monetære finansielle institutioner (MFI'er), med eller uden anvendelse af eksterne betalingssystemer. Dette inkluderer også (betalinger i tilknytning til) korrespondentbankydelser. MFI'er omfatter alle institutionelle enheder, der indgår i følgende delsektorer: i) centralbank, ii) pengeinstitutter bortset fra centralbanken og iii) pengemarkedsforeninger.</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7827E9"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Betalingstjenester til ikke-MFI'er</w:t>
            </w:r>
          </w:p>
          <w:p w:rsidR="007827E9" w:rsidRPr="005B425B"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Betalingstjenester, der tilbydes til kunder, med eller uden anvendelse af eksterne betalingssystemer. Dette omfatter udelukkende fysiske eller juridiske personer, der ikke tilhører MFI-sektoren. Betalingstjenesteudbydere er heller ikke omfattet af "ikke-MFI'er"-sektoren.</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7827E9"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Kontanttjenester</w:t>
            </w:r>
          </w:p>
          <w:p w:rsidR="007827E9" w:rsidRPr="005B425B"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Levering af kontanttjenester til kunder (både enkeltpersoner og virksomheder, kun ikke-MFI'er). Disse tjenester vedrører hævning i kontantautomater og ved skranken i filialer og omfatter ikke andre kontanttjenester (såsom pengetransport for store detailbutikker). Hævning af kontanter med check og ved skranken i filialer ved brug af en blanket (hvor kort vil kunne bruges som ID) er omfattet.</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7827E9"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Værdipapirafviklingstjenester</w:t>
            </w:r>
          </w:p>
          <w:p w:rsidR="007827E9" w:rsidRPr="005B425B"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Tjenester, der tilbydes til kunderne til bekræftelse, clearing og afvikling af værdipapirtransaktioner, med eller uden brug af værdipapirafviklingssystemer. Ved "afvikling" forstås afslutning af en værdipapirtransaktion, uanset hvor den gennemføres, med det formål at opfylde parternes forpligtelser vedrørende den pågældende transaktion ved at overføre kontanter og/eller værdipapirer.</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7827E9"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CCP-clearingtjenester</w:t>
            </w:r>
          </w:p>
          <w:p w:rsidR="007827E9" w:rsidRPr="005B425B"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Værdipapirer og derivatclearingtjenester til kunder. Dette omfatter også tilvejebringelse af indirekte adgang til en central modpart (CCP).</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7827E9"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Deponeringstjenester</w:t>
            </w:r>
          </w:p>
          <w:p w:rsidR="007827E9" w:rsidRPr="005B425B"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Opbevaring og forvaltning af finansielle instrumenter for kunder samt tjenester vedrørende formueforvaltning, som f.eks. forvaltning af kontanter og sikkerhedsstillelse.</w:t>
            </w:r>
          </w:p>
        </w:tc>
      </w:tr>
      <w:tr w:rsidR="00D22EB0" w:rsidRPr="005B425B" w:rsidTr="00336AC0">
        <w:tc>
          <w:tcPr>
            <w:tcW w:w="1191" w:type="dxa"/>
            <w:tcBorders>
              <w:top w:val="single" w:sz="4" w:space="0" w:color="1A171C"/>
              <w:left w:val="nil"/>
              <w:bottom w:val="single" w:sz="4" w:space="0" w:color="1A171C"/>
              <w:right w:val="single" w:sz="4" w:space="0" w:color="1A171C"/>
            </w:tcBorders>
          </w:tcPr>
          <w:p w:rsidR="007827E9"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b/>
                <w:color w:val="000000" w:themeColor="text1"/>
                <w:sz w:val="20"/>
              </w:rPr>
              <w:t>Andre tjenester/aktiviteter/funktioner (1), (2) og (3)</w:t>
            </w:r>
          </w:p>
        </w:tc>
      </w:tr>
      <w:tr w:rsidR="00D22EB0" w:rsidRPr="005B425B" w:rsidTr="00336AC0">
        <w:tc>
          <w:tcPr>
            <w:tcW w:w="9083" w:type="dxa"/>
            <w:gridSpan w:val="2"/>
            <w:tcBorders>
              <w:top w:val="single" w:sz="4" w:space="0" w:color="1A171C"/>
              <w:left w:val="nil"/>
              <w:bottom w:val="single" w:sz="4" w:space="0" w:color="1A171C"/>
            </w:tcBorders>
          </w:tcPr>
          <w:p w:rsidR="007827E9" w:rsidRPr="005B425B"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Kapitalmarkeder</w:t>
            </w:r>
          </w:p>
          <w:p w:rsidR="007827E9" w:rsidRPr="005B425B"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Ved kapitalmarkedsaktiviteter forstås udstedelse og handel med værdipapirer, dermed beslægtede rådgivningstjenester samt tjenester i forbindelse hermed, såsom mæglertjenester og market making. </w:t>
            </w:r>
          </w:p>
        </w:tc>
      </w:tr>
      <w:tr w:rsidR="00D22EB0" w:rsidRPr="005B425B" w:rsidTr="00336AC0">
        <w:tc>
          <w:tcPr>
            <w:tcW w:w="1191" w:type="dxa"/>
            <w:tcBorders>
              <w:top w:val="single" w:sz="4" w:space="0" w:color="1A171C"/>
              <w:left w:val="nil"/>
              <w:bottom w:val="single" w:sz="4" w:space="0" w:color="1A171C"/>
              <w:right w:val="single" w:sz="4" w:space="0" w:color="1A171C"/>
            </w:tcBorders>
          </w:tcPr>
          <w:p w:rsidR="00336AC0" w:rsidRPr="005B425B"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5B425B"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Derivater, der besiddes med handel for øje (OTC)</w:t>
            </w:r>
          </w:p>
          <w:p w:rsidR="000C7CD3" w:rsidRPr="005B425B"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Artikel 2, stk. 5 og 7, i forordning (EF) nr. 648/2012</w:t>
            </w:r>
            <w:r w:rsidRPr="005B425B">
              <w:rPr>
                <w:rStyle w:val="FootnoteReference"/>
                <w:rFonts w:ascii="Times New Roman" w:hAnsi="Times New Roman"/>
                <w:color w:val="000000" w:themeColor="text1"/>
                <w:spacing w:val="-2"/>
                <w:w w:val="95"/>
                <w:sz w:val="20"/>
              </w:rPr>
              <w:footnoteReference w:id="18"/>
            </w:r>
            <w:r w:rsidRPr="005B425B">
              <w:rPr>
                <w:rFonts w:ascii="Times New Roman" w:hAnsi="Times New Roman"/>
                <w:color w:val="000000" w:themeColor="text1"/>
                <w:spacing w:val="-2"/>
                <w:w w:val="95"/>
                <w:sz w:val="20"/>
              </w:rPr>
              <w:t>.</w:t>
            </w:r>
          </w:p>
          <w:p w:rsidR="000C7CD3" w:rsidRPr="005B425B"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Ved et derivat eller en derivataftale forstås et finansielt instrument som fastsat i afsnit C, punkt 4-10, i bilag I til direktiv 2014/65/EU</w:t>
            </w:r>
            <w:r w:rsidRPr="005B425B">
              <w:rPr>
                <w:rStyle w:val="FootnoteReference"/>
                <w:rFonts w:ascii="Times New Roman" w:hAnsi="Times New Roman"/>
                <w:color w:val="000000" w:themeColor="text1"/>
                <w:spacing w:val="-2"/>
                <w:w w:val="95"/>
                <w:sz w:val="20"/>
              </w:rPr>
              <w:footnoteReference w:id="19"/>
            </w:r>
            <w:r w:rsidRPr="005B425B">
              <w:rPr>
                <w:rFonts w:ascii="Times New Roman" w:hAnsi="Times New Roman"/>
                <w:color w:val="000000" w:themeColor="text1"/>
                <w:spacing w:val="-2"/>
                <w:w w:val="95"/>
                <w:sz w:val="20"/>
              </w:rPr>
              <w:t xml:space="preserve"> som gennemført ved artikel 38 og 39 i forordning (EF) nr. 1287/2006.</w:t>
            </w:r>
          </w:p>
          <w:p w:rsidR="000C7CD3" w:rsidRPr="005B425B"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Ved et OTC-derivat eller en OTC-derivataftale forstås en derivataftale, hvis gennemførelse ikke finder sted på et reguleret marked som defineret i artikel 4, stk. 1, nr. 21), i direktiv 2014/65/EF eller på et tredjelandsmarked, der anses for at svare til et reguleret marked i henhold til artikel 2a i forordning (EU) nr. 648/2012.</w:t>
            </w:r>
          </w:p>
          <w:p w:rsidR="00336AC0" w:rsidRPr="005B425B"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Det indberettede beløb må kun omfatte derivater, der handles på OTC-markedet.</w:t>
            </w:r>
          </w:p>
        </w:tc>
      </w:tr>
      <w:tr w:rsidR="00D22EB0" w:rsidRPr="005B425B" w:rsidTr="00336AC0">
        <w:tc>
          <w:tcPr>
            <w:tcW w:w="1191" w:type="dxa"/>
            <w:tcBorders>
              <w:top w:val="single" w:sz="4" w:space="0" w:color="1A171C"/>
              <w:left w:val="nil"/>
              <w:bottom w:val="single" w:sz="4" w:space="0" w:color="1A171C"/>
              <w:right w:val="single" w:sz="4" w:space="0" w:color="1A171C"/>
            </w:tcBorders>
          </w:tcPr>
          <w:p w:rsidR="00336AC0" w:rsidRPr="005B425B"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4.2</w:t>
            </w:r>
          </w:p>
        </w:tc>
        <w:tc>
          <w:tcPr>
            <w:tcW w:w="7892" w:type="dxa"/>
            <w:tcBorders>
              <w:top w:val="single" w:sz="4" w:space="0" w:color="1A171C"/>
              <w:left w:val="single" w:sz="4" w:space="0" w:color="1A171C"/>
              <w:bottom w:val="single" w:sz="4" w:space="0" w:color="1A171C"/>
              <w:right w:val="nil"/>
            </w:tcBorders>
          </w:tcPr>
          <w:p w:rsidR="00336AC0" w:rsidRPr="005B425B"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Derivater, der besiddes med handel for øje (ikke-OTC)</w:t>
            </w:r>
          </w:p>
          <w:p w:rsidR="00336AC0" w:rsidRPr="005B425B"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Alle derivater, der besiddes med handel for øje, bortset fra OTC-derivater, der besiddes med handel for øje.</w:t>
            </w:r>
          </w:p>
        </w:tc>
      </w:tr>
      <w:tr w:rsidR="00D22EB0" w:rsidRPr="005B425B" w:rsidTr="00336AC0">
        <w:tc>
          <w:tcPr>
            <w:tcW w:w="1191" w:type="dxa"/>
            <w:tcBorders>
              <w:top w:val="single" w:sz="4" w:space="0" w:color="1A171C"/>
              <w:left w:val="nil"/>
              <w:bottom w:val="single" w:sz="4" w:space="0" w:color="1A171C"/>
              <w:right w:val="single" w:sz="4" w:space="0" w:color="1A171C"/>
            </w:tcBorders>
          </w:tcPr>
          <w:p w:rsidR="00336AC0" w:rsidRPr="005B425B"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5B425B"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Sekundære markeder/handel:</w:t>
            </w:r>
          </w:p>
          <w:p w:rsidR="007F077B" w:rsidRPr="005B425B"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Det sekundære marked er der, hvor investorer køber og sælger værdipapirer. Denne funktion knytter sig til den samlede handelsportefølje (dvs. egenkapital, corporate credit, sovereign credit).</w:t>
            </w:r>
          </w:p>
          <w:p w:rsidR="00E82CEB" w:rsidRPr="005B425B"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Det indberettede beløb skal omfatte værdien af værdipapirer målt som det samlede beløb af værdipapirer, der besiddes med handel for øje. Værdipapirer indberettes til dagsværdien på indberetningsdatoen.</w:t>
            </w:r>
          </w:p>
          <w:p w:rsidR="00336AC0" w:rsidRPr="005B425B"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Beløbet må ikke omfatte lån, derivater eller ikke-omsættelige aktiver (f.eks. tilgodehavender).</w:t>
            </w:r>
          </w:p>
        </w:tc>
      </w:tr>
      <w:tr w:rsidR="00D22EB0" w:rsidRPr="005B425B" w:rsidTr="00336AC0">
        <w:tc>
          <w:tcPr>
            <w:tcW w:w="1191" w:type="dxa"/>
            <w:tcBorders>
              <w:top w:val="single" w:sz="4" w:space="0" w:color="1A171C"/>
              <w:left w:val="nil"/>
              <w:bottom w:val="single" w:sz="4" w:space="0" w:color="1A171C"/>
              <w:right w:val="single" w:sz="4" w:space="0" w:color="1A171C"/>
            </w:tcBorders>
          </w:tcPr>
          <w:p w:rsidR="00336AC0" w:rsidRPr="005B425B"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5B425B"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Primære markeder/underwriting</w:t>
            </w:r>
          </w:p>
          <w:p w:rsidR="00336AC0" w:rsidRPr="005B425B"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Ved primære markeder forstås markeder, hvor virksomheder, regeringer og andre grupper udsteder nye værdipapirer på en børs med henblik på at skaffe finansiering gennem gældsbaserede eller egenkapitalbaserede værdipapirer (som f.eks. almindelige aktier og præferenceaktiver, virksomhedsobligationer, gældsbeviser, skatkammerbeviser og statsobligationer). Primære markeder faciliteres af garantikonsortier.</w:t>
            </w:r>
          </w:p>
        </w:tc>
      </w:tr>
      <w:tr w:rsidR="00D22EB0" w:rsidRPr="005B425B" w:rsidTr="00336AC0">
        <w:tc>
          <w:tcPr>
            <w:tcW w:w="1191" w:type="dxa"/>
            <w:tcBorders>
              <w:top w:val="single" w:sz="4" w:space="0" w:color="1A171C"/>
              <w:left w:val="nil"/>
              <w:bottom w:val="single" w:sz="4" w:space="0" w:color="1A171C"/>
              <w:right w:val="single" w:sz="4" w:space="0" w:color="1A171C"/>
            </w:tcBorders>
          </w:tcPr>
          <w:p w:rsidR="007827E9"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b/>
                <w:color w:val="000000" w:themeColor="text1"/>
                <w:sz w:val="20"/>
              </w:rPr>
              <w:t>Andre tjenester/aktiviteter/funktioner (1), (2) og (3)</w:t>
            </w:r>
          </w:p>
        </w:tc>
      </w:tr>
      <w:tr w:rsidR="00D22EB0" w:rsidRPr="005B425B" w:rsidTr="00336AC0">
        <w:tc>
          <w:tcPr>
            <w:tcW w:w="9083" w:type="dxa"/>
            <w:gridSpan w:val="2"/>
            <w:tcBorders>
              <w:top w:val="single" w:sz="4" w:space="0" w:color="1A171C"/>
              <w:left w:val="nil"/>
              <w:bottom w:val="single" w:sz="4" w:space="0" w:color="1A171C"/>
            </w:tcBorders>
          </w:tcPr>
          <w:p w:rsidR="007827E9" w:rsidRPr="005B425B"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Engrosfinansiering</w:t>
            </w:r>
          </w:p>
          <w:p w:rsidR="007827E9" w:rsidRPr="005B425B"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Udlåns- og indlånsaktiviteter på engrosmarkeder til og fra finansielle modparter (kreditinstitutter og andre finansielle selskaber).</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336AC0"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5B425B"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Låntagning</w:t>
            </w:r>
          </w:p>
          <w:p w:rsidR="00336AC0" w:rsidRPr="005B425B"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Låntagning på engrosmarkeder fra finansielle modparter (herunder gennem genkøbsaftaler, interbanklåntagning, gældsbreve, indlånsbeviser, pengemarkedsforeninger, kreditlinjer, gældsbreve med sikkerhed i konkrete aktiver og fiduciary deposits).</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336AC0"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5B425B"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Derivater (aktiver)</w:t>
            </w:r>
          </w:p>
          <w:p w:rsidR="00336AC0" w:rsidRPr="005B425B"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Alle derivater med finansielle modparter, som holdes på aktivsiden i balancen. I modsætning til under "Kapitalmarkeder" omfatter derivater under "Engrosfinansiering" alle derivataftaler med finansielle modparter (ikke begrænset til højfrekvenshandel).</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336AC0"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5B425B"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Udlån</w:t>
            </w:r>
          </w:p>
          <w:p w:rsidR="00336AC0" w:rsidRPr="005B425B"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Udlån på engrosmarkeder til finansielle modparter (herunder gennem omvendte repolån, gældsbreve, indlånsbeviser, pengemarkedsforeninger, kreditlinjer, gældsbreve med sikkerhed i konkrete aktiver og fiduciary deposits).</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336AC0"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5B425B"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Derivater (forpligtelser)</w:t>
            </w:r>
          </w:p>
          <w:p w:rsidR="00336AC0" w:rsidRPr="005B425B"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Alle derivater med finansielle modparter, som holdes på passivsiden i balancen. </w:t>
            </w:r>
          </w:p>
        </w:tc>
      </w:tr>
      <w:tr w:rsidR="00D22EB0" w:rsidRPr="005B425B" w:rsidTr="00E95D75">
        <w:tc>
          <w:tcPr>
            <w:tcW w:w="1191" w:type="dxa"/>
            <w:tcBorders>
              <w:top w:val="single" w:sz="4" w:space="0" w:color="1A171C"/>
              <w:left w:val="nil"/>
              <w:bottom w:val="single" w:sz="4" w:space="0" w:color="1A171C"/>
              <w:right w:val="single" w:sz="4" w:space="0" w:color="1A171C"/>
            </w:tcBorders>
          </w:tcPr>
          <w:p w:rsidR="007827E9" w:rsidRPr="005B425B"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5.5, 5.6, 5.7</w:t>
            </w:r>
          </w:p>
        </w:tc>
        <w:tc>
          <w:tcPr>
            <w:tcW w:w="7892" w:type="dxa"/>
            <w:tcBorders>
              <w:top w:val="single" w:sz="4" w:space="0" w:color="1A171C"/>
              <w:left w:val="single" w:sz="4" w:space="0" w:color="1A171C"/>
              <w:bottom w:val="single" w:sz="4" w:space="0" w:color="1A171C"/>
              <w:right w:val="nil"/>
            </w:tcBorders>
          </w:tcPr>
          <w:p w:rsidR="007827E9" w:rsidRPr="005B425B"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Andre typer produkter (1), (2) og (3)</w:t>
            </w:r>
          </w:p>
          <w:p w:rsidR="007827E9" w:rsidRPr="005B425B"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Enhver funktion af den økonomiske funktion "Engrosfinansiering", som ikke er omfattet af ovenstående.</w:t>
            </w:r>
          </w:p>
        </w:tc>
      </w:tr>
    </w:tbl>
    <w:p w:rsidR="00F06ABE" w:rsidRPr="005B425B" w:rsidRDefault="00F7117F" w:rsidP="00AC1C52">
      <w:pPr>
        <w:pStyle w:val="Numberedtitlelevel3"/>
        <w:rPr>
          <w:rFonts w:ascii="Times New Roman" w:hAnsi="Times New Roman" w:cs="Times New Roman"/>
          <w:b w:val="0"/>
          <w:color w:val="000000" w:themeColor="text1"/>
          <w:sz w:val="20"/>
          <w:szCs w:val="20"/>
          <w:u w:val="single"/>
        </w:rPr>
      </w:pPr>
      <w:r w:rsidRPr="005B425B">
        <w:rPr>
          <w:rFonts w:ascii="Times New Roman" w:hAnsi="Times New Roman"/>
          <w:b w:val="0"/>
          <w:color w:val="000000" w:themeColor="text1"/>
          <w:sz w:val="20"/>
          <w:u w:val="single"/>
        </w:rPr>
        <w:t>Z 07.01 — Kritikalitetsvurdering af økonomiske funktioner (FUNC 1): Instrukser vedrørende specifikke positioner</w:t>
      </w:r>
    </w:p>
    <w:p w:rsidR="00336AC0" w:rsidRPr="005B425B" w:rsidRDefault="00336AC0"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Dette skema skal indberettes én gang for hver medlemsstat (identificeret som "land"), hvor koncernen er aktiv.</w:t>
      </w:r>
    </w:p>
    <w:p w:rsidR="00AE7D80" w:rsidRPr="005B425B" w:rsidRDefault="00336AC0"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Det dækker alle økonomiske funktioner udført i den pågældende medlemsstat af en hvilken som helst af koncernens enheder, uanset om denne funktion er en kritisk funktion eller ej.</w:t>
      </w:r>
    </w:p>
    <w:p w:rsidR="005244DF" w:rsidRPr="005B425B"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5B425B"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5B425B"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Række</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5B425B"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Instrukser</w:t>
            </w:r>
          </w:p>
        </w:tc>
      </w:tr>
      <w:tr w:rsidR="005244DF" w:rsidRPr="005B425B" w:rsidTr="00E95D75">
        <w:tc>
          <w:tcPr>
            <w:tcW w:w="1191" w:type="dxa"/>
            <w:tcBorders>
              <w:top w:val="single" w:sz="4" w:space="0" w:color="1A171C"/>
              <w:left w:val="nil"/>
              <w:bottom w:val="single" w:sz="4" w:space="0" w:color="1A171C"/>
              <w:right w:val="single" w:sz="4" w:space="0" w:color="1A171C"/>
            </w:tcBorders>
            <w:vAlign w:val="center"/>
          </w:tcPr>
          <w:p w:rsidR="005244DF" w:rsidRPr="005B425B"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0010 - 0380</w:t>
            </w:r>
          </w:p>
        </w:tc>
        <w:tc>
          <w:tcPr>
            <w:tcW w:w="7892" w:type="dxa"/>
            <w:tcBorders>
              <w:top w:val="single" w:sz="4" w:space="0" w:color="1A171C"/>
              <w:left w:val="single" w:sz="4" w:space="0" w:color="1A171C"/>
              <w:bottom w:val="single" w:sz="4" w:space="0" w:color="1A171C"/>
              <w:right w:val="nil"/>
            </w:tcBorders>
            <w:vAlign w:val="center"/>
          </w:tcPr>
          <w:p w:rsidR="005244DF" w:rsidRPr="005B425B"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Økonomiske funktioner</w:t>
            </w:r>
          </w:p>
          <w:p w:rsidR="005244DF" w:rsidRPr="005B425B"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Økonomiske funktioner som defineret ovenfor</w:t>
            </w:r>
          </w:p>
        </w:tc>
      </w:tr>
    </w:tbl>
    <w:p w:rsidR="0056559D" w:rsidRPr="005B425B"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5B425B"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5B425B"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5B425B"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Instrukser</w:t>
            </w:r>
          </w:p>
        </w:tc>
      </w:tr>
      <w:tr w:rsidR="00D22EB0" w:rsidRPr="005B425B" w:rsidTr="00E95D75">
        <w:tc>
          <w:tcPr>
            <w:tcW w:w="1191" w:type="dxa"/>
            <w:tcBorders>
              <w:top w:val="single" w:sz="4" w:space="0" w:color="1A171C"/>
              <w:left w:val="nil"/>
              <w:bottom w:val="single" w:sz="4" w:space="0" w:color="1A171C"/>
              <w:right w:val="single" w:sz="4" w:space="0" w:color="1A171C"/>
            </w:tcBorders>
            <w:vAlign w:val="center"/>
          </w:tcPr>
          <w:p w:rsidR="005244DF" w:rsidRPr="005B425B"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5B425B"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Beskrivelse af økonomisk funktion</w:t>
            </w:r>
          </w:p>
          <w:p w:rsidR="005244DF" w:rsidRPr="005B425B"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Når den økonomiske funktion er af typen "Andet" (funktion 1.5-1.7, 2.6-2.8, 3.7-3.9, 4.5-4.7, 5.5-5.7), gives en beskrivelse af funktionen. </w:t>
            </w:r>
          </w:p>
        </w:tc>
      </w:tr>
      <w:tr w:rsidR="00D22EB0" w:rsidRPr="005B425B" w:rsidTr="00E95D75">
        <w:tc>
          <w:tcPr>
            <w:tcW w:w="1191" w:type="dxa"/>
            <w:tcBorders>
              <w:top w:val="single" w:sz="4" w:space="0" w:color="1A171C"/>
              <w:left w:val="nil"/>
              <w:bottom w:val="single" w:sz="4" w:space="0" w:color="1A171C"/>
              <w:right w:val="single" w:sz="4" w:space="0" w:color="1A171C"/>
            </w:tcBorders>
            <w:vAlign w:val="center"/>
          </w:tcPr>
          <w:p w:rsidR="005244DF" w:rsidRPr="005B425B"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5B425B"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Markedsandel </w:t>
            </w:r>
          </w:p>
          <w:p w:rsidR="005244DF" w:rsidRPr="005B425B"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Skøn over instituttets eller koncernens markedsandel for så vidt angår den økonomiske funktion i det pågældende land. Som en procentdel af det samlede marked (pengebeløb).</w:t>
            </w:r>
          </w:p>
        </w:tc>
      </w:tr>
      <w:tr w:rsidR="00D22EB0" w:rsidRPr="005B425B" w:rsidTr="00E95D75">
        <w:tc>
          <w:tcPr>
            <w:tcW w:w="1191" w:type="dxa"/>
            <w:tcBorders>
              <w:top w:val="single" w:sz="4" w:space="0" w:color="1A171C"/>
              <w:left w:val="nil"/>
              <w:bottom w:val="single" w:sz="4" w:space="0" w:color="1A171C"/>
              <w:right w:val="single" w:sz="4" w:space="0" w:color="1A171C"/>
            </w:tcBorders>
            <w:vAlign w:val="center"/>
          </w:tcPr>
          <w:p w:rsidR="005244DF" w:rsidRPr="005B425B"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5B425B"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Pengebeløb</w:t>
            </w:r>
          </w:p>
          <w:p w:rsidR="005244DF" w:rsidRPr="005B425B"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Indholdet af denne kolonne afhænger af den økonomiske funktion:</w:t>
            </w:r>
          </w:p>
          <w:p w:rsidR="005244DF" w:rsidRPr="005B425B"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Indskud</w:t>
            </w:r>
          </w:p>
          <w:p w:rsidR="005244DF" w:rsidRPr="005B425B"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Balanceværdi (inkl. påløbne renter) af indskud</w:t>
            </w:r>
          </w:p>
          <w:p w:rsidR="005244DF" w:rsidRPr="005B425B"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Referencer: FINREP, bilag III og IV, skema F 08.01, og bilag V, del 2, punkt 97.</w:t>
            </w:r>
          </w:p>
          <w:p w:rsidR="005244DF" w:rsidRPr="005B425B"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Udlån</w:t>
            </w:r>
          </w:p>
          <w:p w:rsidR="005244DF" w:rsidRPr="005B425B"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Bruttobalanceværdien af ikke-værdiforringede og værdiforringede lån og forskud (inkl. påløbne renter). Udlånsbeholdningen bruges som proxy for forventede fremtidige udlån. </w:t>
            </w:r>
          </w:p>
          <w:p w:rsidR="005244DF" w:rsidRPr="005B425B"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Referencer: FINREP, bilag III og IV, skema F 04.04.01, og bilag V, del 1, punkt 34, litra b)</w:t>
            </w:r>
          </w:p>
          <w:p w:rsidR="005244DF" w:rsidRPr="005B425B"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Betalinger, kontanter, afvikling, clearing, deponeringstjenester</w:t>
            </w:r>
          </w:p>
          <w:p w:rsidR="002C4834" w:rsidRPr="005B425B"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Som hovedregel indberettes gennemsnittet af de daglige transaktioner i løbet af året. Er dette ikke tilgængeligt, kan der indberettes et gennemsnit for en kortere periode (f.eks. et par måneder).</w:t>
            </w:r>
          </w:p>
          <w:p w:rsidR="002C4834" w:rsidRPr="005B425B"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Der skal specifikt for hver af disse funktioner oplyses om følgende værdier: </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Betalingstjenester (3.1-3.2): Værdien af sendte transaktioner </w:t>
            </w:r>
            <w:r w:rsidRPr="005B425B">
              <w:rPr>
                <w:rFonts w:ascii="Times New Roman" w:eastAsia="Cambria" w:hAnsi="Times New Roman" w:cs="Times New Roman"/>
                <w:color w:val="000000" w:themeColor="text1"/>
                <w:spacing w:val="-2"/>
                <w:w w:val="95"/>
                <w:sz w:val="20"/>
                <w:szCs w:val="20"/>
              </w:rPr>
              <w:br/>
            </w:r>
            <w:r w:rsidRPr="005B425B">
              <w:rPr>
                <w:rFonts w:ascii="Times New Roman" w:hAnsi="Times New Roman"/>
                <w:color w:val="000000" w:themeColor="text1"/>
                <w:spacing w:val="-2"/>
                <w:w w:val="95"/>
                <w:sz w:val="20"/>
              </w:rPr>
              <w:t>(Referencer: Artikel 4, stk. 5, i direktiv 2015/2366/EF; ECB/2013/43)</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Kontanttjenester (3.3): Værdien af kontantautomat-transaktioner efter betydningen i ECB/2013/43, tabel 5a, samt over-the-counter-kontanthævninger efter betydningen i ECB/2014/15, tabel 4.</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Værdipapirafviklingstjenester (3.4): Værdien af værdipapiroverførsler håndteret på vegne af kunder. Dette omfatter transaktioner afviklet vha. et værdipapirafviklingssystem eller afviklet </w:t>
            </w:r>
            <w:r w:rsidRPr="005B425B">
              <w:rPr>
                <w:rFonts w:ascii="Times New Roman" w:hAnsi="Times New Roman"/>
                <w:color w:val="000000" w:themeColor="text1"/>
                <w:spacing w:val="-2"/>
                <w:w w:val="95"/>
                <w:sz w:val="20"/>
              </w:rPr>
              <w:lastRenderedPageBreak/>
              <w:t>internt af de indberettende institutter samt "free-of-payment"-transaktioner.</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CCP-clearingtjenester (3.5): positioner (eksponering), som de CCP'er, instituttet er medlem af, tager med instituttet på vegne af dets kunder. Angiv venligst den gennemsnitlige daglige værdi af åbne positioner i relation til kundeaktiviteter hos CCP'er. Er denne ikke tilgængelig, kan der indberettes gennemsnit for en kortere periode (f.eks. et par måneder).</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Deponeringstjenester (3.6): Værdien af aktiver i depot, baseret på dagsværdien. Andre opgørelsesgrundlag, herunder den nominelle værdi, kan anvendes, hvis dagsværdien ikke er tilgængelig. Hvis instituttet leverer tjenester til enheder, som f.eks. institutter for kollektiv investering eller pensionsfonde, kan de pågældende aktiver vises med den værdi, som disse enheder bruger, når de balancefører aktiverne. De indberettede beløb skal omfatte eventuelle påløbne renter. </w:t>
            </w:r>
            <w:r w:rsidRPr="005B425B">
              <w:rPr>
                <w:rFonts w:ascii="Times New Roman" w:eastAsia="Cambria" w:hAnsi="Times New Roman" w:cs="Times New Roman"/>
                <w:color w:val="000000" w:themeColor="text1"/>
                <w:spacing w:val="-2"/>
                <w:w w:val="95"/>
                <w:sz w:val="20"/>
                <w:szCs w:val="20"/>
              </w:rPr>
              <w:br/>
            </w:r>
            <w:r w:rsidRPr="005B425B">
              <w:rPr>
                <w:rFonts w:ascii="Times New Roman" w:hAnsi="Times New Roman"/>
                <w:color w:val="000000" w:themeColor="text1"/>
                <w:spacing w:val="-2"/>
                <w:w w:val="95"/>
                <w:sz w:val="20"/>
              </w:rPr>
              <w:t>(Reference: FINREP, bilag III og IV, skema F 22.02, række 010)</w:t>
            </w:r>
          </w:p>
          <w:p w:rsidR="005244DF" w:rsidRPr="005B425B"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Kapitalmarkeder</w:t>
            </w:r>
          </w:p>
          <w:p w:rsidR="005839C6" w:rsidRPr="005B425B"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Notionel værdi — Der indberettes kun for derivater (4.1-4.2): den nominelle bruttoværdi af alle transaktioner, der er gennemført, men endnu ikke afviklet på referencedatoen. </w:t>
            </w:r>
          </w:p>
          <w:p w:rsidR="005244DF" w:rsidRPr="005B425B"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Referencer: FINREP, bilag V, del 2, punkt 133, mht. definitionen; for dataene FINREP, bilag III, IV og V:</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Derivater i alt (4.1-4.2): Skema F 10.00, kolonne 030, række 290.</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Derivater — OTC (4.1): Skema F 10.00, kolonne 030, række 300 + 310 + 320.</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Aktiviteter på det sekundære marked (4.3). Balanceværdiaktiver — den balanceværdi, der balanceføres på aktivsiden inkl. påløbne renter [FINREP: Bilag V, del 1, punkt 27] for egenkapitalinstrumenter og gældsværdipapirer [FINREP: Bilag V, del 1, punkt 31] klassificeret som "Besiddes med handel for øje" [FINREP: Bilag V, del 1, punkt 15, litra a), og punkt 16, litra a)].</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Reference: FINREP: Bilag III, skema F 04.01, kolonne 010, række 010 + 060 + 120.</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Primære markeder (4.4): Gebyrindtægter — Gebyrer og provisioner modtaget for deltagelse i indgåelsen eller udstedelsen af værdipapirer, som instituttet ikke har leveret eller udstedt.</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Reference: FINREP: Bilag III, IV, skema F 22.01, kolonne 010, række 030 + 180.</w:t>
            </w:r>
          </w:p>
          <w:p w:rsidR="005244DF" w:rsidRPr="005B425B"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Engrosfinansiering</w:t>
            </w:r>
          </w:p>
          <w:p w:rsidR="005244DF" w:rsidRPr="005B425B"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Brug bruttobalanceværdien som defineret i FINREP. </w:t>
            </w:r>
          </w:p>
          <w:p w:rsidR="005244DF" w:rsidRPr="005B425B"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Referencer: FINREP: Bilag V, del 1, punkt 34, FINREP: Bilag III, IV, skemaer:</w:t>
            </w:r>
            <w:r w:rsidRPr="005B425B">
              <w:rPr>
                <w:rFonts w:ascii="Calibri" w:hAnsi="Calibri"/>
                <w:b/>
                <w:color w:val="1F497D"/>
              </w:rPr>
              <w:t xml:space="preserve"> </w:t>
            </w:r>
          </w:p>
          <w:p w:rsidR="005244DF" w:rsidRPr="005B425B"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Låntagning (5.1): Skema F 20.06, kolonne 010, række 100 + 110, alle lande.</w:t>
            </w:r>
          </w:p>
          <w:p w:rsidR="005244DF" w:rsidRPr="005B425B"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Derivater (aktiver) (5.2): Skema F 20.04, kolonne 010, række 010, alle lande.</w:t>
            </w:r>
          </w:p>
          <w:p w:rsidR="005244DF" w:rsidRPr="005B425B"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Udlån (5.3): Skema F 20.04, kolonne 010, række 170 + 180, alle lande.</w:t>
            </w:r>
          </w:p>
          <w:p w:rsidR="005244DF" w:rsidRPr="005B425B"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Derivater (forpligtelser) (5.4): Skema F 20.06, kolonne 010, række 010, alle lande.</w:t>
            </w:r>
          </w:p>
        </w:tc>
      </w:tr>
      <w:tr w:rsidR="00D22EB0" w:rsidRPr="005B425B" w:rsidTr="00E95D75">
        <w:tc>
          <w:tcPr>
            <w:tcW w:w="1191" w:type="dxa"/>
            <w:tcBorders>
              <w:top w:val="single" w:sz="4" w:space="0" w:color="1A171C"/>
              <w:left w:val="nil"/>
              <w:bottom w:val="single" w:sz="4" w:space="0" w:color="1A171C"/>
              <w:right w:val="single" w:sz="4" w:space="0" w:color="1A171C"/>
            </w:tcBorders>
            <w:vAlign w:val="center"/>
          </w:tcPr>
          <w:p w:rsidR="005244DF" w:rsidRPr="005B425B"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5B425B"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Numerisk indikator </w:t>
            </w:r>
          </w:p>
          <w:p w:rsidR="005839C6" w:rsidRPr="005B425B"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Indholdet af denne kolonne afhænger af den økonomiske funktion.</w:t>
            </w:r>
          </w:p>
          <w:p w:rsidR="005244DF" w:rsidRPr="005B425B"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Indskud </w:t>
            </w:r>
          </w:p>
          <w:p w:rsidR="005244DF" w:rsidRPr="005B425B"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Samlet antal kunder, der har deponeret de indberettede værdier i pengebeløb. En kunde til mere end ét indskudsprodukt/én konto medregnes kun én gang.</w:t>
            </w:r>
          </w:p>
          <w:p w:rsidR="005244DF" w:rsidRPr="005B425B"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Udlån</w:t>
            </w:r>
          </w:p>
          <w:p w:rsidR="005244DF" w:rsidRPr="005B425B"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Samlet antal kunder. En kunde til flere låneprodukter/konti medregnes kun én gang.</w:t>
            </w:r>
          </w:p>
          <w:p w:rsidR="005244DF" w:rsidRPr="005B425B"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Betalinger, kontanter, afvikling, clearing, deponeringstjenester</w:t>
            </w:r>
          </w:p>
          <w:p w:rsidR="002906FE" w:rsidRPr="005B425B"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Som hovedregel indberettes gennemsnittet af de daglige transaktioner i løbet af året. Er dette ikke tilgængeligt, kan der indberettes gennemsnit for en kortere periode (f.eks. et par måneder). </w:t>
            </w:r>
          </w:p>
          <w:p w:rsidR="005244DF" w:rsidRPr="005B425B"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Der skal specifikt for hver af disse funktioner anvendes følgende værdier:</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 xml:space="preserve">Betalingstjenester (3.1-3.2): Antal gennemførte transaktioner. </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Referencer: Artikel 4, stk. 5, i direktiv 2015/2366/EF; ECB/2013/43.</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Kontanttjenester (3.3): Antallet af kontantautomat-transaktioner efter betydningen i ECB/2013/43, tabel 5a, samt over-the-counter-kontanthævninger efter betydningen i ECB/2014/15, tabel 4.</w:t>
            </w:r>
          </w:p>
          <w:p w:rsidR="005244DF" w:rsidRPr="005B425B"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Værdipapirafviklingstjenester (3.4): Antallet af værdipapiroverførselstransaktioner håndteret på vegne af kunder. Dette omfatter transaktioner afviklet vha. et værdipapirafviklingssystem eller afviklet internt af det indberettende institut/den indberettende koncern samt "free-of-payment"-transaktioner.</w:t>
            </w:r>
          </w:p>
          <w:p w:rsidR="005244DF" w:rsidRPr="005B425B"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Kapitalmarkeder</w:t>
            </w:r>
          </w:p>
          <w:p w:rsidR="005244DF" w:rsidRPr="005B425B"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Antal modparter ELLER transaktioner. For derivater (4.1-4.2) og sekundære markedsinstrumenter (4.3) det samlede antal modparter. For primære markeder (4.4) det samlede antal garanterede transaktioner.</w:t>
            </w:r>
          </w:p>
          <w:p w:rsidR="005244DF" w:rsidRPr="005B425B"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Engrosfinansiering</w:t>
            </w:r>
          </w:p>
          <w:p w:rsidR="005244DF" w:rsidRPr="005B425B"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Samlet antal modparter. Hvis en modpart har mere end én konto og/eller mere end én transaktion, medregnes denne modpart kun én gang.</w:t>
            </w:r>
          </w:p>
        </w:tc>
      </w:tr>
      <w:tr w:rsidR="00D22EB0" w:rsidRPr="005B425B" w:rsidTr="00E95D75">
        <w:tc>
          <w:tcPr>
            <w:tcW w:w="1191" w:type="dxa"/>
            <w:tcBorders>
              <w:top w:val="single" w:sz="4" w:space="0" w:color="1A171C"/>
              <w:left w:val="nil"/>
              <w:bottom w:val="single" w:sz="4" w:space="0" w:color="1A171C"/>
              <w:right w:val="single" w:sz="4" w:space="0" w:color="1A171C"/>
            </w:tcBorders>
            <w:vAlign w:val="center"/>
          </w:tcPr>
          <w:p w:rsidR="005244DF" w:rsidRPr="005B425B"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244DF" w:rsidRPr="005B425B"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b/>
                <w:color w:val="000000" w:themeColor="text1"/>
                <w:sz w:val="20"/>
              </w:rPr>
              <w:t xml:space="preserve">Indvirkning på markedet </w:t>
            </w:r>
          </w:p>
          <w:p w:rsidR="005244DF" w:rsidRPr="005B425B"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Anslået virkning af en pludselig afbrydelse af funktionen for tredjepart, finansielle markeder og realøkonomien, under hensyntagen til instituttets størrelse, markedsandel, eksterne og interne forbundethed, kompleksitet og grænseoverskridende aktiviteter.</w:t>
            </w:r>
          </w:p>
          <w:p w:rsidR="00E95D75" w:rsidRPr="005B425B"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Denne vurdering skal udtrykkes kvalitativt som høj "(H)", mellemhøj "(MH)", mellemlav "(ML)" eller lav "(L)".</w:t>
            </w:r>
          </w:p>
          <w:p w:rsidR="005244DF" w:rsidRPr="005B425B"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 vælges, hvis afbrydelsen har stor indvirkning på det nationale marked, "MH", hvis indvirkningen er betydelig, "ML", hvis indvirkningen er væsentlig, men begrænset, og "L", hvis indvirkningen er lille.</w:t>
            </w:r>
          </w:p>
        </w:tc>
      </w:tr>
      <w:tr w:rsidR="00D22EB0" w:rsidRPr="005B425B" w:rsidTr="00E95D75">
        <w:tc>
          <w:tcPr>
            <w:tcW w:w="1191" w:type="dxa"/>
            <w:tcBorders>
              <w:top w:val="single" w:sz="4" w:space="0" w:color="1A171C"/>
              <w:left w:val="nil"/>
              <w:bottom w:val="single" w:sz="4" w:space="0" w:color="1A171C"/>
              <w:right w:val="single" w:sz="4" w:space="0" w:color="1A171C"/>
            </w:tcBorders>
            <w:vAlign w:val="center"/>
          </w:tcPr>
          <w:p w:rsidR="005244DF" w:rsidRPr="005B425B"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5B425B"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Substituerbarhed</w:t>
            </w:r>
          </w:p>
          <w:p w:rsidR="00B60FA4" w:rsidRPr="005B425B" w:rsidRDefault="00B60FA4" w:rsidP="00E95D75">
            <w:pPr>
              <w:pStyle w:val="TableParagraph"/>
              <w:spacing w:before="108"/>
              <w:ind w:left="85"/>
              <w:jc w:val="both"/>
              <w:rPr>
                <w:rFonts w:ascii="Times New Roman" w:hAnsi="Times New Roman" w:cs="Times New Roman"/>
                <w:bCs/>
                <w:color w:val="000000" w:themeColor="text1"/>
                <w:sz w:val="20"/>
                <w:szCs w:val="20"/>
              </w:rPr>
            </w:pPr>
            <w:r w:rsidRPr="005B425B">
              <w:rPr>
                <w:rFonts w:ascii="Times New Roman" w:hAnsi="Times New Roman"/>
                <w:color w:val="000000" w:themeColor="text1"/>
                <w:sz w:val="20"/>
              </w:rPr>
              <w:t>Artikel 6, stk. 3, i delegeret forordning (EU) 2016/778.</w:t>
            </w:r>
          </w:p>
          <w:p w:rsidR="00081C27" w:rsidRPr="005B425B"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En funktion anses for substituerbar, hvis den kan erstattes på en acceptabel måde og inden for en rimelig tidsfrist, så man derved undgår systemiske problemer for realøkonomien og de finansielle markeder. Der skal tages hensyn til følgende:</w:t>
            </w:r>
          </w:p>
          <w:p w:rsidR="00081C27" w:rsidRPr="005B425B"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a) strukturen på markedet for denne funktion og alternative leverandørers disponibilitet </w:t>
            </w:r>
          </w:p>
          <w:p w:rsidR="00081C27" w:rsidRPr="005B425B"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b) andre leverandørers evne med hensyn til kapacitet, kravene vedrørende udførelse af den pågældende funktion og potentielle hindringer for adgang eller ekspansion </w:t>
            </w:r>
          </w:p>
          <w:p w:rsidR="00081C27" w:rsidRPr="005B425B"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c) andre leverandørers incitament til at påtage sig disse aktiviteter </w:t>
            </w:r>
          </w:p>
          <w:p w:rsidR="00081C27" w:rsidRPr="005B425B"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 den tid, som brugerne af tjenesten har behov for til at flytte over til den nye tjenesteyder, og omkostningerne ved at flytte, den tid, der er behov for, til at andre konkurrenter kan overtage funktionerne, og hvorvidt denne tid er passende til at forhindre betydelige forstyrrelser afhængigt af den pågældende tjeneste.</w:t>
            </w:r>
          </w:p>
          <w:p w:rsidR="00E95D75" w:rsidRPr="005B425B"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Denne vurdering skal udtrykkes kvalitativt som høj "(H)", mellemhøj "(MH)", mellemlav "(ML)" eller lav "(L)".</w:t>
            </w:r>
          </w:p>
          <w:p w:rsidR="00DB69A6" w:rsidRPr="005B425B"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 vælges, hvis en funktion nemt kan udføres af en anden bank under sammenlignelige betingelser inden for en rimelig tidsramme</w:t>
            </w:r>
          </w:p>
          <w:p w:rsidR="00DB69A6" w:rsidRPr="005B425B"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 "L", hvis en funktion ikke nemt eller hurtigt kan erstattes </w:t>
            </w:r>
          </w:p>
          <w:p w:rsidR="00DB69A6" w:rsidRPr="005B425B"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"MH" og "ML" for mellemliggende tilfælde under hensyntagen til diverse dimensioner (bl.a. markedsandel, markedskoncentration, substitutionstid samt juridiske hindringer for og operationelle krav vedrørende adgang eller ekspansion). </w:t>
            </w:r>
          </w:p>
          <w:p w:rsidR="008E0043" w:rsidRPr="005B425B"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5B425B" w:rsidTr="00E95D75">
        <w:tc>
          <w:tcPr>
            <w:tcW w:w="1191" w:type="dxa"/>
            <w:tcBorders>
              <w:top w:val="single" w:sz="4" w:space="0" w:color="1A171C"/>
              <w:left w:val="nil"/>
              <w:bottom w:val="single" w:sz="4" w:space="0" w:color="1A171C"/>
              <w:right w:val="single" w:sz="4" w:space="0" w:color="1A171C"/>
            </w:tcBorders>
            <w:vAlign w:val="center"/>
          </w:tcPr>
          <w:p w:rsidR="005244DF" w:rsidRPr="005B425B"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0070</w:t>
            </w:r>
          </w:p>
        </w:tc>
        <w:tc>
          <w:tcPr>
            <w:tcW w:w="7892" w:type="dxa"/>
            <w:tcBorders>
              <w:top w:val="single" w:sz="4" w:space="0" w:color="1A171C"/>
              <w:left w:val="single" w:sz="4" w:space="0" w:color="1A171C"/>
              <w:bottom w:val="single" w:sz="4" w:space="0" w:color="1A171C"/>
              <w:right w:val="nil"/>
            </w:tcBorders>
          </w:tcPr>
          <w:p w:rsidR="005244DF" w:rsidRPr="005B425B"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Kritisk funktion</w:t>
            </w:r>
          </w:p>
          <w:p w:rsidR="005244DF" w:rsidRPr="005B425B"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 denne kolonne angives det, under hensyntagen til de kvantitative data og kritikalitetsindikatorerne i dette skema, hvorvidt den økonomiske funktion anses for at være kritisk på markedet for det pågældende land.</w:t>
            </w:r>
          </w:p>
          <w:p w:rsidR="00E95D75" w:rsidRPr="005B425B"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Angiv "Ja" eller "Nej"</w:t>
            </w:r>
          </w:p>
        </w:tc>
      </w:tr>
    </w:tbl>
    <w:p w:rsidR="0056559D" w:rsidRPr="005B425B" w:rsidRDefault="00F7117F" w:rsidP="00D05086">
      <w:pPr>
        <w:pStyle w:val="Numberedtitlelevel3"/>
        <w:rPr>
          <w:rFonts w:ascii="Times New Roman" w:hAnsi="Times New Roman" w:cs="Times New Roman"/>
          <w:color w:val="000000" w:themeColor="text1"/>
          <w:sz w:val="20"/>
          <w:szCs w:val="20"/>
          <w:u w:val="single"/>
        </w:rPr>
      </w:pPr>
      <w:r w:rsidRPr="005B425B">
        <w:rPr>
          <w:rFonts w:ascii="Times New Roman" w:hAnsi="Times New Roman"/>
          <w:b w:val="0"/>
          <w:color w:val="000000" w:themeColor="text1"/>
          <w:sz w:val="20"/>
          <w:u w:val="single"/>
        </w:rPr>
        <w:t>Z 07.02 — Oversigt over kritiske funktioner pr. juridisk enhed (FUNC 2): Instrukser vedrørende specifikke positioner</w:t>
      </w:r>
    </w:p>
    <w:p w:rsidR="00517C03" w:rsidRPr="005B425B" w:rsidRDefault="005F4132"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Dette skema indberettes for hele koncernen. Kun kritiske funktioner, der er identificeret som sådanne i {Z 07.01;070} (pr. medlemsstat), skal indberettes i dette skema.</w:t>
      </w:r>
    </w:p>
    <w:p w:rsidR="00517C03" w:rsidRPr="005B425B" w:rsidRDefault="00517C03"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Kombinationen af værdier, der indberettes i kolonne 0010, 0020 og 0040 i dette skema, udgør en primær nøgle, som skal være unik for hver enkelt række i skemaet.</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5B425B"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5B425B"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5B425B"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Instrukser</w:t>
            </w:r>
          </w:p>
        </w:tc>
      </w:tr>
      <w:tr w:rsidR="00D22EB0" w:rsidRPr="005B425B" w:rsidTr="00B7082E">
        <w:tc>
          <w:tcPr>
            <w:tcW w:w="1191" w:type="dxa"/>
            <w:tcBorders>
              <w:top w:val="single" w:sz="4" w:space="0" w:color="1A171C"/>
              <w:left w:val="nil"/>
              <w:bottom w:val="single" w:sz="4" w:space="0" w:color="1A171C"/>
              <w:right w:val="single" w:sz="4" w:space="0" w:color="1A171C"/>
            </w:tcBorders>
            <w:vAlign w:val="center"/>
          </w:tcPr>
          <w:p w:rsidR="00517C03" w:rsidRPr="005B425B"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5B425B" w:rsidRDefault="00F234EC" w:rsidP="008E0D4B">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Land</w:t>
            </w:r>
          </w:p>
          <w:p w:rsidR="00517C03" w:rsidRPr="005B425B"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Landet, for hvilket funktionen er kritisk, som indberettet i Z 07.01 (FUNC 1)</w:t>
            </w:r>
          </w:p>
        </w:tc>
      </w:tr>
      <w:tr w:rsidR="00D22EB0" w:rsidRPr="005B425B" w:rsidTr="00B7082E">
        <w:tc>
          <w:tcPr>
            <w:tcW w:w="1191" w:type="dxa"/>
            <w:tcBorders>
              <w:top w:val="single" w:sz="4" w:space="0" w:color="1A171C"/>
              <w:left w:val="nil"/>
              <w:bottom w:val="single" w:sz="4" w:space="0" w:color="1A171C"/>
              <w:right w:val="single" w:sz="4" w:space="0" w:color="1A171C"/>
            </w:tcBorders>
            <w:vAlign w:val="center"/>
          </w:tcPr>
          <w:p w:rsidR="00517C03" w:rsidRPr="005B425B"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5B425B"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ID</w:t>
            </w:r>
          </w:p>
          <w:p w:rsidR="00517C03" w:rsidRPr="005B425B"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ID for de kritiske funktioner som defineret i kapitel 2.7.1.4 ovenfor og angivet i skema Z 07.01 (FUNC 1)</w:t>
            </w:r>
          </w:p>
        </w:tc>
      </w:tr>
      <w:tr w:rsidR="00D22EB0" w:rsidRPr="005B425B" w:rsidTr="00B7082E">
        <w:tc>
          <w:tcPr>
            <w:tcW w:w="1191" w:type="dxa"/>
            <w:tcBorders>
              <w:top w:val="single" w:sz="4" w:space="0" w:color="1A171C"/>
              <w:left w:val="nil"/>
              <w:bottom w:val="single" w:sz="4" w:space="0" w:color="1A171C"/>
              <w:right w:val="single" w:sz="4" w:space="0" w:color="1A171C"/>
            </w:tcBorders>
            <w:vAlign w:val="center"/>
          </w:tcPr>
          <w:p w:rsidR="00517C03" w:rsidRPr="005B425B"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5B425B"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Enhedens navn</w:t>
            </w:r>
          </w:p>
          <w:p w:rsidR="008E0D4B" w:rsidRPr="005B425B"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Navnet på den enhed, der udfører den kritiske funktion, som indberettet i Z 01.00 (ORG). </w:t>
            </w:r>
          </w:p>
          <w:p w:rsidR="00517C03" w:rsidRPr="005B425B"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Hvis flere enheder udfører den samme kritiske funktion i samme land, skal hver enkelt enhed indberettes i en separat række.</w:t>
            </w:r>
          </w:p>
        </w:tc>
      </w:tr>
      <w:tr w:rsidR="00D22EB0" w:rsidRPr="005B425B" w:rsidTr="00B7082E">
        <w:tc>
          <w:tcPr>
            <w:tcW w:w="1191" w:type="dxa"/>
            <w:tcBorders>
              <w:top w:val="single" w:sz="4" w:space="0" w:color="1A171C"/>
              <w:left w:val="nil"/>
              <w:bottom w:val="single" w:sz="4" w:space="0" w:color="1A171C"/>
              <w:right w:val="single" w:sz="4" w:space="0" w:color="1A171C"/>
            </w:tcBorders>
            <w:vAlign w:val="center"/>
          </w:tcPr>
          <w:p w:rsidR="00517C03" w:rsidRPr="005B425B"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5B425B"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Kode</w:t>
            </w:r>
          </w:p>
          <w:p w:rsidR="00517C03" w:rsidRPr="005B425B"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Koden for den enhed, der udfører den kritiske funktion, som indberettet i Z 01.00 — Organisatorisk struktur (ORG).</w:t>
            </w:r>
          </w:p>
        </w:tc>
      </w:tr>
      <w:tr w:rsidR="00517C03" w:rsidRPr="005B425B"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5B425B"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5B425B"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Pengebeløb</w:t>
            </w:r>
          </w:p>
          <w:p w:rsidR="00517C03" w:rsidRPr="005B425B"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Den juridiske enheds bidrag (i pengebeløb) til pengebeløbet, jf. kolonne 0030 i skema Z 07.01 (FUNC 1) </w:t>
            </w:r>
          </w:p>
        </w:tc>
      </w:tr>
    </w:tbl>
    <w:p w:rsidR="0056559D" w:rsidRPr="005B425B" w:rsidRDefault="0056559D" w:rsidP="0056559D">
      <w:pPr>
        <w:rPr>
          <w:rFonts w:ascii="Times New Roman" w:hAnsi="Times New Roman" w:cs="Times New Roman"/>
          <w:color w:val="000000" w:themeColor="text1"/>
          <w:sz w:val="20"/>
          <w:szCs w:val="20"/>
        </w:rPr>
      </w:pPr>
    </w:p>
    <w:p w:rsidR="0056559D" w:rsidRPr="005B425B" w:rsidRDefault="00F7117F" w:rsidP="007E02F8">
      <w:pPr>
        <w:pStyle w:val="Numberedtitlelevel3"/>
        <w:rPr>
          <w:rFonts w:ascii="Times New Roman" w:hAnsi="Times New Roman" w:cs="Times New Roman"/>
          <w:b w:val="0"/>
          <w:color w:val="000000" w:themeColor="text1"/>
          <w:sz w:val="20"/>
          <w:szCs w:val="20"/>
          <w:u w:val="single"/>
        </w:rPr>
      </w:pPr>
      <w:r w:rsidRPr="005B425B">
        <w:rPr>
          <w:rFonts w:ascii="Times New Roman" w:hAnsi="Times New Roman"/>
          <w:b w:val="0"/>
          <w:color w:val="000000" w:themeColor="text1"/>
          <w:sz w:val="20"/>
          <w:u w:val="single"/>
        </w:rPr>
        <w:t>Z 07.03 — Oversigt over centrale forretningsområder pr. juridisk enhed (FUNC 3): Instrukser vedrørende specifikke positioner</w:t>
      </w:r>
    </w:p>
    <w:p w:rsidR="008D7004" w:rsidRPr="005B425B" w:rsidRDefault="00356129" w:rsidP="00E714C5">
      <w:pPr>
        <w:pStyle w:val="numberedparagraph"/>
        <w:rPr>
          <w:rFonts w:ascii="Times New Roman" w:hAnsi="Times New Roman" w:cs="Times New Roman"/>
          <w:sz w:val="20"/>
          <w:szCs w:val="20"/>
        </w:rPr>
      </w:pPr>
      <w:r w:rsidRPr="005B425B">
        <w:rPr>
          <w:rFonts w:ascii="Times New Roman" w:hAnsi="Times New Roman"/>
          <w:sz w:val="20"/>
        </w:rPr>
        <w:t>Kombinationen af værdier, der indberettes i kolonne 0020 og 0040 i dette skema, udgør en primær nøgle, som skal være unik for hver enkelt række i skemaet.</w:t>
      </w:r>
    </w:p>
    <w:p w:rsidR="002D7C07" w:rsidRPr="005B425B" w:rsidRDefault="002D7C07" w:rsidP="00E714C5">
      <w:pPr>
        <w:pStyle w:val="numberedparagraph"/>
        <w:rPr>
          <w:rFonts w:ascii="Times New Roman" w:hAnsi="Times New Roman" w:cs="Times New Roman"/>
          <w:sz w:val="20"/>
          <w:szCs w:val="20"/>
        </w:rPr>
      </w:pPr>
      <w:r w:rsidRPr="005B425B">
        <w:rPr>
          <w:rFonts w:ascii="Times New Roman" w:hAnsi="Times New Roman"/>
          <w:sz w:val="20"/>
        </w:rPr>
        <w:t xml:space="preserve">Kun enheder af væsentlig betydning som identificeret i {Z 07.02;0060} skal indberettes i dette skema.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5B425B"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5B425B"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5B425B"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Instrukser</w:t>
            </w:r>
          </w:p>
        </w:tc>
      </w:tr>
      <w:tr w:rsidR="00D22EB0" w:rsidRPr="005B425B" w:rsidTr="00772F88">
        <w:tc>
          <w:tcPr>
            <w:tcW w:w="1191" w:type="dxa"/>
            <w:tcBorders>
              <w:top w:val="single" w:sz="4" w:space="0" w:color="1A171C"/>
              <w:left w:val="nil"/>
              <w:bottom w:val="single" w:sz="4" w:space="0" w:color="1A171C"/>
              <w:right w:val="single" w:sz="4" w:space="0" w:color="1A171C"/>
            </w:tcBorders>
            <w:vAlign w:val="center"/>
          </w:tcPr>
          <w:p w:rsidR="00356129" w:rsidRPr="005B425B"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5B425B"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Centralt forretningsområde</w:t>
            </w:r>
          </w:p>
          <w:p w:rsidR="00356129" w:rsidRPr="005B425B"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Centralt forretningsområde i henhold til artikel 2, stk. 1, nr. 36), og artikel 2, stk. 2, i direktiv 2014/59/EU.</w:t>
            </w:r>
          </w:p>
        </w:tc>
      </w:tr>
      <w:tr w:rsidR="00D22EB0" w:rsidRPr="005B425B" w:rsidTr="00772F88">
        <w:tc>
          <w:tcPr>
            <w:tcW w:w="1191" w:type="dxa"/>
            <w:tcBorders>
              <w:top w:val="single" w:sz="4" w:space="0" w:color="1A171C"/>
              <w:left w:val="nil"/>
              <w:bottom w:val="single" w:sz="4" w:space="0" w:color="1A171C"/>
              <w:right w:val="single" w:sz="4" w:space="0" w:color="1A171C"/>
            </w:tcBorders>
            <w:vAlign w:val="center"/>
          </w:tcPr>
          <w:p w:rsidR="00356129" w:rsidRPr="005B425B"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0020</w:t>
            </w:r>
          </w:p>
        </w:tc>
        <w:tc>
          <w:tcPr>
            <w:tcW w:w="7892" w:type="dxa"/>
            <w:tcBorders>
              <w:top w:val="single" w:sz="4" w:space="0" w:color="1A171C"/>
              <w:left w:val="single" w:sz="4" w:space="0" w:color="1A171C"/>
              <w:bottom w:val="single" w:sz="4" w:space="0" w:color="1A171C"/>
              <w:right w:val="nil"/>
            </w:tcBorders>
            <w:vAlign w:val="center"/>
          </w:tcPr>
          <w:p w:rsidR="00356129" w:rsidRPr="005B425B" w:rsidRDefault="00D429E6" w:rsidP="00D75AA9">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Forretningsområde-ID</w:t>
            </w:r>
          </w:p>
          <w:p w:rsidR="00356129" w:rsidRPr="005B425B"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Unikt ID for det forretningsområde, der skal varetages af instituttet</w:t>
            </w:r>
          </w:p>
        </w:tc>
      </w:tr>
      <w:tr w:rsidR="00D22EB0" w:rsidRPr="005B425B" w:rsidTr="00772F88">
        <w:tc>
          <w:tcPr>
            <w:tcW w:w="1191" w:type="dxa"/>
            <w:tcBorders>
              <w:top w:val="single" w:sz="4" w:space="0" w:color="1A171C"/>
              <w:left w:val="nil"/>
              <w:bottom w:val="single" w:sz="4" w:space="0" w:color="1A171C"/>
              <w:right w:val="single" w:sz="4" w:space="0" w:color="1A171C"/>
            </w:tcBorders>
            <w:vAlign w:val="center"/>
          </w:tcPr>
          <w:p w:rsidR="00D429E6" w:rsidRPr="005B425B"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5B425B" w:rsidRDefault="00D429E6" w:rsidP="00772F8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Beskrivelse</w:t>
            </w:r>
          </w:p>
          <w:p w:rsidR="00D429E6" w:rsidRPr="005B425B"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Beskrivelse af det centrale forretningsområde.</w:t>
            </w:r>
          </w:p>
        </w:tc>
      </w:tr>
      <w:tr w:rsidR="00D22EB0" w:rsidRPr="005B425B" w:rsidTr="00772F88">
        <w:tc>
          <w:tcPr>
            <w:tcW w:w="1191" w:type="dxa"/>
            <w:tcBorders>
              <w:top w:val="single" w:sz="4" w:space="0" w:color="1A171C"/>
              <w:left w:val="nil"/>
              <w:bottom w:val="single" w:sz="4" w:space="0" w:color="1A171C"/>
              <w:right w:val="single" w:sz="4" w:space="0" w:color="1A171C"/>
            </w:tcBorders>
            <w:vAlign w:val="center"/>
          </w:tcPr>
          <w:p w:rsidR="00356129" w:rsidRPr="005B425B"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5B425B"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Enhedens navn</w:t>
            </w:r>
          </w:p>
          <w:p w:rsidR="00D429E6" w:rsidRPr="005B425B"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Navnet på den enhed, der varetager eller er en del af det centrale forretningsområde, som indberettet i Z 01.00 (ORG).</w:t>
            </w:r>
          </w:p>
          <w:p w:rsidR="00356129" w:rsidRPr="005B425B"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Hvis flere enheder varetager eller er en del af det samme centrale forretningsområde, skal hver enkelt enhed indberettes i en separat række.</w:t>
            </w:r>
          </w:p>
        </w:tc>
      </w:tr>
      <w:tr w:rsidR="00D22EB0" w:rsidRPr="005B425B" w:rsidTr="00772F88">
        <w:tc>
          <w:tcPr>
            <w:tcW w:w="1191" w:type="dxa"/>
            <w:tcBorders>
              <w:top w:val="single" w:sz="4" w:space="0" w:color="1A171C"/>
              <w:left w:val="nil"/>
              <w:bottom w:val="single" w:sz="4" w:space="0" w:color="1A171C"/>
              <w:right w:val="single" w:sz="4" w:space="0" w:color="1A171C"/>
            </w:tcBorders>
            <w:vAlign w:val="center"/>
          </w:tcPr>
          <w:p w:rsidR="00356129" w:rsidRPr="005B425B"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5B425B"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Kode </w:t>
            </w:r>
          </w:p>
          <w:p w:rsidR="00356129" w:rsidRPr="005B425B"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Koden for den enhed, der varetager eller er en del af det centrale forretningsområde, som rapporteret i Z 01.00 (ORG).</w:t>
            </w:r>
          </w:p>
        </w:tc>
      </w:tr>
    </w:tbl>
    <w:p w:rsidR="0056559D" w:rsidRPr="005B425B" w:rsidRDefault="00F7117F" w:rsidP="00715DAB">
      <w:pPr>
        <w:pStyle w:val="Instructionsberschrift3"/>
      </w:pPr>
      <w:r w:rsidRPr="005B425B">
        <w:t>Z 07.04 — Oversigt over kritiske funktioner pr. centralt forretningsområde (FUNC 4): Instrukser vedrørende specifikke positioner</w:t>
      </w:r>
    </w:p>
    <w:p w:rsidR="003D0643" w:rsidRPr="005B425B" w:rsidRDefault="003D0643"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Kombinationen af værdier, der indberettes i kolonne 0010, 0020 og 0040 i dette skema, udgør en primær nøgle, som skal være unik for hver enkelt række i skemaet.</w:t>
      </w:r>
    </w:p>
    <w:p w:rsidR="00347A09" w:rsidRPr="005B425B" w:rsidRDefault="00347A09"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 xml:space="preserve">Kun kritiske funktioner som identificeret i {Z 07.01;0070} skal indberettes i dette skema. </w:t>
      </w:r>
    </w:p>
    <w:p w:rsidR="00E714C5" w:rsidRPr="005B425B"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5B425B"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5B425B"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5B425B"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Instrukser</w:t>
            </w:r>
          </w:p>
        </w:tc>
      </w:tr>
      <w:tr w:rsidR="00D22EB0" w:rsidRPr="005B425B" w:rsidTr="009A6FB8">
        <w:tc>
          <w:tcPr>
            <w:tcW w:w="1191" w:type="dxa"/>
            <w:tcBorders>
              <w:top w:val="single" w:sz="4" w:space="0" w:color="1A171C"/>
              <w:left w:val="nil"/>
              <w:bottom w:val="single" w:sz="4" w:space="0" w:color="1A171C"/>
              <w:right w:val="single" w:sz="4" w:space="0" w:color="1A171C"/>
            </w:tcBorders>
            <w:vAlign w:val="center"/>
          </w:tcPr>
          <w:p w:rsidR="003D0643" w:rsidRPr="005B425B"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5B425B" w:rsidRDefault="009626F6" w:rsidP="003D0643">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Land</w:t>
            </w:r>
          </w:p>
          <w:p w:rsidR="003D0643" w:rsidRPr="005B425B"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Landet, for hvilket funktionen er kritisk, som indberettet i Z 07.01 (FUNC 1)</w:t>
            </w:r>
          </w:p>
        </w:tc>
      </w:tr>
      <w:tr w:rsidR="00D22EB0" w:rsidRPr="005B425B" w:rsidTr="009A6FB8">
        <w:tc>
          <w:tcPr>
            <w:tcW w:w="1191" w:type="dxa"/>
            <w:tcBorders>
              <w:top w:val="single" w:sz="4" w:space="0" w:color="1A171C"/>
              <w:left w:val="nil"/>
              <w:bottom w:val="single" w:sz="4" w:space="0" w:color="1A171C"/>
              <w:right w:val="single" w:sz="4" w:space="0" w:color="1A171C"/>
            </w:tcBorders>
            <w:vAlign w:val="center"/>
          </w:tcPr>
          <w:p w:rsidR="003D0643" w:rsidRPr="005B425B"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5B425B"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Funktion-ID</w:t>
            </w:r>
          </w:p>
          <w:p w:rsidR="003D0643" w:rsidRPr="005B425B"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ID for de kritiske funktioner som defineret i kapitel 2.7.1.2 ovenfor og angivet i skema Z 07.01 (FUNC 1)</w:t>
            </w:r>
          </w:p>
        </w:tc>
      </w:tr>
      <w:tr w:rsidR="00D22EB0" w:rsidRPr="005B425B" w:rsidTr="009A6FB8">
        <w:tc>
          <w:tcPr>
            <w:tcW w:w="1191" w:type="dxa"/>
            <w:tcBorders>
              <w:top w:val="single" w:sz="4" w:space="0" w:color="1A171C"/>
              <w:left w:val="nil"/>
              <w:bottom w:val="single" w:sz="4" w:space="0" w:color="1A171C"/>
              <w:right w:val="single" w:sz="4" w:space="0" w:color="1A171C"/>
            </w:tcBorders>
            <w:vAlign w:val="center"/>
          </w:tcPr>
          <w:p w:rsidR="003D0643" w:rsidRPr="005B425B"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5B425B"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Centralt forretningsområde</w:t>
            </w:r>
          </w:p>
          <w:p w:rsidR="003D0643" w:rsidRPr="005B425B"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Centralt forretningsområde i henhold til artikel 2, stk. 1, nr. 36), og artikel 2, stk. 2, i direktiv 2014/59/EU, som indberettet i skema Z 07.03 (FUNC 3).</w:t>
            </w:r>
          </w:p>
        </w:tc>
      </w:tr>
      <w:tr w:rsidR="00D22EB0" w:rsidRPr="005B425B" w:rsidTr="009A6FB8">
        <w:tc>
          <w:tcPr>
            <w:tcW w:w="1191" w:type="dxa"/>
            <w:tcBorders>
              <w:top w:val="single" w:sz="4" w:space="0" w:color="1A171C"/>
              <w:left w:val="nil"/>
              <w:bottom w:val="single" w:sz="4" w:space="0" w:color="1A171C"/>
              <w:right w:val="single" w:sz="4" w:space="0" w:color="1A171C"/>
            </w:tcBorders>
            <w:vAlign w:val="center"/>
          </w:tcPr>
          <w:p w:rsidR="003D0643" w:rsidRPr="005B425B"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5B425B"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Forretningsområde-ID</w:t>
            </w:r>
          </w:p>
          <w:p w:rsidR="003D0643" w:rsidRPr="005B425B"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Unikt ID for det forretningsområde, der skal varetages af instituttet; samme ID som indberettet i skema Z 07.03 (FUNC 3)</w:t>
            </w:r>
          </w:p>
        </w:tc>
      </w:tr>
    </w:tbl>
    <w:p w:rsidR="00E13CE3" w:rsidRPr="005B425B" w:rsidRDefault="00F7117F" w:rsidP="008854E4">
      <w:pPr>
        <w:pStyle w:val="Instructionsberschrift2"/>
        <w:numPr>
          <w:ilvl w:val="1"/>
          <w:numId w:val="7"/>
        </w:numPr>
        <w:ind w:left="357" w:hanging="357"/>
        <w:rPr>
          <w:rFonts w:ascii="Times New Roman" w:hAnsi="Times New Roman" w:cs="Times New Roman"/>
          <w:szCs w:val="20"/>
        </w:rPr>
      </w:pPr>
      <w:bookmarkStart w:id="38" w:name="_Toc509909046"/>
      <w:bookmarkStart w:id="39" w:name="_Toc525120144"/>
      <w:r w:rsidRPr="005B425B">
        <w:rPr>
          <w:rFonts w:ascii="Times New Roman" w:hAnsi="Times New Roman"/>
        </w:rPr>
        <w:t>Z 08.00 — Kritiske tjenester (SERV)</w:t>
      </w:r>
      <w:bookmarkEnd w:id="38"/>
      <w:bookmarkEnd w:id="39"/>
    </w:p>
    <w:p w:rsidR="00AA4026" w:rsidRPr="005B425B" w:rsidRDefault="00AA4026" w:rsidP="00715DAB">
      <w:pPr>
        <w:pStyle w:val="Numberedtitlelevel3"/>
        <w:rPr>
          <w:rFonts w:ascii="Times New Roman" w:hAnsi="Times New Roman" w:cs="Times New Roman"/>
          <w:b w:val="0"/>
          <w:color w:val="000000" w:themeColor="text1"/>
          <w:sz w:val="20"/>
          <w:szCs w:val="20"/>
          <w:u w:val="single"/>
        </w:rPr>
      </w:pPr>
      <w:r w:rsidRPr="005B425B">
        <w:rPr>
          <w:rFonts w:ascii="Times New Roman" w:hAnsi="Times New Roman"/>
          <w:b w:val="0"/>
          <w:color w:val="000000" w:themeColor="text1"/>
          <w:sz w:val="20"/>
          <w:u w:val="single"/>
        </w:rPr>
        <w:t>Generelle instrukser</w:t>
      </w:r>
    </w:p>
    <w:p w:rsidR="008A0BEC" w:rsidRPr="005B425B" w:rsidRDefault="008A0BEC"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De oplysninger, der skal inkluderes i dette skema, skal indberettes én gang for hele koncernen og skal opregne kritiske tjenester modtaget af en hvilken som helst enhed i koncernen og knytter dem til de kritiske funktioner, der udføres af koncernen.</w:t>
      </w:r>
    </w:p>
    <w:p w:rsidR="00625A0F" w:rsidRPr="005B425B" w:rsidRDefault="00276FFB"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 xml:space="preserve">Ved kritiske tjenester forstås de underliggende aktiviteter og tjenester, der udføres for én (specialiserede tjenester) eller flere forretningsenheder eller juridiske enheder (delte tjenester) i koncernen, og som er nødvendige for udførelsen af en eller flere kritiske funktioner. Kritiske tjenester </w:t>
      </w:r>
      <w:r w:rsidRPr="005B425B">
        <w:rPr>
          <w:rFonts w:ascii="Times New Roman" w:hAnsi="Times New Roman"/>
          <w:sz w:val="20"/>
        </w:rPr>
        <w:lastRenderedPageBreak/>
        <w:t>kan udføres af enheder i koncernen (intern tjeneste) eller outsources til en ekstern leverandør (ekstern tjeneste). En tjeneste betragtes som kritisk, hvis en forstyrrelse heraf kan udgøre en alvorlig hindring for eller helt forhindre udførelsen af kritiske funktioner, fordi de er uløseligt forbundet med de kritiske funktioner, som et institut udfører for tredjepart.</w:t>
      </w:r>
    </w:p>
    <w:p w:rsidR="0051360C" w:rsidRPr="005B425B" w:rsidRDefault="0051360C"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Tjenester, der udelukkende udføres internt for en juridisk enhed, indberettes ikke i dette skema.</w:t>
      </w:r>
    </w:p>
    <w:p w:rsidR="009F4567" w:rsidRPr="005B425B" w:rsidRDefault="00276FFB"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Tjenester, der ikke har en væsentlig indvirkning på kritiske funktioner, indberettes ikke i dette skema.</w:t>
      </w:r>
    </w:p>
    <w:p w:rsidR="00276FFB" w:rsidRPr="005B425B" w:rsidRDefault="00276FFB"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 xml:space="preserve">Kombinationen af værdier, der indberettes i kolonne 0010, 0030, 0050, 0070 og 0080 i dette skema, udgør en primær nøgle, som skal være unik for hver enkelt række i skemaet. </w:t>
      </w:r>
    </w:p>
    <w:p w:rsidR="00F76194" w:rsidRPr="005B425B" w:rsidRDefault="00F76194" w:rsidP="00715DAB">
      <w:pPr>
        <w:pStyle w:val="Numberedtitlelevel3"/>
        <w:rPr>
          <w:rFonts w:ascii="Times New Roman" w:hAnsi="Times New Roman" w:cs="Times New Roman"/>
          <w:b w:val="0"/>
          <w:color w:val="000000" w:themeColor="text1"/>
          <w:sz w:val="20"/>
          <w:szCs w:val="20"/>
          <w:u w:val="single"/>
        </w:rPr>
      </w:pPr>
      <w:r w:rsidRPr="005B425B">
        <w:rPr>
          <w:rFonts w:ascii="Times New Roman" w:hAnsi="Times New Roman"/>
          <w:b w:val="0"/>
          <w:color w:val="000000" w:themeColor="text1"/>
          <w:sz w:val="20"/>
          <w:u w:val="single"/>
        </w:rPr>
        <w:t>Instrukser vedrørende specifikke positioner</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5B425B"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5B425B"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5B425B"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Instrukser</w:t>
            </w:r>
          </w:p>
        </w:tc>
      </w:tr>
      <w:tr w:rsidR="00D22EB0" w:rsidRPr="005B425B" w:rsidTr="00471773">
        <w:tc>
          <w:tcPr>
            <w:tcW w:w="1191" w:type="dxa"/>
            <w:tcBorders>
              <w:top w:val="single" w:sz="4" w:space="0" w:color="1A171C"/>
              <w:left w:val="nil"/>
              <w:bottom w:val="single" w:sz="4" w:space="0" w:color="1A171C"/>
              <w:right w:val="single" w:sz="4" w:space="0" w:color="1A171C"/>
            </w:tcBorders>
            <w:vAlign w:val="center"/>
          </w:tcPr>
          <w:p w:rsidR="001D0D8C" w:rsidRPr="005B425B"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5B425B" w:rsidRDefault="001D0D8C"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Identifikator</w:t>
            </w:r>
          </w:p>
          <w:p w:rsidR="001D0D8C" w:rsidRPr="005B425B"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5B425B" w:rsidTr="00471773">
        <w:tc>
          <w:tcPr>
            <w:tcW w:w="1191" w:type="dxa"/>
            <w:tcBorders>
              <w:top w:val="single" w:sz="4" w:space="0" w:color="1A171C"/>
              <w:left w:val="nil"/>
              <w:bottom w:val="single" w:sz="4" w:space="0" w:color="1A171C"/>
              <w:right w:val="single" w:sz="4" w:space="0" w:color="1A171C"/>
            </w:tcBorders>
            <w:vAlign w:val="center"/>
          </w:tcPr>
          <w:p w:rsidR="000713A0" w:rsidRPr="005B425B"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5B425B"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Type tjeneste</w:t>
            </w:r>
          </w:p>
          <w:p w:rsidR="00AB3415" w:rsidRPr="005B425B"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Som type tjeneste angives en af nedenstående typer af tjenester.</w:t>
            </w:r>
          </w:p>
          <w:p w:rsidR="000713A0" w:rsidRPr="005B425B"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Om muligt angives underkategorien (2-cifret identifikation). Hvis der ikke findes en underkategori, eller hvis der ikke er en underkategori, der præcist beskriver den tjeneste, der leveres af instituttet, indberettes hovedkategorien (1-cifret identifikation). </w:t>
            </w:r>
          </w:p>
          <w:p w:rsidR="00D619CB" w:rsidRPr="005B425B"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1.</w:t>
            </w:r>
            <w:r w:rsidRPr="005B425B">
              <w:tab/>
            </w:r>
            <w:r w:rsidRPr="005B425B">
              <w:rPr>
                <w:rFonts w:ascii="Times New Roman" w:hAnsi="Times New Roman"/>
                <w:color w:val="000000" w:themeColor="text1"/>
                <w:spacing w:val="-2"/>
                <w:w w:val="95"/>
                <w:sz w:val="20"/>
              </w:rPr>
              <w:t>HR-support</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1.1</w:t>
            </w:r>
            <w:r w:rsidRPr="005B425B">
              <w:tab/>
            </w:r>
            <w:r w:rsidRPr="005B425B">
              <w:rPr>
                <w:rFonts w:ascii="Times New Roman" w:hAnsi="Times New Roman"/>
                <w:color w:val="000000" w:themeColor="text1"/>
                <w:spacing w:val="-2"/>
                <w:w w:val="95"/>
                <w:sz w:val="20"/>
              </w:rPr>
              <w:t xml:space="preserve">Personaleadministration, herunder kontraktforvaltning og aflønning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1.2</w:t>
            </w:r>
            <w:r w:rsidRPr="005B425B">
              <w:tab/>
            </w:r>
            <w:r w:rsidRPr="005B425B">
              <w:rPr>
                <w:rFonts w:ascii="Times New Roman" w:hAnsi="Times New Roman"/>
                <w:color w:val="000000" w:themeColor="text1"/>
                <w:spacing w:val="-2"/>
                <w:w w:val="95"/>
                <w:sz w:val="20"/>
              </w:rPr>
              <w:t>Intern kommunikation</w:t>
            </w:r>
          </w:p>
          <w:p w:rsidR="000713A0" w:rsidRPr="005B425B"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w:t>
            </w:r>
            <w:r w:rsidRPr="005B425B">
              <w:tab/>
            </w:r>
            <w:r w:rsidRPr="005B425B">
              <w:rPr>
                <w:rFonts w:ascii="Times New Roman" w:hAnsi="Times New Roman"/>
                <w:color w:val="000000" w:themeColor="text1"/>
                <w:spacing w:val="-2"/>
                <w:w w:val="95"/>
                <w:sz w:val="20"/>
              </w:rPr>
              <w:t xml:space="preserve">Informationsteknologi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2.1</w:t>
            </w:r>
            <w:r w:rsidRPr="005B425B">
              <w:tab/>
            </w:r>
            <w:r w:rsidRPr="005B425B">
              <w:rPr>
                <w:rFonts w:ascii="Times New Roman" w:hAnsi="Times New Roman"/>
                <w:color w:val="000000" w:themeColor="text1"/>
                <w:spacing w:val="-2"/>
                <w:w w:val="95"/>
                <w:sz w:val="20"/>
              </w:rPr>
              <w:t xml:space="preserve">IT- og kommunikationshardware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2.2</w:t>
            </w:r>
            <w:r w:rsidRPr="005B425B">
              <w:tab/>
            </w:r>
            <w:r w:rsidRPr="005B425B">
              <w:rPr>
                <w:rFonts w:ascii="Times New Roman" w:hAnsi="Times New Roman"/>
                <w:color w:val="000000" w:themeColor="text1"/>
                <w:spacing w:val="-2"/>
                <w:w w:val="95"/>
                <w:sz w:val="20"/>
              </w:rPr>
              <w:t xml:space="preserve">Datalagring og -behandling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2.3</w:t>
            </w:r>
            <w:r w:rsidRPr="005B425B">
              <w:tab/>
            </w:r>
            <w:r w:rsidRPr="005B425B">
              <w:rPr>
                <w:rFonts w:ascii="Times New Roman" w:hAnsi="Times New Roman"/>
                <w:color w:val="000000" w:themeColor="text1"/>
                <w:spacing w:val="-2"/>
                <w:w w:val="95"/>
                <w:sz w:val="20"/>
              </w:rPr>
              <w:t xml:space="preserve">Anden IT-infrastruktur, arbejdsstationer, telekommunikation, servere, datacentre og dermed beslægtede tjenester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2.4</w:t>
            </w:r>
            <w:r w:rsidRPr="005B425B">
              <w:tab/>
            </w:r>
            <w:r w:rsidRPr="005B425B">
              <w:rPr>
                <w:rFonts w:ascii="Times New Roman" w:hAnsi="Times New Roman"/>
                <w:color w:val="000000" w:themeColor="text1"/>
                <w:spacing w:val="-2"/>
                <w:w w:val="95"/>
                <w:sz w:val="20"/>
              </w:rPr>
              <w:t xml:space="preserve">Administration af softwarelicenser og applikationssoftware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2.5</w:t>
            </w:r>
            <w:r w:rsidRPr="005B425B">
              <w:tab/>
            </w:r>
            <w:r w:rsidRPr="005B425B">
              <w:rPr>
                <w:rFonts w:ascii="Times New Roman" w:hAnsi="Times New Roman"/>
                <w:color w:val="000000" w:themeColor="text1"/>
                <w:spacing w:val="-2"/>
                <w:w w:val="95"/>
                <w:sz w:val="20"/>
              </w:rPr>
              <w:t xml:space="preserve">Adgang til eksterne leverandører, navnlig data- og infrastrukturleverandører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2.6</w:t>
            </w:r>
            <w:r w:rsidRPr="005B425B">
              <w:tab/>
            </w:r>
            <w:r w:rsidRPr="005B425B">
              <w:rPr>
                <w:rFonts w:ascii="Times New Roman" w:hAnsi="Times New Roman"/>
                <w:color w:val="000000" w:themeColor="text1"/>
                <w:spacing w:val="-2"/>
                <w:w w:val="95"/>
                <w:sz w:val="20"/>
              </w:rPr>
              <w:t xml:space="preserve">Vedligeholdelse af programmer, herunder vedligeholdelse af softwareprogrammer og tilknyttede datastrømme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2.7</w:t>
            </w:r>
            <w:r w:rsidRPr="005B425B">
              <w:tab/>
            </w:r>
            <w:r w:rsidRPr="005B425B">
              <w:rPr>
                <w:rFonts w:ascii="Times New Roman" w:hAnsi="Times New Roman"/>
                <w:color w:val="000000" w:themeColor="text1"/>
                <w:spacing w:val="-2"/>
                <w:w w:val="95"/>
                <w:sz w:val="20"/>
              </w:rPr>
              <w:t>Rapportgenerering, interne informationsstrømme og databaser</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2.8</w:t>
            </w:r>
            <w:r w:rsidRPr="005B425B">
              <w:tab/>
            </w:r>
            <w:r w:rsidRPr="005B425B">
              <w:rPr>
                <w:rFonts w:ascii="Times New Roman" w:hAnsi="Times New Roman"/>
                <w:color w:val="000000" w:themeColor="text1"/>
                <w:spacing w:val="-2"/>
                <w:w w:val="95"/>
                <w:sz w:val="20"/>
              </w:rPr>
              <w:t>Brugersupport</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2.9</w:t>
            </w:r>
            <w:r w:rsidRPr="005B425B">
              <w:tab/>
            </w:r>
            <w:r w:rsidRPr="005B425B">
              <w:rPr>
                <w:rFonts w:ascii="Times New Roman" w:hAnsi="Times New Roman"/>
                <w:color w:val="000000" w:themeColor="text1"/>
                <w:spacing w:val="-2"/>
                <w:w w:val="95"/>
                <w:sz w:val="20"/>
              </w:rPr>
              <w:t>Nød- og katastrofeberedskab</w:t>
            </w:r>
          </w:p>
          <w:p w:rsidR="000713A0" w:rsidRPr="005B425B"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3.</w:t>
            </w:r>
            <w:r w:rsidRPr="005B425B">
              <w:tab/>
            </w:r>
            <w:r w:rsidRPr="005B425B">
              <w:rPr>
                <w:rFonts w:ascii="Times New Roman" w:hAnsi="Times New Roman"/>
                <w:color w:val="000000" w:themeColor="text1"/>
                <w:spacing w:val="-2"/>
                <w:w w:val="95"/>
                <w:sz w:val="20"/>
              </w:rPr>
              <w:t>Transaktionsbehandling, herunder juridiske transaktionsrelaterede spørgsmål, navnlig bekæmpelse af pengehvidvaskning</w:t>
            </w:r>
          </w:p>
          <w:p w:rsidR="000713A0" w:rsidRPr="005B425B"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4.</w:t>
            </w:r>
            <w:r w:rsidRPr="005B425B">
              <w:tab/>
            </w:r>
            <w:r w:rsidRPr="005B425B">
              <w:rPr>
                <w:rFonts w:ascii="Times New Roman" w:hAnsi="Times New Roman"/>
                <w:color w:val="000000" w:themeColor="text1"/>
                <w:spacing w:val="-2"/>
                <w:w w:val="95"/>
                <w:sz w:val="20"/>
              </w:rPr>
              <w:t xml:space="preserve">Fast ejendom og levering eller forvaltning af faciliteter og tilhørende faciliteter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4.1</w:t>
            </w:r>
            <w:r w:rsidRPr="005B425B">
              <w:tab/>
            </w:r>
            <w:r w:rsidRPr="005B425B">
              <w:rPr>
                <w:rFonts w:ascii="Times New Roman" w:hAnsi="Times New Roman"/>
                <w:color w:val="000000" w:themeColor="text1"/>
                <w:spacing w:val="-2"/>
                <w:w w:val="95"/>
                <w:sz w:val="20"/>
              </w:rPr>
              <w:t xml:space="preserve">Kontorlokaler og oplagring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4.2</w:t>
            </w:r>
            <w:r w:rsidRPr="005B425B">
              <w:tab/>
            </w:r>
            <w:r w:rsidRPr="005B425B">
              <w:rPr>
                <w:rFonts w:ascii="Times New Roman" w:hAnsi="Times New Roman"/>
                <w:color w:val="000000" w:themeColor="text1"/>
                <w:spacing w:val="-2"/>
                <w:w w:val="95"/>
                <w:sz w:val="20"/>
              </w:rPr>
              <w:t>Intern facilitetsforvaltning</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4.3</w:t>
            </w:r>
            <w:r w:rsidRPr="005B425B">
              <w:tab/>
            </w:r>
            <w:r w:rsidRPr="005B425B">
              <w:rPr>
                <w:rFonts w:ascii="Times New Roman" w:hAnsi="Times New Roman"/>
                <w:color w:val="000000" w:themeColor="text1"/>
                <w:spacing w:val="-2"/>
                <w:w w:val="95"/>
                <w:sz w:val="20"/>
              </w:rPr>
              <w:t xml:space="preserve">Sikkerhed og adgangskontrol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4.4</w:t>
            </w:r>
            <w:r w:rsidRPr="005B425B">
              <w:tab/>
            </w:r>
            <w:r w:rsidRPr="005B425B">
              <w:rPr>
                <w:rFonts w:ascii="Times New Roman" w:hAnsi="Times New Roman"/>
                <w:color w:val="000000" w:themeColor="text1"/>
                <w:spacing w:val="-2"/>
                <w:w w:val="95"/>
                <w:sz w:val="20"/>
              </w:rPr>
              <w:t>Forvaltning af ejendomsportefølje</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4.5</w:t>
            </w:r>
            <w:r w:rsidRPr="005B425B">
              <w:tab/>
            </w:r>
            <w:r w:rsidRPr="005B425B">
              <w:rPr>
                <w:rFonts w:ascii="Times New Roman" w:hAnsi="Times New Roman"/>
                <w:color w:val="000000" w:themeColor="text1"/>
                <w:spacing w:val="-2"/>
                <w:w w:val="95"/>
                <w:sz w:val="20"/>
              </w:rPr>
              <w:t xml:space="preserve">Andet, angiv nærmere </w:t>
            </w:r>
          </w:p>
          <w:p w:rsidR="000713A0" w:rsidRPr="005B425B"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5.</w:t>
            </w:r>
            <w:r w:rsidRPr="005B425B">
              <w:tab/>
            </w:r>
            <w:r w:rsidRPr="005B425B">
              <w:rPr>
                <w:rFonts w:ascii="Times New Roman" w:hAnsi="Times New Roman"/>
                <w:color w:val="000000" w:themeColor="text1"/>
                <w:spacing w:val="-2"/>
                <w:w w:val="95"/>
                <w:sz w:val="20"/>
              </w:rPr>
              <w:t xml:space="preserve">Juridiske tjenester og compliancefunktioner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5.1</w:t>
            </w:r>
            <w:r w:rsidRPr="005B425B">
              <w:tab/>
            </w:r>
            <w:r w:rsidRPr="005B425B">
              <w:rPr>
                <w:rFonts w:ascii="Times New Roman" w:hAnsi="Times New Roman"/>
                <w:color w:val="000000" w:themeColor="text1"/>
                <w:spacing w:val="-2"/>
                <w:w w:val="95"/>
                <w:sz w:val="20"/>
              </w:rPr>
              <w:t xml:space="preserve">Juridisk støtte til virksomheder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5.2</w:t>
            </w:r>
            <w:r w:rsidRPr="005B425B">
              <w:tab/>
            </w:r>
            <w:r w:rsidRPr="005B425B">
              <w:rPr>
                <w:rFonts w:ascii="Times New Roman" w:hAnsi="Times New Roman"/>
                <w:color w:val="000000" w:themeColor="text1"/>
                <w:spacing w:val="-2"/>
                <w:w w:val="95"/>
                <w:sz w:val="20"/>
              </w:rPr>
              <w:t>Forretnings- og transaktionsrelaterede juridiske tjenester</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5.3</w:t>
            </w:r>
            <w:r w:rsidRPr="005B425B">
              <w:tab/>
            </w:r>
            <w:r w:rsidRPr="005B425B">
              <w:rPr>
                <w:rFonts w:ascii="Times New Roman" w:hAnsi="Times New Roman"/>
                <w:color w:val="000000" w:themeColor="text1"/>
                <w:spacing w:val="-2"/>
                <w:w w:val="95"/>
                <w:sz w:val="20"/>
              </w:rPr>
              <w:t>Compliancesupport</w:t>
            </w:r>
          </w:p>
          <w:p w:rsidR="000713A0" w:rsidRPr="005B425B"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6.</w:t>
            </w:r>
            <w:r w:rsidRPr="005B425B">
              <w:tab/>
            </w:r>
            <w:r w:rsidRPr="005B425B">
              <w:rPr>
                <w:rFonts w:ascii="Times New Roman" w:hAnsi="Times New Roman"/>
                <w:color w:val="000000" w:themeColor="text1"/>
                <w:spacing w:val="-2"/>
                <w:w w:val="95"/>
                <w:sz w:val="20"/>
              </w:rPr>
              <w:t xml:space="preserve">Likviditetsrelaterede tjenester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6.1</w:t>
            </w:r>
            <w:r w:rsidRPr="005B425B">
              <w:tab/>
            </w:r>
            <w:r w:rsidRPr="005B425B">
              <w:rPr>
                <w:rFonts w:ascii="Times New Roman" w:hAnsi="Times New Roman"/>
                <w:color w:val="000000" w:themeColor="text1"/>
                <w:spacing w:val="-2"/>
                <w:w w:val="95"/>
                <w:sz w:val="20"/>
              </w:rPr>
              <w:t>Koordinering, administration og styring af likviditet</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6.2</w:t>
            </w:r>
            <w:r w:rsidRPr="005B425B">
              <w:tab/>
            </w:r>
            <w:r w:rsidRPr="005B425B">
              <w:rPr>
                <w:rFonts w:ascii="Times New Roman" w:hAnsi="Times New Roman"/>
                <w:color w:val="000000" w:themeColor="text1"/>
                <w:spacing w:val="-2"/>
                <w:w w:val="95"/>
                <w:sz w:val="20"/>
              </w:rPr>
              <w:t xml:space="preserve">Koordination, administration og styring af refinansiering af enheder, herunder forvaltning af sikkerhedsstillelse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6.3</w:t>
            </w:r>
            <w:r w:rsidRPr="005B425B">
              <w:tab/>
            </w:r>
            <w:r w:rsidRPr="005B425B">
              <w:rPr>
                <w:rFonts w:ascii="Times New Roman" w:hAnsi="Times New Roman"/>
                <w:color w:val="000000" w:themeColor="text1"/>
                <w:spacing w:val="-2"/>
                <w:w w:val="95"/>
                <w:sz w:val="20"/>
              </w:rPr>
              <w:t xml:space="preserve">Indberetningsfunktion, navnlig med hensyn til tilsynsretlige likviditetskrav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6.4</w:t>
            </w:r>
            <w:r w:rsidRPr="005B425B">
              <w:tab/>
            </w:r>
            <w:r w:rsidRPr="005B425B">
              <w:rPr>
                <w:rFonts w:ascii="Times New Roman" w:hAnsi="Times New Roman"/>
                <w:color w:val="000000" w:themeColor="text1"/>
                <w:spacing w:val="-2"/>
                <w:w w:val="95"/>
                <w:sz w:val="20"/>
              </w:rPr>
              <w:t xml:space="preserve">Koordination, administration og forvaltning af mellem- og langfristede finansieringsprogrammer samt refinansiering af koncernenheder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6.5</w:t>
            </w:r>
            <w:r w:rsidRPr="005B425B">
              <w:tab/>
            </w:r>
            <w:r w:rsidRPr="005B425B">
              <w:rPr>
                <w:rFonts w:ascii="Times New Roman" w:hAnsi="Times New Roman"/>
                <w:color w:val="000000" w:themeColor="text1"/>
                <w:spacing w:val="-2"/>
                <w:w w:val="95"/>
                <w:sz w:val="20"/>
              </w:rPr>
              <w:t>Koordination, administration og forvaltning af refinansiering, navnlig kortfristede udstedelser</w:t>
            </w:r>
          </w:p>
          <w:p w:rsidR="000713A0" w:rsidRPr="005B425B"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7.</w:t>
            </w:r>
            <w:r w:rsidRPr="005B425B">
              <w:tab/>
            </w:r>
            <w:r w:rsidRPr="005B425B">
              <w:rPr>
                <w:rFonts w:ascii="Times New Roman" w:hAnsi="Times New Roman"/>
                <w:color w:val="000000" w:themeColor="text1"/>
                <w:spacing w:val="-2"/>
                <w:w w:val="95"/>
                <w:sz w:val="20"/>
              </w:rPr>
              <w:t>Trading/forvaltning af aktiver</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7.1</w:t>
            </w:r>
            <w:r w:rsidRPr="005B425B">
              <w:tab/>
            </w:r>
            <w:r w:rsidRPr="005B425B">
              <w:rPr>
                <w:rFonts w:ascii="Times New Roman" w:hAnsi="Times New Roman"/>
                <w:color w:val="000000" w:themeColor="text1"/>
                <w:spacing w:val="-2"/>
                <w:w w:val="95"/>
                <w:sz w:val="20"/>
              </w:rPr>
              <w:t>Transaktionsbehandling: Behandling af handler (trade capture), udformning, realisering, servicering af handelsprodukter</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7.2</w:t>
            </w:r>
            <w:r w:rsidRPr="005B425B">
              <w:tab/>
            </w:r>
            <w:r w:rsidRPr="005B425B">
              <w:rPr>
                <w:rFonts w:ascii="Times New Roman" w:hAnsi="Times New Roman"/>
                <w:color w:val="000000" w:themeColor="text1"/>
                <w:spacing w:val="-2"/>
                <w:w w:val="95"/>
                <w:sz w:val="20"/>
              </w:rPr>
              <w:t>Bekræftelse, afregning, betaling</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7.3</w:t>
            </w:r>
            <w:r w:rsidRPr="005B425B">
              <w:tab/>
            </w:r>
            <w:r w:rsidRPr="005B425B">
              <w:rPr>
                <w:rFonts w:ascii="Times New Roman" w:hAnsi="Times New Roman"/>
                <w:color w:val="000000" w:themeColor="text1"/>
                <w:spacing w:val="-2"/>
                <w:w w:val="95"/>
                <w:sz w:val="20"/>
              </w:rPr>
              <w:t xml:space="preserve">Positions- og modpartsforvaltning, for så vidt angår dataindberetning og forbindelser med modparter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7.4</w:t>
            </w:r>
            <w:r w:rsidRPr="005B425B">
              <w:tab/>
            </w:r>
            <w:r w:rsidRPr="005B425B">
              <w:rPr>
                <w:rFonts w:ascii="Times New Roman" w:hAnsi="Times New Roman"/>
                <w:color w:val="000000" w:themeColor="text1"/>
                <w:spacing w:val="-2"/>
                <w:w w:val="95"/>
                <w:sz w:val="20"/>
              </w:rPr>
              <w:t>Positionsstyring (risiko og afstemning)</w:t>
            </w:r>
          </w:p>
          <w:p w:rsidR="000713A0" w:rsidRPr="005B425B"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8.</w:t>
            </w:r>
            <w:r w:rsidRPr="005B425B">
              <w:tab/>
            </w:r>
            <w:r w:rsidRPr="005B425B">
              <w:rPr>
                <w:rFonts w:ascii="Times New Roman" w:hAnsi="Times New Roman"/>
                <w:color w:val="000000" w:themeColor="text1"/>
                <w:spacing w:val="-2"/>
                <w:w w:val="95"/>
                <w:sz w:val="20"/>
              </w:rPr>
              <w:t xml:space="preserve">Risikostyring og værdiansættelse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8.1</w:t>
            </w:r>
            <w:r w:rsidRPr="005B425B">
              <w:tab/>
            </w:r>
            <w:r w:rsidRPr="005B425B">
              <w:rPr>
                <w:rFonts w:ascii="Times New Roman" w:hAnsi="Times New Roman"/>
                <w:color w:val="000000" w:themeColor="text1"/>
                <w:spacing w:val="-2"/>
                <w:w w:val="95"/>
                <w:sz w:val="20"/>
              </w:rPr>
              <w:t>Risikostyring efter central- eller forretningsområde eller risikotype</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8.2</w:t>
            </w:r>
            <w:r w:rsidRPr="005B425B">
              <w:tab/>
            </w:r>
            <w:r w:rsidRPr="005B425B">
              <w:rPr>
                <w:rFonts w:ascii="Times New Roman" w:hAnsi="Times New Roman"/>
                <w:color w:val="000000" w:themeColor="text1"/>
                <w:spacing w:val="-2"/>
                <w:w w:val="95"/>
                <w:sz w:val="20"/>
              </w:rPr>
              <w:t>Generering af risikorapporter</w:t>
            </w:r>
          </w:p>
          <w:p w:rsidR="000713A0" w:rsidRPr="005B425B"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9.</w:t>
            </w:r>
            <w:r w:rsidRPr="005B425B">
              <w:tab/>
            </w:r>
            <w:r w:rsidRPr="005B425B">
              <w:rPr>
                <w:rFonts w:ascii="Times New Roman" w:hAnsi="Times New Roman"/>
                <w:color w:val="000000" w:themeColor="text1"/>
                <w:spacing w:val="-2"/>
                <w:w w:val="95"/>
                <w:sz w:val="20"/>
              </w:rPr>
              <w:t xml:space="preserve">Regnskabsføring </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9.1</w:t>
            </w:r>
            <w:r w:rsidRPr="005B425B">
              <w:tab/>
            </w:r>
            <w:r w:rsidRPr="005B425B">
              <w:rPr>
                <w:rFonts w:ascii="Times New Roman" w:hAnsi="Times New Roman"/>
                <w:color w:val="000000" w:themeColor="text1"/>
                <w:spacing w:val="-2"/>
                <w:w w:val="95"/>
                <w:sz w:val="20"/>
              </w:rPr>
              <w:t>Indberetning i henhold til love og forskrifter</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9.2</w:t>
            </w:r>
            <w:r w:rsidRPr="005B425B">
              <w:tab/>
            </w:r>
            <w:r w:rsidRPr="005B425B">
              <w:rPr>
                <w:rFonts w:ascii="Times New Roman" w:hAnsi="Times New Roman"/>
                <w:color w:val="000000" w:themeColor="text1"/>
                <w:spacing w:val="-2"/>
                <w:w w:val="95"/>
                <w:sz w:val="20"/>
              </w:rPr>
              <w:t>Værdiansættelse, navnlig af markedspositioner</w:t>
            </w:r>
          </w:p>
          <w:p w:rsidR="000713A0" w:rsidRPr="005B425B"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9.3</w:t>
            </w:r>
            <w:r w:rsidRPr="005B425B">
              <w:tab/>
            </w:r>
            <w:r w:rsidRPr="005B425B">
              <w:rPr>
                <w:rFonts w:ascii="Times New Roman" w:hAnsi="Times New Roman"/>
                <w:color w:val="000000" w:themeColor="text1"/>
                <w:spacing w:val="-2"/>
                <w:w w:val="95"/>
                <w:sz w:val="20"/>
              </w:rPr>
              <w:t>Ledelsesrapportering</w:t>
            </w:r>
          </w:p>
          <w:p w:rsidR="000713A0" w:rsidRPr="005B425B"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10.</w:t>
            </w:r>
            <w:r w:rsidRPr="005B425B">
              <w:tab/>
            </w:r>
            <w:r w:rsidRPr="005B425B">
              <w:rPr>
                <w:rFonts w:ascii="Times New Roman" w:hAnsi="Times New Roman"/>
                <w:color w:val="000000" w:themeColor="text1"/>
                <w:spacing w:val="-2"/>
                <w:w w:val="95"/>
                <w:sz w:val="20"/>
              </w:rPr>
              <w:t>Håndtering af kontanter</w:t>
            </w:r>
          </w:p>
        </w:tc>
      </w:tr>
      <w:tr w:rsidR="00D22EB0" w:rsidRPr="005B425B" w:rsidTr="00471773">
        <w:tc>
          <w:tcPr>
            <w:tcW w:w="1191" w:type="dxa"/>
            <w:tcBorders>
              <w:top w:val="single" w:sz="4" w:space="0" w:color="1A171C"/>
              <w:left w:val="nil"/>
              <w:bottom w:val="single" w:sz="4" w:space="0" w:color="1A171C"/>
              <w:right w:val="single" w:sz="4" w:space="0" w:color="1A171C"/>
            </w:tcBorders>
            <w:vAlign w:val="center"/>
          </w:tcPr>
          <w:p w:rsidR="000713A0" w:rsidRPr="005B425B"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5B425B"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Modtager af tjenesten </w:t>
            </w:r>
          </w:p>
          <w:p w:rsidR="000713A0" w:rsidRPr="005B425B"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Enhed i koncernen, som modtager den kritiske tjeneste indberettet i kolonne 0010 fra en anden koncernenhed eller den eksterne leverandør indberettet i kolonne 0040-0050. </w:t>
            </w:r>
          </w:p>
        </w:tc>
      </w:tr>
      <w:tr w:rsidR="00D22EB0" w:rsidRPr="005B425B" w:rsidTr="00471773">
        <w:tc>
          <w:tcPr>
            <w:tcW w:w="1191" w:type="dxa"/>
            <w:tcBorders>
              <w:top w:val="single" w:sz="4" w:space="0" w:color="1A171C"/>
              <w:left w:val="nil"/>
              <w:bottom w:val="single" w:sz="4" w:space="0" w:color="1A171C"/>
              <w:right w:val="single" w:sz="4" w:space="0" w:color="1A171C"/>
            </w:tcBorders>
            <w:vAlign w:val="center"/>
          </w:tcPr>
          <w:p w:rsidR="000713A0" w:rsidRPr="005B425B"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5B425B"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Enhedens navn </w:t>
            </w:r>
          </w:p>
          <w:p w:rsidR="000713A0" w:rsidRPr="005B425B"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Må ikke være det samme navn som det, der er angivet i kolonne 0040. </w:t>
            </w:r>
          </w:p>
        </w:tc>
      </w:tr>
      <w:tr w:rsidR="00D22EB0" w:rsidRPr="005B425B" w:rsidTr="00471773">
        <w:tc>
          <w:tcPr>
            <w:tcW w:w="1191" w:type="dxa"/>
            <w:tcBorders>
              <w:top w:val="single" w:sz="4" w:space="0" w:color="1A171C"/>
              <w:left w:val="nil"/>
              <w:bottom w:val="single" w:sz="4" w:space="0" w:color="1A171C"/>
              <w:right w:val="single" w:sz="4" w:space="0" w:color="1A171C"/>
            </w:tcBorders>
            <w:vAlign w:val="center"/>
          </w:tcPr>
          <w:p w:rsidR="000713A0" w:rsidRPr="005B425B"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5B425B"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Kode </w:t>
            </w:r>
          </w:p>
          <w:p w:rsidR="000713A0" w:rsidRPr="005B425B"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Entydig identifikator for den juridiske enhed i kolonne 0020 som indberettet i skema Z 01.00 (ORG)</w:t>
            </w:r>
          </w:p>
          <w:p w:rsidR="000713A0" w:rsidRPr="005B425B"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Må ikke være den samme identifikator som den, der er angivet i kolonne 0050</w:t>
            </w:r>
          </w:p>
        </w:tc>
      </w:tr>
      <w:tr w:rsidR="00D22EB0" w:rsidRPr="005B425B" w:rsidTr="00471773">
        <w:tc>
          <w:tcPr>
            <w:tcW w:w="1191" w:type="dxa"/>
            <w:tcBorders>
              <w:top w:val="single" w:sz="4" w:space="0" w:color="1A171C"/>
              <w:left w:val="nil"/>
              <w:bottom w:val="single" w:sz="4" w:space="0" w:color="1A171C"/>
              <w:right w:val="single" w:sz="4" w:space="0" w:color="1A171C"/>
            </w:tcBorders>
            <w:vAlign w:val="center"/>
          </w:tcPr>
          <w:p w:rsidR="000713A0" w:rsidRPr="005B425B"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5B425B"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Tjenesteyder </w:t>
            </w:r>
          </w:p>
          <w:p w:rsidR="000713A0" w:rsidRPr="005B425B"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Den juridiske enhed (intern eller ekstern), som leverer den kritiske tjeneste indberettet i kolonne 0010 til en koncernenhed </w:t>
            </w:r>
          </w:p>
        </w:tc>
      </w:tr>
      <w:tr w:rsidR="00D22EB0" w:rsidRPr="005B425B" w:rsidTr="00471773">
        <w:tc>
          <w:tcPr>
            <w:tcW w:w="1191" w:type="dxa"/>
            <w:tcBorders>
              <w:top w:val="single" w:sz="4" w:space="0" w:color="1A171C"/>
              <w:left w:val="nil"/>
              <w:bottom w:val="single" w:sz="4" w:space="0" w:color="1A171C"/>
              <w:right w:val="single" w:sz="4" w:space="0" w:color="1A171C"/>
            </w:tcBorders>
            <w:vAlign w:val="center"/>
          </w:tcPr>
          <w:p w:rsidR="000713A0" w:rsidRPr="005B425B"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5B425B"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Enhedens navn </w:t>
            </w:r>
          </w:p>
          <w:p w:rsidR="000713A0" w:rsidRPr="005B425B"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Må ikke være det samme navn som det, der er angivet i kolonne 0020. </w:t>
            </w:r>
          </w:p>
        </w:tc>
      </w:tr>
      <w:tr w:rsidR="00D22EB0" w:rsidRPr="005B425B" w:rsidTr="00471773">
        <w:tc>
          <w:tcPr>
            <w:tcW w:w="1191" w:type="dxa"/>
            <w:tcBorders>
              <w:top w:val="single" w:sz="4" w:space="0" w:color="1A171C"/>
              <w:left w:val="nil"/>
              <w:bottom w:val="single" w:sz="4" w:space="0" w:color="1A171C"/>
              <w:right w:val="single" w:sz="4" w:space="0" w:color="1A171C"/>
            </w:tcBorders>
            <w:vAlign w:val="center"/>
          </w:tcPr>
          <w:p w:rsidR="000713A0" w:rsidRPr="005B425B"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5B425B"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Kode </w:t>
            </w:r>
          </w:p>
          <w:p w:rsidR="00741D62" w:rsidRPr="005B425B"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Entydig identifikator for den juridiske enhed i kolonne 0020.Må ikke være den samme identifikator som den, der er angivet i kolonne 0030.</w:t>
            </w:r>
          </w:p>
          <w:p w:rsidR="00E02367" w:rsidRPr="005B425B"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Hvis tjenesteyderen er en koncernenhed, skal koden være de samme som den, der er angivet i skema Z 01.00 (ORG). </w:t>
            </w:r>
          </w:p>
          <w:p w:rsidR="00E02367" w:rsidRPr="005B425B"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Hvis tjenesteyderen ikke er en koncernenhed, er den pågældende enheds kode:</w:t>
            </w:r>
          </w:p>
          <w:p w:rsidR="00E02367" w:rsidRPr="005B425B"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for institutter den 20-cifrede, alfanumeriske LEI-kode</w:t>
            </w:r>
          </w:p>
          <w:p w:rsidR="000725C8" w:rsidRPr="005B425B"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for andre enheder den 20-cifrede, alfanumeriske LEI-kode eller, hvis denne ikke foreligger, en kode fastsat i henhold til ensartet kodificering i Unionen eller, hvis en sådan ikke foreligger, en national kode.</w:t>
            </w:r>
          </w:p>
          <w:p w:rsidR="000713A0" w:rsidRPr="005B425B"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Koden skal være unik og skal anvendes konsekvent i alle skemaerne.</w:t>
            </w:r>
          </w:p>
          <w:p w:rsidR="000713A0" w:rsidRPr="005B425B"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5B425B"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5B425B"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rsidR="000713A0" w:rsidRPr="005B425B"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Del af koncernen </w:t>
            </w:r>
          </w:p>
          <w:p w:rsidR="006C73FE" w:rsidRPr="005B425B"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"Ja" — hvis tjenesten leveres af en enhed i koncernen (intern)</w:t>
            </w:r>
          </w:p>
          <w:p w:rsidR="000713A0" w:rsidRPr="005B425B"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"Nej" — hvis tjenesten leveres af en enhed uden for koncernen (ekstern)</w:t>
            </w:r>
          </w:p>
        </w:tc>
      </w:tr>
      <w:tr w:rsidR="00D22EB0" w:rsidRPr="005B425B" w:rsidTr="00471773">
        <w:tc>
          <w:tcPr>
            <w:tcW w:w="1191" w:type="dxa"/>
            <w:tcBorders>
              <w:top w:val="single" w:sz="4" w:space="0" w:color="1A171C"/>
              <w:left w:val="nil"/>
              <w:bottom w:val="single" w:sz="4" w:space="0" w:color="1A171C"/>
              <w:right w:val="single" w:sz="4" w:space="0" w:color="1A171C"/>
            </w:tcBorders>
            <w:vAlign w:val="center"/>
          </w:tcPr>
          <w:p w:rsidR="000713A0" w:rsidRPr="005B425B"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5B425B"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Kritisk funktion</w:t>
            </w:r>
          </w:p>
          <w:p w:rsidR="000713A0" w:rsidRPr="005B425B"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Den kritiske funktion, hvis udførelse en forstyrrelse af den kritiske tjeneste ville udgøre en alvorlig hindring for eller helt forhindre. Der skal være tale om en af de funktioner, der vurderes som kritisk i skema Z 07.01 (FUNC 1).</w:t>
            </w:r>
          </w:p>
        </w:tc>
      </w:tr>
      <w:tr w:rsidR="00D22EB0" w:rsidRPr="005B425B" w:rsidTr="00471773">
        <w:tc>
          <w:tcPr>
            <w:tcW w:w="1191" w:type="dxa"/>
            <w:tcBorders>
              <w:top w:val="single" w:sz="4" w:space="0" w:color="1A171C"/>
              <w:left w:val="nil"/>
              <w:bottom w:val="single" w:sz="4" w:space="0" w:color="1A171C"/>
              <w:right w:val="single" w:sz="4" w:space="0" w:color="1A171C"/>
            </w:tcBorders>
            <w:vAlign w:val="center"/>
          </w:tcPr>
          <w:p w:rsidR="006C73FE" w:rsidRPr="005B425B"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5B425B" w:rsidRDefault="006D5CCF"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Land</w:t>
            </w:r>
          </w:p>
          <w:p w:rsidR="006C73FE" w:rsidRPr="005B425B" w:rsidRDefault="000F3337" w:rsidP="006D5CCF">
            <w:pPr>
              <w:pStyle w:val="TableParagraph"/>
              <w:spacing w:before="108"/>
              <w:ind w:left="85"/>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Medlemsstat, for hvilken funktionen er kritisk, som indberettet i Z 07.01 (FUNC 1)</w:t>
            </w:r>
          </w:p>
        </w:tc>
      </w:tr>
      <w:tr w:rsidR="00D22EB0" w:rsidRPr="005B425B" w:rsidTr="00471773">
        <w:tc>
          <w:tcPr>
            <w:tcW w:w="1191" w:type="dxa"/>
            <w:tcBorders>
              <w:top w:val="single" w:sz="4" w:space="0" w:color="1A171C"/>
              <w:left w:val="nil"/>
              <w:bottom w:val="single" w:sz="4" w:space="0" w:color="1A171C"/>
              <w:right w:val="single" w:sz="4" w:space="0" w:color="1A171C"/>
            </w:tcBorders>
            <w:vAlign w:val="center"/>
          </w:tcPr>
          <w:p w:rsidR="006C73FE" w:rsidRPr="005B425B"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5B425B"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ID</w:t>
            </w:r>
          </w:p>
          <w:p w:rsidR="006C73FE" w:rsidRPr="005B425B"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ID for de kritiske funktioner som defineret i kapitel 2.7.1.4 ovenfor og angivet i skema Z 07.01 (FUNC 1)</w:t>
            </w:r>
          </w:p>
        </w:tc>
      </w:tr>
      <w:tr w:rsidR="00D22EB0" w:rsidRPr="005B425B" w:rsidTr="00471773">
        <w:tc>
          <w:tcPr>
            <w:tcW w:w="1191" w:type="dxa"/>
            <w:tcBorders>
              <w:top w:val="single" w:sz="4" w:space="0" w:color="1A171C"/>
              <w:left w:val="nil"/>
              <w:bottom w:val="single" w:sz="4" w:space="0" w:color="1A171C"/>
              <w:right w:val="single" w:sz="4" w:space="0" w:color="1A171C"/>
            </w:tcBorders>
            <w:vAlign w:val="center"/>
          </w:tcPr>
          <w:p w:rsidR="000713A0" w:rsidRPr="005B425B"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5B425B"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Substitution - estimeret tid </w:t>
            </w:r>
          </w:p>
          <w:p w:rsidR="006C73FE" w:rsidRPr="005B425B"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Skøn over den tid, der er nødvendig til at erstatte en leverandør med en anden i sammenligneligt omfang for så vidt angår formålet med, kvaliteten af og udgifterne til den modtagne tjeneste.</w:t>
            </w:r>
          </w:p>
          <w:p w:rsidR="000713A0" w:rsidRPr="005B425B"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Angiv en af følgende værdier:</w:t>
            </w:r>
          </w:p>
          <w:p w:rsidR="000713A0" w:rsidRPr="005B425B"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"1 dag-1 uge", hvis substitutionstiden ikke er over en uge</w:t>
            </w:r>
          </w:p>
          <w:p w:rsidR="000713A0" w:rsidRPr="005B425B"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"1 uge-1 måned", hvis substitutionstiden er over en uge, men ikke over en måned</w:t>
            </w:r>
          </w:p>
          <w:p w:rsidR="000713A0" w:rsidRPr="005B425B"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"1 uge-6 måneder", hvis substitutionstiden er over en måned, men ikke over seks måneder</w:t>
            </w:r>
          </w:p>
          <w:p w:rsidR="000713A0" w:rsidRPr="005B425B"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"6-12 måneder", hvis substitutionstiden er over seks måneder, men ikke over et år</w:t>
            </w:r>
          </w:p>
          <w:p w:rsidR="008E0043" w:rsidRPr="005B425B"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"Over 1 år", hvis substitutionstiden er over et år.</w:t>
            </w:r>
          </w:p>
          <w:p w:rsidR="008E0043" w:rsidRPr="005B425B"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 </w:t>
            </w:r>
          </w:p>
        </w:tc>
      </w:tr>
      <w:tr w:rsidR="00D22EB0" w:rsidRPr="005B425B" w:rsidTr="00471773">
        <w:tc>
          <w:tcPr>
            <w:tcW w:w="1191" w:type="dxa"/>
            <w:tcBorders>
              <w:top w:val="single" w:sz="4" w:space="0" w:color="1A171C"/>
              <w:left w:val="nil"/>
              <w:bottom w:val="single" w:sz="4" w:space="0" w:color="1A171C"/>
              <w:right w:val="single" w:sz="4" w:space="0" w:color="1A171C"/>
            </w:tcBorders>
            <w:vAlign w:val="center"/>
          </w:tcPr>
          <w:p w:rsidR="000713A0" w:rsidRPr="005B425B"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5B425B"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Adgang til aftaler — estimeret tid</w:t>
            </w:r>
          </w:p>
          <w:p w:rsidR="000713A0" w:rsidRPr="005B425B"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Skøn over den tid, der er nødvendig til at indhente følgende oplysninger om den aftale, der regulerer tjenesten, efter anmodning fra afviklingsmyndigheden:</w:t>
            </w:r>
          </w:p>
          <w:p w:rsidR="000713A0" w:rsidRPr="005B425B"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aftalens varighed</w:t>
            </w:r>
          </w:p>
          <w:p w:rsidR="000713A0" w:rsidRPr="005B425B"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aftaleparterne (kontraktudfærdigende part, leverandør, kontaktpersoner) og lovgivning, de er omfattet af</w:t>
            </w:r>
          </w:p>
          <w:p w:rsidR="000713A0" w:rsidRPr="005B425B"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tjenestens art (dvs. kort beskrivelse af arten af transaktionen mellem parterne, herunder priser)</w:t>
            </w:r>
          </w:p>
          <w:p w:rsidR="000713A0" w:rsidRPr="005B425B"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hvorvidt den samme tjeneste kan tilbydes af en anden intern/ekstern leverandør (med angivelse af navne på sådanne mulige leverandører)</w:t>
            </w:r>
          </w:p>
          <w:p w:rsidR="000713A0" w:rsidRPr="005B425B"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lovgivning, som aftalen er omfattet af</w:t>
            </w:r>
          </w:p>
          <w:p w:rsidR="000713A0" w:rsidRPr="005B425B"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afdeling med ansvar for de vigtigste transaktioner, der er omfattet af aftalen</w:t>
            </w:r>
          </w:p>
          <w:p w:rsidR="000713A0" w:rsidRPr="005B425B"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vigtigste sanktioner i henhold til aftalen i tilfælde af suspension eller forsinkelse af betalinger</w:t>
            </w:r>
          </w:p>
          <w:p w:rsidR="000713A0" w:rsidRPr="005B425B"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forhold, der udløser førtidig opsigelse, og tidsmæssige rammer for opsigelse</w:t>
            </w:r>
          </w:p>
          <w:p w:rsidR="000713A0" w:rsidRPr="005B425B"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operationel support efter opsigelse af aftalen</w:t>
            </w:r>
          </w:p>
          <w:p w:rsidR="000713A0" w:rsidRPr="005B425B"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relevans — kritiske funktioner og forretningsområder</w:t>
            </w:r>
          </w:p>
          <w:p w:rsidR="000713A0" w:rsidRPr="005B425B"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Angiv en af følgende værdier:</w:t>
            </w:r>
          </w:p>
          <w:p w:rsidR="000713A0" w:rsidRPr="005B425B"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1 dag</w:t>
            </w:r>
          </w:p>
          <w:p w:rsidR="000713A0" w:rsidRPr="005B425B"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1 dag-1 uge</w:t>
            </w:r>
          </w:p>
          <w:p w:rsidR="000713A0" w:rsidRPr="005B425B"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Over 1 uge</w:t>
            </w:r>
          </w:p>
          <w:p w:rsidR="000713A0" w:rsidRPr="005B425B"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Tjenesten er ikke reguleret ved aftale</w:t>
            </w:r>
          </w:p>
        </w:tc>
      </w:tr>
      <w:tr w:rsidR="00D22EB0" w:rsidRPr="005B425B" w:rsidTr="00471773">
        <w:tc>
          <w:tcPr>
            <w:tcW w:w="1191" w:type="dxa"/>
            <w:tcBorders>
              <w:top w:val="single" w:sz="4" w:space="0" w:color="1A171C"/>
              <w:left w:val="nil"/>
              <w:bottom w:val="single" w:sz="4" w:space="0" w:color="1A171C"/>
              <w:right w:val="single" w:sz="4" w:space="0" w:color="1A171C"/>
            </w:tcBorders>
            <w:vAlign w:val="center"/>
          </w:tcPr>
          <w:p w:rsidR="00DE58BD" w:rsidRPr="005B425B"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rsidR="00DE58BD" w:rsidRPr="005B425B" w:rsidRDefault="00DE58BD"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Lovvalg</w:t>
            </w:r>
          </w:p>
          <w:p w:rsidR="00DE58BD" w:rsidRPr="005B425B" w:rsidRDefault="00B97C2E">
            <w:pPr>
              <w:pStyle w:val="TableParagraph"/>
              <w:spacing w:before="108"/>
              <w:ind w:left="85"/>
              <w:jc w:val="both"/>
              <w:rPr>
                <w:rFonts w:ascii="Times New Roman" w:hAnsi="Times New Roman" w:cs="Times New Roman"/>
                <w:bCs/>
                <w:color w:val="000000" w:themeColor="text1"/>
                <w:sz w:val="20"/>
                <w:szCs w:val="20"/>
              </w:rPr>
            </w:pPr>
            <w:r w:rsidRPr="005B425B">
              <w:rPr>
                <w:rFonts w:ascii="Times New Roman" w:hAnsi="Times New Roman"/>
                <w:color w:val="000000" w:themeColor="text1"/>
                <w:sz w:val="20"/>
              </w:rPr>
              <w:t>ISO-koden for det land, hvis lovgivning regulerer aftalen.</w:t>
            </w:r>
          </w:p>
        </w:tc>
      </w:tr>
      <w:tr w:rsidR="000713A0" w:rsidRPr="005B425B"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5B425B"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5B425B"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Afviklingssikker aftale </w:t>
            </w:r>
          </w:p>
          <w:p w:rsidR="00AF19DE" w:rsidRPr="005B425B"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Afspejler vurderingen af, om aftalen vil kunne videreføres og overføres i tilfælde af afvikling. </w:t>
            </w:r>
          </w:p>
          <w:p w:rsidR="000713A0" w:rsidRPr="005B425B"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Der skal i vurderingen bl.a. tages hensyn til følgende:</w:t>
            </w:r>
          </w:p>
          <w:p w:rsidR="000713A0" w:rsidRPr="005B425B"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enhver klausul, der ville give en modpart ret til at opsige aftalen udelukkende som følge af afvikling, foranstaltninger til tidlig indgriben eller scenarier dækket af tværgående misligholdelsesklausuler (cross default), selv om materielle forpligtelser fortsat blev opfyldt</w:t>
            </w:r>
          </w:p>
          <w:p w:rsidR="000713A0" w:rsidRPr="005B425B"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enhver klausul, der ville give en modpart ret til at ændre tjenesteydelsesvilkårene udelukkende som følge af afvikling, tidlig indgriben eller scenarier dækket af tværgående misligholdelsesklausuler (cross default), selv om materielle forpligtelser fortsat blev opfyldt</w:t>
            </w:r>
          </w:p>
          <w:p w:rsidR="000713A0" w:rsidRPr="005B425B"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anerkendelse (i aftalen) om afviklingsmyndighedernes ret til suspension.</w:t>
            </w:r>
          </w:p>
          <w:p w:rsidR="00AF19DE" w:rsidRPr="005B425B"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Angiv en af følgende værdier:</w:t>
            </w:r>
          </w:p>
          <w:p w:rsidR="000713A0" w:rsidRPr="005B425B"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"Ja" — hvis aftalen vurderes at være afviklingssikker</w:t>
            </w:r>
          </w:p>
          <w:p w:rsidR="000713A0" w:rsidRPr="005B425B"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"Nej" — hvis aftalen ikke vurderes at være afviklingssikker</w:t>
            </w:r>
          </w:p>
          <w:p w:rsidR="000713A0" w:rsidRPr="005B425B"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"Ikke vurderet" — hvis der ikke er foretaget en vurdering</w:t>
            </w:r>
          </w:p>
        </w:tc>
      </w:tr>
    </w:tbl>
    <w:p w:rsidR="00276FFB" w:rsidRPr="005B425B" w:rsidRDefault="00276FFB" w:rsidP="00276FFB">
      <w:pPr>
        <w:rPr>
          <w:rFonts w:ascii="Times New Roman" w:hAnsi="Times New Roman" w:cs="Times New Roman"/>
          <w:b/>
          <w:color w:val="000000" w:themeColor="text1"/>
          <w:sz w:val="20"/>
          <w:szCs w:val="20"/>
          <w:u w:val="single"/>
        </w:rPr>
      </w:pPr>
    </w:p>
    <w:p w:rsidR="00E13CE3" w:rsidRPr="005B425B" w:rsidRDefault="0066458F" w:rsidP="008854E4">
      <w:pPr>
        <w:pStyle w:val="Instructionsberschrift2"/>
        <w:numPr>
          <w:ilvl w:val="1"/>
          <w:numId w:val="7"/>
        </w:numPr>
        <w:ind w:left="357" w:hanging="357"/>
        <w:rPr>
          <w:rFonts w:ascii="Times New Roman" w:hAnsi="Times New Roman" w:cs="Times New Roman"/>
          <w:szCs w:val="20"/>
        </w:rPr>
      </w:pPr>
      <w:bookmarkStart w:id="40" w:name="_Toc492542329"/>
      <w:bookmarkStart w:id="41" w:name="_Toc509909047"/>
      <w:bookmarkStart w:id="42" w:name="_Toc525120145"/>
      <w:r w:rsidRPr="005B425B">
        <w:rPr>
          <w:rFonts w:ascii="Times New Roman" w:hAnsi="Times New Roman"/>
          <w:color w:val="000000" w:themeColor="text1"/>
        </w:rPr>
        <w:t>Z 09.00 — FMI-tjenester — Udbydere og brugere — Oversigt pr. kritisk funktion</w:t>
      </w:r>
      <w:bookmarkEnd w:id="40"/>
      <w:bookmarkEnd w:id="41"/>
      <w:bookmarkEnd w:id="42"/>
    </w:p>
    <w:p w:rsidR="00AA4026" w:rsidRPr="005B425B" w:rsidRDefault="00AA4026" w:rsidP="006028B1">
      <w:pPr>
        <w:pStyle w:val="Numberedtitlelevel3"/>
        <w:rPr>
          <w:rFonts w:ascii="Times New Roman" w:hAnsi="Times New Roman" w:cs="Times New Roman"/>
          <w:b w:val="0"/>
          <w:color w:val="000000" w:themeColor="text1"/>
          <w:sz w:val="20"/>
          <w:szCs w:val="20"/>
          <w:u w:val="single"/>
        </w:rPr>
      </w:pPr>
      <w:r w:rsidRPr="005B425B">
        <w:rPr>
          <w:rFonts w:ascii="Times New Roman" w:hAnsi="Times New Roman"/>
          <w:b w:val="0"/>
          <w:color w:val="000000" w:themeColor="text1"/>
          <w:sz w:val="20"/>
          <w:u w:val="single"/>
        </w:rPr>
        <w:t>Generelt</w:t>
      </w:r>
    </w:p>
    <w:p w:rsidR="008F717A" w:rsidRPr="005B425B" w:rsidRDefault="008F717A"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 xml:space="preserve">I dette skema identificeres clearing-, betalings-, værdipapirafviklings- og deponeringsaktiviteter, </w:t>
      </w:r>
      <w:r w:rsidRPr="005B425B">
        <w:noBreakHyphen/>
      </w:r>
      <w:r w:rsidRPr="005B425B">
        <w:rPr>
          <w:rFonts w:ascii="Times New Roman" w:hAnsi="Times New Roman"/>
          <w:sz w:val="20"/>
        </w:rPr>
        <w:t>funktioner eller tjenester, for hvilke det gælder, at afbrydelse af dem vil kunne udgøre en alvorlig hindring for eller helt forhindre udførelsen af en eller flere kritiske funktioner.</w:t>
      </w:r>
    </w:p>
    <w:p w:rsidR="00120519" w:rsidRPr="005B425B" w:rsidRDefault="00FE54EF"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Dette skema indberettes én gang for hele instituttet eller koncernen.</w:t>
      </w:r>
    </w:p>
    <w:p w:rsidR="000F273B" w:rsidRPr="005B425B" w:rsidRDefault="00AA6491"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Kun finansielle markedsinfrastrukturer, for hvilke det gælder, at forstyrrelse af dem ville udgøre en alvorlig hindring for eller helt forhindre udførelsen af en kritisk funktion, skal angives.</w:t>
      </w:r>
    </w:p>
    <w:p w:rsidR="00E13CE3" w:rsidRPr="005B425B" w:rsidRDefault="00772F88" w:rsidP="006835C6">
      <w:pPr>
        <w:pStyle w:val="Numberedtitlelevel3"/>
        <w:rPr>
          <w:rFonts w:ascii="Times New Roman" w:hAnsi="Times New Roman" w:cs="Times New Roman"/>
          <w:b w:val="0"/>
          <w:color w:val="000000" w:themeColor="text1"/>
          <w:sz w:val="20"/>
          <w:szCs w:val="20"/>
          <w:u w:val="single"/>
        </w:rPr>
      </w:pPr>
      <w:r w:rsidRPr="005B425B">
        <w:rPr>
          <w:rFonts w:ascii="Times New Roman" w:hAnsi="Times New Roman"/>
          <w:b w:val="0"/>
          <w:color w:val="000000" w:themeColor="text1"/>
          <w:sz w:val="20"/>
          <w:u w:val="single"/>
        </w:rPr>
        <w:t>Instrukser vedrørende specifikke positioner</w:t>
      </w:r>
    </w:p>
    <w:p w:rsidR="00772F88" w:rsidRPr="005B425B"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5B425B"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5B425B"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5B425B"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Instrukser</w:t>
            </w:r>
          </w:p>
        </w:tc>
      </w:tr>
      <w:tr w:rsidR="00D22EB0" w:rsidRPr="005B425B" w:rsidTr="003D7A16">
        <w:tc>
          <w:tcPr>
            <w:tcW w:w="1191" w:type="dxa"/>
            <w:tcBorders>
              <w:top w:val="single" w:sz="4" w:space="0" w:color="1A171C"/>
              <w:left w:val="nil"/>
              <w:bottom w:val="single" w:sz="4" w:space="0" w:color="1A171C"/>
              <w:right w:val="single" w:sz="4" w:space="0" w:color="1A171C"/>
            </w:tcBorders>
            <w:vAlign w:val="center"/>
          </w:tcPr>
          <w:p w:rsidR="00080110" w:rsidRPr="005B425B"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5B425B" w:rsidRDefault="00080110" w:rsidP="00772F8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Bruger</w:t>
            </w:r>
          </w:p>
          <w:p w:rsidR="00080110" w:rsidRPr="005B425B" w:rsidRDefault="00080110" w:rsidP="00080110">
            <w:pPr>
              <w:pStyle w:val="TableParagraph"/>
              <w:spacing w:before="108"/>
              <w:ind w:left="85"/>
              <w:jc w:val="both"/>
              <w:rPr>
                <w:rFonts w:ascii="Times New Roman" w:hAnsi="Times New Roman" w:cs="Times New Roman"/>
                <w:bCs/>
                <w:color w:val="000000" w:themeColor="text1"/>
                <w:sz w:val="20"/>
                <w:szCs w:val="20"/>
              </w:rPr>
            </w:pPr>
            <w:r w:rsidRPr="005B425B">
              <w:rPr>
                <w:rFonts w:ascii="Times New Roman" w:hAnsi="Times New Roman"/>
                <w:color w:val="000000" w:themeColor="text1"/>
                <w:sz w:val="20"/>
              </w:rPr>
              <w:t>Koncernenhed, der benytter sig af betalings-, deponerings, afviklings-, clearing- eller transaktionsregistertjenester, som indberettet i Z 01.00 — Organisatorisk struktur (ORG).</w:t>
            </w:r>
          </w:p>
        </w:tc>
      </w:tr>
      <w:tr w:rsidR="00D22EB0" w:rsidRPr="005B425B" w:rsidTr="003D7A16">
        <w:tc>
          <w:tcPr>
            <w:tcW w:w="1191" w:type="dxa"/>
            <w:tcBorders>
              <w:top w:val="single" w:sz="4" w:space="0" w:color="1A171C"/>
              <w:left w:val="nil"/>
              <w:bottom w:val="single" w:sz="4" w:space="0" w:color="1A171C"/>
              <w:right w:val="single" w:sz="4" w:space="0" w:color="1A171C"/>
            </w:tcBorders>
            <w:vAlign w:val="center"/>
          </w:tcPr>
          <w:p w:rsidR="00772F88" w:rsidRPr="005B425B"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5B425B"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Enhedens navn</w:t>
            </w:r>
          </w:p>
          <w:p w:rsidR="00772F88" w:rsidRPr="005B425B"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Navnet på den enhed, der benytter sig af betalings-, deponerings-, afviklings-, clearing- eller transaktionsregistertjenester, som indberettet i Z 01.00 — Organisatorisk struktur (ORG). </w:t>
            </w:r>
          </w:p>
          <w:p w:rsidR="00772F88" w:rsidRPr="005B425B"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 xml:space="preserve">Kun enheder identificeret som enheder, der udfører kritiske funktioner, i Z 07.02 indberettes. </w:t>
            </w:r>
          </w:p>
        </w:tc>
      </w:tr>
      <w:tr w:rsidR="00D22EB0" w:rsidRPr="005B425B" w:rsidTr="003D7A16">
        <w:tc>
          <w:tcPr>
            <w:tcW w:w="1191" w:type="dxa"/>
            <w:tcBorders>
              <w:top w:val="single" w:sz="4" w:space="0" w:color="1A171C"/>
              <w:left w:val="nil"/>
              <w:bottom w:val="single" w:sz="4" w:space="0" w:color="1A171C"/>
              <w:right w:val="single" w:sz="4" w:space="0" w:color="1A171C"/>
            </w:tcBorders>
            <w:vAlign w:val="center"/>
          </w:tcPr>
          <w:p w:rsidR="00772F88" w:rsidRPr="005B425B"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0020</w:t>
            </w:r>
          </w:p>
        </w:tc>
        <w:tc>
          <w:tcPr>
            <w:tcW w:w="7892" w:type="dxa"/>
            <w:tcBorders>
              <w:top w:val="single" w:sz="4" w:space="0" w:color="1A171C"/>
              <w:left w:val="single" w:sz="4" w:space="0" w:color="1A171C"/>
              <w:bottom w:val="single" w:sz="4" w:space="0" w:color="1A171C"/>
              <w:right w:val="nil"/>
            </w:tcBorders>
            <w:vAlign w:val="center"/>
          </w:tcPr>
          <w:p w:rsidR="00772F88" w:rsidRPr="005B425B"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Kode</w:t>
            </w:r>
          </w:p>
          <w:p w:rsidR="00772F88" w:rsidRPr="005B425B"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Koden for den enhed, der benytter sig af betalings-, deponerings-, afviklings-, clearing- eller transaktionsregistertjenester, som indberettet i Z 01.00 — Organisatorisk struktur (ORG). </w:t>
            </w:r>
          </w:p>
        </w:tc>
      </w:tr>
      <w:tr w:rsidR="00D22EB0" w:rsidRPr="005B425B" w:rsidTr="003D7A16">
        <w:tc>
          <w:tcPr>
            <w:tcW w:w="1191" w:type="dxa"/>
            <w:tcBorders>
              <w:top w:val="single" w:sz="4" w:space="0" w:color="1A171C"/>
              <w:left w:val="nil"/>
              <w:bottom w:val="single" w:sz="4" w:space="0" w:color="1A171C"/>
              <w:right w:val="single" w:sz="4" w:space="0" w:color="1A171C"/>
            </w:tcBorders>
            <w:vAlign w:val="center"/>
          </w:tcPr>
          <w:p w:rsidR="00772F88" w:rsidRPr="005B425B"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0030-0040</w:t>
            </w:r>
          </w:p>
        </w:tc>
        <w:tc>
          <w:tcPr>
            <w:tcW w:w="7892" w:type="dxa"/>
            <w:tcBorders>
              <w:top w:val="single" w:sz="4" w:space="0" w:color="1A171C"/>
              <w:left w:val="single" w:sz="4" w:space="0" w:color="1A171C"/>
              <w:bottom w:val="single" w:sz="4" w:space="0" w:color="1A171C"/>
              <w:right w:val="nil"/>
            </w:tcBorders>
            <w:vAlign w:val="center"/>
          </w:tcPr>
          <w:p w:rsidR="00772F88" w:rsidRPr="005B425B" w:rsidRDefault="00772F88" w:rsidP="0044725C">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Kritisk funktion</w:t>
            </w:r>
          </w:p>
          <w:p w:rsidR="00DF7F9D" w:rsidRPr="005B425B"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z w:val="20"/>
              </w:rPr>
              <w:t>Kritisk funktion, som udføres af enheden, og hvis udførelse en forstyrrelse af adgangen til betalings-, deponerings-, afviklings-, clearing- eller transaktionsregistertjenester ville udgøre en hindring for eller forhindre.</w:t>
            </w:r>
          </w:p>
        </w:tc>
      </w:tr>
      <w:tr w:rsidR="00D22EB0" w:rsidRPr="005B425B" w:rsidTr="003D7A16">
        <w:tc>
          <w:tcPr>
            <w:tcW w:w="1191" w:type="dxa"/>
            <w:tcBorders>
              <w:top w:val="single" w:sz="4" w:space="0" w:color="1A171C"/>
              <w:left w:val="nil"/>
              <w:bottom w:val="single" w:sz="4" w:space="0" w:color="1A171C"/>
              <w:right w:val="single" w:sz="4" w:space="0" w:color="1A171C"/>
            </w:tcBorders>
            <w:vAlign w:val="center"/>
          </w:tcPr>
          <w:p w:rsidR="0044725C" w:rsidRPr="005B425B"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5B425B" w:rsidRDefault="00937E0B" w:rsidP="009D2C94">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Land</w:t>
            </w:r>
          </w:p>
          <w:p w:rsidR="0044725C" w:rsidRPr="005B425B" w:rsidRDefault="000917F8" w:rsidP="000917F8">
            <w:pPr>
              <w:pStyle w:val="TableParagraph"/>
              <w:spacing w:before="108"/>
              <w:ind w:left="85"/>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Landet, for hvilket funktionen er kritisk, som indberettet i Z 07.01 (FUNC 1)</w:t>
            </w:r>
          </w:p>
        </w:tc>
      </w:tr>
      <w:tr w:rsidR="00D22EB0" w:rsidRPr="005B425B" w:rsidTr="003D7A16">
        <w:tc>
          <w:tcPr>
            <w:tcW w:w="1191" w:type="dxa"/>
            <w:tcBorders>
              <w:top w:val="single" w:sz="4" w:space="0" w:color="1A171C"/>
              <w:left w:val="nil"/>
              <w:bottom w:val="single" w:sz="4" w:space="0" w:color="1A171C"/>
              <w:right w:val="single" w:sz="4" w:space="0" w:color="1A171C"/>
            </w:tcBorders>
            <w:vAlign w:val="center"/>
          </w:tcPr>
          <w:p w:rsidR="0044725C" w:rsidRPr="005B425B"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5B425B" w:rsidRDefault="0044725C" w:rsidP="009D2C94">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ID</w:t>
            </w:r>
          </w:p>
          <w:p w:rsidR="0044725C" w:rsidRPr="005B425B" w:rsidRDefault="0044725C" w:rsidP="009D2C94">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ID for de kritiske funktioner som defineret i kapitel 2.7.1.4 ovenfor og angivet i skema Z 07.01 (FUNC 1)</w:t>
            </w:r>
          </w:p>
        </w:tc>
      </w:tr>
      <w:tr w:rsidR="00D22EB0" w:rsidRPr="005B425B" w:rsidTr="003D7A16">
        <w:tc>
          <w:tcPr>
            <w:tcW w:w="1191" w:type="dxa"/>
            <w:tcBorders>
              <w:top w:val="single" w:sz="4" w:space="0" w:color="1A171C"/>
              <w:left w:val="nil"/>
              <w:bottom w:val="single" w:sz="4" w:space="0" w:color="1A171C"/>
              <w:right w:val="single" w:sz="4" w:space="0" w:color="1A171C"/>
            </w:tcBorders>
            <w:vAlign w:val="center"/>
          </w:tcPr>
          <w:p w:rsidR="0044725C" w:rsidRPr="005B425B"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0050-0080</w:t>
            </w:r>
          </w:p>
        </w:tc>
        <w:tc>
          <w:tcPr>
            <w:tcW w:w="7892" w:type="dxa"/>
            <w:tcBorders>
              <w:top w:val="single" w:sz="4" w:space="0" w:color="1A171C"/>
              <w:left w:val="single" w:sz="4" w:space="0" w:color="1A171C"/>
              <w:bottom w:val="single" w:sz="4" w:space="0" w:color="1A171C"/>
              <w:right w:val="nil"/>
            </w:tcBorders>
            <w:vAlign w:val="center"/>
          </w:tcPr>
          <w:p w:rsidR="0044725C" w:rsidRPr="005B425B" w:rsidRDefault="001D258F" w:rsidP="009D2C94">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Finansiel markedsinfrastruktur (FMI)</w:t>
            </w:r>
          </w:p>
          <w:p w:rsidR="001E7389" w:rsidRPr="005B425B"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5B425B"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Reference: CPMI, </w:t>
            </w:r>
            <w:hyperlink r:id="rId10">
              <w:r w:rsidRPr="005B425B">
                <w:rPr>
                  <w:rFonts w:ascii="Times New Roman" w:hAnsi="Times New Roman"/>
                  <w:color w:val="000000" w:themeColor="text1"/>
                  <w:spacing w:val="-2"/>
                  <w:w w:val="95"/>
                  <w:sz w:val="20"/>
                </w:rPr>
                <w:t>Principles for financial market infrastructures</w:t>
              </w:r>
            </w:hyperlink>
            <w:r w:rsidRPr="005B425B">
              <w:rPr>
                <w:rFonts w:ascii="Times New Roman" w:hAnsi="Times New Roman"/>
                <w:color w:val="000000" w:themeColor="text1"/>
                <w:spacing w:val="-2"/>
                <w:w w:val="95"/>
                <w:sz w:val="20"/>
              </w:rPr>
              <w:t> </w:t>
            </w:r>
          </w:p>
          <w:p w:rsidR="00E86927" w:rsidRPr="005B425B" w:rsidRDefault="00E86927" w:rsidP="009D2C94">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Et multilateralt system for deltagende finansieringsinstitutter, herunder systemoperatøren, der anvendes i forbindelse med registrering, clearing eller afvikling af betalinger, værdipapirer, derivater eller andre finansielle transaktioner.</w:t>
            </w:r>
          </w:p>
        </w:tc>
      </w:tr>
      <w:tr w:rsidR="00D22EB0" w:rsidRPr="005B425B" w:rsidTr="003D7A16">
        <w:tc>
          <w:tcPr>
            <w:tcW w:w="1191" w:type="dxa"/>
            <w:tcBorders>
              <w:top w:val="single" w:sz="4" w:space="0" w:color="1A171C"/>
              <w:left w:val="nil"/>
              <w:bottom w:val="single" w:sz="4" w:space="0" w:color="1A171C"/>
              <w:right w:val="single" w:sz="4" w:space="0" w:color="1A171C"/>
            </w:tcBorders>
            <w:vAlign w:val="center"/>
          </w:tcPr>
          <w:p w:rsidR="00772F88" w:rsidRPr="005B425B"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5B425B"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Systemtype</w:t>
            </w:r>
          </w:p>
          <w:p w:rsidR="00772F88" w:rsidRPr="005B425B"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Angiv en af følgende værdier</w:t>
            </w:r>
          </w:p>
          <w:p w:rsidR="00772F88" w:rsidRPr="005B425B"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"PS"</w:t>
            </w:r>
            <w:r w:rsidRPr="005B425B">
              <w:tab/>
            </w:r>
            <w:r w:rsidRPr="005B425B">
              <w:rPr>
                <w:rFonts w:ascii="Times New Roman" w:hAnsi="Times New Roman"/>
                <w:color w:val="000000" w:themeColor="text1"/>
                <w:spacing w:val="-2"/>
                <w:w w:val="95"/>
                <w:sz w:val="20"/>
              </w:rPr>
              <w:t>Betalingssystem</w:t>
            </w:r>
          </w:p>
          <w:p w:rsidR="006132CF" w:rsidRPr="005B425B" w:rsidRDefault="00B24772" w:rsidP="00823ABB">
            <w:pPr>
              <w:pStyle w:val="TableParagraph"/>
              <w:spacing w:before="108"/>
              <w:ind w:left="652" w:hanging="567"/>
              <w:rPr>
                <w:rFonts w:ascii="Times New Roman" w:hAnsi="Times New Roman" w:cs="Times New Roman"/>
                <w:color w:val="000000" w:themeColor="text1"/>
                <w:sz w:val="20"/>
                <w:szCs w:val="20"/>
              </w:rPr>
            </w:pPr>
            <w:r w:rsidRPr="005B425B">
              <w:rPr>
                <w:rFonts w:ascii="Times New Roman" w:hAnsi="Times New Roman"/>
                <w:color w:val="000000" w:themeColor="text1"/>
                <w:sz w:val="20"/>
              </w:rPr>
              <w:t>"(I) CSD" — (International) værdipapircentral, herunder (internationale) værdipapircentraler, der leverer afviklingstjenester (internt eller vha. outsourcing)</w:t>
            </w:r>
          </w:p>
          <w:p w:rsidR="000C6E53" w:rsidRPr="005B425B"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 "SSS"</w:t>
            </w:r>
            <w:r w:rsidRPr="005B425B">
              <w:tab/>
            </w:r>
            <w:r w:rsidRPr="005B425B">
              <w:rPr>
                <w:rFonts w:ascii="Times New Roman" w:hAnsi="Times New Roman"/>
                <w:color w:val="000000" w:themeColor="text1"/>
                <w:spacing w:val="-2"/>
                <w:w w:val="95"/>
                <w:sz w:val="20"/>
              </w:rPr>
              <w:t>Værdipapirafviklingssystem uden deponering</w:t>
            </w:r>
          </w:p>
          <w:p w:rsidR="006B6EDC" w:rsidRPr="005B425B"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"CCP-Securities" — Central modpart for værdipapirclearing </w:t>
            </w:r>
          </w:p>
          <w:p w:rsidR="00772F88" w:rsidRPr="005B425B"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"CCP-Derivatives"</w:t>
            </w:r>
            <w:r w:rsidRPr="005B425B">
              <w:tab/>
            </w:r>
            <w:r w:rsidRPr="005B425B">
              <w:rPr>
                <w:rFonts w:ascii="Times New Roman" w:hAnsi="Times New Roman"/>
                <w:color w:val="000000" w:themeColor="text1"/>
                <w:spacing w:val="-2"/>
                <w:w w:val="95"/>
                <w:sz w:val="20"/>
              </w:rPr>
              <w:t>Central modpart for derivatclearing</w:t>
            </w:r>
          </w:p>
          <w:p w:rsidR="00772F88" w:rsidRPr="005B425B"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"TR"</w:t>
            </w:r>
            <w:r w:rsidRPr="005B425B">
              <w:tab/>
            </w:r>
            <w:r w:rsidRPr="005B425B">
              <w:rPr>
                <w:rFonts w:ascii="Times New Roman" w:hAnsi="Times New Roman"/>
                <w:color w:val="000000" w:themeColor="text1"/>
                <w:spacing w:val="-2"/>
                <w:w w:val="95"/>
                <w:sz w:val="20"/>
              </w:rPr>
              <w:t>Transaktionsregister</w:t>
            </w:r>
          </w:p>
          <w:p w:rsidR="00772F88" w:rsidRPr="005B425B"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"Andet"</w:t>
            </w:r>
            <w:r w:rsidRPr="005B425B">
              <w:tab/>
            </w:r>
            <w:r w:rsidRPr="005B425B">
              <w:rPr>
                <w:rFonts w:ascii="Times New Roman" w:hAnsi="Times New Roman"/>
                <w:color w:val="000000" w:themeColor="text1"/>
                <w:spacing w:val="-2"/>
                <w:w w:val="95"/>
                <w:sz w:val="20"/>
              </w:rPr>
              <w:t>når FMI'ens systemtype ikke matcher nogen af de foruddefinerede typer ovenfor</w:t>
            </w:r>
          </w:p>
          <w:p w:rsidR="00772F88" w:rsidRPr="005B425B"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"NA"</w:t>
            </w:r>
            <w:r w:rsidRPr="005B425B">
              <w:tab/>
            </w:r>
            <w:r w:rsidRPr="005B425B">
              <w:rPr>
                <w:rFonts w:ascii="Times New Roman" w:hAnsi="Times New Roman"/>
                <w:color w:val="000000" w:themeColor="text1"/>
                <w:spacing w:val="-2"/>
                <w:w w:val="95"/>
                <w:sz w:val="20"/>
              </w:rPr>
              <w:t>når kritiske betalings-, clearing-, afviklings- eller deponeringstjenester leveres af en enhed, der ikke er en finansiel markedsinfrastruktur nævnt ovenfor, f.eks. depotbanker.</w:t>
            </w:r>
          </w:p>
        </w:tc>
      </w:tr>
      <w:tr w:rsidR="00D22EB0" w:rsidRPr="005B425B" w:rsidTr="003D7A16">
        <w:tc>
          <w:tcPr>
            <w:tcW w:w="1191" w:type="dxa"/>
            <w:tcBorders>
              <w:top w:val="single" w:sz="4" w:space="0" w:color="1A171C"/>
              <w:left w:val="nil"/>
              <w:bottom w:val="single" w:sz="4" w:space="0" w:color="1A171C"/>
              <w:right w:val="single" w:sz="4" w:space="0" w:color="1A171C"/>
            </w:tcBorders>
            <w:vAlign w:val="center"/>
          </w:tcPr>
          <w:p w:rsidR="00772F88" w:rsidRPr="005B425B"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772F88" w:rsidRPr="005B425B"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Navn</w:t>
            </w:r>
          </w:p>
          <w:p w:rsidR="00772F88" w:rsidRPr="005B425B"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Den finansielle markedsinfrastrukturs forretningsmæssige navn</w:t>
            </w:r>
          </w:p>
          <w:p w:rsidR="00772F88" w:rsidRPr="005B425B"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Denne kolonne udfyldes ikke, hvis der er angivet "NA" i kolonne 0050</w:t>
            </w:r>
          </w:p>
        </w:tc>
      </w:tr>
      <w:tr w:rsidR="00D22EB0" w:rsidRPr="005B425B" w:rsidTr="003D7A16">
        <w:tc>
          <w:tcPr>
            <w:tcW w:w="1191" w:type="dxa"/>
            <w:tcBorders>
              <w:top w:val="single" w:sz="4" w:space="0" w:color="1A171C"/>
              <w:left w:val="nil"/>
              <w:bottom w:val="single" w:sz="4" w:space="0" w:color="1A171C"/>
              <w:right w:val="single" w:sz="4" w:space="0" w:color="1A171C"/>
            </w:tcBorders>
            <w:vAlign w:val="center"/>
          </w:tcPr>
          <w:p w:rsidR="00772F88" w:rsidRPr="005B425B"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5B425B"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FMI-kode</w:t>
            </w:r>
          </w:p>
          <w:p w:rsidR="00A75FB6" w:rsidRPr="005B425B" w:rsidRDefault="000F5772" w:rsidP="00A75FB6">
            <w:pPr>
              <w:pStyle w:val="TableParagraph"/>
              <w:spacing w:before="108"/>
              <w:ind w:left="85"/>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w w:val="95"/>
                <w:sz w:val="20"/>
              </w:rPr>
              <w:t>FMI'ens kode. Hvis den foreligger, angives den 20-cifrede, alfanumeriske LEI-kode. Hvis LEI-koden ikke foreligger, en kode fastsat i henhold til ensartet kodificering i Unionen eller, hvis en sådan ikke foreligger, en national kode.</w:t>
            </w:r>
          </w:p>
          <w:p w:rsidR="000F5772" w:rsidRPr="005B425B"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Denne kolonne udfyldes ikke, hvis der er angivet "NA" i kolonne 0050.</w:t>
            </w:r>
          </w:p>
          <w:p w:rsidR="00772F88" w:rsidRPr="005B425B"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5B425B" w:rsidTr="003D7A16">
        <w:tc>
          <w:tcPr>
            <w:tcW w:w="1191" w:type="dxa"/>
            <w:tcBorders>
              <w:top w:val="single" w:sz="4" w:space="0" w:color="1A171C"/>
              <w:left w:val="nil"/>
              <w:bottom w:val="single" w:sz="4" w:space="0" w:color="1A171C"/>
              <w:right w:val="single" w:sz="4" w:space="0" w:color="1A171C"/>
            </w:tcBorders>
            <w:vAlign w:val="center"/>
          </w:tcPr>
          <w:p w:rsidR="00772F88" w:rsidRPr="005B425B"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0080</w:t>
            </w:r>
          </w:p>
        </w:tc>
        <w:tc>
          <w:tcPr>
            <w:tcW w:w="7892" w:type="dxa"/>
            <w:tcBorders>
              <w:top w:val="single" w:sz="4" w:space="0" w:color="1A171C"/>
              <w:left w:val="single" w:sz="4" w:space="0" w:color="1A171C"/>
              <w:bottom w:val="single" w:sz="4" w:space="0" w:color="1A171C"/>
              <w:right w:val="nil"/>
            </w:tcBorders>
            <w:vAlign w:val="center"/>
          </w:tcPr>
          <w:p w:rsidR="00772F88" w:rsidRPr="005B425B"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Deltagelsesform</w:t>
            </w:r>
          </w:p>
          <w:p w:rsidR="00772F88" w:rsidRPr="005B425B"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Angiv en af følgende værdier:</w:t>
            </w:r>
          </w:p>
          <w:p w:rsidR="00E01081" w:rsidRPr="005B425B"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"Direkte"</w:t>
            </w:r>
            <w:r w:rsidRPr="005B425B">
              <w:tab/>
            </w:r>
            <w:r w:rsidRPr="005B425B">
              <w:rPr>
                <w:rFonts w:ascii="Times New Roman" w:hAnsi="Times New Roman"/>
                <w:color w:val="000000" w:themeColor="text1"/>
                <w:spacing w:val="-2"/>
                <w:w w:val="95"/>
                <w:sz w:val="20"/>
              </w:rPr>
              <w:t>i tilfælde af direkte medlemskab eller direkte deltagelse</w:t>
            </w:r>
          </w:p>
          <w:p w:rsidR="00E01081" w:rsidRPr="005B425B"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"Indirekte"</w:t>
            </w:r>
            <w:r w:rsidRPr="005B425B">
              <w:tab/>
            </w:r>
            <w:r w:rsidRPr="005B425B">
              <w:rPr>
                <w:rFonts w:ascii="Times New Roman" w:hAnsi="Times New Roman"/>
                <w:color w:val="000000" w:themeColor="text1"/>
                <w:spacing w:val="-2"/>
                <w:w w:val="95"/>
                <w:sz w:val="20"/>
              </w:rPr>
              <w:t>i tilfælde af indirekte medlemskab eller indirekte deltagelse</w:t>
            </w:r>
          </w:p>
          <w:p w:rsidR="00772F88" w:rsidRPr="005B425B"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"NA"</w:t>
            </w:r>
            <w:r w:rsidRPr="005B425B">
              <w:tab/>
            </w:r>
            <w:r w:rsidRPr="005B425B">
              <w:rPr>
                <w:rFonts w:ascii="Times New Roman" w:hAnsi="Times New Roman"/>
                <w:color w:val="000000" w:themeColor="text1"/>
                <w:spacing w:val="-2"/>
                <w:w w:val="95"/>
                <w:sz w:val="20"/>
              </w:rPr>
              <w:t>hvis der er angivet "NA" i kolonne 0050.</w:t>
            </w:r>
          </w:p>
        </w:tc>
      </w:tr>
      <w:tr w:rsidR="00D22EB0" w:rsidRPr="005B425B" w:rsidTr="003D7A16">
        <w:tc>
          <w:tcPr>
            <w:tcW w:w="1191" w:type="dxa"/>
            <w:tcBorders>
              <w:top w:val="single" w:sz="4" w:space="0" w:color="1A171C"/>
              <w:left w:val="nil"/>
              <w:bottom w:val="single" w:sz="4" w:space="0" w:color="1A171C"/>
              <w:right w:val="single" w:sz="4" w:space="0" w:color="1A171C"/>
            </w:tcBorders>
            <w:vAlign w:val="center"/>
          </w:tcPr>
          <w:p w:rsidR="00772F88" w:rsidRPr="005B425B"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5B425B"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 xml:space="preserve">Navn </w:t>
            </w:r>
          </w:p>
          <w:p w:rsidR="00772F88" w:rsidRPr="005B425B"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Formidlerens forretningsmæssige navn, hvis der er angivet "Indirekte" eller "NA" i kolonne 0080.</w:t>
            </w:r>
          </w:p>
          <w:p w:rsidR="00772F88" w:rsidRPr="005B425B"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Hvis der er angivet "Direkte" i kolonne 0080, angives "NA" (ikke relevant).</w:t>
            </w:r>
          </w:p>
          <w:p w:rsidR="00E01081" w:rsidRPr="005B425B"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Formidleren kan enten være en del af den koncern, som den indberettende enhed tilhører, eller et andet kreditinstitut uden tilknytning til denne koncern. </w:t>
            </w:r>
          </w:p>
          <w:p w:rsidR="00772F88" w:rsidRPr="005B425B"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En formidler kan være en virksomhed, der udbyder clearing-, betalings-, værdipapirafviklings- og/eller deponeringstjenester til andre virksomheder (især når "NA" er angivet i kolonne 0050); den pågældende kan være et direkte medlem af en eller flere FMI'er og give indirekte adgang til de tjenester, der udbydes af den eller de pågældende FMI'er (især når der er angivet "Indirekte" i kolonne 0080).</w:t>
            </w:r>
          </w:p>
        </w:tc>
      </w:tr>
      <w:tr w:rsidR="00D22EB0" w:rsidRPr="005B425B" w:rsidTr="003D7A16">
        <w:tc>
          <w:tcPr>
            <w:tcW w:w="1191" w:type="dxa"/>
            <w:tcBorders>
              <w:top w:val="single" w:sz="4" w:space="0" w:color="1A171C"/>
              <w:left w:val="nil"/>
              <w:bottom w:val="single" w:sz="4" w:space="0" w:color="1A171C"/>
              <w:right w:val="single" w:sz="4" w:space="0" w:color="1A171C"/>
            </w:tcBorders>
            <w:vAlign w:val="center"/>
          </w:tcPr>
          <w:p w:rsidR="00772F88" w:rsidRPr="005B425B"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5B425B"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Kode</w:t>
            </w:r>
          </w:p>
          <w:p w:rsidR="003F3BD6" w:rsidRPr="005B425B" w:rsidRDefault="003F3BD6" w:rsidP="003F3BD6">
            <w:pPr>
              <w:pStyle w:val="TableParagraph"/>
              <w:spacing w:before="108"/>
              <w:ind w:left="85"/>
              <w:rPr>
                <w:rFonts w:ascii="Times New Roman" w:hAnsi="Times New Roman" w:cs="Times New Roman"/>
                <w:color w:val="000000" w:themeColor="text1"/>
                <w:spacing w:val="-2"/>
                <w:sz w:val="20"/>
                <w:szCs w:val="20"/>
              </w:rPr>
            </w:pPr>
            <w:r w:rsidRPr="005B425B">
              <w:rPr>
                <w:rFonts w:ascii="Times New Roman" w:hAnsi="Times New Roman"/>
                <w:color w:val="000000" w:themeColor="text1"/>
                <w:spacing w:val="-2"/>
                <w:w w:val="95"/>
                <w:sz w:val="20"/>
              </w:rPr>
              <w:t>Formidlerens kode. Hvis den foreligger, angives den 20-cifrede, alfanumeriske LEI-kode. Hvis LEI-koden ikke foreligger, en kode fastsat i henhold til ensartet kodificering i Unionen eller, hvis en sådan ikke foreligger, en national kode.</w:t>
            </w:r>
          </w:p>
          <w:p w:rsidR="006D1180" w:rsidRPr="005B425B"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5B425B" w:rsidRDefault="006D1180" w:rsidP="00EC6EE8">
            <w:pPr>
              <w:pStyle w:val="CommentText"/>
              <w:rPr>
                <w:rFonts w:ascii="Times New Roman" w:hAnsi="Times New Roman" w:cs="Times New Roman"/>
                <w:color w:val="000000" w:themeColor="text1"/>
              </w:rPr>
            </w:pPr>
            <w:r w:rsidRPr="005B425B">
              <w:rPr>
                <w:rFonts w:ascii="Times New Roman" w:hAnsi="Times New Roman"/>
                <w:color w:val="000000" w:themeColor="text1"/>
                <w:spacing w:val="-2"/>
                <w:w w:val="95"/>
              </w:rPr>
              <w:t>Hvis der er angivet "Direkte" i kolonne 0090, angives "NA" (ikke relevant).</w:t>
            </w:r>
          </w:p>
        </w:tc>
      </w:tr>
      <w:tr w:rsidR="00D22EB0" w:rsidRPr="005B425B" w:rsidTr="007644C5">
        <w:tc>
          <w:tcPr>
            <w:tcW w:w="1191" w:type="dxa"/>
            <w:tcBorders>
              <w:top w:val="single" w:sz="4" w:space="0" w:color="1A171C"/>
              <w:left w:val="nil"/>
              <w:bottom w:val="single" w:sz="4" w:space="0" w:color="1A171C"/>
              <w:right w:val="single" w:sz="4" w:space="0" w:color="1A171C"/>
            </w:tcBorders>
            <w:vAlign w:val="center"/>
          </w:tcPr>
          <w:p w:rsidR="00BC1F79" w:rsidRPr="005B425B"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5B425B" w:rsidRDefault="00BC1F79" w:rsidP="007644C5">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Beskrivelse af tjenesten</w:t>
            </w:r>
          </w:p>
          <w:p w:rsidR="00BC1F79" w:rsidRPr="005B425B"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Beskrivelse af tjenesten, hvis der er angivet "Andet" eller "NA" ud for "Systemtype" i kolonne 050.</w:t>
            </w:r>
          </w:p>
        </w:tc>
      </w:tr>
      <w:tr w:rsidR="00D22EB0" w:rsidRPr="005B425B" w:rsidTr="003D7A16">
        <w:tc>
          <w:tcPr>
            <w:tcW w:w="1191" w:type="dxa"/>
            <w:tcBorders>
              <w:top w:val="single" w:sz="4" w:space="0" w:color="1A171C"/>
              <w:left w:val="nil"/>
              <w:bottom w:val="single" w:sz="4" w:space="0" w:color="1A171C"/>
              <w:right w:val="single" w:sz="4" w:space="0" w:color="1A171C"/>
            </w:tcBorders>
            <w:vAlign w:val="center"/>
          </w:tcPr>
          <w:p w:rsidR="00772F88" w:rsidRPr="005B425B"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5B425B"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Lovvalg</w:t>
            </w:r>
          </w:p>
          <w:p w:rsidR="00772F88" w:rsidRPr="005B425B"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Identifikation med tobogstavskoden efter ISO 3166-1-standarden for det land, hvis lovgivning regulerer adgangen til FMI'en. </w:t>
            </w:r>
          </w:p>
          <w:p w:rsidR="00772F88" w:rsidRPr="005B425B"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I tilfælde af direkte medlemskab eller direkte deltagelse er det lovvalget for aftalen mellem den finansielle markedsinfrastruktur og brugeren, der skal angives. I tilfælde af indirekte medlemskab eller indirekte deltagelse er det lovvalget for aftalen mellem det repræsenterende institut og brugeren, der skal angives. </w:t>
            </w:r>
          </w:p>
        </w:tc>
      </w:tr>
    </w:tbl>
    <w:p w:rsidR="00E13CE3" w:rsidRPr="005B425B"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120146"/>
      <w:r w:rsidRPr="005B425B">
        <w:rPr>
          <w:rFonts w:ascii="Times New Roman" w:hAnsi="Times New Roman"/>
          <w:color w:val="000000" w:themeColor="text1"/>
        </w:rPr>
        <w:t>Kritiske informationssystemer</w:t>
      </w:r>
      <w:bookmarkEnd w:id="43"/>
      <w:bookmarkEnd w:id="44"/>
      <w:bookmarkEnd w:id="45"/>
    </w:p>
    <w:p w:rsidR="00AA4026" w:rsidRPr="005B425B" w:rsidRDefault="00AA4026" w:rsidP="006028B1">
      <w:pPr>
        <w:pStyle w:val="Numberedtitlelevel3"/>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sidRPr="005B425B">
        <w:rPr>
          <w:rFonts w:ascii="Times New Roman" w:hAnsi="Times New Roman"/>
          <w:b w:val="0"/>
          <w:color w:val="000000" w:themeColor="text1"/>
          <w:sz w:val="20"/>
          <w:u w:val="single"/>
        </w:rPr>
        <w:t>Generelt</w:t>
      </w:r>
    </w:p>
    <w:p w:rsidR="004507BB" w:rsidRPr="005B425B" w:rsidRDefault="004507BB"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Denne del består af følgende skemaer:</w:t>
      </w:r>
    </w:p>
    <w:p w:rsidR="004507BB" w:rsidRPr="005B425B" w:rsidRDefault="0018376A" w:rsidP="00715DAB">
      <w:pPr>
        <w:pStyle w:val="numberedparagraph"/>
        <w:numPr>
          <w:ilvl w:val="0"/>
          <w:numId w:val="38"/>
        </w:numPr>
        <w:rPr>
          <w:rFonts w:ascii="Times New Roman" w:hAnsi="Times New Roman" w:cs="Times New Roman"/>
          <w:sz w:val="20"/>
          <w:szCs w:val="20"/>
        </w:rPr>
      </w:pPr>
      <w:r w:rsidRPr="005B425B">
        <w:rPr>
          <w:rFonts w:ascii="Times New Roman" w:hAnsi="Times New Roman"/>
          <w:sz w:val="20"/>
        </w:rPr>
        <w:t>Z 10.01 — Kritiske informationssystemer (generelle oplysninger) (CIS 1), som opregner alle kritiske informationssystemer i koncernen</w:t>
      </w:r>
    </w:p>
    <w:p w:rsidR="004507BB" w:rsidRPr="005B425B" w:rsidRDefault="0018376A" w:rsidP="00715DAB">
      <w:pPr>
        <w:pStyle w:val="numberedparagraph"/>
        <w:numPr>
          <w:ilvl w:val="0"/>
          <w:numId w:val="38"/>
        </w:numPr>
        <w:rPr>
          <w:rFonts w:ascii="Times New Roman" w:hAnsi="Times New Roman" w:cs="Times New Roman"/>
          <w:sz w:val="20"/>
          <w:szCs w:val="20"/>
        </w:rPr>
      </w:pPr>
      <w:r w:rsidRPr="005B425B">
        <w:rPr>
          <w:rFonts w:ascii="Times New Roman" w:hAnsi="Times New Roman"/>
          <w:sz w:val="20"/>
        </w:rPr>
        <w:t>Z 10.02 — Oversigt over kritiske informationssystemer (CIS 2), som viser de kritiske informationssystemers fordeling på brugerenheder i koncernen og kritiske funktioner.</w:t>
      </w:r>
    </w:p>
    <w:p w:rsidR="00277550" w:rsidRPr="005B425B" w:rsidRDefault="00AD4B22" w:rsidP="00E714C5">
      <w:pPr>
        <w:pStyle w:val="numberedparagraph"/>
        <w:rPr>
          <w:rFonts w:ascii="Times New Roman" w:hAnsi="Times New Roman" w:cs="Times New Roman"/>
          <w:sz w:val="20"/>
          <w:szCs w:val="20"/>
        </w:rPr>
      </w:pPr>
      <w:r w:rsidRPr="005B425B">
        <w:rPr>
          <w:rFonts w:ascii="Times New Roman" w:hAnsi="Times New Roman"/>
          <w:sz w:val="20"/>
        </w:rPr>
        <w:t>Ved kritisk informationssystem ("CIS") forstås en IT-applikation eller software, der understøtter en kritisk tjeneste, og for hvilken det gælder, at forstyrrelse af den ville udgøre en alvorlig hindring for eller forhindre udførelsen af en kritisk funktion.</w:t>
      </w:r>
      <w:bookmarkEnd w:id="46"/>
      <w:bookmarkEnd w:id="47"/>
    </w:p>
    <w:p w:rsidR="00ED08D2" w:rsidRPr="005B425B" w:rsidRDefault="00262051" w:rsidP="00E714C5">
      <w:pPr>
        <w:pStyle w:val="numberedparagraph"/>
        <w:rPr>
          <w:rFonts w:ascii="Times New Roman" w:hAnsi="Times New Roman" w:cs="Times New Roman"/>
          <w:sz w:val="20"/>
          <w:szCs w:val="20"/>
        </w:rPr>
      </w:pPr>
      <w:r w:rsidRPr="005B425B">
        <w:rPr>
          <w:rFonts w:ascii="Times New Roman" w:hAnsi="Times New Roman"/>
          <w:sz w:val="20"/>
        </w:rPr>
        <w:t>Disse skemaer indberettes for hele koncernen.</w:t>
      </w:r>
    </w:p>
    <w:p w:rsidR="00AD4B22" w:rsidRPr="005B425B"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5B425B" w:rsidRDefault="0018376A" w:rsidP="006028B1">
      <w:pPr>
        <w:pStyle w:val="Numberedtitlelevel3"/>
        <w:rPr>
          <w:rFonts w:ascii="Times New Roman" w:hAnsi="Times New Roman" w:cs="Times New Roman"/>
          <w:b w:val="0"/>
          <w:color w:val="000000" w:themeColor="text1"/>
          <w:sz w:val="20"/>
          <w:szCs w:val="20"/>
          <w:u w:val="single"/>
        </w:rPr>
      </w:pPr>
      <w:r w:rsidRPr="005B425B">
        <w:rPr>
          <w:rFonts w:ascii="Times New Roman" w:hAnsi="Times New Roman"/>
          <w:b w:val="0"/>
          <w:color w:val="000000" w:themeColor="text1"/>
          <w:sz w:val="20"/>
          <w:u w:val="single"/>
        </w:rPr>
        <w:t>Z 10.01 — Kritiske informationssystemer (generelle oplysninger) (CIS 1): Instrukser vedrørende specifikke positioner</w:t>
      </w:r>
    </w:p>
    <w:p w:rsidR="000B75A6" w:rsidRPr="005B425B" w:rsidRDefault="000B75A6"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 xml:space="preserve">Værdien, der indberettes i kolonne 0010 i dette skema, udgør en primær nøgle, som skal være unik for hver enkelt række i skemaet. </w:t>
      </w:r>
    </w:p>
    <w:p w:rsidR="000B75A6" w:rsidRPr="005B425B"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5B425B"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5B425B"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5B425B"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Instrukser</w:t>
            </w:r>
          </w:p>
        </w:tc>
      </w:tr>
      <w:tr w:rsidR="00D22EB0" w:rsidRPr="005B425B" w:rsidTr="00311CA4">
        <w:tc>
          <w:tcPr>
            <w:tcW w:w="1191" w:type="dxa"/>
            <w:tcBorders>
              <w:top w:val="single" w:sz="4" w:space="0" w:color="1A171C"/>
              <w:left w:val="nil"/>
              <w:bottom w:val="single" w:sz="4" w:space="0" w:color="1A171C"/>
              <w:right w:val="single" w:sz="4" w:space="0" w:color="1A171C"/>
            </w:tcBorders>
          </w:tcPr>
          <w:p w:rsidR="00311CA4" w:rsidRPr="005B425B"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0010-0040</w:t>
            </w:r>
          </w:p>
        </w:tc>
        <w:tc>
          <w:tcPr>
            <w:tcW w:w="7892" w:type="dxa"/>
            <w:tcBorders>
              <w:top w:val="single" w:sz="4" w:space="0" w:color="1A171C"/>
              <w:left w:val="single" w:sz="4" w:space="0" w:color="1A171C"/>
              <w:bottom w:val="single" w:sz="4" w:space="0" w:color="1A171C"/>
              <w:right w:val="nil"/>
            </w:tcBorders>
          </w:tcPr>
          <w:p w:rsidR="00311CA4" w:rsidRPr="005B425B"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b/>
                <w:color w:val="000000" w:themeColor="text1"/>
                <w:sz w:val="20"/>
              </w:rPr>
              <w:t>Kritisk informationssystem</w:t>
            </w:r>
          </w:p>
        </w:tc>
      </w:tr>
      <w:tr w:rsidR="00D22EB0" w:rsidRPr="005B425B" w:rsidTr="00311CA4">
        <w:tc>
          <w:tcPr>
            <w:tcW w:w="1191" w:type="dxa"/>
            <w:tcBorders>
              <w:top w:val="single" w:sz="4" w:space="0" w:color="1A171C"/>
              <w:left w:val="nil"/>
              <w:bottom w:val="single" w:sz="4" w:space="0" w:color="1A171C"/>
              <w:right w:val="single" w:sz="4" w:space="0" w:color="1A171C"/>
            </w:tcBorders>
          </w:tcPr>
          <w:p w:rsidR="00AD4B22" w:rsidRPr="005B425B"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5B425B"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Systemidentifikationskode</w:t>
            </w:r>
          </w:p>
          <w:p w:rsidR="00AD4B22" w:rsidRPr="005B425B"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Systemidentifikationskoden er et akronym fastsat af instituttet, som entydigt identificerer det kritiske informationssystem.</w:t>
            </w:r>
          </w:p>
          <w:p w:rsidR="00881C3C" w:rsidRPr="005B425B"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Dette er en rækkeidentifikator, som skal være unik for hver enkelt række i skemaet.</w:t>
            </w:r>
          </w:p>
        </w:tc>
      </w:tr>
      <w:tr w:rsidR="00D22EB0" w:rsidRPr="005B425B" w:rsidTr="00311CA4">
        <w:tc>
          <w:tcPr>
            <w:tcW w:w="1191" w:type="dxa"/>
            <w:tcBorders>
              <w:top w:val="single" w:sz="4" w:space="0" w:color="1A171C"/>
              <w:left w:val="nil"/>
              <w:bottom w:val="single" w:sz="4" w:space="0" w:color="1A171C"/>
              <w:right w:val="single" w:sz="4" w:space="0" w:color="1A171C"/>
            </w:tcBorders>
          </w:tcPr>
          <w:p w:rsidR="006D5055" w:rsidRPr="005B425B"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5B425B" w:rsidRDefault="006D5055" w:rsidP="00AD4B22">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Systemnavn</w:t>
            </w:r>
          </w:p>
          <w:p w:rsidR="006D5055" w:rsidRPr="005B425B" w:rsidRDefault="000679B1" w:rsidP="000679B1">
            <w:pPr>
              <w:pStyle w:val="TableParagraph"/>
              <w:spacing w:before="108"/>
              <w:ind w:left="85"/>
              <w:jc w:val="both"/>
              <w:rPr>
                <w:rFonts w:ascii="Times New Roman" w:hAnsi="Times New Roman" w:cs="Times New Roman"/>
                <w:bCs/>
                <w:color w:val="000000" w:themeColor="text1"/>
                <w:sz w:val="20"/>
                <w:szCs w:val="20"/>
              </w:rPr>
            </w:pPr>
            <w:r w:rsidRPr="005B425B">
              <w:rPr>
                <w:rFonts w:ascii="Times New Roman" w:hAnsi="Times New Roman"/>
                <w:color w:val="000000" w:themeColor="text1"/>
                <w:sz w:val="20"/>
              </w:rPr>
              <w:t>Systemets kommercielle eller interne navn.</w:t>
            </w:r>
          </w:p>
        </w:tc>
      </w:tr>
      <w:tr w:rsidR="00D22EB0" w:rsidRPr="005B425B" w:rsidTr="00311CA4">
        <w:tc>
          <w:tcPr>
            <w:tcW w:w="1191" w:type="dxa"/>
            <w:tcBorders>
              <w:top w:val="single" w:sz="4" w:space="0" w:color="1A171C"/>
              <w:left w:val="nil"/>
              <w:bottom w:val="single" w:sz="4" w:space="0" w:color="1A171C"/>
              <w:right w:val="single" w:sz="4" w:space="0" w:color="1A171C"/>
            </w:tcBorders>
          </w:tcPr>
          <w:p w:rsidR="00AD4B22" w:rsidRPr="005B425B"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5B425B"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Systemtype</w:t>
            </w:r>
          </w:p>
          <w:p w:rsidR="00AD4B22" w:rsidRPr="005B425B"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Angiv en af følgende værdier:</w:t>
            </w:r>
          </w:p>
          <w:p w:rsidR="00AD4B22" w:rsidRPr="005B425B"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"Specialudviklet software til business support"</w:t>
            </w:r>
          </w:p>
          <w:p w:rsidR="00AD4B22" w:rsidRPr="005B425B"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Applikationer udviklet i overensstemmelse med detaljerede virksomhedsspecifikationer. Kan være udviklet internt eller ved brug af eksterne kontrahenter, men altid med henblik på business support.</w:t>
            </w:r>
          </w:p>
          <w:p w:rsidR="00AD4B22" w:rsidRPr="005B425B"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"Indkøbt standardsoftware"</w:t>
            </w:r>
          </w:p>
          <w:p w:rsidR="00AD4B22" w:rsidRPr="005B425B"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Applikationer indkøbt på markedet — som regel solgt af/med licens fra en sælger — som ikke er blevet ændret i form af brugertilpasning til organisationens aktiviteter. Applikationer, der er blevet underkastet almindelig konfiguration, er omfattet af denne kategori.</w:t>
            </w:r>
          </w:p>
          <w:p w:rsidR="00AD4B22" w:rsidRPr="005B425B"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"Indkøbt software tilpasset brugerbehov"</w:t>
            </w:r>
          </w:p>
          <w:p w:rsidR="00AD4B22" w:rsidRPr="005B425B"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Applikationer indkøbt på markedet, men hvor sælgeren (eller dennes repræsentant) har udviklet en særlig version med henblik på den pågældende virksomhed. Denne særlige version er karakteriseret ved ændringer i applikationens funktionsmåde, nye funktioner eller ikke-standardiserede plug-ins udviklet i overensstemmelse med organisationens virksomhed.</w:t>
            </w:r>
          </w:p>
          <w:p w:rsidR="00AD4B22" w:rsidRPr="005B425B"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"Applikation/Ekstern portal"</w:t>
            </w:r>
          </w:p>
          <w:p w:rsidR="00AD4B22" w:rsidRPr="005B425B"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Eksterne portaler eller applikationer leveret af tredjemand, typisk partnere, der giver adgang til de tjenester, de udbyder. Normalt falder de uden for anvendelsesområdet for organisationens informationssystemforvaltning og installeres, vedligeholdes og forvaltes af partneren selv. Sådanne applikationer har ofte form af portaler (tilgængelige via internettet eller private netværk), og selv om de ikke er omfattet af anvendelsesområdet for organisationens informationssystemforvaltningstjenester, er de vigtige (eller kritiske) for visse forretningsfunktioner. </w:t>
            </w:r>
          </w:p>
        </w:tc>
      </w:tr>
      <w:tr w:rsidR="00D22EB0" w:rsidRPr="005B425B" w:rsidTr="00311CA4">
        <w:tc>
          <w:tcPr>
            <w:tcW w:w="1191" w:type="dxa"/>
            <w:tcBorders>
              <w:top w:val="single" w:sz="4" w:space="0" w:color="1A171C"/>
              <w:left w:val="nil"/>
              <w:bottom w:val="single" w:sz="4" w:space="0" w:color="1A171C"/>
              <w:right w:val="single" w:sz="4" w:space="0" w:color="1A171C"/>
            </w:tcBorders>
          </w:tcPr>
          <w:p w:rsidR="00AD4B22" w:rsidRPr="005B425B"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AD4B22" w:rsidRPr="005B425B"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Beskrivelse</w:t>
            </w:r>
          </w:p>
          <w:p w:rsidR="00AD4B22" w:rsidRPr="005B425B"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Beskrivelse af hovedformålet med informationssystemet i virksomhedssammenhæng. </w:t>
            </w:r>
          </w:p>
        </w:tc>
      </w:tr>
      <w:tr w:rsidR="00D22EB0" w:rsidRPr="005B425B" w:rsidTr="00311CA4">
        <w:tc>
          <w:tcPr>
            <w:tcW w:w="1191" w:type="dxa"/>
            <w:tcBorders>
              <w:top w:val="single" w:sz="4" w:space="0" w:color="1A171C"/>
              <w:left w:val="nil"/>
              <w:bottom w:val="single" w:sz="4" w:space="0" w:color="1A171C"/>
              <w:right w:val="single" w:sz="4" w:space="0" w:color="1A171C"/>
            </w:tcBorders>
          </w:tcPr>
          <w:p w:rsidR="00AD4B22" w:rsidRPr="005B425B"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0050-0060</w:t>
            </w:r>
          </w:p>
        </w:tc>
        <w:tc>
          <w:tcPr>
            <w:tcW w:w="7892" w:type="dxa"/>
            <w:tcBorders>
              <w:top w:val="single" w:sz="4" w:space="0" w:color="1A171C"/>
              <w:left w:val="single" w:sz="4" w:space="0" w:color="1A171C"/>
              <w:bottom w:val="single" w:sz="4" w:space="0" w:color="1A171C"/>
              <w:right w:val="nil"/>
            </w:tcBorders>
          </w:tcPr>
          <w:p w:rsidR="00AD4B22" w:rsidRPr="005B425B"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sidRPr="005B425B">
              <w:rPr>
                <w:rFonts w:ascii="Times New Roman" w:hAnsi="Times New Roman"/>
                <w:b/>
                <w:color w:val="000000" w:themeColor="text1"/>
                <w:sz w:val="20"/>
              </w:rPr>
              <w:t>Koncernenhed, der er ansvarlig for systemet</w:t>
            </w:r>
          </w:p>
        </w:tc>
      </w:tr>
      <w:tr w:rsidR="00D22EB0" w:rsidRPr="005B425B" w:rsidTr="00311CA4">
        <w:tc>
          <w:tcPr>
            <w:tcW w:w="1191" w:type="dxa"/>
            <w:tcBorders>
              <w:top w:val="single" w:sz="4" w:space="0" w:color="1A171C"/>
              <w:left w:val="nil"/>
              <w:bottom w:val="single" w:sz="4" w:space="0" w:color="1A171C"/>
              <w:right w:val="single" w:sz="4" w:space="0" w:color="1A171C"/>
            </w:tcBorders>
          </w:tcPr>
          <w:p w:rsidR="00AD4B22" w:rsidRPr="005B425B"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5B425B"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Enhedens navn</w:t>
            </w:r>
          </w:p>
          <w:p w:rsidR="00AD4B22" w:rsidRPr="005B425B"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Navnet på den juridiske enhed, der er ansvarlig for systemet inden for koncernen.</w:t>
            </w:r>
          </w:p>
          <w:p w:rsidR="00AD4B22" w:rsidRPr="005B425B"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Dette er den enhed, der er overordnet ansvarlig for indkøb, udvikling, integration, ændring, drift, vedligeholdelse og tilbagetrækning af et informationssystem og er en nøglebidragyder i forbindelse med udvikling af specifikationer for systemets udformning, der skal sikre, at sikkerheden og brugernes operationelle behov dokumenteres, testes og implementeres.</w:t>
            </w:r>
          </w:p>
        </w:tc>
      </w:tr>
      <w:tr w:rsidR="00AD4B22" w:rsidRPr="005B425B" w:rsidTr="00311CA4">
        <w:tc>
          <w:tcPr>
            <w:tcW w:w="1191" w:type="dxa"/>
            <w:tcBorders>
              <w:top w:val="single" w:sz="4" w:space="0" w:color="1A171C"/>
              <w:left w:val="nil"/>
              <w:bottom w:val="single" w:sz="4" w:space="0" w:color="1A171C"/>
              <w:right w:val="single" w:sz="4" w:space="0" w:color="1A171C"/>
            </w:tcBorders>
          </w:tcPr>
          <w:p w:rsidR="00AD4B22" w:rsidRPr="005B425B"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tcPr>
          <w:p w:rsidR="00AD4B22" w:rsidRPr="005B425B"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Kode</w:t>
            </w:r>
          </w:p>
          <w:p w:rsidR="00AD4B22" w:rsidRPr="005B425B"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Koden for den juridiske enhed, der er ansvarlig for systemet i koncernen, som indberettet i Z 01.00 — Organisatorisk struktur (ORG).</w:t>
            </w:r>
          </w:p>
        </w:tc>
      </w:tr>
    </w:tbl>
    <w:p w:rsidR="00AD4B22" w:rsidRPr="005B425B" w:rsidRDefault="00AD4B22" w:rsidP="00AD4B22">
      <w:pPr>
        <w:pStyle w:val="body"/>
        <w:rPr>
          <w:rFonts w:ascii="Times New Roman" w:hAnsi="Times New Roman" w:cs="Times New Roman"/>
          <w:color w:val="000000" w:themeColor="text1"/>
          <w:sz w:val="20"/>
          <w:szCs w:val="20"/>
        </w:rPr>
      </w:pPr>
    </w:p>
    <w:bookmarkEnd w:id="48"/>
    <w:p w:rsidR="007A4886" w:rsidRPr="005B425B" w:rsidRDefault="0069056D" w:rsidP="006028B1">
      <w:pPr>
        <w:pStyle w:val="Numberedtitlelevel3"/>
        <w:rPr>
          <w:rFonts w:ascii="Times New Roman" w:hAnsi="Times New Roman" w:cs="Times New Roman"/>
          <w:b w:val="0"/>
          <w:color w:val="000000" w:themeColor="text1"/>
          <w:sz w:val="20"/>
          <w:szCs w:val="20"/>
          <w:u w:val="single"/>
        </w:rPr>
      </w:pPr>
      <w:r w:rsidRPr="005B425B">
        <w:rPr>
          <w:rFonts w:ascii="Times New Roman" w:hAnsi="Times New Roman"/>
          <w:b w:val="0"/>
          <w:color w:val="000000" w:themeColor="text1"/>
          <w:sz w:val="20"/>
          <w:u w:val="single"/>
        </w:rPr>
        <w:t>Z 10-02 — Oversigt over informationssystemer (CIS 2): Instrukser vedrørende specifikke positioner</w:t>
      </w:r>
    </w:p>
    <w:p w:rsidR="00720344" w:rsidRPr="005B425B" w:rsidRDefault="00720344" w:rsidP="00715DAB">
      <w:pPr>
        <w:pStyle w:val="InstructionsText2"/>
        <w:numPr>
          <w:ilvl w:val="0"/>
          <w:numId w:val="29"/>
        </w:numPr>
        <w:spacing w:before="0"/>
        <w:ind w:left="714" w:hanging="357"/>
        <w:rPr>
          <w:rFonts w:ascii="Times New Roman" w:hAnsi="Times New Roman" w:cs="Times New Roman"/>
          <w:sz w:val="20"/>
          <w:szCs w:val="20"/>
        </w:rPr>
      </w:pPr>
      <w:r w:rsidRPr="005B425B">
        <w:rPr>
          <w:rFonts w:ascii="Times New Roman" w:hAnsi="Times New Roman"/>
          <w:sz w:val="20"/>
        </w:rPr>
        <w:t xml:space="preserve">Kombinationen af værdier, der indberettes i kolonne 0010, 0030, 0040 og 0050 i dette skema, udgør en primær nøgle, som skal være unik for hver enkelt række i skemaet. </w:t>
      </w:r>
    </w:p>
    <w:p w:rsidR="00720344" w:rsidRPr="005B425B"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5B425B"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5B425B"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5B425B"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Instrukser</w:t>
            </w:r>
          </w:p>
        </w:tc>
      </w:tr>
      <w:tr w:rsidR="00D22EB0" w:rsidRPr="005B425B" w:rsidTr="009D2C94">
        <w:tc>
          <w:tcPr>
            <w:tcW w:w="1191" w:type="dxa"/>
            <w:tcBorders>
              <w:top w:val="single" w:sz="4" w:space="0" w:color="1A171C"/>
              <w:left w:val="nil"/>
              <w:bottom w:val="single" w:sz="4" w:space="0" w:color="1A171C"/>
              <w:right w:val="single" w:sz="4" w:space="0" w:color="1A171C"/>
            </w:tcBorders>
          </w:tcPr>
          <w:p w:rsidR="00881C3C" w:rsidRPr="005B425B"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5B425B"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Systemidentifikationskode</w:t>
            </w:r>
          </w:p>
          <w:p w:rsidR="00881C3C" w:rsidRPr="005B425B"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Informationssystemets identifikationskode som indberettet i kolonne 010 i skema Z 10.01 (CIS 1).</w:t>
            </w:r>
          </w:p>
        </w:tc>
      </w:tr>
      <w:tr w:rsidR="00D22EB0" w:rsidRPr="005B425B" w:rsidTr="009D2C94">
        <w:tc>
          <w:tcPr>
            <w:tcW w:w="1191" w:type="dxa"/>
            <w:tcBorders>
              <w:top w:val="single" w:sz="4" w:space="0" w:color="1A171C"/>
              <w:left w:val="nil"/>
              <w:bottom w:val="single" w:sz="4" w:space="0" w:color="1A171C"/>
              <w:right w:val="single" w:sz="4" w:space="0" w:color="1A171C"/>
            </w:tcBorders>
          </w:tcPr>
          <w:p w:rsidR="00881C3C" w:rsidRPr="005B425B"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5B425B"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Koncernenhed, der bruger systemet</w:t>
            </w:r>
          </w:p>
          <w:p w:rsidR="00881C3C" w:rsidRPr="005B425B"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Den enhed, der bruger systemet inden for koncernen ("bruger"). Der kan være flere brugere; i så fald skal der indberettes flere rækker for samme informationssystem. </w:t>
            </w:r>
          </w:p>
        </w:tc>
      </w:tr>
      <w:tr w:rsidR="00D22EB0" w:rsidRPr="005B425B" w:rsidTr="009D2C94">
        <w:tc>
          <w:tcPr>
            <w:tcW w:w="1191" w:type="dxa"/>
            <w:tcBorders>
              <w:top w:val="single" w:sz="4" w:space="0" w:color="1A171C"/>
              <w:left w:val="nil"/>
              <w:bottom w:val="single" w:sz="4" w:space="0" w:color="1A171C"/>
              <w:right w:val="single" w:sz="4" w:space="0" w:color="1A171C"/>
            </w:tcBorders>
          </w:tcPr>
          <w:p w:rsidR="00881C3C" w:rsidRPr="005B425B"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5B425B"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Enhedens navn</w:t>
            </w:r>
          </w:p>
          <w:p w:rsidR="00881C3C" w:rsidRPr="005B425B"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Brugerenhedens navn som indberettet i Z 01.00 (ORG)</w:t>
            </w:r>
          </w:p>
        </w:tc>
      </w:tr>
      <w:tr w:rsidR="00D22EB0" w:rsidRPr="005B425B" w:rsidTr="009D2C94">
        <w:tc>
          <w:tcPr>
            <w:tcW w:w="1191" w:type="dxa"/>
            <w:tcBorders>
              <w:top w:val="single" w:sz="4" w:space="0" w:color="1A171C"/>
              <w:left w:val="nil"/>
              <w:bottom w:val="single" w:sz="4" w:space="0" w:color="1A171C"/>
              <w:right w:val="single" w:sz="4" w:space="0" w:color="1A171C"/>
            </w:tcBorders>
          </w:tcPr>
          <w:p w:rsidR="00881C3C" w:rsidRPr="005B425B"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5B425B"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Kode</w:t>
            </w:r>
          </w:p>
          <w:p w:rsidR="00881C3C" w:rsidRPr="005B425B"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Brugerenhedens kode som indberettet i Z 01.00 (ORG)</w:t>
            </w:r>
          </w:p>
        </w:tc>
      </w:tr>
      <w:tr w:rsidR="00D22EB0" w:rsidRPr="005B425B" w:rsidTr="009D2C94">
        <w:tc>
          <w:tcPr>
            <w:tcW w:w="1191" w:type="dxa"/>
            <w:tcBorders>
              <w:top w:val="single" w:sz="4" w:space="0" w:color="1A171C"/>
              <w:left w:val="nil"/>
              <w:bottom w:val="single" w:sz="4" w:space="0" w:color="1A171C"/>
              <w:right w:val="single" w:sz="4" w:space="0" w:color="1A171C"/>
            </w:tcBorders>
          </w:tcPr>
          <w:p w:rsidR="00CD44BD" w:rsidRPr="005B425B"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5B425B" w:rsidRDefault="00CD44BD" w:rsidP="00881C3C">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Kritisk tjeneste</w:t>
            </w:r>
          </w:p>
          <w:p w:rsidR="009F7D69" w:rsidRPr="005B425B" w:rsidRDefault="00CD44BD" w:rsidP="00BC1F79">
            <w:pPr>
              <w:pStyle w:val="TableParagraph"/>
              <w:spacing w:before="108"/>
              <w:ind w:left="85"/>
              <w:jc w:val="both"/>
              <w:rPr>
                <w:rFonts w:ascii="Times New Roman" w:hAnsi="Times New Roman" w:cs="Times New Roman"/>
                <w:bCs/>
                <w:color w:val="000000" w:themeColor="text1"/>
                <w:sz w:val="20"/>
                <w:szCs w:val="20"/>
              </w:rPr>
            </w:pPr>
            <w:r w:rsidRPr="005B425B">
              <w:rPr>
                <w:rFonts w:ascii="Times New Roman" w:hAnsi="Times New Roman"/>
                <w:color w:val="000000" w:themeColor="text1"/>
                <w:sz w:val="20"/>
              </w:rPr>
              <w:t>Identifikator for den kritiske tjeneste, som indberettet i Z 08.00 (kolonne 0005), som systemet understøtter. Den kritiske tjeneste kan selv være en IT-tjeneste eller en anden type tjeneste, som informationssystemet understøtter (f.eks. transaktionsbehandling).</w:t>
            </w:r>
          </w:p>
        </w:tc>
      </w:tr>
      <w:tr w:rsidR="00D22EB0" w:rsidRPr="005B425B" w:rsidTr="009D2C94">
        <w:tc>
          <w:tcPr>
            <w:tcW w:w="1191" w:type="dxa"/>
            <w:tcBorders>
              <w:top w:val="single" w:sz="4" w:space="0" w:color="1A171C"/>
              <w:left w:val="nil"/>
              <w:bottom w:val="single" w:sz="4" w:space="0" w:color="1A171C"/>
              <w:right w:val="single" w:sz="4" w:space="0" w:color="1A171C"/>
            </w:tcBorders>
          </w:tcPr>
          <w:p w:rsidR="00881C3C" w:rsidRPr="005B425B"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5B425B" w:rsidRDefault="00720344" w:rsidP="00881C3C">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Kritisk funktion</w:t>
            </w:r>
          </w:p>
          <w:p w:rsidR="00881C3C" w:rsidRPr="005B425B"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Den kritiske funktion, som en forstyrrelse af tjenester understøttet af informationssystemet ville udgøre en alvorlig hindring for eller forhindre. Der kan være flere kritiske funktioner; i så fald indberettes flere rækker for samme informationssystem.</w:t>
            </w:r>
          </w:p>
        </w:tc>
      </w:tr>
      <w:tr w:rsidR="00D22EB0" w:rsidRPr="005B425B" w:rsidTr="009D2C94">
        <w:tc>
          <w:tcPr>
            <w:tcW w:w="1191" w:type="dxa"/>
            <w:tcBorders>
              <w:top w:val="single" w:sz="4" w:space="0" w:color="1A171C"/>
              <w:left w:val="nil"/>
              <w:bottom w:val="single" w:sz="4" w:space="0" w:color="1A171C"/>
              <w:right w:val="single" w:sz="4" w:space="0" w:color="1A171C"/>
            </w:tcBorders>
            <w:vAlign w:val="center"/>
          </w:tcPr>
          <w:p w:rsidR="00881C3C" w:rsidRPr="005B425B"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5B425B" w:rsidRDefault="00A22166" w:rsidP="009D2C94">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Land</w:t>
            </w:r>
          </w:p>
          <w:p w:rsidR="00881C3C" w:rsidRPr="005B425B" w:rsidRDefault="009D5DAF" w:rsidP="009D2C94">
            <w:pPr>
              <w:pStyle w:val="TableParagraph"/>
              <w:spacing w:before="108"/>
              <w:ind w:left="85"/>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Landet, for hvilket funktionen er kritisk, som indberettet i Z 07.01 (FUNC 1)</w:t>
            </w:r>
          </w:p>
        </w:tc>
      </w:tr>
      <w:tr w:rsidR="00881C3C" w:rsidRPr="005B425B" w:rsidTr="009D2C94">
        <w:tc>
          <w:tcPr>
            <w:tcW w:w="1191" w:type="dxa"/>
            <w:tcBorders>
              <w:top w:val="single" w:sz="4" w:space="0" w:color="1A171C"/>
              <w:left w:val="nil"/>
              <w:bottom w:val="single" w:sz="4" w:space="0" w:color="1A171C"/>
              <w:right w:val="single" w:sz="4" w:space="0" w:color="1A171C"/>
            </w:tcBorders>
            <w:vAlign w:val="center"/>
          </w:tcPr>
          <w:p w:rsidR="00881C3C" w:rsidRPr="005B425B"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5B425B">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5B425B" w:rsidRDefault="00881C3C" w:rsidP="009D2C94">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b/>
                <w:color w:val="000000" w:themeColor="text1"/>
                <w:sz w:val="20"/>
              </w:rPr>
              <w:t>ID</w:t>
            </w:r>
          </w:p>
          <w:p w:rsidR="00881C3C" w:rsidRPr="005B425B" w:rsidRDefault="00881C3C" w:rsidP="009D2C94">
            <w:pPr>
              <w:pStyle w:val="TableParagraph"/>
              <w:spacing w:before="108"/>
              <w:ind w:left="85"/>
              <w:jc w:val="both"/>
              <w:rPr>
                <w:rFonts w:ascii="Times New Roman" w:hAnsi="Times New Roman" w:cs="Times New Roman"/>
                <w:b/>
                <w:bCs/>
                <w:color w:val="000000" w:themeColor="text1"/>
                <w:sz w:val="20"/>
                <w:szCs w:val="20"/>
              </w:rPr>
            </w:pPr>
            <w:r w:rsidRPr="005B425B">
              <w:rPr>
                <w:rFonts w:ascii="Times New Roman" w:hAnsi="Times New Roman"/>
                <w:color w:val="000000" w:themeColor="text1"/>
                <w:spacing w:val="-2"/>
                <w:w w:val="95"/>
                <w:sz w:val="20"/>
              </w:rPr>
              <w:t>ID for de kritiske funktioner som defineret i kapitel 2.7.1.4 ovenfor og angivet i skema Z 07.01 (FUNC 1)</w:t>
            </w:r>
          </w:p>
        </w:tc>
      </w:tr>
    </w:tbl>
    <w:p w:rsidR="001E5EDF" w:rsidRPr="005B425B" w:rsidRDefault="001E5EDF" w:rsidP="00322967">
      <w:pPr>
        <w:pStyle w:val="body"/>
        <w:rPr>
          <w:rFonts w:ascii="Times New Roman" w:hAnsi="Times New Roman" w:cs="Times New Roman"/>
          <w:color w:val="000000" w:themeColor="text1"/>
          <w:sz w:val="20"/>
          <w:szCs w:val="20"/>
        </w:rPr>
      </w:pPr>
    </w:p>
    <w:sectPr w:rsidR="001E5EDF" w:rsidRPr="005B425B"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25B" w:rsidRDefault="005B425B" w:rsidP="001E5EDF">
      <w:r>
        <w:separator/>
      </w:r>
    </w:p>
  </w:endnote>
  <w:endnote w:type="continuationSeparator" w:id="0">
    <w:p w:rsidR="005B425B" w:rsidRDefault="005B425B"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5B425B" w:rsidRDefault="005B425B" w:rsidP="000E60D6">
        <w:pPr>
          <w:pStyle w:val="Footer"/>
          <w:jc w:val="center"/>
        </w:pPr>
        <w:r>
          <w:rPr>
            <w:noProof/>
          </w:rPr>
          <w:fldChar w:fldCharType="begin"/>
        </w:r>
        <w:r>
          <w:rPr>
            <w:noProof/>
          </w:rPr>
          <w:instrText xml:space="preserve"> PAGE   \* MERGEFORMAT </w:instrText>
        </w:r>
        <w:r>
          <w:rPr>
            <w:noProof/>
          </w:rPr>
          <w:fldChar w:fldCharType="separate"/>
        </w:r>
        <w:r w:rsidR="002B39FA">
          <w:rPr>
            <w:noProof/>
          </w:rPr>
          <w:t>24</w:t>
        </w:r>
        <w:r>
          <w:rPr>
            <w:noProof/>
          </w:rPr>
          <w:fldChar w:fldCharType="end"/>
        </w:r>
      </w:p>
    </w:sdtContent>
  </w:sdt>
  <w:p w:rsidR="005B425B" w:rsidRDefault="005B42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25B" w:rsidRDefault="005B425B" w:rsidP="001E5EDF">
      <w:r>
        <w:separator/>
      </w:r>
    </w:p>
  </w:footnote>
  <w:footnote w:type="continuationSeparator" w:id="0">
    <w:p w:rsidR="005B425B" w:rsidRDefault="005B425B" w:rsidP="001E5EDF">
      <w:r>
        <w:continuationSeparator/>
      </w:r>
    </w:p>
  </w:footnote>
  <w:footnote w:id="1">
    <w:p w:rsidR="005B425B" w:rsidRPr="001A3B87" w:rsidRDefault="005B425B" w:rsidP="008E5458">
      <w:pPr>
        <w:pStyle w:val="FootnoteText"/>
      </w:pPr>
      <w:r>
        <w:rPr>
          <w:rStyle w:val="FootnoteReference"/>
          <w:rFonts w:ascii="Times New Roman" w:hAnsi="Times New Roman"/>
        </w:rPr>
        <w:footnoteRef/>
      </w:r>
      <w:r>
        <w:t xml:space="preserve"> Kommissionens gennemførelsesforordning (EU) nr. 680/2014 af 16. april 2014 om gennemførelsesmæssige tekniske standarder for institutters indberetning med henblik på tilsyn i medfør af Europa-Parlamentets og Rådets forordning (EU) nr. 575/2013 (EUT L 191 af 28.6.2014, s. 1).</w:t>
      </w:r>
    </w:p>
  </w:footnote>
  <w:footnote w:id="2">
    <w:p w:rsidR="005B425B" w:rsidRPr="00E17940" w:rsidRDefault="005B425B" w:rsidP="008E5458">
      <w:pPr>
        <w:pStyle w:val="FootnoteText"/>
      </w:pPr>
      <w:r>
        <w:rPr>
          <w:rStyle w:val="FootnoteReference"/>
          <w:rFonts w:ascii="Times New Roman" w:hAnsi="Times New Roman"/>
        </w:rPr>
        <w:footnoteRef/>
      </w:r>
      <w:r>
        <w:t xml:space="preserve"> Europa-Parlamentets og Rådets forordning (EF) nr. 1606/2002 af 19. juli 2002 om anvendelse af internationale regnskabsstandarder (EFT L 243 af 11.9.2002, s. 1).</w:t>
      </w:r>
    </w:p>
  </w:footnote>
  <w:footnote w:id="3">
    <w:p w:rsidR="005B425B" w:rsidRPr="008E5458" w:rsidRDefault="005B425B" w:rsidP="00543060">
      <w:pPr>
        <w:pStyle w:val="FootnoteText"/>
      </w:pPr>
      <w:r>
        <w:rPr>
          <w:rStyle w:val="FootnoteReference"/>
          <w:rFonts w:ascii="Times New Roman" w:hAnsi="Times New Roman"/>
        </w:rPr>
        <w:footnoteRef/>
      </w:r>
      <w:r>
        <w:t xml:space="preserve"> Europa-Parlamentets og Rådets forordning (EF) nr. 1606/2002 af 19. juli 2002 om anvendelse af internationale regnskabsstandarder (EFT L 243 af 11.9.2002, s. 1).</w:t>
      </w:r>
    </w:p>
  </w:footnote>
  <w:footnote w:id="4">
    <w:p w:rsidR="005B425B" w:rsidRPr="001A3B87" w:rsidRDefault="005B425B" w:rsidP="00543060">
      <w:pPr>
        <w:pStyle w:val="FootnoteText"/>
      </w:pPr>
      <w:r>
        <w:rPr>
          <w:rStyle w:val="FootnoteReference"/>
          <w:rFonts w:ascii="Times New Roman" w:hAnsi="Times New Roman"/>
        </w:rPr>
        <w:footnoteRef/>
      </w:r>
      <w:r>
        <w:t xml:space="preserve"> Rådets direktiv 86/635/EØF af 8. december 1986 om bankers og andre penge- og finansieringsinstitutters årsregnskaber og konsoliderede regnskaber (EFT L 372 af 31.12.1986, s. 1).</w:t>
      </w:r>
    </w:p>
  </w:footnote>
  <w:footnote w:id="5">
    <w:p w:rsidR="005B425B" w:rsidRPr="00E17940" w:rsidRDefault="005B425B" w:rsidP="00543060">
      <w:pPr>
        <w:pStyle w:val="FootnoteText"/>
      </w:pPr>
      <w:r>
        <w:rPr>
          <w:rStyle w:val="FootnoteReference"/>
          <w:rFonts w:ascii="Times New Roman" w:hAnsi="Times New Roman"/>
        </w:rPr>
        <w:footnoteRef/>
      </w:r>
      <w:r>
        <w:t xml:space="preserve"> Europa-Parlamentets og Rådets forordning (EU) nr. 575/2013 af 26. juni 2013 om tilsynsmæssige krav til kreditinstitutter og investeringsselskaber og om ændring af forordning (EU) nr. 648/2012 (EUT L 176 af 27.6.2013, s. 1).</w:t>
      </w:r>
    </w:p>
  </w:footnote>
  <w:footnote w:id="6">
    <w:p w:rsidR="005B425B" w:rsidRPr="00E17940" w:rsidRDefault="005B425B" w:rsidP="00543060">
      <w:pPr>
        <w:pStyle w:val="FootnoteText"/>
      </w:pPr>
      <w:r>
        <w:rPr>
          <w:rStyle w:val="FootnoteReference"/>
        </w:rPr>
        <w:footnoteRef/>
      </w:r>
      <w:r>
        <w:t xml:space="preserve"> 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w:t>
      </w:r>
    </w:p>
  </w:footnote>
  <w:footnote w:id="7">
    <w:p w:rsidR="005B425B" w:rsidRPr="00CF3EBF" w:rsidRDefault="005B425B" w:rsidP="008B1EBD">
      <w:pPr>
        <w:pStyle w:val="FootnoteText"/>
      </w:pPr>
      <w:r>
        <w:rPr>
          <w:rStyle w:val="FootnoteReference"/>
          <w:rFonts w:ascii="Times New Roman" w:hAnsi="Times New Roman"/>
        </w:rPr>
        <w:footnoteRef/>
      </w:r>
      <w:r>
        <w:t xml:space="preserve"> Europa-Parlamentets og Rådets direktiv 2009/138/EF af 25. november 2009 om adgang til og udøvelse af forsikrings- og genforsikringsvirksomhed (Solvens II) (EØS-relevant tekst) (EUT L 335 af 17.12.2009, s. 1).</w:t>
      </w:r>
    </w:p>
  </w:footnote>
  <w:footnote w:id="8">
    <w:p w:rsidR="005B425B" w:rsidRPr="00113543" w:rsidRDefault="005B425B" w:rsidP="008B1EBD">
      <w:pPr>
        <w:pStyle w:val="FootnoteText"/>
      </w:pPr>
      <w:r>
        <w:rPr>
          <w:rStyle w:val="FootnoteReference"/>
          <w:rFonts w:ascii="Times New Roman" w:hAnsi="Times New Roman"/>
        </w:rPr>
        <w:footnoteRef/>
      </w:r>
      <w:r>
        <w:t xml:space="preserve"> Kommissionens henstilling af 6. maj 2003 om definitionen af mikrovirksomheder, små og mellemstore virksomheder (meddelt under nummer C(2003) 1422) (EUT L 124 af 20.5.2003, s. 36).</w:t>
      </w:r>
    </w:p>
  </w:footnote>
  <w:footnote w:id="9">
    <w:p w:rsidR="005B425B" w:rsidRPr="001A3B87" w:rsidRDefault="005B425B" w:rsidP="008B1EBD">
      <w:pPr>
        <w:pStyle w:val="FootnoteText"/>
      </w:pPr>
      <w:r>
        <w:rPr>
          <w:rStyle w:val="FootnoteReference"/>
          <w:rFonts w:ascii="Times New Roman" w:hAnsi="Times New Roman"/>
        </w:rPr>
        <w:footnoteRef/>
      </w:r>
      <w:r>
        <w:t xml:space="preserve"> Den Europæiske Centralbanks forordning (EU) nr. 1071/2013 om den konsoliderede balance i MFI-sektoren (monetære finansielle institutioner) (omarbejdning) (EUT L 297 af 7.11.2013, s. 1).</w:t>
      </w:r>
    </w:p>
  </w:footnote>
  <w:footnote w:id="10">
    <w:p w:rsidR="005B425B" w:rsidRPr="00B77FC7" w:rsidRDefault="005B425B" w:rsidP="008E5458">
      <w:pPr>
        <w:pStyle w:val="FootnoteText"/>
      </w:pPr>
      <w:r>
        <w:rPr>
          <w:rStyle w:val="FootnoteReference"/>
        </w:rPr>
        <w:footnoteRef/>
      </w:r>
      <w:r>
        <w:t xml:space="preserve"> Europa-Parlamentets og Rådets direktiv 2014/59/EU af 15. maj 2014 om et regelsæt for genopretning og afvikling af kreditinstitutter og investeringsselskaber og om ændring af Rådets direktiv 82/891/EØF og Europa-Parlamentets og Rådets direktiv 2001/24/EF, 2002/47/EF, 2004/25/EF, 2005/56/EF, 2007/36/EF, 2011/35/EU, 2012/30/EU og 2013/36/EU samt forordning (EU) nr. 1093/2010 og (EU) nr. 648/2012 (EUT L 173 af 12.6.2014, s. 190).</w:t>
      </w:r>
    </w:p>
  </w:footnote>
  <w:footnote w:id="11">
    <w:p w:rsidR="005B425B" w:rsidRPr="001D3665" w:rsidRDefault="005B425B" w:rsidP="008E5458">
      <w:pPr>
        <w:pStyle w:val="FootnoteText"/>
      </w:pPr>
      <w:r>
        <w:rPr>
          <w:rStyle w:val="FootnoteReference"/>
        </w:rPr>
        <w:footnoteRef/>
      </w:r>
      <w:r>
        <w:t xml:space="preserve"> Europa-Parlamentets og Rådets direktiv 2014/49/EU af 16. april 2014 om indskudsgarantiordninger (EUT L 173 af 12.6.2014, s. 149).</w:t>
      </w:r>
    </w:p>
  </w:footnote>
  <w:footnote w:id="12">
    <w:p w:rsidR="005B425B" w:rsidRPr="00EB1AD3" w:rsidRDefault="005B425B" w:rsidP="00365E39">
      <w:pPr>
        <w:pStyle w:val="FootnoteText"/>
      </w:pPr>
      <w:r>
        <w:rPr>
          <w:rStyle w:val="FootnoteReference"/>
        </w:rPr>
        <w:footnoteRef/>
      </w:r>
      <w:r>
        <w:t xml:space="preserve"> Europa-Parlamentets og Rådets direktiv 2009/65/EF af 13. juli 2009 om samordning af love og administrative bestemmelser om visse institutter for kollektiv investering i værdipapirer (investeringsinstitutter) (EUT L 302 af 17.11.2009, s. 32).</w:t>
      </w:r>
    </w:p>
  </w:footnote>
  <w:footnote w:id="13">
    <w:p w:rsidR="005B425B" w:rsidRPr="00EB1AD3" w:rsidRDefault="005B425B" w:rsidP="00365E39">
      <w:pPr>
        <w:pStyle w:val="FootnoteText"/>
      </w:pPr>
      <w:r>
        <w:rPr>
          <w:rStyle w:val="FootnoteReference"/>
        </w:rPr>
        <w:footnoteRef/>
      </w:r>
      <w:r>
        <w:t xml:space="preserve"> Europa-Parlamentets og Rådets direktiv 2011/61/EU af 8. juni 2011 om forvaltere af alternative investeringsfonde og om ændring af direktiv 2003/41/EF og 2009/65/EF samt forordning (EF) nr. 1060/2009 og (EU) nr. 1095/2010 (EUT L 174 af 1.7.2011, s. 1).</w:t>
      </w:r>
    </w:p>
  </w:footnote>
  <w:footnote w:id="14">
    <w:p w:rsidR="005B425B" w:rsidRPr="004002B3" w:rsidRDefault="005B425B" w:rsidP="00365E39">
      <w:pPr>
        <w:pStyle w:val="FootnoteText"/>
      </w:pPr>
      <w:r>
        <w:rPr>
          <w:rStyle w:val="FootnoteReference"/>
        </w:rPr>
        <w:footnoteRef/>
      </w:r>
      <w:r>
        <w:t xml:space="preserve"> Europa-Parlamentets og Rådets direktiv 98/26/EF af 19. maj 1998 om endelig afregning i betalingssystemer og værdipapirafviklingssystemer (EFT L 166 af 11.6.1998, s. 45).</w:t>
      </w:r>
    </w:p>
  </w:footnote>
  <w:footnote w:id="15">
    <w:p w:rsidR="005B425B" w:rsidRPr="001A3B87" w:rsidRDefault="005B425B" w:rsidP="00767F1B">
      <w:pPr>
        <w:pStyle w:val="FootnoteText"/>
      </w:pPr>
      <w:r>
        <w:rPr>
          <w:rStyle w:val="FootnoteReference"/>
        </w:rPr>
        <w:footnoteRef/>
      </w:r>
      <w:r>
        <w:t xml:space="preserve"> Kommissionens delegerede forordning (EU) 2016/1401 af 23. maj 2016 om supplerende regler til Europa-Parlamentets og Rådets direktiv 2014/59/EU om et regelsæt for genopretning og afvikling af kreditinstitutter og investeringsselskaber for så vidt angår reguleringsmæssige tekniske standarder for metoder og principper for værdiansættelse af passiver hidrørende fra derivater (EUT L 228 af 23.8.2016, s. 7).</w:t>
      </w:r>
    </w:p>
  </w:footnote>
  <w:footnote w:id="16">
    <w:p w:rsidR="005B425B" w:rsidRPr="001A3B87" w:rsidRDefault="005B425B" w:rsidP="00767F1B">
      <w:pPr>
        <w:pStyle w:val="FootnoteText"/>
      </w:pPr>
      <w:r>
        <w:rPr>
          <w:rStyle w:val="FootnoteReference"/>
        </w:rPr>
        <w:footnoteRef/>
      </w:r>
      <w:r>
        <w:t xml:space="preserve"> Kommissionens delegerede forordning (EU) 2016/778 af 2. februar 2016 om supplerende regler til Europa-Parlamentets og Rådets direktiv 2014/59/EU for så vidt angår de forhold og betingelser, under hvilke betalingen af ekstraordinære ex post-bidrag helt eller delvis kan udskydes, og kriterierne for fastsættelse af aktiviteter, ydelser og transaktioner med hensyn til kritiske funktioner og for fastsættelse af forretningsområder og hertil knyttede ydelser med hensyn til centrale forretningsområder (EUT L 131 af 20.5.2016, s. 41).</w:t>
      </w:r>
    </w:p>
  </w:footnote>
  <w:footnote w:id="17">
    <w:p w:rsidR="005B425B" w:rsidRPr="001A3B87" w:rsidRDefault="005B425B" w:rsidP="00543060">
      <w:pPr>
        <w:pStyle w:val="FootnoteText"/>
      </w:pPr>
      <w:r>
        <w:rPr>
          <w:rStyle w:val="FootnoteReference"/>
        </w:rPr>
        <w:footnoteRef/>
      </w:r>
      <w:r>
        <w:t xml:space="preserve"> Europa-Parlamentets og Rådets direktiv (EU) 2015/2366 af 25. november 2015 om betalingstjenester i det indre marked, om ændring af direktiv 2002/65/EF, 2009/110/EF og 2013/36/EU og forordning (EU) nr. 1093/2010 og om ophævelse af direktiv 2007/64/EF (EUT L 337 af 23.12.2015, s. 35).</w:t>
      </w:r>
    </w:p>
  </w:footnote>
  <w:footnote w:id="18">
    <w:p w:rsidR="005B425B" w:rsidRPr="001A3B87" w:rsidRDefault="005B425B" w:rsidP="00543060">
      <w:pPr>
        <w:pStyle w:val="FootnoteText"/>
      </w:pPr>
      <w:r>
        <w:rPr>
          <w:rStyle w:val="FootnoteReference"/>
        </w:rPr>
        <w:footnoteRef/>
      </w:r>
      <w:r>
        <w:t xml:space="preserve"> Europa-Parlamentets og Rådets forordning (EU) nr. 648/2012 af 4. juli 2012 om OTC-derivater, centrale modparter og transaktionsregistre (EUT L 201 af 27.7.2012, s. 1).</w:t>
      </w:r>
    </w:p>
  </w:footnote>
  <w:footnote w:id="19">
    <w:p w:rsidR="005B425B" w:rsidRPr="001A3B87" w:rsidRDefault="005B425B" w:rsidP="00543060">
      <w:pPr>
        <w:pStyle w:val="FootnoteText"/>
      </w:pPr>
      <w:r>
        <w:rPr>
          <w:rStyle w:val="FootnoteReference"/>
        </w:rPr>
        <w:footnoteRef/>
      </w:r>
      <w:r>
        <w:t xml:space="preserve"> Europa-Parlamentets og Rådets direktiv 2014/65/EU af 15.5.2014 om markeder for finansielle instrumenter og om ændring af direktiv 2002/92/EF og direktiv 2011/61/EU (EUT L 173 af 12.6.2014, s. 349).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25B" w:rsidRPr="000E60D6" w:rsidRDefault="005B425B" w:rsidP="000E60D6">
    <w:pPr>
      <w:pStyle w:val="Header"/>
      <w:jc w:val="center"/>
      <w:rPr>
        <w:rFonts w:ascii="Times New Roman" w:hAnsi="Times New Roman" w:cs="Times New Roman"/>
      </w:rPr>
    </w:pPr>
    <w:r>
      <w:rPr>
        <w:rFonts w:ascii="Times New Roman" w:hAnsi="Times New Roman"/>
      </w:rPr>
      <w:t>DA</w:t>
    </w:r>
  </w:p>
  <w:p w:rsidR="005B425B" w:rsidRPr="000E60D6" w:rsidRDefault="005B425B" w:rsidP="000E60D6">
    <w:pPr>
      <w:pStyle w:val="Header"/>
      <w:jc w:val="center"/>
      <w:rPr>
        <w:rFonts w:ascii="Times New Roman" w:hAnsi="Times New Roman" w:cs="Times New Roman"/>
      </w:rPr>
    </w:pPr>
    <w:r>
      <w:rPr>
        <w:rFonts w:ascii="Times New Roman" w:hAnsi="Times New Roman"/>
      </w:rPr>
      <w:t>BILAG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C6F06A84"/>
    <w:lvl w:ilvl="0" w:tplc="08090011">
      <w:start w:val="1"/>
      <w:numFmt w:val="decimal"/>
      <w:lvlText w:val="%1)"/>
      <w:lvlJc w:val="lef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0A142160"/>
    <w:lvl w:ilvl="0" w:tplc="08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6530"/>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3B87"/>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9FA"/>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25B"/>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1D2"/>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da-DK" w:bidi="da-D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da-DK"/>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da-DK"/>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da-DK"/>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da-DK"/>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da-DK"/>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da-DK"/>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da-DK"/>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da-DK"/>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da-DK"/>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da-DK"/>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da-DK"/>
    </w:rPr>
  </w:style>
  <w:style w:type="table" w:styleId="TableGrid">
    <w:name w:val="Table Grid"/>
    <w:basedOn w:val="TableProfessional"/>
    <w:uiPriority w:val="59"/>
    <w:rsid w:val="00E13CE3"/>
    <w:rPr>
      <w:sz w:val="20"/>
      <w:szCs w:val="20"/>
      <w:lang w:val="en-GB" w:eastAsia="en-GB"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da-DK"/>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da-DK"/>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da-DK"/>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da-DK"/>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da-DK"/>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da-DK"/>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da-DK" w:eastAsia="da-DK"/>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da-DK"/>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F5800-8634-4DAC-A96C-484B3925A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41</Pages>
  <Words>15676</Words>
  <Characters>86223</Characters>
  <Application>Microsoft Office Word</Application>
  <DocSecurity>0</DocSecurity>
  <Lines>3919</Lines>
  <Paragraphs>4430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97469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BUUS Thomas (DGT)</cp:lastModifiedBy>
  <cp:revision>5</cp:revision>
  <cp:lastPrinted>2017-10-06T17:28:00Z</cp:lastPrinted>
  <dcterms:created xsi:type="dcterms:W3CDTF">2018-09-18T08:30:00Z</dcterms:created>
  <dcterms:modified xsi:type="dcterms:W3CDTF">2018-09-20T13:58:00Z</dcterms:modified>
</cp:coreProperties>
</file>