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0E60D6" w:rsidRDefault="0088603C"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rPr>
        <w:t>Παράρτημα II: Οδηγίες</w:t>
      </w:r>
    </w:p>
    <w:p w:rsidR="001E5EDF" w:rsidRPr="00D92B3C" w:rsidRDefault="001E5EDF" w:rsidP="001E5EDF">
      <w:pPr>
        <w:rPr>
          <w:rFonts w:ascii="Times New Roman" w:hAnsi="Times New Roman" w:cs="Times New Roman"/>
          <w:b/>
          <w:color w:val="000000" w:themeColor="text1"/>
          <w:sz w:val="20"/>
          <w:szCs w:val="20"/>
        </w:rPr>
      </w:pPr>
    </w:p>
    <w:p w:rsidR="004954F4" w:rsidRPr="00D92B3C" w:rsidRDefault="004954F4" w:rsidP="004954F4">
      <w:pPr>
        <w:rPr>
          <w:rFonts w:ascii="Times New Roman" w:hAnsi="Times New Roman" w:cs="Times New Roman"/>
          <w:b/>
          <w:color w:val="000000" w:themeColor="text1"/>
          <w:sz w:val="20"/>
          <w:szCs w:val="20"/>
          <w:lang w:val="en-GB"/>
        </w:rPr>
      </w:pPr>
    </w:p>
    <w:p w:rsidR="004954F4" w:rsidRDefault="004954F4">
      <w:pPr>
        <w:pStyle w:val="TOC2"/>
        <w:rPr>
          <w:lang w:val="en-GB" w:eastAsia="en-GB" w:bidi="ar-SA"/>
        </w:rPr>
      </w:pPr>
      <w:r>
        <w:rPr>
          <w:rFonts w:ascii="Times New Roman" w:hAnsi="Times New Roman" w:cs="Times New Roman"/>
          <w:bCs/>
          <w:color w:val="000000" w:themeColor="text1"/>
          <w:sz w:val="20"/>
          <w:szCs w:val="20"/>
          <w:lang w:val="en-GB"/>
        </w:rPr>
        <w:fldChar w:fldCharType="begin"/>
      </w:r>
      <w:r>
        <w:rPr>
          <w:rFonts w:ascii="Times New Roman" w:hAnsi="Times New Roman" w:cs="Times New Roman"/>
          <w:bCs/>
          <w:color w:val="000000" w:themeColor="text1"/>
          <w:sz w:val="20"/>
          <w:szCs w:val="20"/>
          <w:lang w:val="en-GB"/>
        </w:rPr>
        <w:instrText xml:space="preserve"> TOC \o "1-3" \h \z </w:instrText>
      </w:r>
      <w:r>
        <w:rPr>
          <w:rFonts w:ascii="Times New Roman" w:hAnsi="Times New Roman" w:cs="Times New Roman"/>
          <w:bCs/>
          <w:color w:val="000000" w:themeColor="text1"/>
          <w:sz w:val="20"/>
          <w:szCs w:val="20"/>
          <w:lang w:val="en-GB"/>
        </w:rPr>
        <w:fldChar w:fldCharType="separate"/>
      </w:r>
      <w:hyperlink w:anchor="_Toc525210686" w:history="1">
        <w:r w:rsidRPr="001F7BCD">
          <w:rPr>
            <w:rStyle w:val="Hyperlink"/>
            <w:rFonts w:ascii="Times New Roman" w:hAnsi="Times New Roman" w:cs="Times New Roman"/>
          </w:rPr>
          <w:t>I.</w:t>
        </w:r>
        <w:r>
          <w:rPr>
            <w:lang w:val="en-GB" w:eastAsia="en-GB" w:bidi="ar-SA"/>
          </w:rPr>
          <w:tab/>
        </w:r>
        <w:r w:rsidRPr="001F7BCD">
          <w:rPr>
            <w:rStyle w:val="Hyperlink"/>
            <w:rFonts w:ascii="Times New Roman" w:hAnsi="Times New Roman"/>
          </w:rPr>
          <w:t>Γενικές οδηγίες</w:t>
        </w:r>
        <w:r>
          <w:rPr>
            <w:webHidden/>
          </w:rPr>
          <w:tab/>
        </w:r>
        <w:r>
          <w:rPr>
            <w:webHidden/>
          </w:rPr>
          <w:fldChar w:fldCharType="begin"/>
        </w:r>
        <w:r>
          <w:rPr>
            <w:webHidden/>
          </w:rPr>
          <w:instrText xml:space="preserve"> PAGEREF _Toc525210686 \h </w:instrText>
        </w:r>
        <w:r>
          <w:rPr>
            <w:webHidden/>
          </w:rPr>
        </w:r>
        <w:r>
          <w:rPr>
            <w:webHidden/>
          </w:rPr>
          <w:fldChar w:fldCharType="separate"/>
        </w:r>
        <w:r>
          <w:rPr>
            <w:webHidden/>
          </w:rPr>
          <w:t>2</w:t>
        </w:r>
        <w:r>
          <w:rPr>
            <w:webHidden/>
          </w:rPr>
          <w:fldChar w:fldCharType="end"/>
        </w:r>
      </w:hyperlink>
    </w:p>
    <w:p w:rsidR="004954F4" w:rsidRDefault="00C0314B">
      <w:pPr>
        <w:pStyle w:val="TOC2"/>
        <w:rPr>
          <w:lang w:val="en-GB" w:eastAsia="en-GB" w:bidi="ar-SA"/>
        </w:rPr>
      </w:pPr>
      <w:hyperlink w:anchor="_Toc525210687" w:history="1">
        <w:r w:rsidR="004954F4" w:rsidRPr="001F7BCD">
          <w:rPr>
            <w:rStyle w:val="Hyperlink"/>
            <w:rFonts w:ascii="Times New Roman" w:hAnsi="Times New Roman" w:cs="Times New Roman"/>
          </w:rPr>
          <w:t>I.1</w:t>
        </w:r>
        <w:r w:rsidR="004954F4">
          <w:rPr>
            <w:lang w:val="en-GB" w:eastAsia="en-GB" w:bidi="ar-SA"/>
          </w:rPr>
          <w:tab/>
        </w:r>
        <w:r w:rsidR="004954F4" w:rsidRPr="001F7BCD">
          <w:rPr>
            <w:rStyle w:val="Hyperlink"/>
            <w:rFonts w:ascii="Times New Roman" w:hAnsi="Times New Roman"/>
          </w:rPr>
          <w:t>Δομή</w:t>
        </w:r>
        <w:r w:rsidR="004954F4">
          <w:rPr>
            <w:webHidden/>
          </w:rPr>
          <w:tab/>
        </w:r>
        <w:r w:rsidR="004954F4">
          <w:rPr>
            <w:webHidden/>
          </w:rPr>
          <w:fldChar w:fldCharType="begin"/>
        </w:r>
        <w:r w:rsidR="004954F4">
          <w:rPr>
            <w:webHidden/>
          </w:rPr>
          <w:instrText xml:space="preserve"> PAGEREF _Toc525210687 \h </w:instrText>
        </w:r>
        <w:r w:rsidR="004954F4">
          <w:rPr>
            <w:webHidden/>
          </w:rPr>
        </w:r>
        <w:r w:rsidR="004954F4">
          <w:rPr>
            <w:webHidden/>
          </w:rPr>
          <w:fldChar w:fldCharType="separate"/>
        </w:r>
        <w:r w:rsidR="004954F4">
          <w:rPr>
            <w:webHidden/>
          </w:rPr>
          <w:t>2</w:t>
        </w:r>
        <w:r w:rsidR="004954F4">
          <w:rPr>
            <w:webHidden/>
          </w:rPr>
          <w:fldChar w:fldCharType="end"/>
        </w:r>
      </w:hyperlink>
    </w:p>
    <w:p w:rsidR="004954F4" w:rsidRDefault="00C0314B">
      <w:pPr>
        <w:pStyle w:val="TOC2"/>
        <w:rPr>
          <w:lang w:val="en-GB" w:eastAsia="en-GB" w:bidi="ar-SA"/>
        </w:rPr>
      </w:pPr>
      <w:hyperlink w:anchor="_Toc525210688" w:history="1">
        <w:r w:rsidR="004954F4" w:rsidRPr="001F7BCD">
          <w:rPr>
            <w:rStyle w:val="Hyperlink"/>
            <w:rFonts w:ascii="Times New Roman" w:hAnsi="Times New Roman" w:cs="Times New Roman"/>
          </w:rPr>
          <w:t>I.2</w:t>
        </w:r>
        <w:r w:rsidR="004954F4">
          <w:rPr>
            <w:lang w:val="en-GB" w:eastAsia="en-GB" w:bidi="ar-SA"/>
          </w:rPr>
          <w:tab/>
        </w:r>
        <w:r w:rsidR="004954F4" w:rsidRPr="001F7BCD">
          <w:rPr>
            <w:rStyle w:val="Hyperlink"/>
            <w:rFonts w:ascii="Times New Roman" w:hAnsi="Times New Roman"/>
          </w:rPr>
          <w:t>Παραπομπές</w:t>
        </w:r>
        <w:r w:rsidR="004954F4">
          <w:rPr>
            <w:webHidden/>
          </w:rPr>
          <w:tab/>
        </w:r>
        <w:r w:rsidR="004954F4">
          <w:rPr>
            <w:webHidden/>
          </w:rPr>
          <w:fldChar w:fldCharType="begin"/>
        </w:r>
        <w:r w:rsidR="004954F4">
          <w:rPr>
            <w:webHidden/>
          </w:rPr>
          <w:instrText xml:space="preserve"> PAGEREF _Toc525210688 \h </w:instrText>
        </w:r>
        <w:r w:rsidR="004954F4">
          <w:rPr>
            <w:webHidden/>
          </w:rPr>
        </w:r>
        <w:r w:rsidR="004954F4">
          <w:rPr>
            <w:webHidden/>
          </w:rPr>
          <w:fldChar w:fldCharType="separate"/>
        </w:r>
        <w:r w:rsidR="004954F4">
          <w:rPr>
            <w:webHidden/>
          </w:rPr>
          <w:t>2</w:t>
        </w:r>
        <w:r w:rsidR="004954F4">
          <w:rPr>
            <w:webHidden/>
          </w:rPr>
          <w:fldChar w:fldCharType="end"/>
        </w:r>
      </w:hyperlink>
    </w:p>
    <w:p w:rsidR="004954F4" w:rsidRDefault="00C0314B">
      <w:pPr>
        <w:pStyle w:val="TOC2"/>
        <w:rPr>
          <w:lang w:val="en-GB" w:eastAsia="en-GB" w:bidi="ar-SA"/>
        </w:rPr>
      </w:pPr>
      <w:hyperlink w:anchor="_Toc525210689" w:history="1">
        <w:r w:rsidR="004954F4" w:rsidRPr="001F7BCD">
          <w:rPr>
            <w:rStyle w:val="Hyperlink"/>
            <w:rFonts w:ascii="Times New Roman" w:hAnsi="Times New Roman" w:cs="Times New Roman"/>
          </w:rPr>
          <w:t>I.3</w:t>
        </w:r>
        <w:r w:rsidR="004954F4">
          <w:rPr>
            <w:lang w:val="en-GB" w:eastAsia="en-GB" w:bidi="ar-SA"/>
          </w:rPr>
          <w:tab/>
        </w:r>
        <w:r w:rsidR="004954F4" w:rsidRPr="001F7BCD">
          <w:rPr>
            <w:rStyle w:val="Hyperlink"/>
            <w:rFonts w:ascii="Times New Roman" w:hAnsi="Times New Roman"/>
          </w:rPr>
          <w:t>Λογιστικά πρότυπα</w:t>
        </w:r>
        <w:r w:rsidR="004954F4">
          <w:rPr>
            <w:webHidden/>
          </w:rPr>
          <w:tab/>
        </w:r>
        <w:r w:rsidR="004954F4">
          <w:rPr>
            <w:webHidden/>
          </w:rPr>
          <w:fldChar w:fldCharType="begin"/>
        </w:r>
        <w:r w:rsidR="004954F4">
          <w:rPr>
            <w:webHidden/>
          </w:rPr>
          <w:instrText xml:space="preserve"> PAGEREF _Toc525210689 \h </w:instrText>
        </w:r>
        <w:r w:rsidR="004954F4">
          <w:rPr>
            <w:webHidden/>
          </w:rPr>
        </w:r>
        <w:r w:rsidR="004954F4">
          <w:rPr>
            <w:webHidden/>
          </w:rPr>
          <w:fldChar w:fldCharType="separate"/>
        </w:r>
        <w:r w:rsidR="004954F4">
          <w:rPr>
            <w:webHidden/>
          </w:rPr>
          <w:t>3</w:t>
        </w:r>
        <w:r w:rsidR="004954F4">
          <w:rPr>
            <w:webHidden/>
          </w:rPr>
          <w:fldChar w:fldCharType="end"/>
        </w:r>
      </w:hyperlink>
    </w:p>
    <w:p w:rsidR="004954F4" w:rsidRDefault="00C0314B">
      <w:pPr>
        <w:pStyle w:val="TOC2"/>
        <w:rPr>
          <w:lang w:val="en-GB" w:eastAsia="en-GB" w:bidi="ar-SA"/>
        </w:rPr>
      </w:pPr>
      <w:hyperlink w:anchor="_Toc525210690" w:history="1">
        <w:r w:rsidR="004954F4" w:rsidRPr="001F7BCD">
          <w:rPr>
            <w:rStyle w:val="Hyperlink"/>
            <w:rFonts w:ascii="Times New Roman" w:hAnsi="Times New Roman" w:cs="Times New Roman"/>
          </w:rPr>
          <w:t>I.4</w:t>
        </w:r>
        <w:r w:rsidR="004954F4">
          <w:rPr>
            <w:lang w:val="en-GB" w:eastAsia="en-GB" w:bidi="ar-SA"/>
          </w:rPr>
          <w:tab/>
        </w:r>
        <w:r w:rsidR="004954F4" w:rsidRPr="001F7BCD">
          <w:rPr>
            <w:rStyle w:val="Hyperlink"/>
            <w:rFonts w:ascii="Times New Roman" w:hAnsi="Times New Roman"/>
          </w:rPr>
          <w:t>Πεδίο εφαρμογής της ενοποίησης</w:t>
        </w:r>
        <w:r w:rsidR="004954F4">
          <w:rPr>
            <w:webHidden/>
          </w:rPr>
          <w:tab/>
        </w:r>
        <w:r w:rsidR="004954F4">
          <w:rPr>
            <w:webHidden/>
          </w:rPr>
          <w:fldChar w:fldCharType="begin"/>
        </w:r>
        <w:r w:rsidR="004954F4">
          <w:rPr>
            <w:webHidden/>
          </w:rPr>
          <w:instrText xml:space="preserve"> PAGEREF _Toc525210690 \h </w:instrText>
        </w:r>
        <w:r w:rsidR="004954F4">
          <w:rPr>
            <w:webHidden/>
          </w:rPr>
        </w:r>
        <w:r w:rsidR="004954F4">
          <w:rPr>
            <w:webHidden/>
          </w:rPr>
          <w:fldChar w:fldCharType="separate"/>
        </w:r>
        <w:r w:rsidR="004954F4">
          <w:rPr>
            <w:webHidden/>
          </w:rPr>
          <w:t>3</w:t>
        </w:r>
        <w:r w:rsidR="004954F4">
          <w:rPr>
            <w:webHidden/>
          </w:rPr>
          <w:fldChar w:fldCharType="end"/>
        </w:r>
      </w:hyperlink>
    </w:p>
    <w:p w:rsidR="004954F4" w:rsidRDefault="00C0314B">
      <w:pPr>
        <w:pStyle w:val="TOC2"/>
        <w:rPr>
          <w:lang w:val="en-GB" w:eastAsia="en-GB" w:bidi="ar-SA"/>
        </w:rPr>
      </w:pPr>
      <w:hyperlink w:anchor="_Toc525210691" w:history="1">
        <w:r w:rsidR="004954F4" w:rsidRPr="001F7BCD">
          <w:rPr>
            <w:rStyle w:val="Hyperlink"/>
            <w:rFonts w:ascii="Times New Roman" w:hAnsi="Times New Roman" w:cs="Times New Roman"/>
          </w:rPr>
          <w:t>I.5</w:t>
        </w:r>
        <w:r w:rsidR="004954F4">
          <w:rPr>
            <w:lang w:val="en-GB" w:eastAsia="en-GB" w:bidi="ar-SA"/>
          </w:rPr>
          <w:tab/>
        </w:r>
        <w:r w:rsidR="004954F4" w:rsidRPr="001F7BCD">
          <w:rPr>
            <w:rStyle w:val="Hyperlink"/>
            <w:rFonts w:ascii="Times New Roman" w:hAnsi="Times New Roman"/>
          </w:rPr>
          <w:t>Αρίθμηση και άλλοι κανόνες</w:t>
        </w:r>
        <w:r w:rsidR="004954F4">
          <w:rPr>
            <w:webHidden/>
          </w:rPr>
          <w:tab/>
        </w:r>
        <w:r w:rsidR="004954F4">
          <w:rPr>
            <w:webHidden/>
          </w:rPr>
          <w:fldChar w:fldCharType="begin"/>
        </w:r>
        <w:r w:rsidR="004954F4">
          <w:rPr>
            <w:webHidden/>
          </w:rPr>
          <w:instrText xml:space="preserve"> PAGEREF _Toc525210691 \h </w:instrText>
        </w:r>
        <w:r w:rsidR="004954F4">
          <w:rPr>
            <w:webHidden/>
          </w:rPr>
        </w:r>
        <w:r w:rsidR="004954F4">
          <w:rPr>
            <w:webHidden/>
          </w:rPr>
          <w:fldChar w:fldCharType="separate"/>
        </w:r>
        <w:r w:rsidR="004954F4">
          <w:rPr>
            <w:webHidden/>
          </w:rPr>
          <w:t>4</w:t>
        </w:r>
        <w:r w:rsidR="004954F4">
          <w:rPr>
            <w:webHidden/>
          </w:rPr>
          <w:fldChar w:fldCharType="end"/>
        </w:r>
      </w:hyperlink>
    </w:p>
    <w:p w:rsidR="004954F4" w:rsidRDefault="00C0314B">
      <w:pPr>
        <w:pStyle w:val="TOC2"/>
        <w:rPr>
          <w:lang w:val="en-GB" w:eastAsia="en-GB" w:bidi="ar-SA"/>
        </w:rPr>
      </w:pPr>
      <w:hyperlink w:anchor="_Toc525210692" w:history="1">
        <w:r w:rsidR="004954F4" w:rsidRPr="001F7BCD">
          <w:rPr>
            <w:rStyle w:val="Hyperlink"/>
            <w:rFonts w:ascii="Times New Roman" w:hAnsi="Times New Roman" w:cs="Times New Roman"/>
          </w:rPr>
          <w:t>II.</w:t>
        </w:r>
        <w:r w:rsidR="004954F4">
          <w:rPr>
            <w:lang w:val="en-GB" w:eastAsia="en-GB" w:bidi="ar-SA"/>
          </w:rPr>
          <w:tab/>
        </w:r>
        <w:r w:rsidR="004954F4" w:rsidRPr="001F7BCD">
          <w:rPr>
            <w:rStyle w:val="Hyperlink"/>
            <w:rFonts w:ascii="Times New Roman" w:hAnsi="Times New Roman"/>
          </w:rPr>
          <w:t>Οδηγίες σχετικά με τα υποδείγματα</w:t>
        </w:r>
        <w:r w:rsidR="004954F4">
          <w:rPr>
            <w:webHidden/>
          </w:rPr>
          <w:tab/>
        </w:r>
        <w:r w:rsidR="004954F4">
          <w:rPr>
            <w:webHidden/>
          </w:rPr>
          <w:fldChar w:fldCharType="begin"/>
        </w:r>
        <w:r w:rsidR="004954F4">
          <w:rPr>
            <w:webHidden/>
          </w:rPr>
          <w:instrText xml:space="preserve"> PAGEREF _Toc525210692 \h </w:instrText>
        </w:r>
        <w:r w:rsidR="004954F4">
          <w:rPr>
            <w:webHidden/>
          </w:rPr>
        </w:r>
        <w:r w:rsidR="004954F4">
          <w:rPr>
            <w:webHidden/>
          </w:rPr>
          <w:fldChar w:fldCharType="separate"/>
        </w:r>
        <w:r w:rsidR="004954F4">
          <w:rPr>
            <w:webHidden/>
          </w:rPr>
          <w:t>4</w:t>
        </w:r>
        <w:r w:rsidR="004954F4">
          <w:rPr>
            <w:webHidden/>
          </w:rPr>
          <w:fldChar w:fldCharType="end"/>
        </w:r>
      </w:hyperlink>
    </w:p>
    <w:p w:rsidR="004954F4" w:rsidRDefault="00C0314B">
      <w:pPr>
        <w:pStyle w:val="TOC2"/>
        <w:rPr>
          <w:lang w:val="en-GB" w:eastAsia="en-GB" w:bidi="ar-SA"/>
        </w:rPr>
      </w:pPr>
      <w:hyperlink w:anchor="_Toc525210693" w:history="1">
        <w:r w:rsidR="004954F4" w:rsidRPr="001F7BCD">
          <w:rPr>
            <w:rStyle w:val="Hyperlink"/>
            <w:rFonts w:ascii="Times New Roman" w:hAnsi="Times New Roman" w:cs="Times New Roman"/>
          </w:rPr>
          <w:t>II.1</w:t>
        </w:r>
        <w:r w:rsidR="004954F4">
          <w:rPr>
            <w:lang w:val="en-GB" w:eastAsia="en-GB" w:bidi="ar-SA"/>
          </w:rPr>
          <w:tab/>
        </w:r>
        <w:r w:rsidR="004954F4" w:rsidRPr="001F7BCD">
          <w:rPr>
            <w:rStyle w:val="Hyperlink"/>
            <w:rFonts w:ascii="Times New Roman" w:hAnsi="Times New Roman"/>
          </w:rPr>
          <w:t>Z 01.00 - Οργανωτική δομή (ORG)</w:t>
        </w:r>
        <w:r w:rsidR="004954F4">
          <w:rPr>
            <w:webHidden/>
          </w:rPr>
          <w:tab/>
        </w:r>
        <w:r w:rsidR="004954F4">
          <w:rPr>
            <w:webHidden/>
          </w:rPr>
          <w:fldChar w:fldCharType="begin"/>
        </w:r>
        <w:r w:rsidR="004954F4">
          <w:rPr>
            <w:webHidden/>
          </w:rPr>
          <w:instrText xml:space="preserve"> PAGEREF _Toc525210693 \h </w:instrText>
        </w:r>
        <w:r w:rsidR="004954F4">
          <w:rPr>
            <w:webHidden/>
          </w:rPr>
        </w:r>
        <w:r w:rsidR="004954F4">
          <w:rPr>
            <w:webHidden/>
          </w:rPr>
          <w:fldChar w:fldCharType="separate"/>
        </w:r>
        <w:r w:rsidR="004954F4">
          <w:rPr>
            <w:webHidden/>
          </w:rPr>
          <w:t>4</w:t>
        </w:r>
        <w:r w:rsidR="004954F4">
          <w:rPr>
            <w:webHidden/>
          </w:rPr>
          <w:fldChar w:fldCharType="end"/>
        </w:r>
      </w:hyperlink>
    </w:p>
    <w:p w:rsidR="004954F4" w:rsidRDefault="00C0314B">
      <w:pPr>
        <w:pStyle w:val="TOC2"/>
        <w:rPr>
          <w:lang w:val="en-GB" w:eastAsia="en-GB" w:bidi="ar-SA"/>
        </w:rPr>
      </w:pPr>
      <w:hyperlink w:anchor="_Toc525210694" w:history="1">
        <w:r w:rsidR="004954F4" w:rsidRPr="001F7BCD">
          <w:rPr>
            <w:rStyle w:val="Hyperlink"/>
            <w:rFonts w:ascii="Times New Roman" w:hAnsi="Times New Roman" w:cs="Times New Roman"/>
          </w:rPr>
          <w:t>II.2</w:t>
        </w:r>
        <w:r w:rsidR="004954F4">
          <w:rPr>
            <w:lang w:val="en-GB" w:eastAsia="en-GB" w:bidi="ar-SA"/>
          </w:rPr>
          <w:tab/>
        </w:r>
        <w:r w:rsidR="004954F4" w:rsidRPr="001F7BCD">
          <w:rPr>
            <w:rStyle w:val="Hyperlink"/>
            <w:rFonts w:ascii="Times New Roman" w:hAnsi="Times New Roman"/>
          </w:rPr>
          <w:t>Z 02.00 - Διάρθρωση υποχρεώσεων (LIAB)</w:t>
        </w:r>
        <w:r w:rsidR="004954F4">
          <w:rPr>
            <w:webHidden/>
          </w:rPr>
          <w:tab/>
        </w:r>
        <w:r w:rsidR="004954F4">
          <w:rPr>
            <w:webHidden/>
          </w:rPr>
          <w:fldChar w:fldCharType="begin"/>
        </w:r>
        <w:r w:rsidR="004954F4">
          <w:rPr>
            <w:webHidden/>
          </w:rPr>
          <w:instrText xml:space="preserve"> PAGEREF _Toc525210694 \h </w:instrText>
        </w:r>
        <w:r w:rsidR="004954F4">
          <w:rPr>
            <w:webHidden/>
          </w:rPr>
        </w:r>
        <w:r w:rsidR="004954F4">
          <w:rPr>
            <w:webHidden/>
          </w:rPr>
          <w:fldChar w:fldCharType="separate"/>
        </w:r>
        <w:r w:rsidR="004954F4">
          <w:rPr>
            <w:webHidden/>
          </w:rPr>
          <w:t>8</w:t>
        </w:r>
        <w:r w:rsidR="004954F4">
          <w:rPr>
            <w:webHidden/>
          </w:rPr>
          <w:fldChar w:fldCharType="end"/>
        </w:r>
      </w:hyperlink>
    </w:p>
    <w:p w:rsidR="004954F4" w:rsidRDefault="00C0314B">
      <w:pPr>
        <w:pStyle w:val="TOC2"/>
        <w:rPr>
          <w:lang w:val="en-GB" w:eastAsia="en-GB" w:bidi="ar-SA"/>
        </w:rPr>
      </w:pPr>
      <w:hyperlink w:anchor="_Toc525210695" w:history="1">
        <w:r w:rsidR="004954F4" w:rsidRPr="001F7BCD">
          <w:rPr>
            <w:rStyle w:val="Hyperlink"/>
            <w:rFonts w:ascii="Times New Roman" w:hAnsi="Times New Roman" w:cs="Times New Roman"/>
          </w:rPr>
          <w:t>II.3</w:t>
        </w:r>
        <w:r w:rsidR="004954F4">
          <w:rPr>
            <w:lang w:val="en-GB" w:eastAsia="en-GB" w:bidi="ar-SA"/>
          </w:rPr>
          <w:tab/>
        </w:r>
        <w:r w:rsidR="004954F4" w:rsidRPr="001F7BCD">
          <w:rPr>
            <w:rStyle w:val="Hyperlink"/>
            <w:rFonts w:ascii="Times New Roman" w:hAnsi="Times New Roman"/>
          </w:rPr>
          <w:t>Z 03.00 - Απαιτήσεις ιδίων κεφαλαίων (OWN)</w:t>
        </w:r>
        <w:r w:rsidR="004954F4">
          <w:rPr>
            <w:webHidden/>
          </w:rPr>
          <w:tab/>
        </w:r>
        <w:r w:rsidR="004954F4">
          <w:rPr>
            <w:webHidden/>
          </w:rPr>
          <w:fldChar w:fldCharType="begin"/>
        </w:r>
        <w:r w:rsidR="004954F4">
          <w:rPr>
            <w:webHidden/>
          </w:rPr>
          <w:instrText xml:space="preserve"> PAGEREF _Toc525210695 \h </w:instrText>
        </w:r>
        <w:r w:rsidR="004954F4">
          <w:rPr>
            <w:webHidden/>
          </w:rPr>
        </w:r>
        <w:r w:rsidR="004954F4">
          <w:rPr>
            <w:webHidden/>
          </w:rPr>
          <w:fldChar w:fldCharType="separate"/>
        </w:r>
        <w:r w:rsidR="004954F4">
          <w:rPr>
            <w:webHidden/>
          </w:rPr>
          <w:t>15</w:t>
        </w:r>
        <w:r w:rsidR="004954F4">
          <w:rPr>
            <w:webHidden/>
          </w:rPr>
          <w:fldChar w:fldCharType="end"/>
        </w:r>
      </w:hyperlink>
    </w:p>
    <w:p w:rsidR="004954F4" w:rsidRDefault="00C0314B">
      <w:pPr>
        <w:pStyle w:val="TOC2"/>
        <w:rPr>
          <w:lang w:val="en-GB" w:eastAsia="en-GB" w:bidi="ar-SA"/>
        </w:rPr>
      </w:pPr>
      <w:hyperlink w:anchor="_Toc525210696" w:history="1">
        <w:r w:rsidR="004954F4" w:rsidRPr="001F7BCD">
          <w:rPr>
            <w:rStyle w:val="Hyperlink"/>
            <w:rFonts w:ascii="Times New Roman" w:hAnsi="Times New Roman" w:cs="Times New Roman"/>
          </w:rPr>
          <w:t>II.4</w:t>
        </w:r>
        <w:r w:rsidR="004954F4">
          <w:rPr>
            <w:lang w:val="en-GB" w:eastAsia="en-GB" w:bidi="ar-SA"/>
          </w:rPr>
          <w:tab/>
        </w:r>
        <w:r w:rsidR="004954F4" w:rsidRPr="001F7BCD">
          <w:rPr>
            <w:rStyle w:val="Hyperlink"/>
            <w:rFonts w:ascii="Times New Roman" w:hAnsi="Times New Roman"/>
          </w:rPr>
          <w:t>Z 04.00 - Ενδοομιλικές χρηματοοικονομικές διασυνδέσεις (IFC)</w:t>
        </w:r>
        <w:r w:rsidR="004954F4">
          <w:rPr>
            <w:webHidden/>
          </w:rPr>
          <w:tab/>
        </w:r>
        <w:r w:rsidR="004954F4">
          <w:rPr>
            <w:webHidden/>
          </w:rPr>
          <w:fldChar w:fldCharType="begin"/>
        </w:r>
        <w:r w:rsidR="004954F4">
          <w:rPr>
            <w:webHidden/>
          </w:rPr>
          <w:instrText xml:space="preserve"> PAGEREF _Toc525210696 \h </w:instrText>
        </w:r>
        <w:r w:rsidR="004954F4">
          <w:rPr>
            <w:webHidden/>
          </w:rPr>
        </w:r>
        <w:r w:rsidR="004954F4">
          <w:rPr>
            <w:webHidden/>
          </w:rPr>
          <w:fldChar w:fldCharType="separate"/>
        </w:r>
        <w:r w:rsidR="004954F4">
          <w:rPr>
            <w:webHidden/>
          </w:rPr>
          <w:t>19</w:t>
        </w:r>
        <w:r w:rsidR="004954F4">
          <w:rPr>
            <w:webHidden/>
          </w:rPr>
          <w:fldChar w:fldCharType="end"/>
        </w:r>
      </w:hyperlink>
    </w:p>
    <w:p w:rsidR="004954F4" w:rsidRDefault="00C0314B">
      <w:pPr>
        <w:pStyle w:val="TOC2"/>
        <w:rPr>
          <w:lang w:val="en-GB" w:eastAsia="en-GB" w:bidi="ar-SA"/>
        </w:rPr>
      </w:pPr>
      <w:hyperlink w:anchor="_Toc525210697" w:history="1">
        <w:r w:rsidR="004954F4" w:rsidRPr="001F7BCD">
          <w:rPr>
            <w:rStyle w:val="Hyperlink"/>
            <w:rFonts w:ascii="Times New Roman" w:hAnsi="Times New Roman" w:cs="Times New Roman"/>
          </w:rPr>
          <w:t>II.5</w:t>
        </w:r>
        <w:r w:rsidR="004954F4">
          <w:rPr>
            <w:lang w:val="en-GB" w:eastAsia="en-GB" w:bidi="ar-SA"/>
          </w:rPr>
          <w:tab/>
        </w:r>
        <w:r w:rsidR="004954F4" w:rsidRPr="001F7BCD">
          <w:rPr>
            <w:rStyle w:val="Hyperlink"/>
            <w:rFonts w:ascii="Times New Roman" w:hAnsi="Times New Roman"/>
          </w:rPr>
          <w:t>Z 05.01 και Z 05.02 - Σημαντικοί αντισυμβαλλόμενοι</w:t>
        </w:r>
        <w:r w:rsidR="004954F4">
          <w:rPr>
            <w:webHidden/>
          </w:rPr>
          <w:tab/>
        </w:r>
        <w:r w:rsidR="004954F4">
          <w:rPr>
            <w:webHidden/>
          </w:rPr>
          <w:fldChar w:fldCharType="begin"/>
        </w:r>
        <w:r w:rsidR="004954F4">
          <w:rPr>
            <w:webHidden/>
          </w:rPr>
          <w:instrText xml:space="preserve"> PAGEREF _Toc525210697 \h </w:instrText>
        </w:r>
        <w:r w:rsidR="004954F4">
          <w:rPr>
            <w:webHidden/>
          </w:rPr>
        </w:r>
        <w:r w:rsidR="004954F4">
          <w:rPr>
            <w:webHidden/>
          </w:rPr>
          <w:fldChar w:fldCharType="separate"/>
        </w:r>
        <w:r w:rsidR="004954F4">
          <w:rPr>
            <w:webHidden/>
          </w:rPr>
          <w:t>21</w:t>
        </w:r>
        <w:r w:rsidR="004954F4">
          <w:rPr>
            <w:webHidden/>
          </w:rPr>
          <w:fldChar w:fldCharType="end"/>
        </w:r>
      </w:hyperlink>
    </w:p>
    <w:p w:rsidR="004954F4" w:rsidRDefault="00C0314B">
      <w:pPr>
        <w:pStyle w:val="TOC2"/>
        <w:rPr>
          <w:lang w:val="en-GB" w:eastAsia="en-GB" w:bidi="ar-SA"/>
        </w:rPr>
      </w:pPr>
      <w:hyperlink w:anchor="_Toc525210698" w:history="1">
        <w:r w:rsidR="004954F4" w:rsidRPr="001F7BCD">
          <w:rPr>
            <w:rStyle w:val="Hyperlink"/>
            <w:rFonts w:ascii="Times New Roman" w:hAnsi="Times New Roman" w:cs="Times New Roman"/>
          </w:rPr>
          <w:t>II.6</w:t>
        </w:r>
        <w:r w:rsidR="004954F4">
          <w:rPr>
            <w:lang w:val="en-GB" w:eastAsia="en-GB" w:bidi="ar-SA"/>
          </w:rPr>
          <w:tab/>
        </w:r>
        <w:r w:rsidR="004954F4" w:rsidRPr="001F7BCD">
          <w:rPr>
            <w:rStyle w:val="Hyperlink"/>
            <w:rFonts w:ascii="Times New Roman" w:hAnsi="Times New Roman"/>
          </w:rPr>
          <w:t>Z 06.00 - Ασφάλιση καταθέσεων (DIS)</w:t>
        </w:r>
        <w:r w:rsidR="004954F4">
          <w:rPr>
            <w:webHidden/>
          </w:rPr>
          <w:tab/>
        </w:r>
        <w:r w:rsidR="004954F4">
          <w:rPr>
            <w:webHidden/>
          </w:rPr>
          <w:fldChar w:fldCharType="begin"/>
        </w:r>
        <w:r w:rsidR="004954F4">
          <w:rPr>
            <w:webHidden/>
          </w:rPr>
          <w:instrText xml:space="preserve"> PAGEREF _Toc525210698 \h </w:instrText>
        </w:r>
        <w:r w:rsidR="004954F4">
          <w:rPr>
            <w:webHidden/>
          </w:rPr>
        </w:r>
        <w:r w:rsidR="004954F4">
          <w:rPr>
            <w:webHidden/>
          </w:rPr>
          <w:fldChar w:fldCharType="separate"/>
        </w:r>
        <w:r w:rsidR="004954F4">
          <w:rPr>
            <w:webHidden/>
          </w:rPr>
          <w:t>24</w:t>
        </w:r>
        <w:r w:rsidR="004954F4">
          <w:rPr>
            <w:webHidden/>
          </w:rPr>
          <w:fldChar w:fldCharType="end"/>
        </w:r>
      </w:hyperlink>
    </w:p>
    <w:p w:rsidR="004954F4" w:rsidRDefault="00C0314B">
      <w:pPr>
        <w:pStyle w:val="TOC2"/>
        <w:rPr>
          <w:lang w:val="en-GB" w:eastAsia="en-GB" w:bidi="ar-SA"/>
        </w:rPr>
      </w:pPr>
      <w:hyperlink w:anchor="_Toc525210699" w:history="1">
        <w:r w:rsidR="004954F4" w:rsidRPr="001F7BCD">
          <w:rPr>
            <w:rStyle w:val="Hyperlink"/>
            <w:rFonts w:ascii="Times New Roman" w:hAnsi="Times New Roman" w:cs="Times New Roman"/>
          </w:rPr>
          <w:t>II.7</w:t>
        </w:r>
        <w:r w:rsidR="004954F4">
          <w:rPr>
            <w:lang w:val="en-GB" w:eastAsia="en-GB" w:bidi="ar-SA"/>
          </w:rPr>
          <w:tab/>
        </w:r>
        <w:r w:rsidR="004954F4" w:rsidRPr="001F7BCD">
          <w:rPr>
            <w:rStyle w:val="Hyperlink"/>
            <w:rFonts w:ascii="Times New Roman" w:hAnsi="Times New Roman"/>
          </w:rPr>
          <w:t>Κρίσιμες λειτουργίες και βασικοί επιχειρηματικοί τομείς</w:t>
        </w:r>
        <w:r w:rsidR="004954F4">
          <w:rPr>
            <w:webHidden/>
          </w:rPr>
          <w:tab/>
        </w:r>
        <w:r w:rsidR="004954F4">
          <w:rPr>
            <w:webHidden/>
          </w:rPr>
          <w:fldChar w:fldCharType="begin"/>
        </w:r>
        <w:r w:rsidR="004954F4">
          <w:rPr>
            <w:webHidden/>
          </w:rPr>
          <w:instrText xml:space="preserve"> PAGEREF _Toc525210699 \h </w:instrText>
        </w:r>
        <w:r w:rsidR="004954F4">
          <w:rPr>
            <w:webHidden/>
          </w:rPr>
        </w:r>
        <w:r w:rsidR="004954F4">
          <w:rPr>
            <w:webHidden/>
          </w:rPr>
          <w:fldChar w:fldCharType="separate"/>
        </w:r>
        <w:r w:rsidR="004954F4">
          <w:rPr>
            <w:webHidden/>
          </w:rPr>
          <w:t>27</w:t>
        </w:r>
        <w:r w:rsidR="004954F4">
          <w:rPr>
            <w:webHidden/>
          </w:rPr>
          <w:fldChar w:fldCharType="end"/>
        </w:r>
      </w:hyperlink>
    </w:p>
    <w:p w:rsidR="004954F4" w:rsidRDefault="00C0314B">
      <w:pPr>
        <w:pStyle w:val="TOC2"/>
        <w:rPr>
          <w:lang w:val="en-GB" w:eastAsia="en-GB" w:bidi="ar-SA"/>
        </w:rPr>
      </w:pPr>
      <w:hyperlink w:anchor="_Toc525210700" w:history="1">
        <w:r w:rsidR="004954F4" w:rsidRPr="001F7BCD">
          <w:rPr>
            <w:rStyle w:val="Hyperlink"/>
            <w:rFonts w:ascii="Times New Roman" w:hAnsi="Times New Roman" w:cs="Times New Roman"/>
          </w:rPr>
          <w:t>II.8</w:t>
        </w:r>
        <w:r w:rsidR="004954F4">
          <w:rPr>
            <w:lang w:val="en-GB" w:eastAsia="en-GB" w:bidi="ar-SA"/>
          </w:rPr>
          <w:tab/>
        </w:r>
        <w:r w:rsidR="004954F4" w:rsidRPr="001F7BCD">
          <w:rPr>
            <w:rStyle w:val="Hyperlink"/>
            <w:rFonts w:ascii="Times New Roman" w:hAnsi="Times New Roman"/>
          </w:rPr>
          <w:t>Z 08.00 - Κρίσιμες υπηρεσίες (SERV)</w:t>
        </w:r>
        <w:r w:rsidR="004954F4">
          <w:rPr>
            <w:webHidden/>
          </w:rPr>
          <w:tab/>
        </w:r>
        <w:r w:rsidR="004954F4">
          <w:rPr>
            <w:webHidden/>
          </w:rPr>
          <w:fldChar w:fldCharType="begin"/>
        </w:r>
        <w:r w:rsidR="004954F4">
          <w:rPr>
            <w:webHidden/>
          </w:rPr>
          <w:instrText xml:space="preserve"> PAGEREF _Toc525210700 \h </w:instrText>
        </w:r>
        <w:r w:rsidR="004954F4">
          <w:rPr>
            <w:webHidden/>
          </w:rPr>
        </w:r>
        <w:r w:rsidR="004954F4">
          <w:rPr>
            <w:webHidden/>
          </w:rPr>
          <w:fldChar w:fldCharType="separate"/>
        </w:r>
        <w:r w:rsidR="004954F4">
          <w:rPr>
            <w:webHidden/>
          </w:rPr>
          <w:t>36</w:t>
        </w:r>
        <w:r w:rsidR="004954F4">
          <w:rPr>
            <w:webHidden/>
          </w:rPr>
          <w:fldChar w:fldCharType="end"/>
        </w:r>
      </w:hyperlink>
    </w:p>
    <w:p w:rsidR="004954F4" w:rsidRDefault="00C0314B">
      <w:pPr>
        <w:pStyle w:val="TOC2"/>
        <w:rPr>
          <w:lang w:val="en-GB" w:eastAsia="en-GB" w:bidi="ar-SA"/>
        </w:rPr>
      </w:pPr>
      <w:hyperlink w:anchor="_Toc525210701" w:history="1">
        <w:r w:rsidR="004954F4" w:rsidRPr="001F7BCD">
          <w:rPr>
            <w:rStyle w:val="Hyperlink"/>
            <w:rFonts w:ascii="Times New Roman" w:hAnsi="Times New Roman" w:cs="Times New Roman"/>
          </w:rPr>
          <w:t>II.9</w:t>
        </w:r>
        <w:r w:rsidR="004954F4">
          <w:rPr>
            <w:lang w:val="en-GB" w:eastAsia="en-GB" w:bidi="ar-SA"/>
          </w:rPr>
          <w:tab/>
        </w:r>
        <w:r w:rsidR="004954F4" w:rsidRPr="001F7BCD">
          <w:rPr>
            <w:rStyle w:val="Hyperlink"/>
            <w:rFonts w:ascii="Times New Roman" w:hAnsi="Times New Roman"/>
          </w:rPr>
          <w:t>Z 09.00 – Υπηρεσίες ΥΧΑ - Πάροχοι και χρήστες - Χαρτογράφηση βάσει κρίσιμων λειτουργιών</w:t>
        </w:r>
        <w:r w:rsidR="004954F4">
          <w:rPr>
            <w:webHidden/>
          </w:rPr>
          <w:tab/>
        </w:r>
        <w:r w:rsidR="004954F4">
          <w:rPr>
            <w:webHidden/>
          </w:rPr>
          <w:fldChar w:fldCharType="begin"/>
        </w:r>
        <w:r w:rsidR="004954F4">
          <w:rPr>
            <w:webHidden/>
          </w:rPr>
          <w:instrText xml:space="preserve"> PAGEREF _Toc525210701 \h </w:instrText>
        </w:r>
        <w:r w:rsidR="004954F4">
          <w:rPr>
            <w:webHidden/>
          </w:rPr>
        </w:r>
        <w:r w:rsidR="004954F4">
          <w:rPr>
            <w:webHidden/>
          </w:rPr>
          <w:fldChar w:fldCharType="separate"/>
        </w:r>
        <w:r w:rsidR="004954F4">
          <w:rPr>
            <w:webHidden/>
          </w:rPr>
          <w:t>40</w:t>
        </w:r>
        <w:r w:rsidR="004954F4">
          <w:rPr>
            <w:webHidden/>
          </w:rPr>
          <w:fldChar w:fldCharType="end"/>
        </w:r>
      </w:hyperlink>
    </w:p>
    <w:p w:rsidR="004954F4" w:rsidRDefault="00C0314B">
      <w:pPr>
        <w:pStyle w:val="TOC2"/>
        <w:rPr>
          <w:lang w:val="en-GB" w:eastAsia="en-GB" w:bidi="ar-SA"/>
        </w:rPr>
      </w:pPr>
      <w:hyperlink w:anchor="_Toc525210702" w:history="1">
        <w:r w:rsidR="004954F4" w:rsidRPr="001F7BCD">
          <w:rPr>
            <w:rStyle w:val="Hyperlink"/>
            <w:rFonts w:ascii="Times New Roman" w:hAnsi="Times New Roman" w:cs="Times New Roman"/>
          </w:rPr>
          <w:t>II.10</w:t>
        </w:r>
        <w:r w:rsidR="004954F4">
          <w:rPr>
            <w:lang w:val="en-GB" w:eastAsia="en-GB" w:bidi="ar-SA"/>
          </w:rPr>
          <w:tab/>
        </w:r>
        <w:r w:rsidR="004954F4" w:rsidRPr="001F7BCD">
          <w:rPr>
            <w:rStyle w:val="Hyperlink"/>
            <w:rFonts w:ascii="Times New Roman" w:hAnsi="Times New Roman"/>
          </w:rPr>
          <w:t>Κρίσιμα συστήματα πληροφοριών</w:t>
        </w:r>
        <w:r w:rsidR="004954F4">
          <w:rPr>
            <w:webHidden/>
          </w:rPr>
          <w:tab/>
        </w:r>
        <w:r w:rsidR="004954F4">
          <w:rPr>
            <w:webHidden/>
          </w:rPr>
          <w:fldChar w:fldCharType="begin"/>
        </w:r>
        <w:r w:rsidR="004954F4">
          <w:rPr>
            <w:webHidden/>
          </w:rPr>
          <w:instrText xml:space="preserve"> PAGEREF _Toc525210702 \h </w:instrText>
        </w:r>
        <w:r w:rsidR="004954F4">
          <w:rPr>
            <w:webHidden/>
          </w:rPr>
        </w:r>
        <w:r w:rsidR="004954F4">
          <w:rPr>
            <w:webHidden/>
          </w:rPr>
          <w:fldChar w:fldCharType="separate"/>
        </w:r>
        <w:r w:rsidR="004954F4">
          <w:rPr>
            <w:webHidden/>
          </w:rPr>
          <w:t>43</w:t>
        </w:r>
        <w:r w:rsidR="004954F4">
          <w:rPr>
            <w:webHidden/>
          </w:rPr>
          <w:fldChar w:fldCharType="end"/>
        </w:r>
      </w:hyperlink>
    </w:p>
    <w:p w:rsidR="001E5EDF" w:rsidRPr="00D92B3C" w:rsidRDefault="004954F4" w:rsidP="004954F4">
      <w:pPr>
        <w:rPr>
          <w:rFonts w:ascii="Times New Roman" w:hAnsi="Times New Roman" w:cs="Times New Roman"/>
          <w:b/>
          <w:color w:val="000000" w:themeColor="text1"/>
          <w:sz w:val="20"/>
          <w:szCs w:val="20"/>
        </w:rPr>
      </w:pPr>
      <w:r>
        <w:rPr>
          <w:rFonts w:ascii="Times New Roman" w:hAnsi="Times New Roman" w:cs="Times New Roman"/>
          <w:bCs/>
          <w:noProof/>
          <w:color w:val="000000" w:themeColor="text1"/>
          <w:sz w:val="20"/>
          <w:szCs w:val="20"/>
          <w:lang w:val="en-GB"/>
        </w:rPr>
        <w:fldChar w:fldCharType="end"/>
      </w:r>
    </w:p>
    <w:p w:rsidR="00E13CE3" w:rsidRPr="00D92B3C"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0" w:name="_Toc492542318"/>
      <w:r>
        <w:br w:type="page"/>
      </w:r>
    </w:p>
    <w:p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1" w:name="_Toc525210686"/>
      <w:r>
        <w:rPr>
          <w:rFonts w:ascii="Times New Roman" w:hAnsi="Times New Roman"/>
        </w:rPr>
        <w:lastRenderedPageBreak/>
        <w:t>Γενικές οδηγίες</w:t>
      </w:r>
      <w:bookmarkEnd w:id="0"/>
      <w:bookmarkEnd w:id="1"/>
    </w:p>
    <w:p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2" w:name="_Toc525210687"/>
      <w:r>
        <w:rPr>
          <w:rFonts w:ascii="Times New Roman" w:hAnsi="Times New Roman"/>
        </w:rPr>
        <w:t>Δομή</w:t>
      </w:r>
      <w:bookmarkEnd w:id="2"/>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Το πλαίσιο αποτελείται από 15 υποδείγματα, οργανωμένα σε 3 δέσμες:</w:t>
      </w:r>
    </w:p>
    <w:p w:rsidR="002B2A61"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«Γενικές πληροφορίες», ήτοι επισκόπηση της οργανωτικής δομής ενός ομίλου και των οντοτήτων του, της κατανομής των στοιχείων ενεργητικού και των ποσών ανοίγματος σε κίνδυνο. Αυτή η δέσμη αποτελείται από το υπόδειγμα «Z 01.00 - Οργανωτική δομή (ORG)»</w:t>
      </w:r>
    </w:p>
    <w:p w:rsidR="00170788"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«Πληροφορίες για εντός ισολογισμού στοιχεία και εκτός ισολογισμού στοιχεία», ήτοι χρηματοοικονομικές πληροφορίες σχετικά με τις υποχρεώσεις, τα ίδια κεφάλαια, τους οικονομικούς δεσμούς μεταξύ των οντοτήτων του ομίλου, τις υποχρεώσεις έναντι των σημαντικ</w:t>
      </w:r>
      <w:r w:rsidR="00C0314B">
        <w:rPr>
          <w:rFonts w:ascii="Times New Roman" w:hAnsi="Times New Roman"/>
          <w:color w:val="000000" w:themeColor="text1"/>
          <w:sz w:val="20"/>
        </w:rPr>
        <w:t>ότερων αντισυμβαλλομένων και τα</w:t>
      </w:r>
      <w:r>
        <w:rPr>
          <w:rFonts w:ascii="Times New Roman" w:hAnsi="Times New Roman"/>
          <w:color w:val="000000" w:themeColor="text1"/>
          <w:sz w:val="20"/>
        </w:rPr>
        <w:t xml:space="preserve"> εκτός ισολογισμού στοιχεία που λαμβάνονται από τους σημαντικότερους </w:t>
      </w:r>
      <w:r w:rsidR="00A45912">
        <w:rPr>
          <w:rFonts w:ascii="Times New Roman" w:hAnsi="Times New Roman"/>
          <w:color w:val="000000" w:themeColor="text1"/>
          <w:sz w:val="20"/>
        </w:rPr>
        <w:t>αντισυμβαλλομένους</w:t>
      </w:r>
      <w:r>
        <w:rPr>
          <w:rFonts w:ascii="Times New Roman" w:hAnsi="Times New Roman"/>
          <w:color w:val="000000" w:themeColor="text1"/>
          <w:sz w:val="20"/>
        </w:rPr>
        <w:t>, καθώς και την ασφάλιση καταθέσεων. Αυτή η δέσμη αποτελείται από 6 υποδείγματα:</w:t>
      </w:r>
    </w:p>
    <w:p w:rsidR="00D44790" w:rsidRPr="00D92B3C" w:rsidRDefault="00A9747B" w:rsidP="00A9747B">
      <w:pPr>
        <w:pStyle w:val="body"/>
        <w:ind w:left="1440" w:hanging="360"/>
        <w:rPr>
          <w:rFonts w:ascii="Times New Roman" w:hAnsi="Times New Roman" w:cs="Times New Roman"/>
          <w:color w:val="000000" w:themeColor="text1"/>
          <w:sz w:val="20"/>
          <w:szCs w:val="20"/>
        </w:rPr>
      </w:pPr>
      <w:r>
        <w:rPr>
          <w:rFonts w:ascii="Times New Roman" w:hAnsi="Times New Roman"/>
          <w:color w:val="000000" w:themeColor="text1"/>
          <w:sz w:val="20"/>
        </w:rPr>
        <w:t>α)</w:t>
      </w:r>
      <w:r>
        <w:rPr>
          <w:rFonts w:ascii="Times New Roman" w:hAnsi="Times New Roman"/>
          <w:color w:val="000000" w:themeColor="text1"/>
          <w:sz w:val="20"/>
        </w:rPr>
        <w:tab/>
      </w:r>
      <w:r w:rsidR="00A040CC">
        <w:rPr>
          <w:rFonts w:ascii="Times New Roman" w:hAnsi="Times New Roman"/>
          <w:color w:val="000000" w:themeColor="text1"/>
          <w:sz w:val="20"/>
        </w:rPr>
        <w:t>«Z 02.00 - Διάρθρωση υποχρεώσεων (LIAB)»,</w:t>
      </w:r>
    </w:p>
    <w:p w:rsidR="00D44790" w:rsidRPr="00D92B3C" w:rsidRDefault="00A9747B" w:rsidP="00A9747B">
      <w:pPr>
        <w:pStyle w:val="body"/>
        <w:ind w:left="1440" w:hanging="360"/>
        <w:rPr>
          <w:rFonts w:ascii="Times New Roman" w:hAnsi="Times New Roman" w:cs="Times New Roman"/>
          <w:color w:val="000000" w:themeColor="text1"/>
          <w:sz w:val="20"/>
          <w:szCs w:val="20"/>
        </w:rPr>
      </w:pPr>
      <w:r>
        <w:rPr>
          <w:rFonts w:ascii="Times New Roman" w:hAnsi="Times New Roman"/>
          <w:color w:val="000000" w:themeColor="text1"/>
          <w:sz w:val="20"/>
        </w:rPr>
        <w:t>β)</w:t>
      </w:r>
      <w:r>
        <w:rPr>
          <w:rFonts w:ascii="Times New Roman" w:hAnsi="Times New Roman"/>
          <w:color w:val="000000" w:themeColor="text1"/>
          <w:sz w:val="20"/>
        </w:rPr>
        <w:tab/>
      </w:r>
      <w:r w:rsidR="00A040CC">
        <w:rPr>
          <w:rFonts w:ascii="Times New Roman" w:hAnsi="Times New Roman"/>
          <w:color w:val="000000" w:themeColor="text1"/>
          <w:sz w:val="20"/>
        </w:rPr>
        <w:t>«Z 03.00 - Απαιτήσεις ιδίων κεφαλαίων (OWN)»,</w:t>
      </w:r>
    </w:p>
    <w:p w:rsidR="00D44790" w:rsidRPr="00D92B3C" w:rsidRDefault="00A9747B" w:rsidP="00A9747B">
      <w:pPr>
        <w:pStyle w:val="body"/>
        <w:ind w:left="1440" w:hanging="360"/>
        <w:rPr>
          <w:rFonts w:ascii="Times New Roman" w:hAnsi="Times New Roman" w:cs="Times New Roman"/>
          <w:color w:val="000000" w:themeColor="text1"/>
          <w:sz w:val="20"/>
          <w:szCs w:val="20"/>
        </w:rPr>
      </w:pPr>
      <w:r>
        <w:rPr>
          <w:rFonts w:ascii="Times New Roman" w:hAnsi="Times New Roman"/>
          <w:color w:val="000000" w:themeColor="text1"/>
          <w:sz w:val="20"/>
        </w:rPr>
        <w:t>γ)</w:t>
      </w:r>
      <w:r>
        <w:rPr>
          <w:rFonts w:ascii="Times New Roman" w:hAnsi="Times New Roman"/>
          <w:color w:val="000000" w:themeColor="text1"/>
          <w:sz w:val="20"/>
        </w:rPr>
        <w:tab/>
      </w:r>
      <w:r w:rsidR="00A040CC">
        <w:rPr>
          <w:rFonts w:ascii="Times New Roman" w:hAnsi="Times New Roman"/>
          <w:color w:val="000000" w:themeColor="text1"/>
          <w:sz w:val="20"/>
        </w:rPr>
        <w:t>«Z 04.00 - Ενδοομιλικές χρηματοοικονομικές διασυνδέσεις (IFC)»,</w:t>
      </w:r>
    </w:p>
    <w:p w:rsidR="001F072D" w:rsidRPr="00D92B3C" w:rsidRDefault="00A9747B" w:rsidP="00A9747B">
      <w:pPr>
        <w:pStyle w:val="body"/>
        <w:ind w:left="1440" w:hanging="360"/>
        <w:rPr>
          <w:rFonts w:ascii="Times New Roman" w:hAnsi="Times New Roman" w:cs="Times New Roman"/>
          <w:color w:val="000000" w:themeColor="text1"/>
          <w:sz w:val="20"/>
          <w:szCs w:val="20"/>
        </w:rPr>
      </w:pPr>
      <w:r>
        <w:rPr>
          <w:rFonts w:ascii="Times New Roman" w:hAnsi="Times New Roman"/>
          <w:color w:val="000000" w:themeColor="text1"/>
          <w:sz w:val="20"/>
        </w:rPr>
        <w:t>δ)</w:t>
      </w:r>
      <w:r>
        <w:rPr>
          <w:rFonts w:ascii="Times New Roman" w:hAnsi="Times New Roman"/>
          <w:color w:val="000000" w:themeColor="text1"/>
          <w:sz w:val="20"/>
        </w:rPr>
        <w:tab/>
      </w:r>
      <w:r w:rsidR="00C87003">
        <w:rPr>
          <w:rFonts w:ascii="Times New Roman" w:hAnsi="Times New Roman"/>
          <w:color w:val="000000" w:themeColor="text1"/>
          <w:sz w:val="20"/>
        </w:rPr>
        <w:t xml:space="preserve">Δύο υποδείγματα σχετικά με τους σημαντικούς </w:t>
      </w:r>
      <w:r w:rsidR="00A45912">
        <w:rPr>
          <w:rFonts w:ascii="Times New Roman" w:hAnsi="Times New Roman"/>
          <w:color w:val="000000" w:themeColor="text1"/>
          <w:sz w:val="20"/>
        </w:rPr>
        <w:t>αντισυμβαλλομένους</w:t>
      </w:r>
      <w:r w:rsidR="00C87003">
        <w:rPr>
          <w:rFonts w:ascii="Times New Roman" w:hAnsi="Times New Roman"/>
          <w:color w:val="000000" w:themeColor="text1"/>
          <w:sz w:val="20"/>
        </w:rPr>
        <w:t>, «Z 05.01 - Σημαντικοί αντισυμβαλλόμενοι σε υποχρεώσεις (Z-MCP 1)» και «Z 05.02 - Σημαντικοί αντισυμβαλλόμενοι εκτός ισολογισμού (Z-MCP 2)».</w:t>
      </w:r>
    </w:p>
    <w:p w:rsidR="00A040CC" w:rsidRPr="00274771" w:rsidRDefault="00A9747B" w:rsidP="00A9747B">
      <w:pPr>
        <w:pStyle w:val="body"/>
        <w:ind w:left="1440" w:hanging="360"/>
        <w:rPr>
          <w:rFonts w:ascii="Times New Roman" w:hAnsi="Times New Roman" w:cs="Times New Roman"/>
          <w:color w:val="000000" w:themeColor="text1"/>
          <w:sz w:val="20"/>
          <w:szCs w:val="20"/>
        </w:rPr>
      </w:pPr>
      <w:r>
        <w:rPr>
          <w:rFonts w:ascii="Times New Roman" w:hAnsi="Times New Roman"/>
          <w:color w:val="000000" w:themeColor="text1"/>
          <w:sz w:val="20"/>
        </w:rPr>
        <w:t>ε)</w:t>
      </w:r>
      <w:r>
        <w:rPr>
          <w:rFonts w:ascii="Times New Roman" w:hAnsi="Times New Roman"/>
          <w:color w:val="000000" w:themeColor="text1"/>
          <w:sz w:val="20"/>
        </w:rPr>
        <w:tab/>
      </w:r>
      <w:r w:rsidR="00A040CC">
        <w:rPr>
          <w:rFonts w:ascii="Times New Roman" w:hAnsi="Times New Roman"/>
          <w:color w:val="000000" w:themeColor="text1"/>
          <w:sz w:val="20"/>
        </w:rPr>
        <w:t>«Z 06.00 - Ασφάλιση καταθέσεων (Z-DIS)».</w:t>
      </w:r>
    </w:p>
    <w:p w:rsidR="00BB5812" w:rsidRPr="00D92B3C" w:rsidRDefault="00BB5812"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«Κρίσιμες λειτουργίες», ήτοι επισκόπηση των κρίσιμων λειτουργιών και χαρτογράφησή τους βάσει νομικών οντοτήτων, βασικών επιχειρηματικών τομέων, κρίσιμων υπηρεσιών, υποδομών χρηματοπιστωτικών αγορών και συστημάτων πληροφοριών. Αυτή η δέσμη αποτελείται από 7 υποδείγματα:</w:t>
      </w:r>
    </w:p>
    <w:p w:rsidR="002B2A61" w:rsidRPr="00D92B3C" w:rsidRDefault="001E6258"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4 υποδείγματα σχετικά με τον προσδιορισμό των κρίσιμων λειτουργιών και τη χαρτογράφησή τους βάσει βασικών επιχειρηματικών τομέων και οντοτήτων ομίλου, «Z 07.01 - Αξιολόγηση κρισιμότητας οικονομικών λειτουργιών (Z-FUNC 1)», ‘Z 07.02 - Χαρτογράφηση κρίσιμων λειτουργιών ανά νομική οντότητα (Z-FUNC 2)», «Z 07.03 - Χαρτογράφηση βασικών επιχειρηματικών τομέων ανά νομική οντότητα (Z-FUNC 3)» και «Z 07.04 - Χαρτογράφηση κρίσιμων λειτουργιών βάσει βασικών επιχειρηματικών τομέων (Z-FUNC 4)»,</w:t>
      </w:r>
    </w:p>
    <w:p w:rsidR="001E6258" w:rsidRPr="00D92B3C" w:rsidRDefault="00B24A26"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«Z 08.00 - Κρίσιμες υπηρεσίες (Z-SERV)»,</w:t>
      </w:r>
    </w:p>
    <w:p w:rsidR="00B24A26" w:rsidRPr="00D92B3C" w:rsidRDefault="00B24A26" w:rsidP="006F50B4">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 Z 09.00 – Υπηρεσίες ΥΧΑ - Πάροχοι και χρήστες - Χαρτογράφηση βάσει κρίσιμων λειτουργιών (ΥΧΑ),</w:t>
      </w:r>
    </w:p>
    <w:p w:rsidR="00D91F52" w:rsidRPr="00D92B3C" w:rsidRDefault="00D62530"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2 υποδείγματα σχετικά με κρίσιμα συστήματα πληροφοριών, «Z 10.01 - Κρίσιμα συστήματα πληροφοριών (Γενικές πληροφορίες) (Z-CIS 1)» και «Z 10.02 - Χαρτογράφηση συστημάτων πληροφοριών (Z-CIS 2)».</w:t>
      </w:r>
    </w:p>
    <w:p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3" w:name="_Toc525210688"/>
      <w:r>
        <w:rPr>
          <w:rFonts w:ascii="Times New Roman" w:hAnsi="Times New Roman"/>
        </w:rPr>
        <w:t>Παραπομπές</w:t>
      </w:r>
      <w:bookmarkEnd w:id="3"/>
    </w:p>
    <w:p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Για τους σκοπούς του παρόντος παραρτήματος, εφαρμόζονται τα ακόλουθα ακρωνύμια:</w:t>
      </w:r>
    </w:p>
    <w:p w:rsidR="00CF3051" w:rsidRPr="00A9747B" w:rsidRDefault="00A9747B" w:rsidP="00A9747B">
      <w:pPr>
        <w:pStyle w:val="ListParagraph"/>
        <w:ind w:left="1074" w:hanging="360"/>
        <w:jc w:val="both"/>
        <w:rPr>
          <w:rFonts w:ascii="Times New Roman" w:hAnsi="Times New Roman"/>
          <w:color w:val="000000" w:themeColor="text1"/>
          <w:sz w:val="20"/>
          <w:szCs w:val="20"/>
        </w:rPr>
      </w:pPr>
      <w:r>
        <w:rPr>
          <w:rFonts w:ascii="Times New Roman" w:hAnsi="Times New Roman"/>
          <w:color w:val="000000" w:themeColor="text1"/>
          <w:sz w:val="20"/>
        </w:rPr>
        <w:lastRenderedPageBreak/>
        <w:t>α)</w:t>
      </w:r>
      <w:r>
        <w:rPr>
          <w:rFonts w:ascii="Times New Roman" w:hAnsi="Times New Roman"/>
          <w:color w:val="000000" w:themeColor="text1"/>
          <w:sz w:val="20"/>
        </w:rPr>
        <w:tab/>
      </w:r>
      <w:r w:rsidR="00CF3051" w:rsidRPr="00A9747B">
        <w:rPr>
          <w:rFonts w:ascii="Times New Roman" w:hAnsi="Times New Roman"/>
          <w:color w:val="000000" w:themeColor="text1"/>
          <w:sz w:val="20"/>
        </w:rPr>
        <w:t>«BCBS»: Επιτροπή της Βασιλείας για την Τραπεζική Εποπτεία της Τράπεζας Διεθνών Διακανονισμών,</w:t>
      </w:r>
    </w:p>
    <w:p w:rsidR="00B466DD" w:rsidRPr="00A9747B" w:rsidRDefault="00A9747B" w:rsidP="00A9747B">
      <w:pPr>
        <w:pStyle w:val="ListParagraph"/>
        <w:ind w:left="1074" w:hanging="360"/>
        <w:jc w:val="both"/>
        <w:rPr>
          <w:rFonts w:ascii="Times New Roman" w:hAnsi="Times New Roman"/>
          <w:color w:val="000000" w:themeColor="text1"/>
          <w:sz w:val="20"/>
          <w:szCs w:val="20"/>
        </w:rPr>
      </w:pPr>
      <w:r>
        <w:rPr>
          <w:rFonts w:ascii="Times New Roman" w:hAnsi="Times New Roman"/>
          <w:color w:val="000000" w:themeColor="text1"/>
          <w:sz w:val="20"/>
        </w:rPr>
        <w:t>β)</w:t>
      </w:r>
      <w:r>
        <w:rPr>
          <w:rFonts w:ascii="Times New Roman" w:hAnsi="Times New Roman"/>
          <w:color w:val="000000" w:themeColor="text1"/>
          <w:sz w:val="20"/>
        </w:rPr>
        <w:tab/>
      </w:r>
      <w:r w:rsidR="00B466DD" w:rsidRPr="00A9747B">
        <w:rPr>
          <w:rFonts w:ascii="Times New Roman" w:hAnsi="Times New Roman"/>
          <w:color w:val="000000" w:themeColor="text1"/>
          <w:sz w:val="20"/>
        </w:rPr>
        <w:t>«CPMI»: Επιτροπή Πληρωμών και Υποδομών της Αγοράς της Τράπεζας Διεθνών Διακανονισμών,</w:t>
      </w:r>
    </w:p>
    <w:p w:rsidR="00E52C33" w:rsidRPr="00A9747B" w:rsidRDefault="00A9747B" w:rsidP="00A9747B">
      <w:pPr>
        <w:pStyle w:val="ListParagraph"/>
        <w:ind w:left="1074" w:hanging="360"/>
        <w:jc w:val="both"/>
        <w:rPr>
          <w:rFonts w:ascii="Times New Roman" w:hAnsi="Times New Roman"/>
          <w:color w:val="000000" w:themeColor="text1"/>
          <w:sz w:val="20"/>
          <w:szCs w:val="20"/>
        </w:rPr>
      </w:pPr>
      <w:r>
        <w:rPr>
          <w:rFonts w:ascii="Times New Roman" w:hAnsi="Times New Roman"/>
          <w:color w:val="000000" w:themeColor="text1"/>
          <w:sz w:val="20"/>
        </w:rPr>
        <w:t>γ)</w:t>
      </w:r>
      <w:r>
        <w:rPr>
          <w:rFonts w:ascii="Times New Roman" w:hAnsi="Times New Roman"/>
          <w:color w:val="000000" w:themeColor="text1"/>
          <w:sz w:val="20"/>
        </w:rPr>
        <w:tab/>
      </w:r>
      <w:r w:rsidR="00E52C33" w:rsidRPr="00A9747B">
        <w:rPr>
          <w:rFonts w:ascii="Times New Roman" w:hAnsi="Times New Roman"/>
          <w:color w:val="000000" w:themeColor="text1"/>
          <w:sz w:val="20"/>
        </w:rPr>
        <w:t>«FINREP»: υποδείγματα χρηματοοικονομικών πληροφοριών που περιλαμβάνονται στα παραρτήματα III και IV, και συμπληρωματικές οδηγίες που περιλαμβάνονται στο παράρτημα V, του εκτελεστικού κανονισμού (ΕΕ) αριθ. 680/2014 της Επιτροπής</w:t>
      </w:r>
      <w:r w:rsidR="00E52C33">
        <w:rPr>
          <w:rStyle w:val="FootnoteReference"/>
          <w:rFonts w:ascii="Times New Roman" w:hAnsi="Times New Roman"/>
          <w:sz w:val="20"/>
        </w:rPr>
        <w:footnoteReference w:id="1"/>
      </w:r>
      <w:r w:rsidR="00E52C33" w:rsidRPr="00A9747B">
        <w:rPr>
          <w:rFonts w:ascii="Times New Roman" w:hAnsi="Times New Roman"/>
          <w:color w:val="000000" w:themeColor="text1"/>
          <w:sz w:val="20"/>
        </w:rPr>
        <w:t>,</w:t>
      </w:r>
    </w:p>
    <w:p w:rsidR="00D920E5" w:rsidRPr="00A9747B" w:rsidRDefault="00A9747B" w:rsidP="00A9747B">
      <w:pPr>
        <w:pStyle w:val="ListParagraph"/>
        <w:ind w:left="1074" w:hanging="360"/>
        <w:jc w:val="both"/>
        <w:rPr>
          <w:rFonts w:ascii="Times New Roman" w:hAnsi="Times New Roman"/>
          <w:color w:val="000000" w:themeColor="text1"/>
          <w:sz w:val="20"/>
          <w:szCs w:val="20"/>
        </w:rPr>
      </w:pPr>
      <w:r>
        <w:rPr>
          <w:rFonts w:ascii="Times New Roman" w:hAnsi="Times New Roman"/>
          <w:color w:val="000000" w:themeColor="text1"/>
          <w:sz w:val="20"/>
        </w:rPr>
        <w:t>δ)</w:t>
      </w:r>
      <w:r>
        <w:rPr>
          <w:rFonts w:ascii="Times New Roman" w:hAnsi="Times New Roman"/>
          <w:color w:val="000000" w:themeColor="text1"/>
          <w:sz w:val="20"/>
        </w:rPr>
        <w:tab/>
      </w:r>
      <w:r w:rsidR="00D920E5" w:rsidRPr="00A9747B">
        <w:rPr>
          <w:rFonts w:ascii="Times New Roman" w:hAnsi="Times New Roman"/>
          <w:color w:val="000000" w:themeColor="text1"/>
          <w:sz w:val="20"/>
        </w:rPr>
        <w:t>«COREP (OF)»: παραρτήματα I (υποδείγματα) και II (οδηγίες) του εκτελεστικού κανονισμού (ΕΕ) αριθ. 680/2014,</w:t>
      </w:r>
    </w:p>
    <w:p w:rsidR="00D920E5" w:rsidRPr="00A9747B" w:rsidRDefault="00A9747B" w:rsidP="00A9747B">
      <w:pPr>
        <w:pStyle w:val="ListParagraph"/>
        <w:ind w:left="1074" w:hanging="360"/>
        <w:jc w:val="both"/>
        <w:rPr>
          <w:rFonts w:ascii="Times New Roman" w:hAnsi="Times New Roman"/>
          <w:color w:val="000000" w:themeColor="text1"/>
          <w:sz w:val="20"/>
          <w:szCs w:val="20"/>
        </w:rPr>
      </w:pPr>
      <w:r>
        <w:rPr>
          <w:rFonts w:ascii="Times New Roman" w:hAnsi="Times New Roman"/>
          <w:color w:val="000000" w:themeColor="text1"/>
          <w:sz w:val="20"/>
        </w:rPr>
        <w:t>ε)</w:t>
      </w:r>
      <w:r>
        <w:rPr>
          <w:rFonts w:ascii="Times New Roman" w:hAnsi="Times New Roman"/>
          <w:color w:val="000000" w:themeColor="text1"/>
          <w:sz w:val="20"/>
        </w:rPr>
        <w:tab/>
      </w:r>
      <w:r w:rsidR="00D920E5" w:rsidRPr="00A9747B">
        <w:rPr>
          <w:rFonts w:ascii="Times New Roman" w:hAnsi="Times New Roman"/>
          <w:color w:val="000000" w:themeColor="text1"/>
          <w:sz w:val="20"/>
        </w:rPr>
        <w:t>«COREP (LR)»: παραρτήματα X (υποδείγματα) και XI (οδηγίες) του εκτελεστικού κανονισμού (ΕΕ) αριθ. 680/2014,</w:t>
      </w:r>
    </w:p>
    <w:p w:rsidR="00B466DD" w:rsidRPr="00A9747B" w:rsidRDefault="00A9747B" w:rsidP="00A9747B">
      <w:pPr>
        <w:pStyle w:val="ListParagraph"/>
        <w:ind w:left="1074" w:hanging="360"/>
        <w:jc w:val="both"/>
        <w:rPr>
          <w:rFonts w:ascii="Times New Roman" w:hAnsi="Times New Roman"/>
          <w:color w:val="000000" w:themeColor="text1"/>
          <w:sz w:val="20"/>
          <w:szCs w:val="20"/>
        </w:rPr>
      </w:pPr>
      <w:r>
        <w:rPr>
          <w:rFonts w:ascii="Times New Roman" w:hAnsi="Times New Roman"/>
          <w:color w:val="000000" w:themeColor="text1"/>
          <w:sz w:val="20"/>
        </w:rPr>
        <w:t>στ)</w:t>
      </w:r>
      <w:r>
        <w:rPr>
          <w:rFonts w:ascii="Times New Roman" w:hAnsi="Times New Roman"/>
          <w:color w:val="000000" w:themeColor="text1"/>
          <w:sz w:val="20"/>
        </w:rPr>
        <w:tab/>
      </w:r>
      <w:r w:rsidR="00B466DD" w:rsidRPr="00A9747B">
        <w:rPr>
          <w:rFonts w:ascii="Times New Roman" w:hAnsi="Times New Roman"/>
          <w:color w:val="000000" w:themeColor="text1"/>
          <w:sz w:val="20"/>
        </w:rPr>
        <w:t>«ΣΧΣ»: Συμβούλιο Χρηματοπιστωτικής Σταθερότητας,</w:t>
      </w:r>
    </w:p>
    <w:p w:rsidR="00E52C33" w:rsidRPr="00A9747B" w:rsidRDefault="00A9747B" w:rsidP="00A9747B">
      <w:pPr>
        <w:pStyle w:val="ListParagraph"/>
        <w:ind w:left="1074" w:hanging="360"/>
        <w:jc w:val="both"/>
        <w:rPr>
          <w:rFonts w:ascii="Times New Roman" w:hAnsi="Times New Roman"/>
          <w:color w:val="000000" w:themeColor="text1"/>
          <w:sz w:val="20"/>
          <w:szCs w:val="20"/>
        </w:rPr>
      </w:pPr>
      <w:r>
        <w:rPr>
          <w:rFonts w:ascii="Times New Roman" w:hAnsi="Times New Roman"/>
          <w:color w:val="000000" w:themeColor="text1"/>
          <w:sz w:val="20"/>
        </w:rPr>
        <w:t>ζ)</w:t>
      </w:r>
      <w:r>
        <w:rPr>
          <w:rFonts w:ascii="Times New Roman" w:hAnsi="Times New Roman"/>
          <w:color w:val="000000" w:themeColor="text1"/>
          <w:sz w:val="20"/>
        </w:rPr>
        <w:tab/>
      </w:r>
      <w:r w:rsidR="00E52C33" w:rsidRPr="00A9747B">
        <w:rPr>
          <w:rFonts w:ascii="Times New Roman" w:hAnsi="Times New Roman"/>
          <w:color w:val="000000" w:themeColor="text1"/>
          <w:sz w:val="20"/>
        </w:rPr>
        <w:t>«ΔΛΠ»: Διεθνή Λογιστικά Πρότυπα, όπως ορίζονται στο άρθρο 2 του κανονισμού (ΕΚ) αριθ. 1606/2002 του Ευρωπαϊκού Κοινοβουλίου και του Συμβουλίου</w:t>
      </w:r>
      <w:r w:rsidR="00E52C33">
        <w:rPr>
          <w:vertAlign w:val="superscript"/>
        </w:rPr>
        <w:footnoteReference w:id="2"/>
      </w:r>
      <w:r w:rsidR="00E52C33" w:rsidRPr="00A9747B">
        <w:rPr>
          <w:rFonts w:ascii="Times New Roman" w:hAnsi="Times New Roman"/>
          <w:color w:val="000000" w:themeColor="text1"/>
          <w:sz w:val="20"/>
        </w:rPr>
        <w:t>,</w:t>
      </w:r>
    </w:p>
    <w:p w:rsidR="0036168C" w:rsidRPr="00A9747B" w:rsidRDefault="00A9747B" w:rsidP="00A9747B">
      <w:pPr>
        <w:pStyle w:val="ListParagraph"/>
        <w:ind w:left="1074" w:hanging="360"/>
        <w:jc w:val="both"/>
        <w:rPr>
          <w:rFonts w:ascii="Times New Roman" w:hAnsi="Times New Roman"/>
          <w:color w:val="000000" w:themeColor="text1"/>
          <w:sz w:val="20"/>
          <w:szCs w:val="20"/>
        </w:rPr>
      </w:pPr>
      <w:r>
        <w:rPr>
          <w:rFonts w:ascii="Times New Roman" w:hAnsi="Times New Roman"/>
          <w:color w:val="000000" w:themeColor="text1"/>
          <w:sz w:val="20"/>
        </w:rPr>
        <w:t>η)</w:t>
      </w:r>
      <w:r>
        <w:rPr>
          <w:rFonts w:ascii="Times New Roman" w:hAnsi="Times New Roman"/>
          <w:color w:val="000000" w:themeColor="text1"/>
          <w:sz w:val="20"/>
        </w:rPr>
        <w:tab/>
      </w:r>
      <w:r w:rsidR="0036168C" w:rsidRPr="00A9747B">
        <w:rPr>
          <w:rFonts w:ascii="Times New Roman" w:hAnsi="Times New Roman"/>
          <w:color w:val="000000" w:themeColor="text1"/>
          <w:sz w:val="20"/>
        </w:rPr>
        <w:t>«ΔΠΧΑ»: Διεθνή Πρότυπα Χρηματοοικονομικής Αναφοράς, όπως ορίζονται στο άρθρο 2 του κανονισμού (ΕΚ) αριθ. 1606/2002</w:t>
      </w:r>
      <w:r w:rsidR="0036168C">
        <w:rPr>
          <w:rStyle w:val="FootnoteReference"/>
          <w:rFonts w:ascii="Times New Roman" w:hAnsi="Times New Roman"/>
          <w:color w:val="000000" w:themeColor="text1"/>
          <w:sz w:val="20"/>
        </w:rPr>
        <w:footnoteReference w:id="3"/>
      </w:r>
      <w:r w:rsidR="0036168C" w:rsidRPr="00A9747B">
        <w:rPr>
          <w:rFonts w:ascii="Times New Roman" w:hAnsi="Times New Roman"/>
          <w:color w:val="000000" w:themeColor="text1"/>
          <w:sz w:val="20"/>
        </w:rPr>
        <w:t>,</w:t>
      </w:r>
    </w:p>
    <w:p w:rsidR="007D568C" w:rsidRPr="00A9747B" w:rsidRDefault="00A9747B" w:rsidP="00A9747B">
      <w:pPr>
        <w:pStyle w:val="ListParagraph"/>
        <w:ind w:left="1074" w:hanging="360"/>
        <w:jc w:val="both"/>
        <w:rPr>
          <w:rFonts w:ascii="Times New Roman" w:hAnsi="Times New Roman"/>
          <w:color w:val="000000" w:themeColor="text1"/>
          <w:sz w:val="20"/>
          <w:szCs w:val="20"/>
        </w:rPr>
      </w:pPr>
      <w:r>
        <w:rPr>
          <w:rFonts w:ascii="Times New Roman" w:hAnsi="Times New Roman"/>
          <w:color w:val="000000" w:themeColor="text1"/>
          <w:sz w:val="20"/>
        </w:rPr>
        <w:t>θ)</w:t>
      </w:r>
      <w:r>
        <w:rPr>
          <w:rFonts w:ascii="Times New Roman" w:hAnsi="Times New Roman"/>
          <w:color w:val="000000" w:themeColor="text1"/>
          <w:sz w:val="20"/>
        </w:rPr>
        <w:tab/>
      </w:r>
      <w:r w:rsidR="00CC130F" w:rsidRPr="00A9747B">
        <w:rPr>
          <w:rFonts w:ascii="Times New Roman" w:hAnsi="Times New Roman"/>
          <w:color w:val="000000" w:themeColor="text1"/>
          <w:sz w:val="20"/>
        </w:rPr>
        <w:t xml:space="preserve"> «Κωδικός LEI»: αναγνωριστικός κωδικός νομικής οντότητας που αποσκοπεί στη διαμόρφωση ενός μοναδικού και παγκόσμιου αναγνωριστικού κωδικού των συμβαλλομένων σε χρηματοοικονομικές συναλλαγές, όπως προτάθηκε από το Συμβούλιο Χρηματοπιστωτικής Σταθερότητας (ΣΧΣ) και εγκρίθηκε από την ομάδα G20. Μέχρις ότου το παγκόσμιο σύστημα LEI καταστεί πλήρως λειτουργικό, εκχωρούνται προκαταρκτικοί κωδικοί LEI στους αντισυμβαλλομένους από τοπική επιχειρησιακή μονάδα που έχει εγκριθεί από την επιτροπή ρυθμιστικής εποπτείας (ROC, λεπτομερείς πληροφορίες διατίθενται στον ακόλουθο δικτυακό τόπο: </w:t>
      </w:r>
      <w:hyperlink r:id="rId9">
        <w:r w:rsidR="00CC130F" w:rsidRPr="00A9747B">
          <w:rPr>
            <w:rStyle w:val="Hyperlink"/>
            <w:rFonts w:ascii="Times New Roman" w:hAnsi="Times New Roman"/>
            <w:color w:val="000000" w:themeColor="text1"/>
            <w:sz w:val="20"/>
          </w:rPr>
          <w:t>www.leiroc.org</w:t>
        </w:r>
      </w:hyperlink>
      <w:r w:rsidR="00CC130F" w:rsidRPr="00A9747B">
        <w:rPr>
          <w:rFonts w:ascii="Times New Roman" w:hAnsi="Times New Roman"/>
          <w:color w:val="000000" w:themeColor="text1"/>
          <w:sz w:val="20"/>
        </w:rPr>
        <w:t>). Όταν υφίσταται αναγνωριστικός κωδικός νομικής οντότητας (LEI) για έναν συγκεκριμένο αντισυμβαλλόμενο, χρησιμοποιείται για να προσδιορίσει τον εν λόγω αντισυμβαλλόμενο,</w:t>
      </w:r>
    </w:p>
    <w:p w:rsidR="00B466DD" w:rsidRPr="00A9747B" w:rsidRDefault="00A9747B" w:rsidP="00A9747B">
      <w:pPr>
        <w:pStyle w:val="ListParagraph"/>
        <w:ind w:left="1074" w:hanging="360"/>
        <w:jc w:val="both"/>
        <w:rPr>
          <w:rFonts w:ascii="Times New Roman" w:hAnsi="Times New Roman"/>
          <w:color w:val="000000" w:themeColor="text1"/>
          <w:sz w:val="20"/>
          <w:szCs w:val="20"/>
        </w:rPr>
      </w:pPr>
      <w:r>
        <w:rPr>
          <w:rFonts w:ascii="Times New Roman" w:hAnsi="Times New Roman"/>
          <w:color w:val="000000" w:themeColor="text1"/>
          <w:sz w:val="20"/>
        </w:rPr>
        <w:t>ι)</w:t>
      </w:r>
      <w:r>
        <w:rPr>
          <w:rFonts w:ascii="Times New Roman" w:hAnsi="Times New Roman"/>
          <w:color w:val="000000" w:themeColor="text1"/>
          <w:sz w:val="20"/>
        </w:rPr>
        <w:tab/>
      </w:r>
      <w:r w:rsidR="00B466DD" w:rsidRPr="00A9747B">
        <w:rPr>
          <w:rFonts w:ascii="Times New Roman" w:hAnsi="Times New Roman"/>
          <w:color w:val="000000" w:themeColor="text1"/>
          <w:sz w:val="20"/>
        </w:rPr>
        <w:t>«ΕΓΑΛΑ» ή «εθνικές γενικά αποδεκτές λογιστικές αρχές»: τα εθνικά λογιστικά πλαίσια που αναπτύχθηκαν βάσει της οδηγίας 86/635/ΕΟΚ</w:t>
      </w:r>
      <w:r w:rsidR="00B466DD">
        <w:rPr>
          <w:rStyle w:val="FootnoteReference"/>
          <w:color w:val="000000" w:themeColor="text1"/>
        </w:rPr>
        <w:footnoteReference w:id="4"/>
      </w:r>
      <w:r w:rsidR="00B466DD" w:rsidRPr="00A9747B">
        <w:rPr>
          <w:rFonts w:ascii="Times New Roman" w:hAnsi="Times New Roman"/>
          <w:color w:val="000000" w:themeColor="text1"/>
          <w:sz w:val="20"/>
        </w:rPr>
        <w:t>.</w:t>
      </w:r>
    </w:p>
    <w:p w:rsidR="005E66E5" w:rsidRPr="00D92B3C" w:rsidRDefault="005E66E5" w:rsidP="00FA2A1A">
      <w:pPr>
        <w:pStyle w:val="ListParagraph"/>
        <w:ind w:left="1074"/>
        <w:rPr>
          <w:rFonts w:ascii="Times New Roman" w:hAnsi="Times New Roman"/>
          <w:color w:val="000000" w:themeColor="text1"/>
          <w:sz w:val="20"/>
          <w:szCs w:val="20"/>
        </w:rPr>
      </w:pPr>
    </w:p>
    <w:p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4" w:name="_Toc525210689"/>
      <w:r>
        <w:rPr>
          <w:rFonts w:ascii="Times New Roman" w:hAnsi="Times New Roman"/>
        </w:rPr>
        <w:t>Λογιστικά πρότυπα</w:t>
      </w:r>
      <w:bookmarkEnd w:id="4"/>
    </w:p>
    <w:p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Εκτός εάν αναφέρεται διαφορετικά στις παρούσες οδηγίες, τα ιδρύματα αναφέρουν όλα τα ποσά βάσει του λογιστικού πλαισίου που χρησιμοποιούν για την αναφορά χρηματοοικονομικών πληροφοριών, σύμφωνα με τα άρθρα 9 έως 11 του εκτελεστικού κανονισμού (ΕΕ) αριθ. 680/2014. Τα ιδρύματα που δεν υποχρεούνται να αναφέρουν χρηματοοικονομικές πληροφορίες σύμφωνα με τον εκτελεστικό κανονισμό (ΕΕ) αριθ. 680/2014 εφαρμόζουν τους κανόνες του αντίστοιχου λογιστικού πλαισίου τους. </w:t>
      </w:r>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Όσον αφορά ιδρύματα που υποβάλλουν αναφορές βάσει των ΔΠΧΑ, έχουν παρεμβληθεί παραπομπές στα σχετικά ΔΠΧΑ.</w:t>
      </w:r>
    </w:p>
    <w:p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5" w:name="_Toc525210690"/>
      <w:r>
        <w:rPr>
          <w:rFonts w:ascii="Times New Roman" w:hAnsi="Times New Roman"/>
        </w:rPr>
        <w:t>Πεδίο εφαρμογής της ενοποίησης</w:t>
      </w:r>
      <w:bookmarkEnd w:id="5"/>
    </w:p>
    <w:p w:rsidR="00CF3051" w:rsidRPr="00D92B3C" w:rsidRDefault="00883A6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Το εν λόγω πλαίσιο αναφέρεται, ανάλογα με το υπόδειγμα, στα ακόλουθα:</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ενοποίηση βάσει λογιστικής ενοποίησης (οι οντότητες που περιλαμβάνονται στις ενοποιημένες οικονομικές καταστάσεις σύμφωνα με το ισχύον λογιστικό πλαίσιο),</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lastRenderedPageBreak/>
        <w:t>εποπτική ενοποίηση (οντότητες που εμπίπτουν στο πεδίο εφαρμογής της ενοποίησης σύμφωνα με το κεφάλαιο 2 του τίτλου II του πρώτου μέρους του κανονισμού (ΕΕ) αριθ. 575/2013 του Ευρωπαϊκού Κοινοβουλίου και του Συμβουλίου</w:t>
      </w:r>
      <w:r>
        <w:rPr>
          <w:rStyle w:val="FootnoteReference"/>
        </w:rPr>
        <w:footnoteReference w:id="5"/>
      </w:r>
      <w:r>
        <w:rPr>
          <w:rFonts w:ascii="Times New Roman" w:hAnsi="Times New Roman"/>
          <w:sz w:val="20"/>
        </w:rPr>
        <w:t xml:space="preserve">) στο επίπεδο της μητρικής επιχείρησης της Ένωσης, </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ενοποίηση στο επίπεδο της οντότητας εξυγίανσης για τον όμιλο εξυγίανσης.</w:t>
      </w:r>
    </w:p>
    <w:p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Για κάθε υπόδειγμα, τα ιδρύματα ακολουθούν την εφαρμοστέα βάση ή βάσεις ενοποίησης σύμφωνα με το άρθρο 4 του παρόντος κανονισμού.</w:t>
      </w:r>
    </w:p>
    <w:p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6" w:name="_Toc525210691"/>
      <w:r>
        <w:rPr>
          <w:rFonts w:ascii="Times New Roman" w:hAnsi="Times New Roman"/>
        </w:rPr>
        <w:t>Αρίθμηση και άλλοι κανόνες</w:t>
      </w:r>
      <w:bookmarkEnd w:id="6"/>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Οι παρούσες οδηγίες ακολουθούν τους κανόνες σήμανσης που ορίζονται κατωτέρω, όταν γίνεται παραπομπή στις στήλες, τις γραμμές και τα κελιά των υποδειγμάτων. Οι συγκεκριμένοι αριθμητικοί κωδικοί χρησιμοποιούνται εκτεταμένα στους κανόνες επικύρωσης.</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Τα ακόλουθα γενικά σύμβολα χρησιμοποιούνται στις παρούσες οδηγίες προκειμένου να παραπέμψουν στις στήλες, στις γραμμές και στα κελιά ενός υποδείγματος: {</w:t>
      </w:r>
      <w:proofErr w:type="spellStart"/>
      <w:r>
        <w:rPr>
          <w:rFonts w:ascii="Times New Roman" w:hAnsi="Times New Roman"/>
          <w:sz w:val="20"/>
        </w:rPr>
        <w:t>Υπόδειγμα,Γραμμή,Στήλη</w:t>
      </w:r>
      <w:proofErr w:type="spell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Στην περίπτωση επικυρώσεων εντός ενός υποδείγματος στο οποίο χρησιμοποιούνται μόνο τα σημεία δεδομένων του συγκεκριμένου υποδείγματος, τα σύμβολα δεν αναφέρονται σε υπόδειγμα: {</w:t>
      </w:r>
      <w:proofErr w:type="spellStart"/>
      <w:r>
        <w:rPr>
          <w:rFonts w:ascii="Times New Roman" w:hAnsi="Times New Roman"/>
          <w:sz w:val="20"/>
        </w:rPr>
        <w:t>Γραμμή,Στήλη</w:t>
      </w:r>
      <w:proofErr w:type="spell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Στην περίπτωση υποδειγμάτων με μόνο μία στήλη, αναφέρονται μόνο οι γραμμές: {</w:t>
      </w:r>
      <w:proofErr w:type="spellStart"/>
      <w:r>
        <w:rPr>
          <w:rFonts w:ascii="Times New Roman" w:hAnsi="Times New Roman"/>
          <w:sz w:val="20"/>
        </w:rPr>
        <w:t>Υπόδειγμα,Γραμμή</w:t>
      </w:r>
      <w:proofErr w:type="spell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Ο αστερίσκος χρησιμοποιείται για να εκφράσει την επικύρωση γραμμών ή στηλών που έχουν προσδιοριστεί προηγουμένως.</w:t>
      </w:r>
    </w:p>
    <w:p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Σε περίπτωση που ένα στοιχείο πληροφοριών δεν εφαρμόζεται στις οντότητες για τις οποίες υποβάλλεται η αναφορά, το αντίστοιχο πεδίο παραμένει κενό.</w:t>
      </w:r>
    </w:p>
    <w:p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Σε περίπτωση που οι παρούσες οδηγίες αναφέρονται σε πρωτεύουσα κλείδα, η εν λόγω κλείδα σημαίνει στήλη ή συνδυασμό στηλών που έχουν οριστεί ώστε να προσδιορίζουν με μοναδικό τρόπο όλες τις γραμμές του υποδείγματος. Μια πρωτεύουσα κλείδα περιλαμβάνει μια μοναδική τιμή για κάθε γραμμή του υποδείγματος. Δεν μπορεί να περιλαμβάνει μηδενική τιμή.</w:t>
      </w:r>
    </w:p>
    <w:p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7" w:name="_Toc492542319"/>
      <w:bookmarkStart w:id="8" w:name="_Toc525210692"/>
      <w:r>
        <w:rPr>
          <w:rFonts w:ascii="Times New Roman" w:hAnsi="Times New Roman"/>
        </w:rPr>
        <w:t>Οδηγίες σχετικά με τα υποδείγματα</w:t>
      </w:r>
      <w:bookmarkEnd w:id="7"/>
      <w:bookmarkEnd w:id="8"/>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9" w:name="_Toc493236007"/>
      <w:bookmarkStart w:id="10" w:name="_Toc525210693"/>
      <w:bookmarkEnd w:id="9"/>
      <w:r>
        <w:rPr>
          <w:rFonts w:ascii="Times New Roman" w:hAnsi="Times New Roman"/>
        </w:rPr>
        <w:t>Z 01.00 - Οργανωτική δομή (ORG)</w:t>
      </w:r>
      <w:bookmarkEnd w:id="10"/>
    </w:p>
    <w:p w:rsidR="00E13CE3" w:rsidRPr="00D92B3C" w:rsidRDefault="00E13CE3" w:rsidP="00EC261B">
      <w:pPr>
        <w:pStyle w:val="Instructionsberschrift3"/>
      </w:pPr>
      <w:r>
        <w:t>Γενικές παρατηρήσεις</w:t>
      </w:r>
    </w:p>
    <w:p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Αυτό το υπόδειγμα παρέχει επισκόπηση της νομικής και ιδιοκτησιακής δομής του ομίλου. Ένα μοναδικό υπόδειγμα υποβάλλεται σε σχέση με το σύνολο των οντοτήτων του ομίλου, το οποίο πληροί το ελάχιστο όριο που ορίζεται στο άρθρο 4 παράγραφος 2 στοιχείο α) του παρόντος κανονισμού. Σε αυτό το υπόδειγμα προσδιορίζονται μόνο νομικές οντότητες. </w:t>
      </w:r>
    </w:p>
    <w:p w:rsidR="00E13CE3" w:rsidRPr="00D92B3C" w:rsidRDefault="00AF189E" w:rsidP="00EC261B">
      <w:pPr>
        <w:pStyle w:val="Instructionsberschrift3"/>
      </w:pPr>
      <w:r>
        <w:t>Οδηγίες για συγκεκριμένες θέσεις</w:t>
      </w:r>
    </w:p>
    <w:p w:rsidR="00E13CE3" w:rsidRPr="00D92B3C"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676"/>
        <w:gridCol w:w="8407"/>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Στήλες</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Οδηγίες</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pacing w:val="-1"/>
                <w:w w:val="95"/>
                <w:sz w:val="20"/>
              </w:rPr>
              <w:t>Οντότητα</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lastRenderedPageBreak/>
              <w:t>0010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Επωνυμία</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rPr>
              <w:t>Όνομα της οντότητας. Επίσημο όνομα της οντότητας, όπως εμφανίζεται στις εταιρικές πράξεις, περιλαμβανομένης της ένδειξης της νομικής μορφής.</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Κωδικός</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Κωδικός της οντότητας. Όσον αφορά τα ιδρύματα, ο κωδικός είναι ο 20ψήφιος, αλφαριθμητικός κωδικός LEI. Όσον αφορά τις υπόλοιπες οντότητες, ο κωδικός είναι ο 20ψήφιος, αλφαριθμητικός κωδικός LEI, ή, σε περίπτωση που δεν είναι διαθέσιμος,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Ο κωδικός είναι μοναδικός και χρησιμοποιείται με συνέπεια σε όλα τα υποδείγματα. Ο κωδικός έχει πάντοτε μια τιμή.</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Κωδικός LEI</w:t>
            </w:r>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20ψήφιος, αλφαριθμητικός κωδικός LEI της οντότητας, εφόσον διατίθεται.</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Τύπος οντότητας</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pacing w:val="-1"/>
                <w:w w:val="90"/>
                <w:sz w:val="20"/>
              </w:rPr>
              <w:t>Ο τύπος της οντότητας, κατά διαδοχική σειρά προτεραιότητας, είναι ένας από τους ακόλουθους:</w:t>
            </w:r>
          </w:p>
          <w:p w:rsidR="004E4AD0" w:rsidRPr="00D92B3C" w:rsidRDefault="00E97169" w:rsidP="00E97169">
            <w:pPr>
              <w:pStyle w:val="TableParagraph"/>
              <w:spacing w:before="108"/>
              <w:ind w:left="445" w:hanging="360"/>
              <w:rPr>
                <w:rFonts w:ascii="Times New Roman" w:hAnsi="Times New Roman" w:cs="Times New Roman"/>
                <w:color w:val="000000" w:themeColor="text1"/>
                <w:sz w:val="20"/>
                <w:szCs w:val="20"/>
              </w:rPr>
            </w:pPr>
            <w:proofErr w:type="spellStart"/>
            <w:r>
              <w:rPr>
                <w:rFonts w:ascii="Times New Roman" w:hAnsi="Times New Roman"/>
                <w:color w:val="000000" w:themeColor="text1"/>
                <w:sz w:val="20"/>
              </w:rPr>
              <w:t>α)</w:t>
            </w:r>
            <w:r w:rsidR="00FC6D1E">
              <w:rPr>
                <w:rFonts w:ascii="Times New Roman" w:hAnsi="Times New Roman"/>
                <w:color w:val="000000" w:themeColor="text1"/>
                <w:sz w:val="20"/>
              </w:rPr>
              <w:t>«</w:t>
            </w:r>
            <w:r w:rsidR="00FC6D1E" w:rsidRPr="004954F4">
              <w:rPr>
                <w:rFonts w:ascii="Times New Roman" w:hAnsi="Times New Roman" w:cs="Times New Roman"/>
                <w:color w:val="000000" w:themeColor="text1"/>
                <w:sz w:val="20"/>
                <w:szCs w:val="20"/>
                <w:lang w:eastAsia="en-US" w:bidi="ar-SA"/>
              </w:rPr>
              <w:t>Πιστωτικό</w:t>
            </w:r>
            <w:proofErr w:type="spellEnd"/>
            <w:r w:rsidR="00FC6D1E">
              <w:rPr>
                <w:rFonts w:ascii="Times New Roman" w:hAnsi="Times New Roman"/>
                <w:color w:val="000000" w:themeColor="text1"/>
                <w:sz w:val="20"/>
              </w:rPr>
              <w:t xml:space="preserve"> ίδρυμα»</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Η εν λόγω κατηγορία καλύπτει τα πιστωτικά ιδρύματα που ανταποκρίνονται στον ορισμό του άρθρου 4 παράγραφος 1 σημείο 1) του κανονισμού (ΕΕ) αριθ. 575/2013, εκτός των οντοτήτων που αναφέρονται στο άρθρο 2 παράγραφος 5 της οδηγίας 2013/36/ΕΕ</w:t>
            </w:r>
            <w:r>
              <w:rPr>
                <w:rStyle w:val="FootnoteReference"/>
                <w:color w:val="000000" w:themeColor="text1"/>
              </w:rPr>
              <w:footnoteReference w:id="6"/>
            </w:r>
            <w:r>
              <w:rPr>
                <w:rFonts w:ascii="Times New Roman" w:hAnsi="Times New Roman"/>
                <w:color w:val="000000" w:themeColor="text1"/>
                <w:sz w:val="20"/>
              </w:rPr>
              <w:t xml:space="preserve">, </w:t>
            </w:r>
          </w:p>
          <w:p w:rsidR="00761ED3" w:rsidRPr="00D92B3C" w:rsidRDefault="00E97169" w:rsidP="00E97169">
            <w:pPr>
              <w:pStyle w:val="TableParagraph"/>
              <w:spacing w:before="108"/>
              <w:ind w:left="445" w:hanging="360"/>
              <w:rPr>
                <w:rFonts w:ascii="Times New Roman" w:hAnsi="Times New Roman" w:cs="Times New Roman"/>
                <w:color w:val="000000" w:themeColor="text1"/>
                <w:sz w:val="20"/>
                <w:szCs w:val="20"/>
              </w:rPr>
            </w:pPr>
            <w:proofErr w:type="spellStart"/>
            <w:r>
              <w:rPr>
                <w:rFonts w:ascii="Times New Roman" w:hAnsi="Times New Roman"/>
                <w:color w:val="000000" w:themeColor="text1"/>
                <w:sz w:val="20"/>
              </w:rPr>
              <w:t>β)</w:t>
            </w:r>
            <w:r w:rsidR="00FC6D1E">
              <w:rPr>
                <w:rFonts w:ascii="Times New Roman" w:hAnsi="Times New Roman"/>
                <w:color w:val="000000" w:themeColor="text1"/>
                <w:sz w:val="20"/>
              </w:rPr>
              <w:t>«Επιχείρηση</w:t>
            </w:r>
            <w:proofErr w:type="spellEnd"/>
            <w:r w:rsidR="00FC6D1E">
              <w:rPr>
                <w:rFonts w:ascii="Times New Roman" w:hAnsi="Times New Roman"/>
                <w:color w:val="000000" w:themeColor="text1"/>
                <w:sz w:val="20"/>
              </w:rPr>
              <w:t xml:space="preserve"> επενδύσεων υποκείμενη στην απαίτηση αρχικού κεφαλαίου που καθορίζεται στο άρθρο 28 παράγραφος 2 της οδηγίας 2013/36/ΕΕ»,</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Η εν λόγω κατηγορία καλύπτει τις επιχειρήσεις επενδύσεων που ανταποκρίνονται στον ορισμό του άρθρου 4 παράγραφος 1 σημείο 2) του κανονισμού (ΕΕ) αριθ. 575/2013, και η οποία υπόκειται στην απαίτηση αρχικού κεφαλαίου που καθορίζεται στο άρθρο 28 παράγραφος 2 της οδηγίας 2013/36/ΕΕ,</w:t>
            </w:r>
          </w:p>
          <w:p w:rsidR="009B13D7" w:rsidRPr="00D92B3C" w:rsidRDefault="00E97169" w:rsidP="00E97169">
            <w:pPr>
              <w:pStyle w:val="TableParagraph"/>
              <w:spacing w:before="108"/>
              <w:ind w:left="445" w:hanging="360"/>
              <w:rPr>
                <w:rFonts w:ascii="Times New Roman" w:hAnsi="Times New Roman" w:cs="Times New Roman"/>
                <w:color w:val="000000" w:themeColor="text1"/>
                <w:sz w:val="20"/>
                <w:szCs w:val="20"/>
              </w:rPr>
            </w:pPr>
            <w:r>
              <w:rPr>
                <w:rFonts w:ascii="Times New Roman" w:hAnsi="Times New Roman"/>
                <w:color w:val="000000" w:themeColor="text1"/>
                <w:sz w:val="20"/>
              </w:rPr>
              <w:t xml:space="preserve">γ) </w:t>
            </w:r>
            <w:r w:rsidR="000B669C">
              <w:rPr>
                <w:rFonts w:ascii="Times New Roman" w:hAnsi="Times New Roman"/>
                <w:color w:val="000000" w:themeColor="text1"/>
                <w:sz w:val="20"/>
              </w:rPr>
              <w:t>«Επιχείρηση επενδύσεων μη υποκείμενη στην απαίτηση αρχικού κεφαλαίου που καθορίζεται στο άρθρο 28 παράγραφος 2 της οδηγίας 2013/36/ΕΕ»</w:t>
            </w:r>
          </w:p>
          <w:p w:rsidR="00761ED3" w:rsidRPr="00D92B3C" w:rsidRDefault="00E97169" w:rsidP="00E97169">
            <w:pPr>
              <w:pStyle w:val="TableParagraph"/>
              <w:spacing w:before="108"/>
              <w:ind w:left="445" w:hanging="360"/>
              <w:rPr>
                <w:rFonts w:ascii="Times New Roman" w:hAnsi="Times New Roman" w:cs="Times New Roman"/>
                <w:color w:val="000000" w:themeColor="text1"/>
                <w:sz w:val="20"/>
                <w:szCs w:val="20"/>
              </w:rPr>
            </w:pPr>
            <w:proofErr w:type="spellStart"/>
            <w:r>
              <w:rPr>
                <w:rFonts w:ascii="Times New Roman" w:hAnsi="Times New Roman"/>
                <w:color w:val="000000" w:themeColor="text1"/>
                <w:sz w:val="20"/>
              </w:rPr>
              <w:t>δ)</w:t>
            </w:r>
            <w:r w:rsidR="00FC6D1E">
              <w:rPr>
                <w:rFonts w:ascii="Times New Roman" w:hAnsi="Times New Roman"/>
                <w:color w:val="000000" w:themeColor="text1"/>
                <w:sz w:val="20"/>
              </w:rPr>
              <w:t>«Χρηματοπιστωτικό</w:t>
            </w:r>
            <w:proofErr w:type="spellEnd"/>
            <w:r w:rsidR="00FC6D1E">
              <w:rPr>
                <w:rFonts w:ascii="Times New Roman" w:hAnsi="Times New Roman"/>
                <w:color w:val="000000" w:themeColor="text1"/>
                <w:sz w:val="20"/>
              </w:rPr>
              <w:t xml:space="preserve"> ίδρυμα»</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Η εν λόγω κατηγορία καλύπτει τα χρηματοπιστωτικά ιδρύματα που ανταποκρίνονται στον ορισμό του άρθρου 4 παράγραφος 1 σημείο 26 του κανονισμού (ΕΕ) αριθ. 575/2013, διαφορετικά από όσα ταξινομούνται ως «εταιρεία συμμετοχών», όπως περιγράφεται στο σημείο ε) κατωτέρω.</w:t>
            </w:r>
          </w:p>
          <w:p w:rsidR="00761ED3" w:rsidRPr="00D92B3C" w:rsidRDefault="00E97169" w:rsidP="00E97169">
            <w:pPr>
              <w:pStyle w:val="TableParagraph"/>
              <w:spacing w:before="108"/>
              <w:ind w:left="445" w:hanging="360"/>
              <w:rPr>
                <w:rFonts w:ascii="Times New Roman" w:hAnsi="Times New Roman" w:cs="Times New Roman"/>
                <w:color w:val="000000" w:themeColor="text1"/>
                <w:sz w:val="20"/>
                <w:szCs w:val="20"/>
              </w:rPr>
            </w:pPr>
            <w:proofErr w:type="spellStart"/>
            <w:r>
              <w:rPr>
                <w:rFonts w:ascii="Times New Roman" w:hAnsi="Times New Roman"/>
                <w:color w:val="000000" w:themeColor="text1"/>
                <w:sz w:val="20"/>
              </w:rPr>
              <w:t>ε)</w:t>
            </w:r>
            <w:r w:rsidR="00FC6D1E">
              <w:rPr>
                <w:rFonts w:ascii="Times New Roman" w:hAnsi="Times New Roman"/>
                <w:color w:val="000000" w:themeColor="text1"/>
                <w:sz w:val="20"/>
              </w:rPr>
              <w:t>«Εταιρεία</w:t>
            </w:r>
            <w:proofErr w:type="spellEnd"/>
            <w:r w:rsidR="00FC6D1E">
              <w:rPr>
                <w:rFonts w:ascii="Times New Roman" w:hAnsi="Times New Roman"/>
                <w:color w:val="000000" w:themeColor="text1"/>
                <w:sz w:val="20"/>
              </w:rPr>
              <w:t xml:space="preserve"> συμμετοχών»</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Η εν λόγω κατηγορία καλύπτει οποιοδήποτε από τα ακόλουθα:</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Χρηματοδοτική εταιρεία συμμετοχών, όπως ορίζεται στο άρθρο 4 παράγραφος 1 σημείο 20) του κανονισμού (ΕΕ) αριθ.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Μικτή χρηματοοικονομική εταιρεία συμμετοχών, όπως ορίζεται στο άρθρο 4 παράγραφος 1 σημείο 21) του κανονισμού (ΕΕ) αριθ.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Μικτή εταιρεία συμμετοχών, όπως ορίζεται στο άρθρο 4 παράγραφος 1 σημείο 22) του κανονισμού (ΕΕ) αριθ. 575/2013,</w:t>
            </w:r>
          </w:p>
          <w:p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Μητρικές χρηματοδοτικές εταιρείες συμμετοχών, όπως ορίζονται στο άρθρο 4 παράγραφος 1 σημείο 30) του κανονισμού (ΕΕ) αριθ.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Μητρική χρηματοδοτική εταιρεία συμμετοχών εγκατεστημένη στην ΕΕ, όπως ορίζεται στο άρθρο 4 παράγραφος 1 σημείο 31) του κανονισμού (ΕΕ) αριθ.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Μητρική μικτή χρηματοοικονομική εταιρεία συμμετοχών εγκατεστημένη σε κράτος μέλος, όπως ορίζεται στο άρθρο 4 παράγραφος 1 σημείο 32) του κανονισμού (EE) αριθ. 575/2013,</w:t>
            </w:r>
          </w:p>
          <w:p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Μητρική μικτή χρηματοοικονομική εταιρεία συμμετοχών εγκατεστημένη στην ΕΕ, όπως ορίζεται στο άρθρο 4 παράγραφος 1 σημείο 33) του κανονισμού (ΕΕ) αριθ. 575/2013.</w:t>
            </w:r>
          </w:p>
          <w:p w:rsidR="0039173B" w:rsidRPr="00D92B3C" w:rsidRDefault="00E97169" w:rsidP="00E97169">
            <w:pPr>
              <w:pStyle w:val="TableParagraph"/>
              <w:spacing w:before="108"/>
              <w:ind w:left="445" w:hanging="360"/>
              <w:rPr>
                <w:rFonts w:ascii="Times New Roman" w:hAnsi="Times New Roman" w:cs="Times New Roman"/>
                <w:color w:val="000000" w:themeColor="text1"/>
                <w:sz w:val="20"/>
                <w:szCs w:val="20"/>
              </w:rPr>
            </w:pPr>
            <w:proofErr w:type="spellStart"/>
            <w:r>
              <w:rPr>
                <w:rFonts w:ascii="Times New Roman" w:hAnsi="Times New Roman"/>
                <w:color w:val="000000" w:themeColor="text1"/>
                <w:sz w:val="20"/>
              </w:rPr>
              <w:t>στ)</w:t>
            </w:r>
            <w:r w:rsidR="00FC6D1E">
              <w:rPr>
                <w:rFonts w:ascii="Times New Roman" w:hAnsi="Times New Roman"/>
                <w:color w:val="000000" w:themeColor="text1"/>
                <w:sz w:val="20"/>
              </w:rPr>
              <w:t>«Ασφαλιστική</w:t>
            </w:r>
            <w:proofErr w:type="spellEnd"/>
            <w:r w:rsidR="00FC6D1E">
              <w:rPr>
                <w:rFonts w:ascii="Times New Roman" w:hAnsi="Times New Roman"/>
                <w:color w:val="000000" w:themeColor="text1"/>
                <w:sz w:val="20"/>
              </w:rPr>
              <w:t xml:space="preserve"> επιχείρηση»</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 xml:space="preserve">Η εν λόγω κατηγορία καλύπτει τις ασφαλιστικές επιχειρήσεις, όπως καθορίζονται στο άρθρο 13 της οδηγίας 2009/138/ΕΚ </w:t>
            </w:r>
            <w:r>
              <w:rPr>
                <w:rFonts w:ascii="Times New Roman" w:hAnsi="Times New Roman"/>
                <w:color w:val="19161B"/>
                <w:sz w:val="20"/>
              </w:rPr>
              <w:t>του Ευρωπαϊκού Κοινοβουλίου και του Συμβουλίου</w:t>
            </w:r>
            <w:r>
              <w:rPr>
                <w:rStyle w:val="FootnoteReference"/>
                <w:rFonts w:ascii="Times New Roman" w:hAnsi="Times New Roman"/>
                <w:color w:val="000000" w:themeColor="text1"/>
                <w:sz w:val="20"/>
              </w:rPr>
              <w:footnoteReference w:id="7"/>
            </w:r>
            <w:r>
              <w:rPr>
                <w:rFonts w:ascii="Times New Roman" w:hAnsi="Times New Roman"/>
                <w:color w:val="000000" w:themeColor="text1"/>
                <w:sz w:val="20"/>
              </w:rPr>
              <w:t>.</w:t>
            </w:r>
          </w:p>
          <w:p w:rsidR="00EE1625" w:rsidRPr="00D92B3C" w:rsidRDefault="00E97169" w:rsidP="00E97169">
            <w:pPr>
              <w:pStyle w:val="TableParagraph"/>
              <w:spacing w:before="108"/>
              <w:ind w:left="445" w:hanging="360"/>
              <w:rPr>
                <w:rFonts w:ascii="Times New Roman" w:hAnsi="Times New Roman" w:cs="Times New Roman"/>
                <w:color w:val="000000" w:themeColor="text1"/>
                <w:sz w:val="20"/>
                <w:szCs w:val="20"/>
              </w:rPr>
            </w:pPr>
            <w:proofErr w:type="spellStart"/>
            <w:r>
              <w:rPr>
                <w:rFonts w:ascii="Times New Roman" w:hAnsi="Times New Roman"/>
                <w:color w:val="000000" w:themeColor="text1"/>
                <w:sz w:val="20"/>
              </w:rPr>
              <w:t>ζ)</w:t>
            </w:r>
            <w:r w:rsidR="00E737DB">
              <w:rPr>
                <w:rFonts w:ascii="Times New Roman" w:hAnsi="Times New Roman"/>
                <w:color w:val="000000" w:themeColor="text1"/>
                <w:sz w:val="20"/>
              </w:rPr>
              <w:t>«Άλλος</w:t>
            </w:r>
            <w:proofErr w:type="spellEnd"/>
            <w:r w:rsidR="00E737DB">
              <w:rPr>
                <w:rFonts w:ascii="Times New Roman" w:hAnsi="Times New Roman"/>
                <w:color w:val="000000" w:themeColor="text1"/>
                <w:sz w:val="20"/>
              </w:rPr>
              <w:t xml:space="preserve"> τύπος οντότητας», όταν η οντότητα δεν αποτυπώνεται σε καμία από τις προαναφερθείσες κατηγορίες.</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0050</w:t>
            </w:r>
          </w:p>
        </w:tc>
        <w:tc>
          <w:tcPr>
            <w:tcW w:w="0" w:type="auto"/>
            <w:tcBorders>
              <w:top w:val="single" w:sz="4" w:space="0" w:color="1A171C"/>
              <w:left w:val="single" w:sz="4" w:space="0" w:color="1A171C"/>
              <w:bottom w:val="single" w:sz="4" w:space="0" w:color="1A171C"/>
              <w:right w:val="nil"/>
            </w:tcBorders>
          </w:tcPr>
          <w:p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Χώρα</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Ο κωδικός ISO 3166-1-alpha-2 της χώρας σύστασης της οντότητας, η οποία μπορεί να είναι κράτος μέλος ή τρίτη χώρα.</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Περιλαμβάνεται στο πεδίο περιμέτρου προληπτικής εποπτείας</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Αναφέρονται οι ακόλουθες συντμήσεις:</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Ναι,</w:t>
            </w:r>
          </w:p>
          <w:p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pacing w:val="-2"/>
                <w:w w:val="95"/>
                <w:sz w:val="20"/>
              </w:rPr>
              <w:t>N - Όχι.</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0070</w:t>
            </w:r>
          </w:p>
        </w:tc>
        <w:tc>
          <w:tcPr>
            <w:tcW w:w="0" w:type="auto"/>
            <w:tcBorders>
              <w:top w:val="single" w:sz="4" w:space="0" w:color="1A171C"/>
              <w:left w:val="single" w:sz="4" w:space="0" w:color="1A171C"/>
              <w:bottom w:val="single" w:sz="4" w:space="0" w:color="1A171C"/>
              <w:right w:val="nil"/>
            </w:tcBorders>
          </w:tcPr>
          <w:p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Απαλλαγή από το άρθρο 7 του ΚΚΑ</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Αναφέρονται οι ακόλουθες συντμήσεις:</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εάν η αρμόδια αρχή δεν εφαρμόζει το άρθρο 6 παράγραφος 1 του κανονισμού (ΕΕ) αριθ. 575/2013, σύμφωνα με το άρθρο 7 του κανονισμού (ΕΕ) αριθ. 575/2013,</w:t>
            </w:r>
          </w:p>
          <w:p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σε διαφορετική περίπτωση.</w:t>
            </w:r>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Απαλλαγή από το άρθρο 10 του ΚΚΑ</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Αναφέρονται οι ακόλουθες συντμήσεις:</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εάν η αρμόδια αρχή εφαρμόζει απαλλαγή δυνάμει του άρθρου 10 του κανονισμού (ΕΕ) αριθ. 575/2013</w:t>
            </w:r>
            <w:r w:rsidR="008613AE">
              <w:rPr>
                <w:rFonts w:ascii="Times New Roman" w:hAnsi="Times New Roman"/>
                <w:color w:val="000000" w:themeColor="text1"/>
                <w:spacing w:val="-2"/>
                <w:w w:val="95"/>
                <w:sz w:val="20"/>
              </w:rPr>
              <w:t>,</w:t>
            </w:r>
          </w:p>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σε διαφορετική περίπτωση.</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Σύνολο ενεργητικού</w:t>
            </w:r>
          </w:p>
          <w:p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Σύνολο ενεργητικού, όπως ορίζεται για τη FINREP {F 01.01;380,010}</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Συνολικό ποσό ανοίγματος σε κίνδυνο</w:t>
            </w:r>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Συνολικό ποσό ανοίγματος σε κίνδυνο, όπως ορίζεται για το COREP (OF): {C 02.00;010;010}</w:t>
            </w:r>
          </w:p>
          <w:p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Το στοιχείο αυτό δεν αναφέρεται για οντότητες που δεν είναι ιδρύματα και οντότητες που δικαιούνται απαλλαγής, σύμφωνα με το άρθρο 7 ή το άρθρο 10 του κανονισμού (ΕΕ) αριθ. 575/2013.</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Άνοιγμα δείκτη μόχλευσης </w:t>
            </w:r>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Συνολικό άνοιγμα δείκτη μόχλευσης, όπως ορίζεται για το COREP (LR): {C 47.00;290;010}</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Το στοιχείο αυτό δεν αναφέρεται για οντότητες που δεν είναι ιδρύματα και οντότητες που δικαιούνται απαλλαγής, σύμφωνα με το άρθρο 7 ή το άρθρο 10 του κανονισμού (ΕΕ) αριθ. 575/2013.</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Λογιστικό πρότυπο</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Τα λογιστικά πρότυπα που εφαρμόζει η οντότητα. Αναφέρονται οι ακόλουθες συντμήσεις:</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ΔΠΧΠ</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ΕΓΑΛΑ</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0130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Συνεισφορά στο συνολικό ενοποιημένο ενεργητικό</w:t>
            </w:r>
          </w:p>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Το ποσό που συνεισφέρει η οντότητα στο συνολικό ενοποιημένο ενεργητικό του ομίλου στον οποίο αναφέρεται η αναφορά.</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Συνεισφορά στο συνολικό ενοποιημένο ποσό ανοίγματος σε κίνδυνο </w:t>
            </w:r>
          </w:p>
          <w:p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Το ποσό που συνεισφέρει η οντότητα στο συνολικό ενοποιημένο ποσό ανοίγματος σε κίνδυνο του ομίλου στον οποίο αναφέρεται η αναφορά. </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Συνεισφορά στο ενοποιημένο άνοιγμα δείκτη μόχλευσης</w:t>
            </w:r>
          </w:p>
          <w:p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Το ποσό που συνεισφέρει η οντότητα στο συνολικό ενοποιημένο άνοιγμα δείκτη μόχλευσης του ομίλου στον οποίο αναφέρεται η αναφορά.</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Σχετική νομική οντότητα</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Κατά πόσον η οντότητα αποτελεί σχετική νομική οντότητα βάσει του ορισμού του άρθρου 2 του παρόντος κανονισμού.</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pacing w:val="-2"/>
                <w:sz w:val="20"/>
              </w:rPr>
              <w:t>0170-0210</w:t>
            </w:r>
          </w:p>
        </w:tc>
        <w:tc>
          <w:tcPr>
            <w:tcW w:w="0" w:type="auto"/>
            <w:tcBorders>
              <w:top w:val="single" w:sz="4" w:space="0" w:color="1A171C"/>
              <w:left w:val="single" w:sz="4" w:space="0" w:color="1A171C"/>
              <w:bottom w:val="single" w:sz="4" w:space="0" w:color="1A171C"/>
              <w:right w:val="nil"/>
            </w:tcBorders>
          </w:tcPr>
          <w:p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Άμεση μητρική επιχείρηση</w:t>
            </w:r>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Άμεση μητρική επιχείρηση της οντότητας. Αναφέρεται μόνο άμεση μητρική επιχείρηση που διαθέτει πάνω από το 5 % των δικαιωμάτων ψήφου στην οντότητα.</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Εάν μια οντότητα έχει περισσότερες από μία άμεσες μητρικές επιχειρήσεις, αναφέρεται μόνο η άμεση μητρική επιχείρηση με το υψηλότερο μερίδιο κεφαλαίου –ή μετοχικό κεφάλαιο με δικαίωμα ψήφου, ανάλογα με την περίπτωση.</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Όνομα </w:t>
            </w:r>
          </w:p>
          <w:p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rPr>
              <w:t>Όνομα της άμεσης μητρικής επιχείρησης της οντότητας.</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Κωδικός</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Ο κωδικός της άμεσης μητρικής επιχείρησης. Όσον αφορά τα ιδρύματα, ο κωδικός είναι ο 20ψήφιος, αλφαριθμητικός κωδικός LEI. Όσον αφορά τις υπόλοιπες οντότητες, ο κωδικός είναι ο 20ψήφιος, αλφαριθμητικός κωδικός LEI, ή, σε περίπτωση που δεν είναι διαθέσιμος,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Ο κωδικός είναι μοναδικός και χρησιμοποιείται με συνέπεια σε όλα τα υποδείγματα. Ο κωδικός έχει πάντοτε μια τιμή.</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rPr>
              <w:t>Κωδικός LEI</w:t>
            </w:r>
          </w:p>
          <w:p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sz w:val="20"/>
              </w:rPr>
              <w:t>20ψήφιος, αλφαριθμητικός κωδικός LEI της οντότητας, εφόσον διατίθεται.</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Εταιρικό κεφάλαιο</w:t>
            </w:r>
          </w:p>
          <w:p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Ποσό του μετοχικού κεφαλαίου που κατέχει η άμεση μητρική επιχείρηση της οντότητας, εκτός των αποθεματικών.</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Δικαιώματα ψήφου στην οντότητα</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pacing w:val="-1"/>
                <w:w w:val="95"/>
                <w:sz w:val="20"/>
              </w:rPr>
              <w:t>Ποσοστό δικαιωμάτων ψήφου που κατέχει η άμεση μητρική επιχείρηση στην οντότητα.</w:t>
            </w:r>
          </w:p>
          <w:p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1"/>
                <w:w w:val="95"/>
                <w:sz w:val="20"/>
              </w:rPr>
              <w:t>Οι εν λόγω πληροφορίες απαιτούνται μόνον εφόσον μια μετοχή δεν ισοδυναμεί με μία ψήφο (ως εκ τούτου, τα δικαιώματα ψήφου δεν ισοδυναμούν με το μετοχικό κεφάλαιο).</w:t>
            </w:r>
          </w:p>
        </w:tc>
      </w:tr>
    </w:tbl>
    <w:p w:rsidR="00E13CE3" w:rsidRPr="00D92B3C" w:rsidRDefault="00E13CE3"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1" w:name="_Toc492542322"/>
      <w:bookmarkStart w:id="12" w:name="_Toc525210694"/>
      <w:r>
        <w:rPr>
          <w:rFonts w:ascii="Times New Roman" w:hAnsi="Times New Roman"/>
        </w:rPr>
        <w:lastRenderedPageBreak/>
        <w:t>Z 02.00 - Διάρθρωση υποχρεώσεων (LIAB)</w:t>
      </w:r>
      <w:bookmarkEnd w:id="11"/>
      <w:bookmarkEnd w:id="12"/>
    </w:p>
    <w:p w:rsidR="005B4526" w:rsidRPr="00D92B3C" w:rsidRDefault="005B4526" w:rsidP="00EC261B">
      <w:pPr>
        <w:pStyle w:val="Instructionsberschrift3"/>
      </w:pPr>
      <w:r>
        <w:t>Γενικές παρατηρήσεις</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Αυτό το υπόδειγμα απαιτεί αναλυτικές πληροφορίες σχετικά με τη διάρθρωση των υποχρεώσεων της οντότητας ή του ομίλου. Οι υποχρεώσεις κατανέμονται με βάση τις υποχρεώσεις που εξαιρούνται από τη διάσωση με ίδια μέσα και με βάση τις υποχρεώσεις που δεν εξαιρούνται από τη διάσωση. Παρέχονται περαιτέρω κατανομές με βάση τις κατηγορίες υποχρεώσεων, τις κατηγορίες αντισυμβαλλομένων και τη </w:t>
      </w:r>
      <w:proofErr w:type="spellStart"/>
      <w:r>
        <w:rPr>
          <w:rFonts w:ascii="Times New Roman" w:hAnsi="Times New Roman"/>
          <w:sz w:val="20"/>
        </w:rPr>
        <w:t>ληκτότητα</w:t>
      </w:r>
      <w:proofErr w:type="spellEnd"/>
      <w:r>
        <w:rPr>
          <w:rFonts w:ascii="Times New Roman" w:hAnsi="Times New Roman"/>
          <w:sz w:val="20"/>
        </w:rPr>
        <w:t>.</w:t>
      </w:r>
    </w:p>
    <w:p w:rsidR="00E13CE3" w:rsidRPr="00D92B3C" w:rsidRDefault="00BD69D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Σε περίπτωση που σε αυτό το υπόδειγμα καθορίζεται κατανομή ληκτότητας, η εναπομένουσα </w:t>
      </w:r>
      <w:proofErr w:type="spellStart"/>
      <w:r>
        <w:rPr>
          <w:rFonts w:ascii="Times New Roman" w:hAnsi="Times New Roman"/>
          <w:sz w:val="20"/>
        </w:rPr>
        <w:t>ληκτότητα</w:t>
      </w:r>
      <w:proofErr w:type="spellEnd"/>
      <w:r>
        <w:rPr>
          <w:rFonts w:ascii="Times New Roman" w:hAnsi="Times New Roman"/>
          <w:sz w:val="20"/>
        </w:rPr>
        <w:t xml:space="preserve"> είναι το χρονικό διάστημα μέχρι τη συμβατική </w:t>
      </w:r>
      <w:proofErr w:type="spellStart"/>
      <w:r>
        <w:rPr>
          <w:rFonts w:ascii="Times New Roman" w:hAnsi="Times New Roman"/>
          <w:sz w:val="20"/>
        </w:rPr>
        <w:t>ληκτότητα</w:t>
      </w:r>
      <w:proofErr w:type="spellEnd"/>
      <w:r>
        <w:rPr>
          <w:rFonts w:ascii="Times New Roman" w:hAnsi="Times New Roman"/>
          <w:sz w:val="20"/>
        </w:rPr>
        <w:t xml:space="preserve"> ή, σε περίπτωση που υπάρχει σαφές ή έμμεσο, συμβατικό ή κανονιστικό, δικαίωμα του κατόχου ενός μέσου σε πρόωρη εξόφληση, μέχρι την πρώτη ημέρα κατά την οποία προκύπτει αυτό το δικαίωμα. Οι ενδιάμεσες πληρωμές κεφαλαίου κατανέμονται στις αντίστοιχες περιόδους ληκτότητας. Ανάλογα με την περίπτωση, η </w:t>
      </w:r>
      <w:proofErr w:type="spellStart"/>
      <w:r>
        <w:rPr>
          <w:rFonts w:ascii="Times New Roman" w:hAnsi="Times New Roman"/>
          <w:sz w:val="20"/>
        </w:rPr>
        <w:t>ληκτότητα</w:t>
      </w:r>
      <w:proofErr w:type="spellEnd"/>
      <w:r>
        <w:rPr>
          <w:rFonts w:ascii="Times New Roman" w:hAnsi="Times New Roman"/>
          <w:sz w:val="20"/>
        </w:rPr>
        <w:t xml:space="preserve"> εξετάζεται χωριστά αφενός για το κεφάλαιο και αφετέρου για τους δεδουλευμένους τόκους.</w:t>
      </w:r>
    </w:p>
    <w:p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Ως προεπιλογή, τα ποσά που αναφέρονται σε αυτό το υπόδειγμα είναι ανεξόφλητα υπόλοιπα. Το ανεξόφλητο υπόλοιπο μιας απαίτησης ή μέσου είναι το άθροισμα του κεφαλαίου και των δεδουλευμένων τόκων της απαίτησης ή του μέσου. Το οφειλόμενο ανεξόφλητο υπόλοιπο είναι ίσο προς την αξία της απαίτησης που θα μπορούσε να προβάλει ο πιστωτής στο πλαίσιο διαδικασιών αφερεγγυότητας. </w:t>
      </w:r>
    </w:p>
    <w:p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Κατά παρέκκλιση από την προηγούμενη παράγραφο, οι υποχρεώσεις του ισολογισμού που προκύπτουν από παράγωγα (αναφέρονται στη γραμμή 0330) αναφέρονται υπό μορφή λογιστικών αξιών. Η λογιστική αξία είναι αυτή που ορίζεται για τους σκοπούς της FINREP, είτε στα ΔΠΧΑ είτε στις ΕΓΑΛΑ, ανάλογα με την περίπτωση. Διαφορετικά, χρησιμοποιούνται τα αριθμητικά στοιχεία των πλαισίων υποβολής αναφορών ΕΓΑΛΑ. </w:t>
      </w:r>
    </w:p>
    <w:p w:rsidR="00E13CE3" w:rsidRPr="00D92B3C" w:rsidRDefault="00E13CE3" w:rsidP="00EC261B">
      <w:pPr>
        <w:pStyle w:val="Instructionsberschrift3"/>
      </w:pPr>
      <w:r>
        <w:t>Οδηγίες για συγκεκριμένες θέσεις</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Στήλες</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Οδηγίες</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Νοικοκυριά</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FINREP, παράρτημα V μέρος 1 παράγραφος 42 στοιχείο στ) </w:t>
            </w:r>
          </w:p>
          <w:p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Άτομα ή ομάδες ατόμων με την ιδιότητά τους ως καταναλωτών και ως παραγωγών αγαθών και μη χρηματοοικονομικών υπηρεσιών αποκλειστικά για ίδια τελική κατανάλωση, καθώς και με την ιδιότητά τους ως παραγωγών εμπορεύσιμων αγαθών και χρηματοοικονομικών και μη υπηρεσιών, υπό την προϋπόθεση ότι οι δραστηριότητές τους δεν είναι εκείνες των οιονεί επιχειρήσεων. Περιλαμβάνονται μη κερδοσκοπικά ιδρύματα που εξυπηρετούν νοικοκυριά και τα οποία ασχολούνται κυρίως με την παραγωγή μη εμπορικών αγαθών και την παροχή υπηρεσιών που προορίζονται για συγκεκριμένες ομάδες νοικοκυριών.</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0020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Μη χρηματοοικονομικές επιχειρήσεις (ΜΜΕ)</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Παράρτημα τίτλος I άρθρο 2 παράγραφος 1 της σύστασης της Επιτροπής της 6ης Μαΐου 2003</w:t>
            </w:r>
            <w:r>
              <w:rPr>
                <w:rStyle w:val="FootnoteReference"/>
                <w:color w:val="1A171C"/>
                <w:spacing w:val="-2"/>
                <w:w w:val="95"/>
              </w:rPr>
              <w:footnoteReference w:id="8"/>
            </w:r>
            <w:r>
              <w:rPr>
                <w:rFonts w:ascii="Times New Roman" w:hAnsi="Times New Roman"/>
                <w:color w:val="000000" w:themeColor="text1"/>
                <w:spacing w:val="-2"/>
                <w:w w:val="95"/>
                <w:sz w:val="20"/>
              </w:rPr>
              <w:t>· FINREP, παράρτημα V μέρος 1 παράγραφος 5 στοιχείο θ).</w:t>
            </w:r>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Επιχειρήσεις που απασχολούν λιγότερους από 250 εργαζομένους και των οποίων ο ετήσιος κύκλος εργασιών δεν υπερβαίνει τα 50 εκατομμύρια ευρώ, και/ή ο συνολικός ετήσιος ισολογισμός δεν υπερβαίνει τα 43 εκατομμύρια ευρώ.</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Μη χρηματοοικονομικές επιχειρήσεις (μη ΜΜΕ)</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παράρτημα V μέρος 1 παράγραφος 42 στοιχείο ε)</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Επιχειρήσεις και οιονεί επιχειρήσεις που δεν εμπλέκονται σε χρηματοοικονομική διαμεσολάβηση, αλλά </w:t>
            </w:r>
            <w:r>
              <w:rPr>
                <w:rFonts w:ascii="Times New Roman" w:hAnsi="Times New Roman"/>
                <w:color w:val="000000" w:themeColor="text1"/>
                <w:spacing w:val="-2"/>
                <w:w w:val="95"/>
                <w:sz w:val="20"/>
              </w:rPr>
              <w:lastRenderedPageBreak/>
              <w:t>ασχολούνται κυρίως με την παραγωγή εμπορικών αγαθών και την παροχή μη χρηματοοικονομικών υπηρεσιών, σύμφωνα με τον κανονισμό (ΕΕ) αριθ. 1071/2013 της Ευρωπαϊκής Κεντρικής Τράπεζας</w:t>
            </w:r>
            <w:r>
              <w:rPr>
                <w:rFonts w:ascii="Times New Roman" w:hAnsi="Times New Roman"/>
                <w:color w:val="000000" w:themeColor="text1"/>
                <w:sz w:val="20"/>
                <w:vertAlign w:val="superscript"/>
              </w:rPr>
              <w:footnoteReference w:id="9"/>
            </w:r>
            <w:r>
              <w:rPr>
                <w:rFonts w:ascii="Times New Roman" w:hAnsi="Times New Roman"/>
                <w:color w:val="000000" w:themeColor="text1"/>
                <w:spacing w:val="-2"/>
                <w:w w:val="95"/>
                <w:sz w:val="20"/>
              </w:rPr>
              <w:t>.</w:t>
            </w:r>
          </w:p>
          <w:p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Εξαιρούνται οι «ΜΜΕ» που αναφέρονται στη στήλη 0020.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0040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Πιστωτικά ιδρύματα</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παράρτημα V μέρος 1 παράγραφος 42 στοιχείο γ)</w:t>
            </w:r>
          </w:p>
          <w:p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Πιστωτικά ιδρύματα κατά την έννοια του άρθρου 4 παράγραφος 1 σημείο 1) του κανονισμού (ΕΕ) αριθ. 575/2013 και πολυμερείς τράπεζες ανάπτυξης.</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Άλλες χρηματοοικονομικές επιχειρήσεις</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παράρτημα V μέρος 1 παράγραφος 42 στοιχείο δ)</w:t>
            </w:r>
          </w:p>
          <w:p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Όλες οι χρηματοοικονομικές επιχειρήσεις και οιονεί επιχειρήσεις, εκτός των πιστωτικών ιδρυμάτων, όπως επιχειρήσεις επενδύσεων, επενδυτικά κεφάλαια, ασφαλιστικές επιχειρήσεις, συνταξιοδοτικά ταμεία, οργανισμοί συλλογικών επενδύσεων και γραφεία εκκαθάρισης, καθώς και υπόλοιποι χρηματοοικονομικοί οργανισμοί διαμεσολάβησης, επικουρικοί χρηματοοικονομικοί οργανισμοί και φορείς και θυγατρικοί χρηματοοικονομικοί οργανισμοί και δανειστές χρημάτων.</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Γενικές κυβερνήσεις &amp; κεντρικές τράπεζες</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παράρτημα V μέρος 1 παράγραφος 42 στοιχεία α) και β)</w:t>
            </w:r>
          </w:p>
          <w:p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Κεντρικές τράπεζες και κεντρικές κυβερνήσεις, κρατικές ή περιφερειακές κυβερνήσεις και τοπικές κυβερνήσεις, περιλαμβανομένων διοικητικών φορέων και μη εμπορικών επιχειρήσεων, αλλά εξαιρουμένων δημόσιων εταιρειών και ιδιωτικών εταιρειών που ανήκουν στις εν λόγω διοικήσεις και που ασκούν εμπορική δραστηριότητα (οι οποίες αναφέρονται στο πεδίο «πιστωτικά ιδρύματα», «άλλες χρηματοοικονομικές επιχειρήσεις» ή «μη χρηματοοικονομικές επιχειρήσεις», ανάλογα με τη δραστηριότητά τους)· ταμεία κοινωνικής ασφάλισης· και διεθνείς οργανισμοί, όπως η Ευρωπαϊκή Ένωση, το Διεθνές Νομισματικό Ταμείο και η Τράπεζα Διεθνών Διακανονισμών.</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Μη προσδιοριζόμενο, εισηγμένο σε τόπο διαπραγμάτευσης</w:t>
            </w:r>
          </w:p>
          <w:p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Όταν η ταυτότητα του κατόχου ενός τίτλου δεν είναι γνωστή</w:t>
            </w:r>
            <w:r w:rsidR="008613AE">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xml:space="preserve"> διότι τα μέσα είναι εισηγμένα σε τόπο διαπραγμάτευσης, όπως ορίζεται βάσει της οδηγίας 2014/65/ΕΕ του Ευρωπαϊκού Κοινοβουλίου και του Συμβουλίου, της 15ης Μαΐου 2014, για τις αγορές χρηματοπιστωτικών μέσων, τα ποσά αποδίδονται σε αυτή τη στήλη.</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Μη προσδιοριζόμενο, μη εισηγμένο σε τόπο διαπραγμάτευσης</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Όταν η ταυτότητα του κατόχου ενός τίτλου δεν είναι γνωστή, χωρίς τα μέσα να είναι εισηγμένα σε τόπο διαπραγμάτευσης, τα ποσά αποδίδονται σε αυτή τη στήλη και δεν απαιτείται περαιτέρω κατανομή βάσει αντισυμβαλλομένων. Οι οντότητες καταβάλλουν κάθε δυνατή προσπάθεια να προσδιορίσουν τους </w:t>
            </w:r>
            <w:r w:rsidR="00A45912">
              <w:rPr>
                <w:rFonts w:ascii="Times New Roman" w:hAnsi="Times New Roman"/>
                <w:color w:val="000000" w:themeColor="text1"/>
                <w:spacing w:val="-2"/>
                <w:w w:val="95"/>
                <w:sz w:val="20"/>
              </w:rPr>
              <w:t>αντισυμβαλλομένους</w:t>
            </w:r>
            <w:r>
              <w:rPr>
                <w:rFonts w:ascii="Times New Roman" w:hAnsi="Times New Roman"/>
                <w:color w:val="000000" w:themeColor="text1"/>
                <w:spacing w:val="-2"/>
                <w:w w:val="95"/>
                <w:sz w:val="20"/>
              </w:rPr>
              <w:t xml:space="preserve"> και να περιορίσουν τη χρήση αυτής της στήλης στο ελάχιστο.</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0090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Σύνολο</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Εκ των οποίων: </w:t>
            </w:r>
            <w:proofErr w:type="spellStart"/>
            <w:r>
              <w:rPr>
                <w:rFonts w:ascii="Times New Roman" w:hAnsi="Times New Roman"/>
                <w:b/>
                <w:color w:val="000000" w:themeColor="text1"/>
                <w:spacing w:val="-2"/>
                <w:w w:val="95"/>
                <w:sz w:val="20"/>
              </w:rPr>
              <w:t>ενδοομιλική</w:t>
            </w:r>
            <w:proofErr w:type="spellEnd"/>
          </w:p>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Υποχρεώσεις έναντι οντοτήτων που περιλαμβάνονται στις ενοποιημένες οικονομικές καταστάσεις της επικεφαλής μητρικής οντότητας (σε αντίθεση με το κανονιστικό πεδίο εφαρμογής της ενοποίησης).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Εκ των οποίων: υποχρεώσεις που διέπονται από νομοθεσία τρίτης χώρας, εκτός των ενδοομιλικών</w:t>
            </w:r>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Σε αυτές περιλαμβάνονται τα ακαθάριστα ποσά των υποχρεώσεων που διέπονται από νομοθεσία τρίτης χώρας και/ή έχουν εκδοθεί από οντότητες του ομίλου με έδρα σε τρίτες χώρες. Οι ενδοομιλικές υποχρεώσεις εξαιρούνται.</w:t>
            </w:r>
          </w:p>
          <w:p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Σε περίπτωση που η αρχή εξυγίανσης έχει επιβεβαιώσει ότι έχει πεισθεί, δυνάμει του άρθρου 45 παράγραφος 5 της οδηγίας 2014/59/ΕΕ του Ευρωπαϊκού Κοινοβουλίου και του Συμβουλίου</w:t>
            </w:r>
            <w:r>
              <w:rPr>
                <w:rStyle w:val="FootnoteReference"/>
                <w:color w:val="000000" w:themeColor="text1"/>
                <w:spacing w:val="-2"/>
                <w:w w:val="95"/>
              </w:rPr>
              <w:footnoteReference w:id="10"/>
            </w:r>
            <w:r>
              <w:rPr>
                <w:rFonts w:ascii="Times New Roman" w:hAnsi="Times New Roman"/>
                <w:color w:val="000000" w:themeColor="text1"/>
                <w:spacing w:val="-2"/>
                <w:w w:val="95"/>
                <w:sz w:val="20"/>
              </w:rPr>
              <w:t xml:space="preserve">, ότι οποιαδήποτε απόφαση αρχής εξυγίανσης να </w:t>
            </w:r>
            <w:proofErr w:type="spellStart"/>
            <w:r>
              <w:rPr>
                <w:rFonts w:ascii="Times New Roman" w:hAnsi="Times New Roman"/>
                <w:color w:val="000000" w:themeColor="text1"/>
                <w:spacing w:val="-2"/>
                <w:w w:val="95"/>
                <w:sz w:val="20"/>
              </w:rPr>
              <w:t>απομειώσει</w:t>
            </w:r>
            <w:proofErr w:type="spellEnd"/>
            <w:r>
              <w:rPr>
                <w:rFonts w:ascii="Times New Roman" w:hAnsi="Times New Roman"/>
                <w:color w:val="000000" w:themeColor="text1"/>
                <w:spacing w:val="-2"/>
                <w:w w:val="95"/>
                <w:sz w:val="20"/>
              </w:rPr>
              <w:t xml:space="preserve"> ή να μετατρέψει μια υποχρέωση θα εκτελεστεί δυνάμει του δικαίου της εν λόγω τρίτης χώρας, η εν λόγω υποχρέωση δεν αναφέρεται σε αυτή τη θέση.</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D92B3C"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Γραμμές</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Οδηγίες</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Υποχρεώσεις που εξαιρούνται από τη διάσωση με ίδια μέσα</w:t>
            </w:r>
          </w:p>
          <w:p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Το άρθρο 44 παράγραφος 2 της οδηγίας 2014/59/ΕΕ ορίζει ότι «Οι αρχές εξυγίανσης δεν ασκούν τις εξουσίες απομείωσης ή μετατροπής όσον αφορά τις ακόλουθες υποχρεώσεις, ανεξαρτήτως αν αυτές διέπονται από το δίκαιο κράτους μέλους ή τρίτης χώρας».</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Καλυπτόμενες καταθέσεις</w:t>
            </w:r>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Το ποσό των καλυπτόμενων καταθέσεων, όπως ορίζεται στο άρθρο 2 παράγραφος 1 σημείο 5) της οδηγίας 2014/49/ΕΕ του Ευρωπαϊκού Κοινοβουλίου και του Συμβουλίου</w:t>
            </w:r>
            <w:r>
              <w:rPr>
                <w:rStyle w:val="FootnoteReference"/>
                <w:color w:val="000000" w:themeColor="text1"/>
              </w:rPr>
              <w:footnoteReference w:id="11"/>
            </w:r>
            <w:r>
              <w:rPr>
                <w:rFonts w:ascii="Times New Roman" w:hAnsi="Times New Roman"/>
                <w:color w:val="000000" w:themeColor="text1"/>
                <w:spacing w:val="-2"/>
                <w:w w:val="95"/>
                <w:sz w:val="20"/>
              </w:rPr>
              <w:t>, με την εξαίρεση των πρόσκαιρων υψηλών υπολοίπων, όπως ορίζονται στο άρθρο 6 παράγραφος 2 της εν λόγω οδηγίας.</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Εξασφαλισμένες υποχρεώσεις – εξασφαλισμένο μέρος</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44 παράγραφος 2 στοιχείο β) της οδηγίας 2014/59/ΕΕ</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Εξασφαλισμένες υποχρεώσεις, συμπεριλαμβανομένων των συμφωνιών επαναγοράς (repos), των καλυμμένων ομολόγων και των υποχρεώσεων υπό μορφή χρηματοπιστωτικών μέσων, τα οποία αποτελούν αναπόσπαστο μέρος των συνολικών στοιχείων κάλυψης και εξασφαλίζονται, σύμφωνα με το εθνικό δίκαιο, κατά τρόπο παρόμοιο με αυτόν των καλυμμένων ομολόγων.</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Ούτε η απαίτηση να μεριμνούν ώστε όλα τα εξασφαλισμένα περιουσιακά στοιχεία που σχετίζονται με τη δέσμη κάλυψης καλυμμένων ομολόγων να μην επηρεάζονται, να παραμένουν διαχωρισμένα και να διαθέτουν επαρκή χρηματοδότηση, ούτε η εξαίρεση του άρθρου 44 παράγραφος 2 στοιχείο β) της οδηγίας 2014/59/EΕ εμποδίζουν τις αρχές εξυγίανσης, όπου ενδείκνυται, να ασκούν τις εξουσίες αυτές όσον αφορά οιοδήποτε μέρος μιας εξασφαλισμένης υποχρέωσης ή υποχρέωσης για την οποία έχει ενεχυριαστεί εξασφάλιση που υπερβαίνει την αξία των περιουσιακών στοιχείων, του ενεχύρου, του εμπράγματου δικαιώματος ή της εξασφάλισης που παρέχονται ως ασφάλεια. Αυτό το μη καλυπτόμενο ποσό των εν λόγω εξασφαλισμένων υποχρεώσεων δεν αναφέρεται σε αυτή τη γραμμή, αλλά αναφέρεται στη γραμμή 0340, και υπόκειται σε επιπρόσθετη κατανομή.</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Οι υποχρεώσεις προς κεντρικές τράπεζες που καλύπτονται από ομάδα εξασφαλίσεων (</w:t>
            </w:r>
            <w:r>
              <w:rPr>
                <w:rFonts w:ascii="Times New Roman" w:hAnsi="Times New Roman"/>
                <w:color w:val="1A171C"/>
                <w:spacing w:val="-2"/>
                <w:w w:val="95"/>
                <w:sz w:val="20"/>
              </w:rPr>
              <w:t>για παράδειγμα, κύριες πράξεις αναχρηματοδότησης, πράξη μακροπρόθεσμης αναχρηματοδότησης, στοχευμένες πράξεις πιο μακροπρόθεσμης αναχρηματοδότησης, κ.λπ.</w:t>
            </w:r>
            <w:r>
              <w:rPr>
                <w:rFonts w:ascii="Times New Roman" w:hAnsi="Times New Roman"/>
                <w:color w:val="000000" w:themeColor="text1"/>
                <w:spacing w:val="-2"/>
                <w:w w:val="95"/>
                <w:sz w:val="20"/>
              </w:rPr>
              <w:t xml:space="preserve">) θεωρούνται εξασφαλισμένες υποχρεώσεις. </w:t>
            </w:r>
          </w:p>
          <w:p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Ένας συγκεκριμένος τύπος υποχρεώσεων είναι θέσεις ασφαλειών (π.χ. εξασφαλίσεις με χρηματικά διαθέσιμα) που εισπράχθηκαν και καταχωρίστηκαν στον ισολογισμό. Σε περίπτωση που οι εν λόγω εξασφαλίσεις είναι νομικά συνδεδεμένες με θέση περιουσιακών στοιχείων, αντιμετωπίζονται ως εξασφαλισμένες υποχρεώσεις για τους σκοπούς της παρούσας αναφοράς.</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Υποχρεώσεις προς πελάτες, εφόσον προστατεύονται σε περίπτωση αφερεγγυότητας</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44 παράγραφος 2 στοιχείο γ) της οδηγίας 2014/59/ΕΕ</w:t>
            </w:r>
          </w:p>
          <w:p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Κάθε υποχρέωση που προκύπτει από την κατοχή, από το ίδρυμα ή την οντότητα του άρθρου 1 παράγραφος 1 στοιχείο β), γ) ή δ) της οδηγίας 2014/59/ΕΕ, περιουσιακών στοιχείων πελατών ή ρευστών των πελατών, </w:t>
            </w:r>
            <w:r>
              <w:rPr>
                <w:rFonts w:ascii="Times New Roman" w:hAnsi="Times New Roman"/>
                <w:color w:val="000000" w:themeColor="text1"/>
                <w:spacing w:val="-2"/>
                <w:w w:val="95"/>
                <w:sz w:val="20"/>
              </w:rPr>
              <w:lastRenderedPageBreak/>
              <w:t>συμπεριλαμβανομένων περιουσιακών στοιχείων πελατών ή ρευστών των πελατών που έχουν στην κατοχή τους για λογαριασμό ΟΣΕΚΑ, όπως ορίζεται στο άρθρο 1 παράγραφος 2 της οδηγίας 2009/65/ΕΚ του Ευρωπαϊκού Κοινοβουλίου και του Συμβουλίου</w:t>
            </w:r>
            <w:r>
              <w:rPr>
                <w:rStyle w:val="FootnoteReference"/>
                <w:color w:val="000000" w:themeColor="text1"/>
                <w:spacing w:val="-2"/>
                <w:w w:val="95"/>
              </w:rPr>
              <w:footnoteReference w:id="12"/>
            </w:r>
            <w:r>
              <w:rPr>
                <w:rFonts w:ascii="Times New Roman" w:hAnsi="Times New Roman"/>
                <w:color w:val="000000" w:themeColor="text1"/>
                <w:spacing w:val="-2"/>
                <w:w w:val="95"/>
                <w:sz w:val="20"/>
              </w:rPr>
              <w:t>, ή ΟΕΕ, όπως ορίζεται στο άρθρο 4 παράγραφος 1 στοιχείο α) της οδηγίας 2011/61/ΕΕ του Ευρωπαϊκού Κοινοβουλίου και του Συμβουλίου</w:t>
            </w:r>
            <w:r>
              <w:rPr>
                <w:rStyle w:val="FootnoteReference"/>
                <w:color w:val="000000" w:themeColor="text1"/>
                <w:spacing w:val="-2"/>
                <w:w w:val="95"/>
              </w:rPr>
              <w:footnoteReference w:id="13"/>
            </w:r>
            <w:r>
              <w:rPr>
                <w:rFonts w:ascii="Times New Roman" w:hAnsi="Times New Roman"/>
                <w:color w:val="000000" w:themeColor="text1"/>
                <w:spacing w:val="-2"/>
                <w:w w:val="95"/>
                <w:sz w:val="20"/>
              </w:rPr>
              <w:t>, υπό την προϋπόθεση ότι οι εν λόγω πελάτες προστατεύονται δυνάμει της ισχύουσας νομοθεσίας περί αφερεγγυότητας.</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Καταπιστευματικά στοιχεία παθητικού, εφόσον προστατεύονται σε περίπτωση αφερεγγυότητας</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44 παράγραφος 2 στοιχείο δ) της οδηγίας 2014/59/ΕΕ</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Κάθε υποχρέωση που προκύπτει από σχέση καταπίστευσης μεταξύ του ιδρύματος ή της οντότητας του άρθρου 1 παράγραφος 1 στοιχείο β), γ) ή δ) της οδηγίας 2014/59/ΕΕ (ως καταπιστευματοδόχου) και ενός άλλου προσώπου (ως δικαιούχου), υπό την προϋπόθεση ότι ο εν λόγω δικαιούχος προστατεύεται δυνάμει της ισχύουσας νομοθεσίας περί αφερεγγυότητας ή του αστικού δικαίου.</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Υποχρεώσεις προς πιστωτικά ιδρύματα &lt; 7 ημέρες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44 παράγραφος 2 στοιχείο ε) της οδηγίας 2014/59/ΕΕ</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Υποχρεώσεις προς πιστωτικά ιδρύματα, εξαιρουμένων των οντοτήτων που ανήκουν στην ίδια λογιστική ομάδα, με αρχική διάρκεια μικρότερη των επτά ημερών.</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Υποχρεώσεις προς συστήματα (φορείς εκμετάλλευσης συστημάτων) &lt; 7 ημέρες</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44 παράγραφος 2 στοιχείο στ) της οδηγίας 2014/59/ΕΕ</w:t>
            </w:r>
          </w:p>
          <w:p w:rsidR="0081175C" w:rsidRPr="00D92B3C" w:rsidRDefault="0081175C" w:rsidP="00CC130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Υποχρεώσεις που έχουν εναπομένουσα διάρκεια μικρότερη των επτά ημερών, έναντι συστημάτων ή φορέων εκμετάλλευσης συστημάτων</w:t>
            </w:r>
            <w:r w:rsidR="00DF4F3B">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xml:space="preserve"> που ορίζονται σύμφωνα με την οδηγία 98/26/ΕΚ του Ευρωπαϊκού Κοινοβουλίου και του Συμβουλίου</w:t>
            </w:r>
            <w:r>
              <w:rPr>
                <w:rStyle w:val="FootnoteReference"/>
                <w:color w:val="000000" w:themeColor="text1"/>
                <w:spacing w:val="-2"/>
                <w:w w:val="95"/>
              </w:rPr>
              <w:footnoteReference w:id="14"/>
            </w:r>
            <w:r w:rsidR="00DF4F3B">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xml:space="preserve"> ή των συμμετεχόντων σε αυτά και που προκύπτουν από συμμετοχή στα εν λόγω συστήματα.</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Υποχρεώσεις έναντι εργαζομένου</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44 παράγραφος 2 στοιχείο ζ) της οδηγίας 2014/59/ΕΕ</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Υποχρεώσεις έναντι εργαζομένου, όσον αφορά δεδουλευμένες αποδοχές, συνταξιοδοτικά δικαιώματα ή άλλες σταθερές αποδοχές, εκτός από τη μεταβλητή συνιστώσα των αποδοχών που δεν ρυθμίζεται από συλλογική σύμβαση. Ωστόσο, τα παραπάνω δεν εφαρμόζονται όσον αφορά τη μεταβλητή συνιστώσα των αποδοχών των προσώπων που αναλαμβάνουν σημαντικούς κινδύνους, όπως ορίζεται στο άρθρο 92 παράγραφος 2 της οδηγίας 2013/36/ΕΕ.</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Κρίσιμες υποχρεώσεις για την επιχειρησιακή καθημερινή λειτουργία</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44 παράγραφος 2 στοιχείο ζ) σημείο ii) της οδηγίας 2014/59/ΕΕ</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Υποχρεώσεις προς εμπορικό πιστωτή ή προμηθευτή, που συνδέεται με την παροχή στο ίδρυμα ή στην οντότητα του άρθρου 1 παράγραφος 1 στοιχείο β), γ) ή δ) της οδηγίας 2014/59/ΕΕ αγαθών και υπηρεσιών, κρίσιμων για την καθημερινή λειτουργία του, συμπεριλαμβανομένων των υπηρεσιών πληροφορικής, κοινής ωφελείας, καθώς και της ενοικίασης, συντήρησης και φροντίδας των εγκαταστάσεων.</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Υποχρεώσεις προς τις φορολογικές αρχές και τις αρχές κοινωνικής ασφάλισης, εφόσον είναι προνομιούχες</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44 παράγραφος 2 στοιχείο ζ) σημείο iii) της οδηγίας 2014/59/ΕΕ</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Υποχρεώσεις προς τις φορολογικές αρχές και τις αρχές κοινωνικής ασφάλισης, εφόσον οι υποχρεώσεις αυτές είναι προνομιούχες σύμφωνα με το ισχύον δίκαιο.</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0200</w:t>
            </w:r>
          </w:p>
        </w:tc>
        <w:tc>
          <w:tcPr>
            <w:tcW w:w="8175" w:type="dxa"/>
            <w:tcBorders>
              <w:top w:val="single" w:sz="4" w:space="0" w:color="1A171C"/>
              <w:left w:val="single" w:sz="4" w:space="0" w:color="1A171C"/>
              <w:bottom w:val="single" w:sz="4" w:space="0" w:color="1A171C"/>
              <w:right w:val="nil"/>
            </w:tcBorders>
            <w:vAlign w:val="center"/>
          </w:tcPr>
          <w:p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Υποχρεώσεις προς συστήματα εγγύησης καταθέσεων</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44 παράγραφος 2 στοιχείο ζ) σημείο iv) της οδηγίας 2014/59/ΕΕ</w:t>
            </w:r>
          </w:p>
          <w:p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Υποχρεώσεις προς συστήματα εγγύησης καταθέσεων που προκύπτουν από τις συνεισφορές που οφείλονται σύμφωνα με την οδηγία 2014/49/ΕΕ.</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Υποχρεώσεις που δεν εξαιρούνται από τη διάσωση με ίδια μέσα</w:t>
            </w:r>
          </w:p>
          <w:p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Πρόκειται για το άθροισμα των γραμμών 0310, 0320, 0334, 0340, 0350, 0360, 0365, 0370, 0380, 0390 και 0400.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Καταθέσεις μη καλυπτόμενες αλλά προνομιούχες</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108 της οδηγίας 2014/59/ΕΕ</w:t>
            </w:r>
          </w:p>
          <w:p w:rsidR="0081175C" w:rsidRPr="00D92B3C" w:rsidRDefault="0081175C" w:rsidP="00DF4F3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Οι καταθέσεις, όπως ορίζονται στο άρθρο 2 παράγραφος 1 σημείο 3) της οδηγίας 2014/49/ΕΕ, που δεν μπορούν να εξαιρεθούν από τη διάσωση με ίδια μέσα </w:t>
            </w:r>
            <w:r w:rsidR="00DF4F3B">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άρθρο 44 παράγραφος 2 στοιχείο α) της οδηγίας 2014/59/ΕΕ</w:t>
            </w:r>
            <w:r w:rsidR="00DF4F3B">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xml:space="preserve">, για τις οποίες προβλέπεται, ωστόσο, προνομιακή μεταχείριση σύμφωνα με το άρθρο 108 της οδηγίας 2014/59/ΕΕ.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Καταθέσεις μη καλυπτόμενες και μη προνομιούχες</w:t>
            </w:r>
          </w:p>
          <w:p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Οι καταθέσεις, όπως ορίζονται στο άρθρο 2 παράγραφος 1 σημείο 3) της οδηγίας 2014/49/ΕΕ, που δεν μπορούν να εξαιρεθούν από τη διάσωση με ίδια μέσα ούτε μπορούν να τύχουν προνομιακής μεταχείρισης κατ’ εφαρμογή του άρθρου 44 παράγραφος 2 στοιχείο α) ή του άρθρου 108 της οδηγίας 2014/59/ΕΕ.</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Υποχρεώσεις ισολογισμού που προκύπτουν από παράγωγα</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Η λογιστική αξία των υποχρεώσεων που προκύπτουν από παράγωγα, για το συνολικό πόσο που αντιστοιχεί στη FINREP: {F 01.02;020;010) + {F 01.02;150;010}.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Άθροισμα των καθαρών υποχρεώσεων λαμβανομένων υπόψη των συμβατικών συμψηφιστικών συνόλων, μετά τις προσαρμογές στην τρέχουσα τιμή της αγοράς και πριν από τον συμψηφισμό των εξασφαλίσεων</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Κατά προεπιλογή, το άθροισμα του συνόλου των καθαρών αγοραίων αξιών των υποχρεώσεων παραγώγων ανά συμβατικό συμψηφιστικό σύνολο. Το συμψηφιστικό σύνολο αναφέρεται μόνο</w:t>
            </w:r>
            <w:r w:rsidR="00DF4F3B">
              <w:rPr>
                <w:rFonts w:ascii="Times New Roman" w:hAnsi="Times New Roman"/>
                <w:color w:val="000000" w:themeColor="text1"/>
                <w:spacing w:val="-2"/>
                <w:w w:val="95"/>
                <w:sz w:val="20"/>
              </w:rPr>
              <w:t>ν</w:t>
            </w:r>
            <w:r>
              <w:rPr>
                <w:rFonts w:ascii="Times New Roman" w:hAnsi="Times New Roman"/>
                <w:color w:val="000000" w:themeColor="text1"/>
                <w:spacing w:val="-2"/>
                <w:w w:val="95"/>
                <w:sz w:val="20"/>
              </w:rPr>
              <w:t xml:space="preserve"> όταν η καθαρή αγοραία αξία ενός συμψηφιστικού συνόλου είναι υποχρέωση. Σε αυτό το πλαίσιο, τα παράγωγα που δεν υπόκεινται σε συμψηφιστικές ρυθμίσεις αντιμετωπίζονται ως ενιαία σύμβαση, ήτοι ως εάν επρόκειτο για συμψηφιστικό σύνολο με ένα μόνο παράγωγο.</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Άθροισμα των καθαρών υποχρεώσεων λαμβανομένων υπόψη των συμβατικών συμψηφιστικών συνόλων, μετά τις προσαρμογές στην τρέχουσα τιμή της αγοράς και μετά τον συμψηφισμό των εξασφαλίσεων</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Η αποτίμηση στη γραμμή 0331 υπόκειται σε προσαρμογή για εξασφαλίσεις που έχουν παρασχεθεί για να εξασφαλίσουν αυτό το άνοιγμα, η οποία έχει ως αποτέλεσμα το άθροισμα των εν λόγω καθαρών αγοραίων αξιών μετά τον συμψηφισμό των εξασφαλίσεων στην αγοραία αξία τους.</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Άθροισμα των καθαρών υποχρεώσεων λαμβανομένων υπόψη των συμβατικών συμψηφιστικών συνόλων, μετά τις προσαρμογές στην τρέχουσα τιμή της αγοράς, μετά τον συμψηφισμό των εξασφαλίσεων και με ενσωμάτωση των εκτιμώμενων ποσών εκκαθάρισης</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Σύμφωνα με τον εκτελεστικό κανονισμό 2016/1401 της Επιτροπής</w:t>
            </w:r>
            <w:r>
              <w:rPr>
                <w:rStyle w:val="FootnoteReference"/>
                <w:color w:val="1A171C"/>
                <w:spacing w:val="-2"/>
                <w:w w:val="95"/>
              </w:rPr>
              <w:footnoteReference w:id="15"/>
            </w:r>
            <w:r>
              <w:rPr>
                <w:rFonts w:ascii="Times New Roman" w:hAnsi="Times New Roman"/>
                <w:color w:val="000000" w:themeColor="text1"/>
                <w:spacing w:val="-2"/>
                <w:w w:val="95"/>
                <w:sz w:val="20"/>
              </w:rPr>
              <w:t xml:space="preserve"> για την αποτίμηση των υποχρεώσεων που προκύπτουν από παράγωγα, επιπρόσθετο ποσό εκκαθάρισης το οποίο καλύπτει το ύψος των ζημιών ή </w:t>
            </w:r>
            <w:r>
              <w:rPr>
                <w:rFonts w:ascii="Times New Roman" w:hAnsi="Times New Roman"/>
                <w:color w:val="000000" w:themeColor="text1"/>
                <w:spacing w:val="-2"/>
                <w:w w:val="95"/>
                <w:sz w:val="20"/>
              </w:rPr>
              <w:lastRenderedPageBreak/>
              <w:t>των εξόδων στα οποία υπεβλήθησαν οι αντισυμβαλλόμενοι στις συμβάσεις παραγώγων, ή των κερδών που πραγματοποίησαν, μέσω αντικατάστασης ή είσπραξης του οικονομικού ισοδύναμου της εκτέλεσης των ουσιωδών όρων των συμβάσεων και της άσκησης των δικαιωμάτων προαίρεσης των μερών των καταγγελθεισών συμβάσεων.</w:t>
            </w:r>
          </w:p>
          <w:p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Οι εκτιμήσεις που απαιτούνται για τον προσδιορισμό ενός ποσού εκκαθάρισης</w:t>
            </w:r>
            <w:r w:rsidR="00DF4F3B">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xml:space="preserve"> σύμφωνα με τον προαναφερθέντα κανονισμό</w:t>
            </w:r>
            <w:r w:rsidR="00DF4F3B">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xml:space="preserve"> μπορεί να αποδειχθεί ότι είναι αρκετά δύσκολο να πραγματοποιηθούν σε ατομική βάση. Ως εκ τούτου, μπορούν να χρησιμοποιηθούν προσεγγιστικές τιμές, οι οποίες μπορούν να βασίζονται στα διαθέσιμα στοιχεία όπως οι απαιτήσεις προληπτικής εποπτείας για τον κίνδυνο αγοράς. Σε περίπτωση που δεν είναι εφικτός ο υπολογισμός του ποσού εκκαθάρισης για τις υποχρεώσεις παραγώγων, το ποσό που αναφέρεται ισούται με το ποσό που αναφέρεται στη γραμμή 0332.</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0334</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Άθροισμα καθαρών υποχρεώσεων λαμβανομένων υπόψη των κανόνων συμψηφισμού προληπτικής εποπτείας</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Αναφέρονται οι καθαρές υποχρεώσεις για τα παράγωγα, λαμβανομένων υπόψη των κανόνων συμψηφισμού προληπτικής εποπτείας του άρθρου 429 του κανονισμού (ΕΕ) αριθ. 575/2013 (που συνδέονται με τον υπολογισμό του μέτρου συνολικού ανοίγματος του δείκτη μόχλευσης).</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Μη ασφαλισμένες εξασφαλισμένες υποχρεώσεις</w:t>
            </w:r>
          </w:p>
          <w:p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Το ποσό των εξασφαλισμένων υποχρεώσεων ή υποχρεώσεων για τις οποίες έχει ενεχυριαστεί εξασφάλιση που υπερβαίνει την αξία των περιουσιακών στοιχείων, του ενεχύρου, του εμπράγματου δικαιώματος ή της εξασφάλισης που παρέχονται ως ασφάλεια. Το εν λόγω ποσό καλύπτει το «ανεπαρκώς εξασφαλισμένο» μέρος οποιασδήποτε εξασφαλισμένης υποχρέωσης, για παράδειγμα το ανεπαρκώς εξασφαλισμένο μέρος των καλυμμένων ομολόγων ή των πράξεων επαναγοράς.</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Δομημένα αξιόγραφα</w:t>
            </w:r>
          </w:p>
          <w:p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Τα δομημένα αξιόγραφα ορίζονται για τους σκοπούς του παρόντος παραρτήματος ως δανειακές οφειλές που περιλαμβάνουν μία ενσωματωμένη συνιστώσα παραγώγων, με αποδόσεις που συνδέονται με υποκείμενο τίτλο η δείκτη (δημόσιο ή ειδικό όπως μετοχές ή ομόλογα, ποσοστά σταθερής απόδοσης ή πίστωση, συνάλλαγμα, εμπορεύματα, κ.λπ.). Τα δομημένα αξιόγραφα δεν περιλαμβάνουν χρεωστικούς τίτλους που περιλαμβάνουν μόνο δικαιώματα προαίρεσης αγοράς ή πώλησης, ήτοι η αξία του μέσου δεν εξαρτάται από οποιαδήποτε ενσωματωμένη συνιστώσα παραγώγων.</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Μη εξασφαλισμένες υποχρεώσεις με εξοφλητική προτεραιότητα</w:t>
            </w:r>
          </w:p>
          <w:p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Σε αυτές περιλαμβάνονται όλα τα μη εξασφαλισμένα μέσα με εξοφλητική προτεραιότητα που δεν περιλαμβάνονται στην κατηγορία των δομημένων </w:t>
            </w:r>
            <w:proofErr w:type="spellStart"/>
            <w:r>
              <w:rPr>
                <w:rFonts w:ascii="Times New Roman" w:hAnsi="Times New Roman"/>
                <w:color w:val="000000" w:themeColor="text1"/>
                <w:spacing w:val="-2"/>
                <w:w w:val="95"/>
                <w:sz w:val="20"/>
              </w:rPr>
              <w:t>αξιογράφων</w:t>
            </w:r>
            <w:proofErr w:type="spellEnd"/>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Μη προνομιούχες υποχρεώσεις με εξοφλητική προτεραιότητα</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Το ποσό οποιασδήποτε από τις ακόλουθες υποχρεώσεις:</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Μη εξασφαλισμένες απαιτήσεις που προκύπτουν από χρεωστικούς τίτλους που πληρούν τις προϋποθέσεις που καθορίζονται στο άρθρο 108 παράγραφος 2 στοιχεία α), β) και γ) και παράγραφος 3 της οδηγίας 2014/59/ΕΕ, </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Μη εξασφαλισμένες απαιτήσεις που προκύπτουν από τους χρεωστικούς τίτλους που αναφέρονται στο άρθρο 108 παράγραφος 5 πρώτο εδάφιο στοιχείο β) της οδηγίας 2014/59/ΕΕ· ή</w:t>
            </w:r>
          </w:p>
          <w:p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Χρεωστικοί τίτλοι με τη χαμηλότερη σειρά κατάταξης μεταξύ των κοινών μη εξασφαλισμένων απαιτήσεων που προκύπτουν από τους χρεωστικούς τίτλους που αναφέρονται στο άρθρο 108 παράγραφος 7 της οδηγίας 2014/59/ΕΕ, για τους οποίους ένα κράτος μέλος έχει προβλέψει, σύμφωνα με την εν λόγω παράγραφο, να έχουν την ίδια κατάταξη με αυτήν των απαιτήσεων που πληρούν τις προϋποθέσεις του άρθρου 108 παράγραφος 2 στοιχεία α), β) και γ) και παράγραφος 3 της οδηγίας 2014/59/ΕΕ.</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Υποχρεώσεις μειωμένης εξασφάλισης</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Οι υποχρεώσεις που θα εξοφληθούν βάσει του εθνικού πτωχευτικού δικαίου μόνον αφού εξοφληθούν πλήρως όλες οι τάξεις των κοινών πιστωτών και των μη προνομιούχων πιστωτών με εξοφλητική προτεραιότητα. Σε αυτές περιλαμβάνονται τόσο οι συμβατικές όσο και οι κανονιστικές υποχρεώσεις μειωμένης εξασφάλισης. Στην περίπτωση των εταιρειών συμμετοχών, στην εν λόγω κατηγορία (ήτοι </w:t>
            </w:r>
            <w:r>
              <w:rPr>
                <w:rFonts w:ascii="Times New Roman" w:hAnsi="Times New Roman"/>
                <w:color w:val="000000" w:themeColor="text1"/>
                <w:spacing w:val="-2"/>
                <w:w w:val="95"/>
                <w:sz w:val="20"/>
              </w:rPr>
              <w:lastRenderedPageBreak/>
              <w:t>δομική μειωμένη εξασφάλιση) μπορούν επίσης να αναφέρονται και οι χρεωστικοί τίτλοι μη μειωμένης εξασφάλισης.</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Στην κατηγορία αυτή περιλαμβάνονται μόνο μέσα μειωμένης εξασφάλισης που δεν αναγνωρίζονται ως ίδια κεφάλαια. </w:t>
            </w:r>
          </w:p>
          <w:p w:rsidR="0081175C" w:rsidRPr="00D92B3C" w:rsidRDefault="00EF01C1" w:rsidP="005F23B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Η γραμμή αυτή περιλαμβάνει επίσης εκείνο το μέρος των υποχρεώσεων μειωμένης εξασφάλισης που χαρακτηρίζεται καταρχήν ως ίδια κεφάλαια, αλλά δεν περιλαμβάνεται στα ίδια κεφάλαια λόγω διατάξεων σταδιακής εξάλειψης</w:t>
            </w:r>
            <w:r w:rsidR="005F23B3">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xml:space="preserve"> όπως το άρθρο 64 του κανονισμού (ΕΕ) αριθ. 575/2013 (εναπομένουσα </w:t>
            </w:r>
            <w:proofErr w:type="spellStart"/>
            <w:r>
              <w:rPr>
                <w:rFonts w:ascii="Times New Roman" w:hAnsi="Times New Roman"/>
                <w:color w:val="000000" w:themeColor="text1"/>
                <w:spacing w:val="-2"/>
                <w:w w:val="95"/>
                <w:sz w:val="20"/>
              </w:rPr>
              <w:t>ληκτότητα</w:t>
            </w:r>
            <w:proofErr w:type="spellEnd"/>
            <w:r>
              <w:rPr>
                <w:rFonts w:ascii="Times New Roman" w:hAnsi="Times New Roman"/>
                <w:color w:val="000000" w:themeColor="text1"/>
                <w:spacing w:val="-2"/>
                <w:w w:val="95"/>
                <w:sz w:val="20"/>
              </w:rPr>
              <w:t xml:space="preserve">) ή το </w:t>
            </w:r>
            <w:r w:rsidR="005F23B3">
              <w:rPr>
                <w:rFonts w:ascii="Times New Roman" w:hAnsi="Times New Roman"/>
                <w:color w:val="000000" w:themeColor="text1"/>
                <w:spacing w:val="-2"/>
                <w:w w:val="95"/>
                <w:sz w:val="20"/>
              </w:rPr>
              <w:t xml:space="preserve">δέκατο </w:t>
            </w:r>
            <w:r>
              <w:rPr>
                <w:rFonts w:ascii="Times New Roman" w:hAnsi="Times New Roman"/>
                <w:color w:val="000000" w:themeColor="text1"/>
                <w:spacing w:val="-2"/>
                <w:w w:val="95"/>
                <w:sz w:val="20"/>
              </w:rPr>
              <w:t xml:space="preserve">μέρος του κανονισμού (ΕΕ) αριθ. 575/2013 (επιπτώσεις της αποδοχής του προϋφιστάμενου καθεστώτος).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0380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Άλλες επιλέξιμες υποχρεώσεις MREL</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Οποιοδήποτε μέσο είναι επιλέξιμο για MREL</w:t>
            </w:r>
            <w:r w:rsidR="005F23B3">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xml:space="preserve"> αλλά δεν αποτυπώνεται στις γραμμές 0320 και 0340 έως 0370.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Μη χρηματοοικονομικές υποχρεώσεις</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Στη γραμμή αυτή αποτυπώνονται οι μη χρηματοοικονομικές υποχρεώσεις που δεν σχετίζονται με χρεωστικούς τίτλους των οποίων οι κάτοχοι μπορούν να διασωθούν για πρακτικούς λόγους, όπως προβλέψεις που σχετίζονται με διαφορές στις οποίες υπόκειται η οντότητα.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Λοιπά στοιχεία παθητικού</w:t>
            </w:r>
          </w:p>
          <w:p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Οποιαδήποτε υποχρέωση δεν αναφέρεται στις γραμμές 0100 έως 0390.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rPr>
              <w:t>Ίδια κεφάλαια</w:t>
            </w:r>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4 παράγραφος 1 σημείο 118) και άρθρο 72 του κανονισμού (ΕΕ) αριθ. 575/2013</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Ίδιος ορισμός όπως </w:t>
            </w:r>
            <w:r w:rsidR="005F23B3">
              <w:rPr>
                <w:rFonts w:ascii="Times New Roman" w:hAnsi="Times New Roman"/>
                <w:color w:val="000000" w:themeColor="text1"/>
                <w:spacing w:val="-2"/>
                <w:w w:val="95"/>
                <w:sz w:val="20"/>
              </w:rPr>
              <w:t>σ</w:t>
            </w:r>
            <w:r>
              <w:rPr>
                <w:rFonts w:ascii="Times New Roman" w:hAnsi="Times New Roman"/>
                <w:color w:val="000000" w:themeColor="text1"/>
                <w:spacing w:val="-2"/>
                <w:w w:val="95"/>
                <w:sz w:val="20"/>
              </w:rPr>
              <w:t>το COREP (OF): {C 01.00;010;010}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Κεφάλαιο κοινών μετοχών κατηγορίας 1 (CET1)</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50 του κανονισμού (ΕΕ) αριθ.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Ίδιος ορισμός όπως </w:t>
            </w:r>
            <w:r w:rsidR="005F23B3">
              <w:rPr>
                <w:rFonts w:ascii="Times New Roman" w:hAnsi="Times New Roman"/>
                <w:color w:val="000000" w:themeColor="text1"/>
                <w:spacing w:val="-2"/>
                <w:w w:val="95"/>
                <w:sz w:val="20"/>
              </w:rPr>
              <w:t>σ</w:t>
            </w:r>
            <w:r>
              <w:rPr>
                <w:rFonts w:ascii="Times New Roman" w:hAnsi="Times New Roman"/>
                <w:color w:val="000000" w:themeColor="text1"/>
                <w:spacing w:val="-2"/>
                <w:w w:val="95"/>
                <w:sz w:val="20"/>
              </w:rPr>
              <w:t>το COREP (OF): {C 01.00;020;010}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Εκ των οποίων: κεφαλαιακά μέσα/μετοχικό κεφάλαιο</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Νομικά μέσα που αποτελούν (μέρος) του κεφαλαίου CET1 υπό μορφή κεφαλαιακών μέσων/μετοχικού κεφαλαίου</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Εκ των οποίων: μέσα της ίδιας εξοφλητικής προτεραιότητας με τις κοινές μετοχές</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Νομικά μέσα που αποτελούν (μέρος) ιδίων κεφαλαίων CET1 υπό μορφή μέσων διαφορετικών από κεφαλαιακά μέσα/μετοχικό κεφάλαιο, αλλά της ίδιας εξοφλητικής προτεραιότητας με την εν λόγω κατηγορία</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Πρόσθετο κεφάλαιο κατηγορίας 1</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61 του κανονισμού (ΕΕ) αριθ.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Ίδιος ορισμός όπως </w:t>
            </w:r>
            <w:r w:rsidR="005F23B3">
              <w:rPr>
                <w:rFonts w:ascii="Times New Roman" w:hAnsi="Times New Roman"/>
                <w:color w:val="000000" w:themeColor="text1"/>
                <w:spacing w:val="-2"/>
                <w:w w:val="95"/>
                <w:sz w:val="20"/>
              </w:rPr>
              <w:t>σ</w:t>
            </w:r>
            <w:r>
              <w:rPr>
                <w:rFonts w:ascii="Times New Roman" w:hAnsi="Times New Roman"/>
                <w:color w:val="000000" w:themeColor="text1"/>
                <w:spacing w:val="-2"/>
                <w:w w:val="95"/>
                <w:sz w:val="20"/>
              </w:rPr>
              <w:t>το COREP (OF): {C 01.00;530;010}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Εκ των οποίων: (μέρος) υποχρεώσεις μειωμένης εξασφάλισης που αναγνωρίζονται ως ίδια κεφάλαια</w:t>
            </w:r>
          </w:p>
          <w:p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Νομικά μέσα που αποτελούν (μέρος) του πρόσθετου κεφαλαίου της κατηγορίας 1.</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Κεφάλαιο κατηγορίας 2</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71 του κανονισμού (ΕΕ) αριθ.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Ίδιος ορισμός όπως </w:t>
            </w:r>
            <w:r w:rsidR="005F23B3">
              <w:rPr>
                <w:rFonts w:ascii="Times New Roman" w:hAnsi="Times New Roman"/>
                <w:color w:val="000000" w:themeColor="text1"/>
                <w:spacing w:val="-2"/>
                <w:w w:val="95"/>
                <w:sz w:val="20"/>
              </w:rPr>
              <w:t>σ</w:t>
            </w:r>
            <w:r>
              <w:rPr>
                <w:rFonts w:ascii="Times New Roman" w:hAnsi="Times New Roman"/>
                <w:color w:val="000000" w:themeColor="text1"/>
                <w:spacing w:val="-2"/>
                <w:w w:val="95"/>
                <w:sz w:val="20"/>
              </w:rPr>
              <w:t>το COREP (OF): {C 01.00;750;010}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Εκ των οποίων: (μέρος) υποχρεώσεις μειωμένης εξασφάλισης που αναγνωρίζονται ως ίδια </w:t>
            </w:r>
            <w:r>
              <w:rPr>
                <w:rFonts w:ascii="Times New Roman" w:hAnsi="Times New Roman"/>
                <w:b/>
                <w:color w:val="000000" w:themeColor="text1"/>
                <w:sz w:val="20"/>
              </w:rPr>
              <w:lastRenderedPageBreak/>
              <w:t>κεφάλαια</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Η εν λόγω κατανομή προσδιορίζει τα νομικά μέσα που αποτελούν (μέρος) ίδια κεφάλαια κατηγορίας 2.</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0600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Συνολικές υποχρεώσεις και ίδια κεφάλαια, περιλαμβανομένων των υποχρεώσεων παραγώγων</w:t>
            </w:r>
          </w:p>
          <w:p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Το άθροισμα του συνόλου των υποχρεώσεων που αναφέρονται στο παρόν υπόδειγμα και το ποσό των κανονιστικών ίδιων κεφαλαίων. Για αυτόν τον σκοπό, προστίθενται όλα τα ποσά από τις ανωτέρω γραμμές. Όσον αφορά τα παράγωγα, η τιμή που πρέπει να χρησιμοποιείται είναι η γραμμή 0334 «Άθροισμα των καθαρών υποχρεώσεων, λαμβανομένων υπόψη των κανόνων συμψηφισμού προληπτικής εποπτείας».</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3" w:name="_Toc492542323"/>
      <w:bookmarkStart w:id="14" w:name="_Toc525210695"/>
      <w:r>
        <w:rPr>
          <w:rFonts w:ascii="Times New Roman" w:hAnsi="Times New Roman"/>
        </w:rPr>
        <w:t>Z 03.00 - Απαιτήσεις ιδίων κεφαλαίων (OWN)</w:t>
      </w:r>
      <w:bookmarkEnd w:id="13"/>
      <w:bookmarkEnd w:id="14"/>
    </w:p>
    <w:p w:rsidR="00F73F97" w:rsidRPr="00D92B3C" w:rsidRDefault="00F73F97" w:rsidP="00EC261B">
      <w:pPr>
        <w:pStyle w:val="Instructionsberschrift3"/>
      </w:pPr>
      <w:r>
        <w:t>Γενικές παρατηρήσεις</w:t>
      </w:r>
    </w:p>
    <w:p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Στο παρόν υπόδειγμα συγκεντρώνονται πληροφορίες σχετικά με τις απαιτήσεις ιδίων κεφαλαίων για μια οντότητα ή όμιλο.</w:t>
      </w:r>
    </w:p>
    <w:p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Όλες οι αναφερόμενες πληροφορίες αντικατοπτρίζουν τις απαιτήσεις ιδίων κεφαλαίων που εφαρμόζονται κατά την ημερομηνία αναφοράς για την υποβολή αναφορών.</w:t>
      </w:r>
    </w:p>
    <w:p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Οι πληροφορίες σχετικά με τις απαιτήσεις του 2ου πυλώνα που αναφέρονται στο παρόν υπόδειγμα βασίζονται στην πιο πρόσφατη διαθέσιμη επίσημη επιστολή διαδικασίας εποπτικού ελέγχου και αξιολόγησης (ΔΕΕΑ) που έχει αποστείλει η αρμόδια αρχή.</w:t>
      </w:r>
    </w:p>
    <w:p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Σε περίπτωση που η οντότητα στην οποία αναφέρεται η αναφορά δεν υπόκειται σε κεφαλαιακές απαιτήσεις σε ατομική βάση, αναφέρεται μόνο η γραμμή 0110.</w:t>
      </w:r>
    </w:p>
    <w:p w:rsidR="00E13CE3" w:rsidRPr="00D92B3C" w:rsidRDefault="00E13CE3" w:rsidP="00EC261B">
      <w:pPr>
        <w:pStyle w:val="Instructionsberschrift3"/>
      </w:pPr>
      <w:r>
        <w:t>Οδηγίες για συγκεκριμένες θέσεις</w:t>
      </w:r>
    </w:p>
    <w:tbl>
      <w:tblPr>
        <w:tblW w:w="0" w:type="auto"/>
        <w:tblCellMar>
          <w:top w:w="57" w:type="dxa"/>
          <w:left w:w="57" w:type="dxa"/>
          <w:bottom w:w="57" w:type="dxa"/>
          <w:right w:w="0" w:type="dxa"/>
        </w:tblCellMar>
        <w:tblLook w:val="01E0" w:firstRow="1" w:lastRow="1" w:firstColumn="1" w:lastColumn="1" w:noHBand="0" w:noVBand="0"/>
      </w:tblPr>
      <w:tblGrid>
        <w:gridCol w:w="755"/>
        <w:gridCol w:w="8328"/>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Γραμμές</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Οδηγίες</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color w:val="000000" w:themeColor="text1"/>
                <w:sz w:val="20"/>
              </w:rPr>
              <w:t>Συνολικό ποσό ανοίγματος σε κίνδυνο</w:t>
            </w:r>
          </w:p>
          <w:p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92 παράγραφος 3 του κανονισμού (ΕΕ) αριθ. 575/2013</w:t>
            </w:r>
          </w:p>
          <w:p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pacing w:val="-1"/>
                <w:w w:val="95"/>
                <w:sz w:val="20"/>
              </w:rPr>
              <w:t>Βλέπε Z 01.00, στήλη 0100</w:t>
            </w:r>
          </w:p>
          <w:p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Συνολικό ποσό ανοίγματος σε κίνδυνο, όπως ορίζεται για το COREP (OF): {C 02.00;010;010}</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Συνεισφορά στο συνολικό ενοποιημένο ποσό ανοίγματος σε κίνδυνο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Βλέπε Z 01.00, στήλη 0140</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Συνολικό άνοιγμα δείκτη μόχλευσης, όπως ορίζεται για το COREP (LR): {C 47.00;290;010}</w:t>
            </w:r>
          </w:p>
          <w:p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Το στοιχείο αυτό αναφέρεται μόνο για οντότητες που δεν υπόκεινται σε κεφαλαιακές απαιτήσεις σε ατομική βάση.</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 — 0250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Απαιτήσεις αρχικού κεφαλαίου και δείκτη μόχλευσης</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Αρχικό κεφάλαιο</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Άρθρα 12, 28 έως 31 της οδηγίας 2013/36/ΕΕ και άρθρο 93 του κανονισμού (ΕΕ) αριθ. 575/2013</w:t>
            </w:r>
          </w:p>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Το ποσό του αρχικού κεφαλαίου που απαιτείται ως προϋπόθεση για τη χορήγηση άδειας έναρξης λειτουργίας ενός ιδρύματος.</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Απαίτηση δείκτη μόχλευσης</w:t>
            </w:r>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Η απαίτηση δείκτη μόχλευσης όπως εφαρμόζεται για την οντότητα ή τον όμιλο, εκφραζόμενη ως ποσοστό του συνολικού ανοίγματος δείκτη μόχλευσης. Σε περίπτωση που δεν εφαρμόζεται τυπική απαίτηση, οι οντότητες αφήνουν αυτό το κελί κενό.</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Το συνολικό άνοιγμα δείκτη μόχλευσης ορίζεται όπως για το COREP (LR): {C 47.00;290;010}</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0300</w:t>
            </w:r>
          </w:p>
        </w:tc>
        <w:tc>
          <w:tcPr>
            <w:tcW w:w="8277" w:type="dxa"/>
            <w:tcBorders>
              <w:top w:val="single" w:sz="4" w:space="0" w:color="1A171C"/>
              <w:left w:val="single" w:sz="4" w:space="0" w:color="1A171C"/>
              <w:bottom w:val="single" w:sz="4" w:space="0" w:color="1A171C"/>
              <w:right w:val="nil"/>
            </w:tcBorders>
            <w:vAlign w:val="center"/>
          </w:tcPr>
          <w:p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Δείκτης συνολικών κεφαλαιακών απαιτήσεων ΔΕΕΑ (TSCR)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03.00;130;010}</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Το άθροισμα των σημείων i) και ii) ως εξής:</w:t>
            </w:r>
          </w:p>
          <w:p w:rsidR="00517EFA" w:rsidRPr="00D92B3C" w:rsidRDefault="005F23B3"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του </w:t>
            </w:r>
            <w:r w:rsidR="00517EFA">
              <w:rPr>
                <w:rFonts w:ascii="Times New Roman" w:hAnsi="Times New Roman"/>
                <w:color w:val="000000" w:themeColor="text1"/>
                <w:sz w:val="20"/>
              </w:rPr>
              <w:t>συνολικ</w:t>
            </w:r>
            <w:r>
              <w:rPr>
                <w:rFonts w:ascii="Times New Roman" w:hAnsi="Times New Roman"/>
                <w:color w:val="000000" w:themeColor="text1"/>
                <w:sz w:val="20"/>
              </w:rPr>
              <w:t>ού</w:t>
            </w:r>
            <w:r w:rsidR="00517EFA">
              <w:rPr>
                <w:rFonts w:ascii="Times New Roman" w:hAnsi="Times New Roman"/>
                <w:color w:val="000000" w:themeColor="text1"/>
                <w:sz w:val="20"/>
              </w:rPr>
              <w:t xml:space="preserve"> δείκτη κεφαλαίου (8 %), όπως ορίζεται στο άρθρο 92 παράγραφος 1 στοιχείο γ) του κανονισμού (ΕΕ) αριθ. 575/2013, </w:t>
            </w:r>
          </w:p>
          <w:p w:rsidR="00517EFA" w:rsidRPr="00D92B3C" w:rsidRDefault="005F23B3"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του</w:t>
            </w:r>
            <w:r w:rsidR="00517EFA">
              <w:rPr>
                <w:rFonts w:ascii="Times New Roman" w:hAnsi="Times New Roman"/>
                <w:color w:val="000000" w:themeColor="text1"/>
                <w:sz w:val="20"/>
              </w:rPr>
              <w:t xml:space="preserve"> δείκτη πρόσθετων απαιτήσεων ιδίων κεφαλαίων (απαιτήσεις 2ου πυλώνα – P2R) που προσδιορίζεται σύμφωνα με τα κριτήρια που καθορίζονται στις </w:t>
            </w:r>
            <w:r w:rsidR="00517EFA">
              <w:rPr>
                <w:rFonts w:ascii="Times New Roman" w:hAnsi="Times New Roman"/>
                <w:i/>
                <w:color w:val="000000" w:themeColor="text1"/>
                <w:sz w:val="20"/>
              </w:rPr>
              <w:t>Κατευθυντήριες γραμμές της ΕΑΤ σχετικά με τις κοινές διαδικασίες και μεθοδολογίες για τη διαδικασία εποπτικής εξέτασης και αξιολόγησης και τις εποπτικές προσομοιώσεις ακραίων καταστάσεων</w:t>
            </w:r>
            <w:r w:rsidR="00AA5502">
              <w:rPr>
                <w:rFonts w:ascii="Times New Roman" w:hAnsi="Times New Roman"/>
                <w:i/>
                <w:color w:val="000000" w:themeColor="text1"/>
                <w:sz w:val="20"/>
              </w:rPr>
              <w:t xml:space="preserve"> </w:t>
            </w:r>
            <w:r w:rsidR="00517EFA">
              <w:rPr>
                <w:rFonts w:ascii="Times New Roman" w:hAnsi="Times New Roman"/>
                <w:color w:val="000000" w:themeColor="text1"/>
                <w:sz w:val="20"/>
              </w:rPr>
              <w:t>(ΚΓ της ΕΑΤ για τη ΔΕΕΑ).</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Το στοιχείο αυτό αντικατοπτρίζει τον δείκτη συνολικών κεφαλαιακών απαιτήσεων ΔΕΕΑ (TSCR), όπως κοινοποιείται στο ίδρυμα από την αρμόδια αρχή. Ο TSCR ορίζεται στο τμήμα 1.2 των ΚΓ της ΕΑΤ για τη ΔΕΕΑ.</w:t>
            </w:r>
          </w:p>
          <w:p w:rsidR="00517EFA" w:rsidRPr="00D92B3C" w:rsidRDefault="00517EFA"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Σε περίπτωση που δεν έχουν κοινοποιηθεί πρόσθετες απαιτήσεις ιδίων κεφαλαίων από την αρμόδια αρχή, τότε αναφέρεται μόνο το σημείο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TSCR: πρέπει να αποτελείται από κεφάλαιο CET1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03.00;140;010}</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Το άθροισμα των σημείων i) και ii) ως εξής:</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w:t>
            </w:r>
            <w:r>
              <w:tab/>
            </w:r>
            <w:r w:rsidR="00AA5502">
              <w:rPr>
                <w:rFonts w:ascii="Times New Roman" w:hAnsi="Times New Roman"/>
                <w:color w:val="000000" w:themeColor="text1"/>
                <w:sz w:val="20"/>
              </w:rPr>
              <w:t>του</w:t>
            </w:r>
            <w:r>
              <w:rPr>
                <w:rFonts w:ascii="Times New Roman" w:hAnsi="Times New Roman"/>
                <w:color w:val="000000" w:themeColor="text1"/>
                <w:sz w:val="20"/>
              </w:rPr>
              <w:t xml:space="preserve"> δείκτη κεφαλαίου CET1 (4,5 %), όπως ορίζεται στο άρθρο 92 παράγραφος 1 στοιχείο α) του κανονισμού (ΕΕ) αριθ. 575/2013,</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ii)</w:t>
            </w:r>
            <w:r>
              <w:tab/>
            </w:r>
            <w:r>
              <w:rPr>
                <w:rFonts w:ascii="Times New Roman" w:hAnsi="Times New Roman"/>
                <w:color w:val="000000" w:themeColor="text1"/>
                <w:sz w:val="20"/>
              </w:rPr>
              <w:t>το</w:t>
            </w:r>
            <w:r w:rsidR="00AA5502">
              <w:rPr>
                <w:rFonts w:ascii="Times New Roman" w:hAnsi="Times New Roman"/>
                <w:color w:val="000000" w:themeColor="text1"/>
                <w:sz w:val="20"/>
              </w:rPr>
              <w:t>υ</w:t>
            </w:r>
            <w:r>
              <w:rPr>
                <w:rFonts w:ascii="Times New Roman" w:hAnsi="Times New Roman"/>
                <w:color w:val="000000" w:themeColor="text1"/>
                <w:sz w:val="20"/>
              </w:rPr>
              <w:t xml:space="preserve"> μέρο</w:t>
            </w:r>
            <w:r w:rsidR="00AA5502">
              <w:rPr>
                <w:rFonts w:ascii="Times New Roman" w:hAnsi="Times New Roman"/>
                <w:color w:val="000000" w:themeColor="text1"/>
                <w:sz w:val="20"/>
              </w:rPr>
              <w:t>υ</w:t>
            </w:r>
            <w:r>
              <w:rPr>
                <w:rFonts w:ascii="Times New Roman" w:hAnsi="Times New Roman"/>
                <w:color w:val="000000" w:themeColor="text1"/>
                <w:sz w:val="20"/>
              </w:rPr>
              <w:t>ς του δείκτη P2R, που αναφέρεται στο σημείο ii) της γραμμής 300, που απαιτείται από την αρμόδια αρχή να κατέχεται υπό μορφή κεφαλαίου CET1.</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Σε περίπτωση που δεν έχουν κοινοποιηθεί πρόσθετες απαιτήσεις ιδίων κεφαλαίων, που πρέπει να κατέχονται υπό μορφή κεφαλαίου CET1, από την αρμόδια αρχή, τότε αναφέρεται μόνο το σημείο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TSCR: πρέπει να αποτελείται από κεφάλαιο κατηγορίας 1</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03.00;150;010}</w:t>
            </w:r>
          </w:p>
          <w:p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Το άθροισμα των σημείων i) και ii) ως εξής:</w:t>
            </w:r>
          </w:p>
          <w:p w:rsidR="00122E1B" w:rsidRPr="00D92B3C" w:rsidRDefault="00AA5502" w:rsidP="00715DAB">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rPr>
              <w:t>του</w:t>
            </w:r>
            <w:r w:rsidR="00122E1B">
              <w:rPr>
                <w:rFonts w:ascii="Times New Roman" w:hAnsi="Times New Roman"/>
                <w:color w:val="000000" w:themeColor="text1"/>
                <w:sz w:val="20"/>
              </w:rPr>
              <w:t xml:space="preserve"> δείκτη κεφαλαίου κατηγορίας 1 (6 %), σύμφωνα με το άρθρο 92 παράγραφος 1 στοιχείο β) του κανονισμού (ΕΕ) αριθ. 575/2013,</w:t>
            </w:r>
          </w:p>
          <w:p w:rsidR="00122E1B" w:rsidRPr="00D92B3C" w:rsidRDefault="00122E1B" w:rsidP="00715DAB">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το</w:t>
            </w:r>
            <w:r w:rsidR="00AA5502">
              <w:rPr>
                <w:rFonts w:ascii="Times New Roman" w:hAnsi="Times New Roman"/>
                <w:color w:val="000000" w:themeColor="text1"/>
                <w:sz w:val="20"/>
              </w:rPr>
              <w:t>υ</w:t>
            </w:r>
            <w:r>
              <w:rPr>
                <w:rFonts w:ascii="Times New Roman" w:hAnsi="Times New Roman"/>
                <w:color w:val="000000" w:themeColor="text1"/>
                <w:sz w:val="20"/>
              </w:rPr>
              <w:t xml:space="preserve"> μέρο</w:t>
            </w:r>
            <w:r w:rsidR="00AA5502">
              <w:rPr>
                <w:rFonts w:ascii="Times New Roman" w:hAnsi="Times New Roman"/>
                <w:color w:val="000000" w:themeColor="text1"/>
                <w:sz w:val="20"/>
              </w:rPr>
              <w:t>υ</w:t>
            </w:r>
            <w:r>
              <w:rPr>
                <w:rFonts w:ascii="Times New Roman" w:hAnsi="Times New Roman"/>
                <w:color w:val="000000" w:themeColor="text1"/>
                <w:sz w:val="20"/>
              </w:rPr>
              <w:t>ς του δείκτη P2R, που αναφέρεται στο σημείο ii) της γραμμής 300, που απαιτείται από την αρμόδια αρχή να κατέχεται υπό μορφή κεφαλαίου κατηγορίας 1.</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Σε περίπτωση που δεν έχουν κοινοποιηθεί πρόσθετες απαιτήσεις ιδίων κεφαλαίων, που πρέπει να κατέχονται υπό μορφή κεφαλαίου κατηγορίας 1, από την αρμόδια αρχή, τότε αναφέρεται μόνο το σημείο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277" w:type="dxa"/>
            <w:tcBorders>
              <w:top w:val="single" w:sz="4" w:space="0" w:color="1A171C"/>
              <w:left w:val="single" w:sz="4" w:space="0" w:color="1A171C"/>
              <w:bottom w:val="single" w:sz="4" w:space="0" w:color="1A171C"/>
              <w:right w:val="nil"/>
            </w:tcBorders>
            <w:vAlign w:val="center"/>
          </w:tcPr>
          <w:p w:rsidR="00F24B99" w:rsidRPr="00D92B3C" w:rsidRDefault="00AA5502"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Συνδυασμένες α</w:t>
            </w:r>
            <w:r w:rsidR="00F24B99">
              <w:rPr>
                <w:rFonts w:ascii="Times New Roman" w:hAnsi="Times New Roman"/>
                <w:b/>
                <w:color w:val="000000" w:themeColor="text1"/>
                <w:sz w:val="20"/>
              </w:rPr>
              <w:t>παιτήσεις αποθέματος ασφαλείας</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128 σημείο 6</w:t>
            </w:r>
            <w:r w:rsidR="00134A9F">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xml:space="preserve"> της οδηγίας 2013/36/EE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04.00;740;010}</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Απόθεμα ασφαλείας διατήρησης κεφαλαίου</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128 σημείο 1</w:t>
            </w:r>
            <w:r w:rsidR="00134A9F">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xml:space="preserve"> και άρθρο 129 της οδηγίας 2013/36/ΕΕ</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pacing w:val="-2"/>
                <w:w w:val="95"/>
                <w:sz w:val="20"/>
              </w:rPr>
              <w:t>COREP (OF): {C 04.00;750;010}).</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 xml:space="preserve">Σύμφωνα με το άρθρο 129 παράγραφος 1, το απόθεμα ασφαλείας διατήρησης κεφαλαίου είναι ένα πρόσθετο ποσό κεφαλαίου κοινών μετοχών της κατηγορίας 1. Δεδομένου ότι το απόθεμα ασφαλείας </w:t>
            </w:r>
            <w:r>
              <w:rPr>
                <w:rFonts w:ascii="Times New Roman" w:hAnsi="Times New Roman"/>
                <w:color w:val="000000" w:themeColor="text1"/>
                <w:sz w:val="20"/>
              </w:rPr>
              <w:lastRenderedPageBreak/>
              <w:t>διατήρησης κεφαλαίου της τάξης του 2,5 % είναι σταθερό, στο συγκεκριμένο κελί αναφέρεται ένα ποσό.</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0420</w:t>
            </w:r>
          </w:p>
        </w:tc>
        <w:tc>
          <w:tcPr>
            <w:tcW w:w="8277" w:type="dxa"/>
            <w:tcBorders>
              <w:top w:val="single" w:sz="4" w:space="0" w:color="1A171C"/>
              <w:left w:val="single" w:sz="4" w:space="0" w:color="1A171C"/>
              <w:bottom w:val="single" w:sz="4" w:space="0" w:color="1A171C"/>
              <w:right w:val="nil"/>
            </w:tcBorders>
            <w:vAlign w:val="center"/>
          </w:tcPr>
          <w:p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 xml:space="preserve">Απόθεμα ασφαλείας διατήρησης κεφαλαίου λόγω </w:t>
            </w:r>
            <w:proofErr w:type="spellStart"/>
            <w:r>
              <w:rPr>
                <w:rStyle w:val="InstructionsTabelleberschrift"/>
                <w:rFonts w:ascii="Times New Roman" w:hAnsi="Times New Roman"/>
                <w:color w:val="000000" w:themeColor="text1"/>
                <w:u w:val="none"/>
              </w:rPr>
              <w:t>μακροπροληπτικού</w:t>
            </w:r>
            <w:proofErr w:type="spellEnd"/>
            <w:r>
              <w:rPr>
                <w:rStyle w:val="InstructionsTabelleberschrift"/>
                <w:rFonts w:ascii="Times New Roman" w:hAnsi="Times New Roman"/>
                <w:color w:val="000000" w:themeColor="text1"/>
                <w:u w:val="none"/>
              </w:rPr>
              <w:t xml:space="preserve"> ή συστημικού κινδύνου που εντοπίζεται σε επίπεδο κράτους μέλους</w:t>
            </w:r>
          </w:p>
          <w:p w:rsidR="005337DD" w:rsidRPr="00D92B3C" w:rsidRDefault="005337DD" w:rsidP="00B525EC">
            <w:pPr>
              <w:rPr>
                <w:rStyle w:val="InstructionsTabelleberschrift"/>
                <w:rFonts w:ascii="Times New Roman" w:hAnsi="Times New Roman"/>
                <w:color w:val="000000" w:themeColor="text1"/>
                <w:szCs w:val="20"/>
                <w:u w:val="none"/>
              </w:rPr>
            </w:pPr>
          </w:p>
          <w:p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u w:val="none"/>
              </w:rPr>
              <w:t>Άρθρο 458 παράγραφος 2 στοιχείο δ) σημείο iv) του κανονισμού (ΕΕ) αριθ. 575/2013</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pacing w:val="-2"/>
                <w:w w:val="95"/>
                <w:sz w:val="20"/>
              </w:rPr>
              <w:t>COREP (OF): {C 04.00;760;010}).</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 xml:space="preserve">Στο συγκεκριμένο κελί αναφέρεται το ποσό του αποθέματος ασφαλείας διατήρησης κεφαλαίου λόγω </w:t>
            </w:r>
            <w:proofErr w:type="spellStart"/>
            <w:r>
              <w:rPr>
                <w:rFonts w:ascii="Times New Roman" w:hAnsi="Times New Roman"/>
                <w:color w:val="000000" w:themeColor="text1"/>
                <w:sz w:val="20"/>
              </w:rPr>
              <w:t>μακροπροληπτικού</w:t>
            </w:r>
            <w:proofErr w:type="spellEnd"/>
            <w:r>
              <w:rPr>
                <w:rFonts w:ascii="Times New Roman" w:hAnsi="Times New Roman"/>
                <w:color w:val="000000" w:themeColor="text1"/>
                <w:sz w:val="20"/>
              </w:rPr>
              <w:t xml:space="preserve"> ή συστημικού κινδύνου που εντοπίζεται σε επίπεδο κράτους μέλους, το οποίο δύναται να ζητηθεί σύμφωνα με το άρθρο 458 του κανονισμού (ΕΕ) αριθ. 575/2013</w:t>
            </w:r>
            <w:r w:rsidR="00D41B5F">
              <w:rPr>
                <w:rFonts w:ascii="Times New Roman" w:hAnsi="Times New Roman"/>
                <w:color w:val="000000" w:themeColor="text1"/>
                <w:sz w:val="20"/>
              </w:rPr>
              <w:t>,</w:t>
            </w:r>
            <w:r>
              <w:rPr>
                <w:rFonts w:ascii="Times New Roman" w:hAnsi="Times New Roman"/>
                <w:color w:val="000000" w:themeColor="text1"/>
                <w:sz w:val="20"/>
              </w:rPr>
              <w:t xml:space="preserve"> επιπροσθέτως του αποθέματος ασφαλείας διατήρησης κεφαλαίου.</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αναφοράς.</w:t>
            </w:r>
          </w:p>
          <w:p w:rsidR="005337DD" w:rsidRPr="00D92B3C"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z w:val="20"/>
              </w:rPr>
              <w:t>Αντικυκλικό</w:t>
            </w:r>
            <w:proofErr w:type="spellEnd"/>
            <w:r>
              <w:rPr>
                <w:rFonts w:ascii="Times New Roman" w:hAnsi="Times New Roman"/>
                <w:b/>
                <w:color w:val="000000" w:themeColor="text1"/>
                <w:sz w:val="20"/>
              </w:rPr>
              <w:t xml:space="preserve"> κεφαλαιακό απόθεμα ασφαλείας ειδικά για το κάθε ίδρυμα </w:t>
            </w:r>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128 σημείο 2</w:t>
            </w:r>
            <w:r w:rsidR="00134A9F">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άρθρο 130 και άρθρα 135-140 της οδηγίας 2013/36/ΕΕ</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(βλέπε COREP (OF): {C 04.00;770;010}).</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αναφοράς.</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0440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Απόθεμα ασφαλείας συστημικού κινδύνου</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128 σημείο 5</w:t>
            </w:r>
            <w:r w:rsidR="00134A9F">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xml:space="preserve"> και άρθρα 133 και 134 της οδηγίας 2013/36/ΕΕ</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(βλέπε COREP (OF): {C 04.00;780;010}).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αναφοράς.</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Απόθεμα ασφαλείας για τα παγκόσμια συστημικώς σημαντικά ιδρύματα</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128 σημείο 3</w:t>
            </w:r>
            <w:r w:rsidR="00134A9F">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xml:space="preserve"> και άρθρο 131 της οδηγίας 2013/36/ΕΕ</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04.00;800;010}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αναφοράς.</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0460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Απόθεμα ασφαλείας για άλλα συστημικώς σημαντικά ιδρύματα</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128 σημείο 4</w:t>
            </w:r>
            <w:r w:rsidR="00134A9F">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xml:space="preserve"> και άρθρο 131 της οδηγίας 2013/36/ΕΕ</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04.00;810;010}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αναφοράς.</w:t>
            </w:r>
          </w:p>
        </w:tc>
      </w:tr>
      <w:tr w:rsidR="00D22EB0" w:rsidRPr="00D92B3C" w:rsidTr="00C0314B">
        <w:trPr>
          <w:trHeight w:val="1613"/>
        </w:trPr>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0500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Δείκτης συνολικής κεφαλαιακής απαίτησης (OCR)</w:t>
            </w:r>
          </w:p>
          <w:p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03.00;160;010}</w:t>
            </w:r>
          </w:p>
          <w:p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Το άθροισμα των σημείων i) και ii) ως εξής:</w:t>
            </w:r>
          </w:p>
          <w:p w:rsidR="00B77E4E" w:rsidRPr="00D92B3C" w:rsidRDefault="005F23B3"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του δείκτη</w:t>
            </w:r>
            <w:r w:rsidR="00B77E4E">
              <w:rPr>
                <w:rFonts w:ascii="Times New Roman" w:hAnsi="Times New Roman"/>
                <w:color w:val="000000" w:themeColor="text1"/>
                <w:sz w:val="20"/>
              </w:rPr>
              <w:t xml:space="preserve"> TSCR που αναφέρεται στη γραμμή 0300,</w:t>
            </w:r>
          </w:p>
          <w:p w:rsidR="00B77E4E" w:rsidRPr="00D92B3C" w:rsidRDefault="00B77E4E" w:rsidP="00AA5502">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στον βαθμό που εφαρμόζεται βάσει της νομοθεσίας, </w:t>
            </w:r>
            <w:r w:rsidR="005F23B3">
              <w:rPr>
                <w:rFonts w:ascii="Times New Roman" w:hAnsi="Times New Roman"/>
                <w:color w:val="000000" w:themeColor="text1"/>
                <w:sz w:val="20"/>
              </w:rPr>
              <w:t>του</w:t>
            </w:r>
            <w:r>
              <w:rPr>
                <w:rFonts w:ascii="Times New Roman" w:hAnsi="Times New Roman"/>
                <w:color w:val="000000" w:themeColor="text1"/>
                <w:sz w:val="20"/>
              </w:rPr>
              <w:t xml:space="preserve"> δείκτη </w:t>
            </w:r>
            <w:r w:rsidR="00AA5502" w:rsidRPr="00AA5502">
              <w:rPr>
                <w:rFonts w:ascii="Times New Roman" w:hAnsi="Times New Roman"/>
                <w:color w:val="000000" w:themeColor="text1"/>
                <w:sz w:val="20"/>
              </w:rPr>
              <w:t>της συνδυασμένης απαίτησης</w:t>
            </w:r>
            <w:r>
              <w:rPr>
                <w:rFonts w:ascii="Times New Roman" w:hAnsi="Times New Roman"/>
                <w:color w:val="000000" w:themeColor="text1"/>
                <w:sz w:val="20"/>
              </w:rPr>
              <w:t xml:space="preserve"> αποθέματος ασφαλείας που αναφέρεται στο </w:t>
            </w:r>
            <w:r w:rsidR="00134A9F">
              <w:rPr>
                <w:rFonts w:ascii="Times New Roman" w:hAnsi="Times New Roman"/>
                <w:color w:val="000000" w:themeColor="text1"/>
                <w:sz w:val="20"/>
              </w:rPr>
              <w:t>άρθρο 128 σημείο 6)</w:t>
            </w:r>
            <w:r>
              <w:rPr>
                <w:rFonts w:ascii="Times New Roman" w:hAnsi="Times New Roman"/>
                <w:color w:val="000000" w:themeColor="text1"/>
                <w:sz w:val="20"/>
              </w:rPr>
              <w:t xml:space="preserve"> της οδηγίας 2013/36/ΕΕ.</w:t>
            </w:r>
          </w:p>
          <w:p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Το στοιχείο αυτό αντικατοπτρίζει τον δείκτη συνολικής κεφαλαιακής απαίτησης (OCR), όπως ορίζεται στο τμήμα 1.2 των κατευθυντήριων γραμμών της ΕΑΤ για τη ΔΕΕΑ.</w:t>
            </w:r>
          </w:p>
          <w:p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Σε περίπτωση που δεν εφαρμόζεται απαίτηση αποθέματος ασφαλείας, αναφέρεται μόνο το σημείο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OCR: πρέπει να αποτελείται από κεφάλαιο CET1</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03.00;170;010}</w:t>
            </w:r>
          </w:p>
          <w:p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Το άθροισμα των σημείων i) και ii) ως εξής:</w:t>
            </w:r>
          </w:p>
          <w:p w:rsidR="004E1838" w:rsidRPr="00D92B3C" w:rsidRDefault="00D41B5F" w:rsidP="00715DAB">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rPr>
              <w:t>του</w:t>
            </w:r>
            <w:r w:rsidR="004E1838">
              <w:rPr>
                <w:rFonts w:ascii="Times New Roman" w:hAnsi="Times New Roman"/>
                <w:color w:val="000000" w:themeColor="text1"/>
                <w:sz w:val="20"/>
              </w:rPr>
              <w:t xml:space="preserve"> δείκτη TSCR </w:t>
            </w:r>
            <w:r w:rsidR="00134A9F">
              <w:rPr>
                <w:rFonts w:ascii="Times New Roman" w:hAnsi="Times New Roman"/>
                <w:color w:val="000000" w:themeColor="text1"/>
                <w:sz w:val="20"/>
              </w:rPr>
              <w:t xml:space="preserve">που </w:t>
            </w:r>
            <w:r w:rsidR="004E1838">
              <w:rPr>
                <w:rFonts w:ascii="Times New Roman" w:hAnsi="Times New Roman"/>
                <w:color w:val="000000" w:themeColor="text1"/>
                <w:sz w:val="20"/>
              </w:rPr>
              <w:t>πρέπει να αποτελείται από το κεφάλαιο CET1 που αναφέρεται στη γραμμή 0310,</w:t>
            </w:r>
          </w:p>
          <w:p w:rsidR="004E1838" w:rsidRPr="00D92B3C" w:rsidRDefault="004E1838" w:rsidP="00AA5502">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 xml:space="preserve">στον βαθμό που εφαρμόζεται βάσει της νομοθεσίας, </w:t>
            </w:r>
            <w:r w:rsidR="00D41B5F">
              <w:rPr>
                <w:rFonts w:ascii="Times New Roman" w:hAnsi="Times New Roman"/>
                <w:color w:val="000000" w:themeColor="text1"/>
                <w:sz w:val="20"/>
              </w:rPr>
              <w:t>του</w:t>
            </w:r>
            <w:r>
              <w:rPr>
                <w:rFonts w:ascii="Times New Roman" w:hAnsi="Times New Roman"/>
                <w:color w:val="000000" w:themeColor="text1"/>
                <w:sz w:val="20"/>
              </w:rPr>
              <w:t xml:space="preserve"> δείκτη </w:t>
            </w:r>
            <w:r w:rsidR="00AA5502" w:rsidRPr="00AA5502">
              <w:rPr>
                <w:rFonts w:ascii="Times New Roman" w:hAnsi="Times New Roman"/>
                <w:color w:val="000000" w:themeColor="text1"/>
                <w:sz w:val="20"/>
              </w:rPr>
              <w:t>της συνδυασμένης απαίτησης</w:t>
            </w:r>
            <w:r>
              <w:rPr>
                <w:rFonts w:ascii="Times New Roman" w:hAnsi="Times New Roman"/>
                <w:color w:val="000000" w:themeColor="text1"/>
                <w:sz w:val="20"/>
              </w:rPr>
              <w:t xml:space="preserve"> αποθέματος ασφαλείας που αναφέρεται στο </w:t>
            </w:r>
            <w:r w:rsidR="00134A9F">
              <w:rPr>
                <w:rFonts w:ascii="Times New Roman" w:hAnsi="Times New Roman"/>
                <w:color w:val="000000" w:themeColor="text1"/>
                <w:sz w:val="20"/>
              </w:rPr>
              <w:t>άρθρο 128 σημείο 6)</w:t>
            </w:r>
            <w:r>
              <w:rPr>
                <w:rFonts w:ascii="Times New Roman" w:hAnsi="Times New Roman"/>
                <w:color w:val="000000" w:themeColor="text1"/>
                <w:sz w:val="20"/>
              </w:rPr>
              <w:t xml:space="preserve"> της οδηγίας 2013/36/ΕΕ.</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Σε περίπτωση που δεν εφαρμόζεται απαίτηση αποθέματος ασφαλείας, αναφέρεται μόνο το σημείο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OCR: πρέπει να αποτελείται από κεφάλαιο κατηγορίας 1</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03.00;180;010}</w:t>
            </w:r>
          </w:p>
          <w:p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Το άθροισμα των σημείων i) και ii) ως εξής:</w:t>
            </w:r>
          </w:p>
          <w:p w:rsidR="004E1838" w:rsidRPr="00D92B3C" w:rsidRDefault="00D41B5F" w:rsidP="00715DAB">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rPr>
              <w:t>του</w:t>
            </w:r>
            <w:r w:rsidR="004E1838">
              <w:rPr>
                <w:rFonts w:ascii="Times New Roman" w:hAnsi="Times New Roman"/>
                <w:color w:val="000000" w:themeColor="text1"/>
                <w:sz w:val="20"/>
              </w:rPr>
              <w:t xml:space="preserve"> δείκτη TSCR </w:t>
            </w:r>
            <w:r w:rsidR="00134A9F">
              <w:rPr>
                <w:rFonts w:ascii="Times New Roman" w:hAnsi="Times New Roman"/>
                <w:color w:val="000000" w:themeColor="text1"/>
                <w:sz w:val="20"/>
              </w:rPr>
              <w:t xml:space="preserve">που </w:t>
            </w:r>
            <w:r w:rsidR="004E1838">
              <w:rPr>
                <w:rFonts w:ascii="Times New Roman" w:hAnsi="Times New Roman"/>
                <w:color w:val="000000" w:themeColor="text1"/>
                <w:sz w:val="20"/>
              </w:rPr>
              <w:t>πρέπει να αποτελείται από το κεφάλαιο κατηγορίας 1 που αναφέρεται στη γραμμή 0320,</w:t>
            </w:r>
          </w:p>
          <w:p w:rsidR="004E1838" w:rsidRPr="00D92B3C" w:rsidRDefault="004E1838" w:rsidP="00AA5502">
            <w:pPr>
              <w:pStyle w:val="InstructionsText"/>
              <w:numPr>
                <w:ilvl w:val="0"/>
                <w:numId w:val="34"/>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 xml:space="preserve">στον βαθμό που εφαρμόζεται βάσει της νομοθεσίας, </w:t>
            </w:r>
            <w:r w:rsidR="00D41B5F">
              <w:rPr>
                <w:rFonts w:ascii="Times New Roman" w:hAnsi="Times New Roman"/>
                <w:color w:val="000000" w:themeColor="text1"/>
                <w:sz w:val="20"/>
              </w:rPr>
              <w:t>του</w:t>
            </w:r>
            <w:r>
              <w:rPr>
                <w:rFonts w:ascii="Times New Roman" w:hAnsi="Times New Roman"/>
                <w:color w:val="000000" w:themeColor="text1"/>
                <w:sz w:val="20"/>
              </w:rPr>
              <w:t xml:space="preserve"> δείκτη </w:t>
            </w:r>
            <w:r w:rsidR="00AA5502" w:rsidRPr="00AA5502">
              <w:rPr>
                <w:rFonts w:ascii="Times New Roman" w:hAnsi="Times New Roman"/>
                <w:color w:val="000000" w:themeColor="text1"/>
                <w:sz w:val="20"/>
              </w:rPr>
              <w:t>της συνδυασμένης απαίτησης</w:t>
            </w:r>
            <w:r>
              <w:rPr>
                <w:rFonts w:ascii="Times New Roman" w:hAnsi="Times New Roman"/>
                <w:color w:val="000000" w:themeColor="text1"/>
                <w:sz w:val="20"/>
              </w:rPr>
              <w:t xml:space="preserve"> αποθέματος ασφαλείας που αναφέρεται στο </w:t>
            </w:r>
            <w:r w:rsidR="00134A9F">
              <w:rPr>
                <w:rFonts w:ascii="Times New Roman" w:hAnsi="Times New Roman"/>
                <w:color w:val="000000" w:themeColor="text1"/>
                <w:sz w:val="20"/>
              </w:rPr>
              <w:t>άρθρο 128 σημείο 6)</w:t>
            </w:r>
            <w:r>
              <w:rPr>
                <w:rFonts w:ascii="Times New Roman" w:hAnsi="Times New Roman"/>
                <w:color w:val="000000" w:themeColor="text1"/>
                <w:sz w:val="20"/>
              </w:rPr>
              <w:t xml:space="preserve"> της οδηγίας 2013/36/ΕΕ.</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Σε περίπτωση που δεν εφαρμόζεται απαίτηση αποθέματος ασφαλείας, αναφέρεται μόνο το σημείο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και κατευθύνσεις 2ου πυλώνα (P2G)</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03.00;190;010}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Το άθροισμα των σημείων i) και ii) ως εξής:</w:t>
            </w:r>
          </w:p>
          <w:p w:rsidR="00B27F8F" w:rsidRPr="00D92B3C" w:rsidRDefault="00D41B5F" w:rsidP="00715DAB">
            <w:pPr>
              <w:pStyle w:val="InstructionsText"/>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rPr>
              <w:t>του</w:t>
            </w:r>
            <w:r w:rsidR="00B27F8F">
              <w:rPr>
                <w:rFonts w:ascii="Times New Roman" w:hAnsi="Times New Roman"/>
                <w:color w:val="000000" w:themeColor="text1"/>
                <w:sz w:val="20"/>
              </w:rPr>
              <w:t xml:space="preserve"> δείκτη OCR που αναφέρεται στη γραμμή 0500,</w:t>
            </w:r>
          </w:p>
          <w:p w:rsidR="00B27F8F" w:rsidRPr="00D92B3C" w:rsidRDefault="00B27F8F" w:rsidP="00715DAB">
            <w:pPr>
              <w:pStyle w:val="InstructionsText"/>
              <w:numPr>
                <w:ilvl w:val="0"/>
                <w:numId w:val="35"/>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 xml:space="preserve">ανάλογα με την περίπτωση, </w:t>
            </w:r>
            <w:r w:rsidR="00D41B5F">
              <w:rPr>
                <w:rFonts w:ascii="Times New Roman" w:hAnsi="Times New Roman"/>
                <w:color w:val="000000" w:themeColor="text1"/>
                <w:sz w:val="20"/>
              </w:rPr>
              <w:t>των</w:t>
            </w:r>
            <w:r>
              <w:rPr>
                <w:rFonts w:ascii="Times New Roman" w:hAnsi="Times New Roman"/>
                <w:color w:val="000000" w:themeColor="text1"/>
                <w:sz w:val="20"/>
              </w:rPr>
              <w:t xml:space="preserve"> κατευθύνσε</w:t>
            </w:r>
            <w:r w:rsidR="00D41B5F">
              <w:rPr>
                <w:rFonts w:ascii="Times New Roman" w:hAnsi="Times New Roman"/>
                <w:color w:val="000000" w:themeColor="text1"/>
                <w:sz w:val="20"/>
              </w:rPr>
              <w:t>ων</w:t>
            </w:r>
            <w:r>
              <w:rPr>
                <w:rFonts w:ascii="Times New Roman" w:hAnsi="Times New Roman"/>
                <w:color w:val="000000" w:themeColor="text1"/>
                <w:sz w:val="20"/>
              </w:rPr>
              <w:t xml:space="preserve"> του 2ου πυλώνα (P2G), όπως ορίζονται στις ΚΓ της ΕΑΤ για τις ΔΕΕΑ. Οι P2G περιλαμβάνονται </w:t>
            </w:r>
            <w:r w:rsidR="00134A9F">
              <w:rPr>
                <w:rFonts w:ascii="Times New Roman" w:hAnsi="Times New Roman"/>
                <w:color w:val="000000" w:themeColor="text1"/>
                <w:sz w:val="20"/>
              </w:rPr>
              <w:t>μόνον εάν</w:t>
            </w:r>
            <w:r>
              <w:rPr>
                <w:rFonts w:ascii="Times New Roman" w:hAnsi="Times New Roman"/>
                <w:color w:val="000000" w:themeColor="text1"/>
                <w:sz w:val="20"/>
              </w:rPr>
              <w:t xml:space="preserve"> κοινοποιηθούν στο ίδρυμα από την αρμόδια αρχή.</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Σε περίπτωση που δεν έχουν κοινοποιηθεί P2G από την αρμόδια αρχή, τότε αναφέρεται μόνο το σημείο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0610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πρέπει να αποτελείται από κεφάλαιο CET1</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03.00;200;010}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Το άθροισμα των σημείων i) και ii) ως εξής:</w:t>
            </w:r>
          </w:p>
          <w:p w:rsidR="00B27F8F" w:rsidRPr="00D92B3C" w:rsidRDefault="00D41B5F" w:rsidP="00715DAB">
            <w:pPr>
              <w:pStyle w:val="InstructionsText"/>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rPr>
              <w:t>του</w:t>
            </w:r>
            <w:r w:rsidR="00B27F8F">
              <w:rPr>
                <w:rFonts w:ascii="Times New Roman" w:hAnsi="Times New Roman"/>
                <w:color w:val="000000" w:themeColor="text1"/>
                <w:sz w:val="20"/>
              </w:rPr>
              <w:t xml:space="preserve"> δείκτη OCR </w:t>
            </w:r>
            <w:r w:rsidR="00134A9F">
              <w:rPr>
                <w:rFonts w:ascii="Times New Roman" w:hAnsi="Times New Roman"/>
                <w:color w:val="000000" w:themeColor="text1"/>
                <w:sz w:val="20"/>
              </w:rPr>
              <w:t xml:space="preserve">που </w:t>
            </w:r>
            <w:r w:rsidR="00B27F8F">
              <w:rPr>
                <w:rFonts w:ascii="Times New Roman" w:hAnsi="Times New Roman"/>
                <w:color w:val="000000" w:themeColor="text1"/>
                <w:sz w:val="20"/>
              </w:rPr>
              <w:t>πρέπει να αποτελείται από το κεφάλαιο CET1 που αναφέρεται στη γραμμή 0520,</w:t>
            </w:r>
          </w:p>
          <w:p w:rsidR="00B27F8F" w:rsidRPr="00D92B3C" w:rsidRDefault="00B27F8F" w:rsidP="00715DAB">
            <w:pPr>
              <w:pStyle w:val="InstructionsText"/>
              <w:numPr>
                <w:ilvl w:val="0"/>
                <w:numId w:val="36"/>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ανάλογα με την περίπτωση, το</w:t>
            </w:r>
            <w:r w:rsidR="00134A9F">
              <w:rPr>
                <w:rFonts w:ascii="Times New Roman" w:hAnsi="Times New Roman"/>
                <w:color w:val="000000" w:themeColor="text1"/>
                <w:sz w:val="20"/>
              </w:rPr>
              <w:t>υ</w:t>
            </w:r>
            <w:r>
              <w:rPr>
                <w:rFonts w:ascii="Times New Roman" w:hAnsi="Times New Roman"/>
                <w:color w:val="000000" w:themeColor="text1"/>
                <w:sz w:val="20"/>
              </w:rPr>
              <w:t xml:space="preserve"> μέρο</w:t>
            </w:r>
            <w:r w:rsidR="00134A9F">
              <w:rPr>
                <w:rFonts w:ascii="Times New Roman" w:hAnsi="Times New Roman"/>
                <w:color w:val="000000" w:themeColor="text1"/>
                <w:sz w:val="20"/>
              </w:rPr>
              <w:t>υ</w:t>
            </w:r>
            <w:r>
              <w:rPr>
                <w:rFonts w:ascii="Times New Roman" w:hAnsi="Times New Roman"/>
                <w:color w:val="000000" w:themeColor="text1"/>
                <w:sz w:val="20"/>
              </w:rPr>
              <w:t xml:space="preserve">ς των P2G, που αναφέρεται στο σημείο ii) της γραμμής 0600, που απαιτείται από την αρμόδια αρχή να κατέχεται υπό μορφή κεφαλαίου CET1. Οι P2G περιλαμβάνονται </w:t>
            </w:r>
            <w:r w:rsidR="00134A9F">
              <w:rPr>
                <w:rFonts w:ascii="Times New Roman" w:hAnsi="Times New Roman"/>
                <w:color w:val="000000" w:themeColor="text1"/>
                <w:sz w:val="20"/>
              </w:rPr>
              <w:t>μόνον εάν</w:t>
            </w:r>
            <w:r>
              <w:rPr>
                <w:rFonts w:ascii="Times New Roman" w:hAnsi="Times New Roman"/>
                <w:color w:val="000000" w:themeColor="text1"/>
                <w:sz w:val="20"/>
              </w:rPr>
              <w:t xml:space="preserve"> κοινοποιηθούν στο ίδρυμα από την αρμόδια αρχή.</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lastRenderedPageBreak/>
              <w:t>Σε περίπτωση που δεν έχουν κοινοποιηθεί P2G από την αρμόδια αρχή, τότε αναφέρεται μόνο το σημείο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0620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και P2G: πρέπει να αποτελούνται από κεφάλαιο κατηγορίας 1</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03.00;210;010}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Το άθροισμα των σημείων i) και ii) ως εξής:</w:t>
            </w:r>
          </w:p>
          <w:p w:rsidR="00B27F8F" w:rsidRPr="00D92B3C" w:rsidRDefault="00134A9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του</w:t>
            </w:r>
            <w:r w:rsidR="00B27F8F">
              <w:rPr>
                <w:rFonts w:ascii="Times New Roman" w:hAnsi="Times New Roman"/>
                <w:color w:val="000000" w:themeColor="text1"/>
                <w:sz w:val="20"/>
              </w:rPr>
              <w:t xml:space="preserve"> δείκτη OCR που πρέπει να αποτελείται από το κεφάλαιο κατηγορίας 1 που αναφέρεται στη γραμμή 0520,</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ανάλογα με την περίπτωση, το</w:t>
            </w:r>
            <w:r w:rsidR="00134A9F">
              <w:rPr>
                <w:rFonts w:ascii="Times New Roman" w:hAnsi="Times New Roman"/>
                <w:color w:val="000000" w:themeColor="text1"/>
                <w:sz w:val="20"/>
              </w:rPr>
              <w:t>υ</w:t>
            </w:r>
            <w:r>
              <w:rPr>
                <w:rFonts w:ascii="Times New Roman" w:hAnsi="Times New Roman"/>
                <w:color w:val="000000" w:themeColor="text1"/>
                <w:sz w:val="20"/>
              </w:rPr>
              <w:t xml:space="preserve"> μέρο</w:t>
            </w:r>
            <w:r w:rsidR="00134A9F">
              <w:rPr>
                <w:rFonts w:ascii="Times New Roman" w:hAnsi="Times New Roman"/>
                <w:color w:val="000000" w:themeColor="text1"/>
                <w:sz w:val="20"/>
              </w:rPr>
              <w:t>υ</w:t>
            </w:r>
            <w:r>
              <w:rPr>
                <w:rFonts w:ascii="Times New Roman" w:hAnsi="Times New Roman"/>
                <w:color w:val="000000" w:themeColor="text1"/>
                <w:sz w:val="20"/>
              </w:rPr>
              <w:t xml:space="preserve">ς των P2G, που αναφέρεται στο σημείο ii) της γραμμής 600, που απαιτείται από την αρμόδια αρχή να κατέχεται υπό μορφή κεφαλαίου κατηγορίας 1. Οι P2G περιλαμβάνονται </w:t>
            </w:r>
            <w:r w:rsidR="00134A9F">
              <w:rPr>
                <w:rFonts w:ascii="Times New Roman" w:hAnsi="Times New Roman"/>
                <w:color w:val="000000" w:themeColor="text1"/>
                <w:sz w:val="20"/>
              </w:rPr>
              <w:t>μόνον εάν</w:t>
            </w:r>
            <w:r>
              <w:rPr>
                <w:rFonts w:ascii="Times New Roman" w:hAnsi="Times New Roman"/>
                <w:color w:val="000000" w:themeColor="text1"/>
                <w:sz w:val="20"/>
              </w:rPr>
              <w:t xml:space="preserve"> κοινοποιηθούν στο ίδρυμα από την αρμόδια αρχή.</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Σε περίπτωση που δεν έχουν κοινοποιηθεί P2G από την αρμόδια αρχή, τότε αναφέρεται μόνο το σημείο i).</w:t>
            </w:r>
          </w:p>
        </w:tc>
      </w:tr>
    </w:tbl>
    <w:p w:rsidR="00FE3E96" w:rsidRPr="00D92B3C" w:rsidRDefault="00FE3E96"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5" w:name="_Toc492542324"/>
      <w:bookmarkStart w:id="16" w:name="_Toc525210696"/>
      <w:r>
        <w:rPr>
          <w:rFonts w:ascii="Times New Roman" w:hAnsi="Times New Roman"/>
        </w:rPr>
        <w:t>Z 04.00 - Ενδοομιλικές χρηματοοικονομικές διασυνδέσεις (IFC)</w:t>
      </w:r>
      <w:bookmarkEnd w:id="15"/>
      <w:bookmarkEnd w:id="16"/>
    </w:p>
    <w:p w:rsidR="00E13CE3" w:rsidRPr="00D92B3C" w:rsidRDefault="00AD2380" w:rsidP="00EC261B">
      <w:pPr>
        <w:pStyle w:val="Instructionsberschrift3"/>
      </w:pPr>
      <w:r>
        <w:t>Γενικές παρατηρήσεις</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Στο παρόν υπόδειγμα απαιτούνται πληροφορίες σχετικά με τις ενδοομιλικές υποχρεώσεις που δεν εξαιρούνται από τη διάσωση με ίδια μέσα, τα κεφαλαιακά μέσα και τις εγγυήσεις. </w:t>
      </w:r>
    </w:p>
    <w:p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Αναφέρονται όλες οι χρηματοοικονομικές διασυνδέσεις μεταξύ των σχετικών νομικών οντοτήτων που περιλαμβάνονται στις ενοποιημένες οικονομικές καταστάσεις. Τα ποσά αναφέρονται συγκεντρωτικά όταν αφορούν τους ίδιους </w:t>
      </w:r>
      <w:r w:rsidR="00A45912">
        <w:rPr>
          <w:rFonts w:ascii="Times New Roman" w:hAnsi="Times New Roman"/>
          <w:sz w:val="20"/>
        </w:rPr>
        <w:t>αντισυμβαλλομένους</w:t>
      </w:r>
      <w:r>
        <w:rPr>
          <w:rFonts w:ascii="Times New Roman" w:hAnsi="Times New Roman"/>
          <w:sz w:val="20"/>
        </w:rPr>
        <w:t xml:space="preserve"> (τον εκδότη ή την εγγυημένη οντότητα, και τον πιστωτή, τον κάτοχο ή τον πάροχο της εγγύησης) και τον ίδιο τύπο υποχρεώσεων, κεφαλαιακών μέσων ή εγγυήσεων.</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Ο συνδυασμός των τιμών που αναφέρονται στις στήλες 0020, 0040 και 0050 του παρόντος υποδείγματος αποτελεί πρωτεύουσα κλείδα η οποία πρέπει να είναι μοναδική για κάθε γραμμή του υποδείγματος.</w:t>
      </w:r>
    </w:p>
    <w:p w:rsidR="00E13CE3" w:rsidRPr="00D92B3C" w:rsidRDefault="00E13CE3" w:rsidP="00715DAB">
      <w:pPr>
        <w:pStyle w:val="Instructionsberschrift3"/>
      </w:pPr>
      <w:r>
        <w:t>Οδηγίες για συγκεκριμένες θέσεις</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Στήλες</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Οδηγίες</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Εκδότης ή εγγυημένη οντότητα</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Η νομική οντότητα που εκδίδει τις υποχρεώσεις ή το κεφαλαιακό μέσο, ή είναι η εγγυημένη οντότητα.</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Όνομα οντότητας </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Πρέπει να είναι διαφορετικό από το όνομα που αναφέρεται στη στήλη 0030.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Κωδικός</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κωδικός του εκδότη ή του αποδέκτη της εγγύησης. Όσον αφορά τα ιδρύματα, ο κωδικός είναι ο 20ψήφιος, αλφαριθμητικός κωδικός LEI. Όσον αφορά τις υπόλοιπες οντότητες, ο κωδικός είναι ο 20ψήφιος, αλφαριθμητικός κωδικός LEI, ή, σε περίπτωση που δεν είναι διαθέσιμος,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κωδικός είναι μοναδικός και χρησιμοποιείται με συνέπεια σε όλα τα υποδείγματα.</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κωδικός πρέπει να είναι διαφορετικός από τον κωδικό που αναφέρεται στη στήλη 0040.</w:t>
            </w:r>
          </w:p>
          <w:p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 xml:space="preserve">0030-0040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Πιστωτής, κάτοχος ή πάροχος εγγύησης</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Η νομική οντότητα που είναι ο πιστωτής της υποχρέωσης, κατέχει το κεφαλαιακό μέσο ή παρέχει την εγγύηση.</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Όνομα οντότητας </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Πρέπει να είναι διαφορετικό από το όνομα της οντότητας που αναφέρεται στη στήλη 0010.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Κωδικός</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κωδικός του πιστωτή, του κατόχου ή του παρόχου εγγύησης. Όσον αφορά τα ιδρύματα, ο κωδικός είναι ο 20ψήφιος, αλφαριθμητικός κωδικός LEI. Όσον αφορά τις υπόλοιπες οντότητες, ο κωδικός είναι ο 20ψήφιος, αλφαριθμητικός κωδικός LEI, ή, σε περίπτωση που δεν είναι διαθέσιμος,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κωδικός είναι μοναδικός και χρησιμοποιείται με συνέπεια σε όλα τα υποδείγματα.</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Πρέπει να είναι διαφορετικός από τον κωδικό που αναφέρεται στη στήλη 0020.</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0050- 0070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Χρηματοοικονομική διασύνδεση</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Στο συγκεκριμένο πεδίο περιγράφεται η χρηματοοικονομική διασύνδεση μεταξύ των σχετικών νομικών οντοτήτων.</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Είδος</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Πρέπει να επιλέγεται από τον ακόλουθο κατάλογο:</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Ενδοομιλικές υποχρεώσεις</w:t>
            </w:r>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Καταθέσεις μη καλυπτόμενες αλλά προνομιούχες</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Ίδιος ορισμός όπως στο Z 02.00 (LIAB), γραμμή 0310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Καταθέσεις μη καλυπτόμενες και μη προνομιούχες</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Ίδιος ορισμός όπως στο Z 02.00 (LIAB), γραμμή 0320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Υποχρεώσεις που προκύπτουν από παράγωγα (ποσά εκκαθάρισης)</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Ίδιος ορισμός όπως στο Z 02.00 (LIAB), γραμμή 0330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Μη ασφαλισμένες εξασφαλισμένες υποχρεώσεις</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Ίδιος ορισμός όπως στο Z 02.00 (LIAB), γραμμή 0340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Δομημένα αξιόγραφα</w:t>
            </w:r>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Ίδιος ορισμός όπως στο Z 02.00 (LIAB), γραμμή 0350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Μη εξασφαλισμένες υποχρεώσεις με εξοφλητική προτεραιότητα</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Ίδιος ορισμός όπως στο Z 02.00 (LIAB), γραμμή 0360</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Μη προνομιούχες υποχρεώσεις με εξοφλητική προτεραιότητα</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Ίδιος ορισμός όπως στο Z 02.00 (LIAB), γραμμή 0365</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Υποχρεώσεις μειωμένης εξασφάλισης</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Ίδιος ορισμός όπως στο Z 02.00 (LIAB), γραμμή 0370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Άλλες επιλέξιμες υποχρεώσεις MREL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Ίδιος ορισμός όπως στο Z 02.00 (LIAB), γραμμή 0380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Μη χρηματοοικονομικές υποχρεώσεις</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Ίδιος ορισμός όπως στο Z 02.00 (LIAB), γραμμή 0390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Λοιπά στοιχεία παθητικού</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Ίδιος ορισμός όπως στο Z 02.00 (LIAB), γραμμή 0400. Οποιαδήποτε υποχρέωση δεν αποτυπώνεται από οποιοδήποτε από τα προηγούμενα στοιχεία.</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Κεφάλαιο κατηγορίας 2</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Ίδιος ορισμός όπως στο Z 02.00 (LIAB), γραμμή 0530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Πρόσθετο κεφάλαιο κατηγορίας 1</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Ίδιος ορισμός όπως στο Z 02.00 (LIAB), γραμμή 0520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Κεφάλαιο κοινών μετοχών κατηγορίας 1 (CET1)</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Ίδιος ορισμός όπως στο Z 02.00 (LIAB), γραμμή 0510</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Ενδοομιλικές εγγυήσεις</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Έκδοση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Εγγυήσεις για συγκεκριμένα μέσα/υποχρεώσεις που έχουν εκδοθεί</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Αντισυμβαλλόμενος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Εγγυήσεις που έχουν χορηγηθεί σε συγκεκριμένο αντισυμβαλλόμενο του ιδρύματος</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Απεριόριστες</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Γενικές εγγυήσεις που δεν περιορίζονται σε καθορισμένο ποσό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Άλλο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Οποιοδήποτε είδος εγγύησης που δεν καλύπτεται από τα προηγούμενα είδη.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Ανεξόφλητο ποσό</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Για τις υποχρεώσεις (στήλη 0050, τύποι L.1, L.2 και L.4 - L.14), το ανεξόφλητο ποσό των ενδοομιλικών υποχρεώσεων· για τις υποχρεώσεις που προκύπτουν από παράγωγα (τύπος L.3), τα ποσά εκκαθάρισης όπως ορίζονται για τους σκοπούς του υποδείγματος Z 02.00 (LIAB), γραμμή 0333.</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Για τις εγγυήσεις (στήλη 0050, τιμές G.1 - G.4), το μέγιστο δυνητικό ποσό μελλοντικών πληρωμών βάσει της εγγύησης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εκ του οποίου το εκδοθέν βάσει δικαίου τρίτης χώρας</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Το μερίδιο, σε χρηματικό ποσό, του ανεξόφλητου ποσού που διέπεται από το δίκαιο τρίτης χώρας.</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εκ των οποίου: επιλέξιμο MREL</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ανεξόφλητο ποσό των επιλέξιμων υποχρεώσεων MREL, υπολογιζόμενων σύμφωνα με το άρθρο 45 παράγραφος 4 στοιχεία α) και γ) έως στ) της οδηγίας 2014/59/ΕΕ. Σε αυτό το πλαίσιο, οι υποχρεώσεις δεν εξαιρούνται από τον υπολογισμό απλώς και μόνο διότι εκδίδονται ή κατέχονται από οντότητα του ομίλου.</w:t>
            </w:r>
          </w:p>
        </w:tc>
      </w:tr>
    </w:tbl>
    <w:p w:rsidR="00E13CE3" w:rsidRPr="00D92B3C" w:rsidRDefault="00E13CE3" w:rsidP="00E13CE3">
      <w:pPr>
        <w:jc w:val="both"/>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7" w:name="_Toc525210697"/>
      <w:r>
        <w:rPr>
          <w:rFonts w:ascii="Times New Roman" w:hAnsi="Times New Roman"/>
        </w:rPr>
        <w:t xml:space="preserve">Z 05.01 και Z 05.02 - </w:t>
      </w:r>
      <w:bookmarkStart w:id="18" w:name="_Toc492542325"/>
      <w:r>
        <w:rPr>
          <w:rFonts w:ascii="Times New Roman" w:hAnsi="Times New Roman"/>
        </w:rPr>
        <w:t>Σημαντικοί αντισυμβαλλόμενοι</w:t>
      </w:r>
      <w:bookmarkEnd w:id="18"/>
      <w:bookmarkEnd w:id="17"/>
    </w:p>
    <w:p w:rsidR="00BF5063" w:rsidRPr="00D92B3C" w:rsidRDefault="00BF5063" w:rsidP="00715DAB">
      <w:pPr>
        <w:pStyle w:val="Instructionsberschrift3"/>
      </w:pPr>
      <w:r>
        <w:t>Γενικές παρατηρήσεις</w:t>
      </w:r>
    </w:p>
    <w:p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Τα υποδείγματα αυτά συγκεντρώνουν πληροφορίες σχετικά με τις υποχρεώσεις έναντι σημαντικών </w:t>
      </w:r>
      <w:r w:rsidR="00A45912">
        <w:rPr>
          <w:rFonts w:ascii="Times New Roman" w:hAnsi="Times New Roman"/>
          <w:sz w:val="20"/>
        </w:rPr>
        <w:t>αντισυμβαλλομένων</w:t>
      </w:r>
      <w:r>
        <w:rPr>
          <w:rFonts w:ascii="Times New Roman" w:hAnsi="Times New Roman"/>
          <w:sz w:val="20"/>
        </w:rPr>
        <w:t xml:space="preserve"> (Z 05.01) και εκτός ισολογισμού στοιχεία που εισπράχθηκαν από σημαντικούς </w:t>
      </w:r>
      <w:r w:rsidR="00A45912">
        <w:rPr>
          <w:rFonts w:ascii="Times New Roman" w:hAnsi="Times New Roman"/>
          <w:sz w:val="20"/>
        </w:rPr>
        <w:t>αντισυμβαλλομένους</w:t>
      </w:r>
      <w:r>
        <w:rPr>
          <w:rFonts w:ascii="Times New Roman" w:hAnsi="Times New Roman"/>
          <w:sz w:val="20"/>
        </w:rPr>
        <w:t xml:space="preserve"> (Z 05.02).Τα ποσά αναφέρονται συγκεντρωτικά σε περίπτωση που ανήκουν στον ίδιο αντισυμβαλλόμενο και στον ίδιο τύπο υποχρεώσεων ή εκτός ισολογισμού στοιχείων.</w:t>
      </w:r>
    </w:p>
    <w:p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Οι υποχρεώσεις και τα εκτός ισολογισμού στοιχεία σε σχέση με τα οποία δεν είναι εφικτός ο προσδιορισμός του </w:t>
      </w:r>
      <w:r w:rsidR="00A45912">
        <w:rPr>
          <w:rFonts w:ascii="Times New Roman" w:hAnsi="Times New Roman"/>
          <w:sz w:val="20"/>
        </w:rPr>
        <w:t>αντισυμβαλλομένου</w:t>
      </w:r>
      <w:r>
        <w:rPr>
          <w:rFonts w:ascii="Times New Roman" w:hAnsi="Times New Roman"/>
          <w:sz w:val="20"/>
        </w:rPr>
        <w:t xml:space="preserve"> δεν αναφέρονται σε αυτά τα υποδείγματα. Οι υποχρεώσεις και τα εκτός ισολογισμού στοιχεία σε σχέση με τα οποία ο αντισυμβαλλόμενος είναι οντότητα που περιλαμβάνεται στις ενοποιημένες οικονομικές καταστάσεις δεν αναφέρονται.</w:t>
      </w:r>
    </w:p>
    <w:p w:rsidR="00DF1EA4" w:rsidRPr="00D92B3C" w:rsidRDefault="00F7117F" w:rsidP="00715DAB">
      <w:pPr>
        <w:pStyle w:val="Instructionsberschrift3"/>
      </w:pPr>
      <w:r>
        <w:t>Z 05.01 – Σημαντικοί αντισυμβαλλόμενοι υποχρεώσεων - Οδηγίες για συγκεκριμένες θέσεις</w:t>
      </w:r>
    </w:p>
    <w:p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Ο συνδυασμός των τιμών που αναφέρονται στις στήλες 0020 και 0060 του παρόντος υποδείγματος αποτελεί πρωτεύουσα κλείδα η οποία πρέπει να είναι μοναδική για κάθε γραμμή του υποδείγματος.</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Στήλες</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Οδηγίες</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Αντισυμβαλλόμενος</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Πληροφορίες σχετικά με τον σημαντικό αντισυμβαλλόμενο σε σχέση με τον οποίο προκύπτει η υποχρέωση </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Οι σημαντικοί αντισυμβαλλόμενοι προσδιορίζονται διά της άθροισης των ανεξόφλητων ποσών του συνόλου των υποχρεώσεων της οντότητας ή του ομίλου για την οποία/τον οποίο υποβάλλεται το υπόδειγμα, για κάθε αντισυμβαλλόμενο ή ομάδα συνδεδεμένων πελατών, εξαιρουμένων των υποχρεώσεων έναντι οντοτήτων που περιλαμβάνονται στις ενοποιημένες οικονομικές καταστάσεις.</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Οι αντισυμβαλλόμενοι και οι ομάδες συνδεδεμένων </w:t>
            </w:r>
            <w:r w:rsidR="00A45912">
              <w:rPr>
                <w:rFonts w:ascii="Times New Roman" w:hAnsi="Times New Roman"/>
                <w:color w:val="000000" w:themeColor="text1"/>
                <w:spacing w:val="-2"/>
                <w:w w:val="95"/>
                <w:sz w:val="20"/>
              </w:rPr>
              <w:t>αντισυμβαλλομένων</w:t>
            </w:r>
            <w:r>
              <w:rPr>
                <w:rFonts w:ascii="Times New Roman" w:hAnsi="Times New Roman"/>
                <w:color w:val="000000" w:themeColor="text1"/>
                <w:spacing w:val="-2"/>
                <w:w w:val="95"/>
                <w:sz w:val="20"/>
              </w:rPr>
              <w:t xml:space="preserve"> κατατάσσονται, στη συνέχεια, βάσει συγκεντρωτικού ανεξόφλητου ποσού, προκειμένου να προσδιοριστούν οι κορυφαίοι 10 σημαντικοί αντισυμβαλλόμενοι, σε σχέση με τους οποίους θα παρασχεθούν πληροφορίες στο παρόν υπόδειγμα.</w:t>
            </w: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Ο ορισμός της «ομάδας συνδεδεμένων </w:t>
            </w:r>
            <w:r w:rsidR="00A45912">
              <w:rPr>
                <w:rFonts w:ascii="Times New Roman" w:hAnsi="Times New Roman"/>
                <w:color w:val="000000" w:themeColor="text1"/>
                <w:spacing w:val="-2"/>
                <w:w w:val="95"/>
                <w:sz w:val="20"/>
              </w:rPr>
              <w:t>αντισυμβαλλομένων</w:t>
            </w:r>
            <w:r>
              <w:rPr>
                <w:rFonts w:ascii="Times New Roman" w:hAnsi="Times New Roman"/>
                <w:color w:val="000000" w:themeColor="text1"/>
                <w:spacing w:val="-2"/>
                <w:w w:val="95"/>
                <w:sz w:val="20"/>
              </w:rPr>
              <w:t xml:space="preserve">» ακολουθεί τον ορισμό της «ομάδας συνδεδεμένων πελατών» που παρέχεται στο άρθρο 4 παράγραφος 1 σημείο 39 του κανονισμού (ΕΕ) αριθ. 575/2013. </w:t>
            </w:r>
          </w:p>
          <w:p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Για τους σκοπούς του παρόντος υποδείγματος, ένας αντισυμβαλλόμενος δεν μπορεί να είναι οντότητα που περιλαμβάνεται στις ενοποιημένες οικονομικές καταστάσεις.</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0010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Όνομα οντότητας</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Το όνομα του σημαντικού </w:t>
            </w:r>
            <w:r w:rsidR="00A45912">
              <w:rPr>
                <w:rFonts w:ascii="Times New Roman" w:hAnsi="Times New Roman"/>
                <w:color w:val="000000" w:themeColor="text1"/>
                <w:spacing w:val="-2"/>
                <w:w w:val="95"/>
                <w:sz w:val="20"/>
              </w:rPr>
              <w:t>αντισυμβαλλομένου</w:t>
            </w:r>
            <w:r>
              <w:rPr>
                <w:rFonts w:ascii="Times New Roman" w:hAnsi="Times New Roman"/>
                <w:color w:val="000000" w:themeColor="text1"/>
                <w:spacing w:val="-2"/>
                <w:w w:val="95"/>
                <w:sz w:val="20"/>
              </w:rPr>
              <w:t xml:space="preserve"> ή, ανάλογα με την περίπτωση, το όνομα ομάδας συνδεδεμένων πελατών.</w:t>
            </w:r>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όνομα ομάδας συνδεδεμένων πελατών είναι το όνομα της μητρικής επιχείρησης ή, όταν η ομάδα συνδεδεμένων πελατών δεν έχει μητρική, η εμπορική επωνυμία της ομάδας.</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Κωδικός</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Ο κωδικός του σημαντικού </w:t>
            </w:r>
            <w:r w:rsidR="00A45912">
              <w:rPr>
                <w:rFonts w:ascii="Times New Roman" w:hAnsi="Times New Roman"/>
                <w:color w:val="000000" w:themeColor="text1"/>
                <w:spacing w:val="-2"/>
                <w:w w:val="95"/>
                <w:sz w:val="20"/>
              </w:rPr>
              <w:t>αντισυμβαλλομένου</w:t>
            </w:r>
            <w:r>
              <w:rPr>
                <w:rFonts w:ascii="Times New Roman" w:hAnsi="Times New Roman"/>
                <w:color w:val="000000" w:themeColor="text1"/>
                <w:spacing w:val="-2"/>
                <w:w w:val="95"/>
                <w:sz w:val="20"/>
              </w:rPr>
              <w:t xml:space="preserve"> ή της ομάδας συνδεδεμένων πελατών. Όσον αφορά τα ιδρύματα, ο κωδικός είναι ο 20ψήφιος, αλφαριθμητικός κωδικός LEI. Όσον αφορά τις υπόλοιπες οντότητες, ο κωδικός είναι ο 20ψήφιος, αλφαριθμητικός κωδικός LEI, ή, σε περίπτωση που δεν είναι διαθέσιμος,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κωδικός είναι μοναδικός και χρησιμοποιείται με συνέπεια σε όλα τα υποδείγματα.</w:t>
            </w:r>
          </w:p>
          <w:p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Ομάδα ή μεμονωμένος</w:t>
            </w:r>
          </w:p>
          <w:p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Το ίδρυμα αναφέρει «1» για τους μεμονωμένους σημαντικούς </w:t>
            </w:r>
            <w:r w:rsidR="00A45912">
              <w:rPr>
                <w:rFonts w:ascii="Times New Roman" w:hAnsi="Times New Roman"/>
                <w:color w:val="000000" w:themeColor="text1"/>
                <w:spacing w:val="-2"/>
                <w:w w:val="95"/>
                <w:sz w:val="20"/>
              </w:rPr>
              <w:t>αντισυμβαλλομένους</w:t>
            </w:r>
            <w:r>
              <w:rPr>
                <w:rFonts w:ascii="Times New Roman" w:hAnsi="Times New Roman"/>
                <w:color w:val="000000" w:themeColor="text1"/>
                <w:spacing w:val="-2"/>
                <w:w w:val="95"/>
                <w:sz w:val="20"/>
              </w:rPr>
              <w:t xml:space="preserve"> και «2» για τις ομάδες συνδεδεμένων πελατών.</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Χώρα</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Ο κωδικός ISO 3166-1-alpha-2 της χώρας σύστασης του </w:t>
            </w:r>
            <w:r w:rsidR="00A45912">
              <w:rPr>
                <w:rFonts w:ascii="Times New Roman" w:hAnsi="Times New Roman"/>
                <w:color w:val="000000" w:themeColor="text1"/>
                <w:spacing w:val="-2"/>
                <w:w w:val="95"/>
                <w:sz w:val="20"/>
              </w:rPr>
              <w:t>αντισυμβαλλομένου</w:t>
            </w:r>
            <w:r>
              <w:rPr>
                <w:rFonts w:ascii="Times New Roman" w:hAnsi="Times New Roman"/>
                <w:color w:val="000000" w:themeColor="text1"/>
                <w:spacing w:val="-2"/>
                <w:w w:val="95"/>
                <w:sz w:val="20"/>
              </w:rPr>
              <w:t xml:space="preserve">. Στους εν λόγω κωδικούς περιλαμβάνονται οι ψευδοκωδικοί ISO για τους διεθνείς οργανισμούς, που είναι διαθέσιμοι στην τελευταία έκδοση του «Οδηγού ισοζυγίου πληρωμών» της Eurostat. </w:t>
            </w:r>
          </w:p>
          <w:p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Η χώρα προσδιορίζεται διά της αναφοράς της καταστατικής έδρας του </w:t>
            </w:r>
            <w:r w:rsidR="00A45912">
              <w:rPr>
                <w:rFonts w:ascii="Times New Roman" w:hAnsi="Times New Roman"/>
                <w:color w:val="000000" w:themeColor="text1"/>
                <w:spacing w:val="-2"/>
                <w:w w:val="95"/>
                <w:sz w:val="20"/>
              </w:rPr>
              <w:t>αντισυμβαλλομένου</w:t>
            </w:r>
            <w:r>
              <w:rPr>
                <w:rFonts w:ascii="Times New Roman" w:hAnsi="Times New Roman"/>
                <w:color w:val="000000" w:themeColor="text1"/>
                <w:spacing w:val="-2"/>
                <w:w w:val="95"/>
                <w:sz w:val="20"/>
              </w:rPr>
              <w:t xml:space="preserve">. Όσον αφορά ομάδες συνδεδεμένων πελατών, η χώρα σύστασης της μητρικής επιχείρησης.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Τομέας</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Κάθε αντισυμβαλλόμενος κατανέμεται σε έναν τομέα βάσει των κατηγοριών οικονομικών τομέων στο πλαίσιο της χρηματοοικονομικής πληροφόρησης (FINREP, παράρτημα V, μέρος 1, κεφάλαιο 6):</w:t>
            </w:r>
          </w:p>
          <w:p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Κεντρικές τράπεζες</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Γενικές κυβερνήσεις</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Πιστωτικά ιδρύματα: </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Άλλες χρηματοοικονομικές επιχειρήσεις</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Μη χρηματοοικονομικές επιχειρήσεις</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Νοικοκυριά</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Για ομάδες συνδεδεμένων πελατών, δεν αναφέρεται τομέας.</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Τύπος</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τύπος υποχρεώσεων είναι ένας από τους τύπους υποχρεώσεων που απαριθμούνται στο υπόδειγμα Z 02.00 - Διάρθρωση υποχρεώσεων (LIAB), δηλαδή:</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L.0</w:t>
            </w:r>
            <w:r>
              <w:tab/>
            </w:r>
            <w:r>
              <w:rPr>
                <w:rFonts w:ascii="Times New Roman" w:hAnsi="Times New Roman"/>
                <w:color w:val="000000" w:themeColor="text1"/>
                <w:spacing w:val="-2"/>
                <w:w w:val="95"/>
                <w:sz w:val="20"/>
              </w:rPr>
              <w:t>Υποχρεώσεις που εξαιρούνται από τη διάσωση,</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w:t>
            </w:r>
            <w:r>
              <w:tab/>
            </w:r>
            <w:r>
              <w:rPr>
                <w:rFonts w:ascii="Times New Roman" w:hAnsi="Times New Roman"/>
                <w:color w:val="000000" w:themeColor="text1"/>
                <w:spacing w:val="-2"/>
                <w:w w:val="95"/>
                <w:sz w:val="20"/>
              </w:rPr>
              <w:t>Καταθέσεις μη καλυπτόμενες αλλά προνομιούχες,</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L.2.</w:t>
            </w:r>
            <w:r>
              <w:tab/>
            </w:r>
            <w:r>
              <w:rPr>
                <w:rFonts w:ascii="Times New Roman" w:hAnsi="Times New Roman"/>
                <w:color w:val="000000" w:themeColor="text1"/>
                <w:spacing w:val="-2"/>
                <w:w w:val="95"/>
                <w:sz w:val="20"/>
              </w:rPr>
              <w:t>Καταθέσεις μη καλυπτόμενες και μη προνομιούχες,</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L.3</w:t>
            </w:r>
            <w:r>
              <w:tab/>
            </w:r>
            <w:r>
              <w:rPr>
                <w:rFonts w:ascii="Times New Roman" w:hAnsi="Times New Roman"/>
                <w:color w:val="000000" w:themeColor="text1"/>
                <w:spacing w:val="-2"/>
                <w:w w:val="95"/>
                <w:sz w:val="20"/>
              </w:rPr>
              <w:t>Υποχρεώσεις που προκύπτουν από παράγωγα</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L.4</w:t>
            </w:r>
            <w:r>
              <w:tab/>
            </w:r>
            <w:r>
              <w:rPr>
                <w:rFonts w:ascii="Times New Roman" w:hAnsi="Times New Roman"/>
                <w:color w:val="000000" w:themeColor="text1"/>
                <w:spacing w:val="-2"/>
                <w:w w:val="95"/>
                <w:sz w:val="20"/>
              </w:rPr>
              <w:t>Μη ασφαλισμένες εξασφαλισμένες υποχρεώσεις</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L.5</w:t>
            </w:r>
            <w:r>
              <w:tab/>
            </w:r>
            <w:r>
              <w:rPr>
                <w:rFonts w:ascii="Times New Roman" w:hAnsi="Times New Roman"/>
                <w:color w:val="000000" w:themeColor="text1"/>
                <w:spacing w:val="-2"/>
                <w:w w:val="95"/>
                <w:sz w:val="20"/>
              </w:rPr>
              <w:t>Δομημένα αξιόγραφα</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L.6</w:t>
            </w:r>
            <w:r>
              <w:tab/>
            </w:r>
            <w:r>
              <w:rPr>
                <w:rFonts w:ascii="Times New Roman" w:hAnsi="Times New Roman"/>
                <w:color w:val="000000" w:themeColor="text1"/>
                <w:spacing w:val="-2"/>
                <w:w w:val="95"/>
                <w:sz w:val="20"/>
              </w:rPr>
              <w:t>Μη εξασφαλισμένες υποχρεώσεις με εξοφλητική προτεραιότητα</w:t>
            </w:r>
          </w:p>
          <w:p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L.7        μη προνομιούχες υποχρεώσεις με εξοφλητική προτεραιότητα</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L.8</w:t>
            </w:r>
            <w:r>
              <w:tab/>
            </w:r>
            <w:r>
              <w:rPr>
                <w:rFonts w:ascii="Times New Roman" w:hAnsi="Times New Roman"/>
                <w:color w:val="000000" w:themeColor="text1"/>
                <w:spacing w:val="-2"/>
                <w:w w:val="95"/>
                <w:sz w:val="20"/>
              </w:rPr>
              <w:t>Υποχρεώσεις μειωμένης εξασφάλισης (μη αναγνωριζόμενες ως ίδια κεφάλαια)</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L.9</w:t>
            </w:r>
            <w:r>
              <w:tab/>
            </w:r>
            <w:r>
              <w:rPr>
                <w:rFonts w:ascii="Times New Roman" w:hAnsi="Times New Roman"/>
                <w:color w:val="000000" w:themeColor="text1"/>
                <w:spacing w:val="-2"/>
                <w:w w:val="95"/>
                <w:sz w:val="20"/>
              </w:rPr>
              <w:t>Άλλες επιλέξιμες υποχρεώσεις MREL</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L.10</w:t>
            </w:r>
            <w:r>
              <w:tab/>
            </w:r>
            <w:r>
              <w:rPr>
                <w:rFonts w:ascii="Times New Roman" w:hAnsi="Times New Roman"/>
                <w:color w:val="000000" w:themeColor="text1"/>
                <w:spacing w:val="-2"/>
                <w:w w:val="95"/>
                <w:sz w:val="20"/>
              </w:rPr>
              <w:t>Μη χρηματοοικονομικές υποχρεώσεις</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L.11</w:t>
            </w:r>
            <w:r>
              <w:tab/>
            </w:r>
            <w:r>
              <w:rPr>
                <w:rFonts w:ascii="Times New Roman" w:hAnsi="Times New Roman"/>
                <w:color w:val="000000" w:themeColor="text1"/>
                <w:spacing w:val="-2"/>
                <w:w w:val="95"/>
                <w:sz w:val="20"/>
              </w:rPr>
              <w:t>Λοιπά στοιχεία παθητικού</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pacing w:val="-2"/>
                <w:w w:val="95"/>
                <w:sz w:val="20"/>
              </w:rPr>
              <w:t xml:space="preserve">Εάν οι υποχρεώσεις έναντι ενός </w:t>
            </w:r>
            <w:r w:rsidR="00A45912">
              <w:rPr>
                <w:rFonts w:ascii="Times New Roman" w:hAnsi="Times New Roman"/>
                <w:color w:val="000000" w:themeColor="text1"/>
                <w:spacing w:val="-2"/>
                <w:w w:val="95"/>
                <w:sz w:val="20"/>
              </w:rPr>
              <w:t>αντισυμβαλλομένου</w:t>
            </w:r>
            <w:r>
              <w:rPr>
                <w:rFonts w:ascii="Times New Roman" w:hAnsi="Times New Roman"/>
                <w:color w:val="000000" w:themeColor="text1"/>
                <w:spacing w:val="-2"/>
                <w:w w:val="95"/>
                <w:sz w:val="20"/>
              </w:rPr>
              <w:t xml:space="preserve"> αποτελούνται από περισσότερους από έναν από τους τύπους που αναφέρονται ανωτέρω, κάθε τύπος υποχρεώσεων αναφέρεται σε χωριστή γραμμή.</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Ποσό</w:t>
            </w:r>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ποσό είναι ισοδύναμο προς τον ορισμό ενός «ανεξόφλητου ποσού», όπως προβλέπεται στο υπόδειγμα Z 02.00 - Διάρθρωση υποχρεώσεων. Σε περίπτωση υποχρεώσεων που προκύπτουν από παράγωγα (τύπος L.3), αναφέρονται τα ποσά εκκαθάρισης όπως ορίζονται για τους σκοπούς της γραμμής 0333 του υποδείγματος Z 02.00.</w:t>
            </w:r>
          </w:p>
        </w:tc>
      </w:tr>
    </w:tbl>
    <w:p w:rsidR="00627D51" w:rsidRPr="00D92B3C" w:rsidRDefault="00627D51" w:rsidP="007F5A56">
      <w:pPr>
        <w:pStyle w:val="body"/>
        <w:rPr>
          <w:rFonts w:ascii="Times New Roman" w:hAnsi="Times New Roman" w:cs="Times New Roman"/>
          <w:color w:val="000000" w:themeColor="text1"/>
          <w:sz w:val="20"/>
          <w:szCs w:val="20"/>
        </w:rPr>
      </w:pPr>
    </w:p>
    <w:p w:rsidR="005A6A04" w:rsidRPr="00D92B3C" w:rsidRDefault="00F7117F" w:rsidP="00715DAB">
      <w:pPr>
        <w:pStyle w:val="Instructionsberschrift3"/>
      </w:pPr>
      <w:r>
        <w:t>Z 05.02 – Σημαντικοί εκτός ισολογισμού αντισυμβαλλόμενοι: Οδηγίες για συγκεκριμένες θέσεις</w:t>
      </w:r>
    </w:p>
    <w:p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Ο συνδυασμός των τιμών που αναφέρονται στις στήλες 0020 και 0060 του παρόντος υποδείγματος αποτελεί πρωτεύουσα κλείδα η οποία πρέπει να είναι μοναδική για κάθε γραμμή του υποδείγματος.</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Στήλες</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Οδηγίες</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Αντισυμβαλλόμενοι</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Πληροφορίες σχετικά με τους σημαντικούς εκτός ισολογισμού αντισυμβαλλομένους.</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Οι σημαντικοί εκτός ισολογισμού αντισυμβαλλόμενοι προσδιορίζονται διά της άθροισης του συνολικού ονομαστικού ποσού δεσμεύσεων και χρηματοοικονομικών εγγυήσεων που εισπράχθηκαν (όπως ορίζονται για τους σκοπούς της FINREP, υπόδειγμα F 09) από την οντότητα ή την ομάδα οντοτήτων για τις οποίες υποβάλλεται το υπόδειγμα από </w:t>
            </w:r>
            <w:r w:rsidR="00A45912">
              <w:rPr>
                <w:rFonts w:ascii="Times New Roman" w:hAnsi="Times New Roman"/>
                <w:color w:val="000000" w:themeColor="text1"/>
                <w:spacing w:val="-2"/>
                <w:w w:val="95"/>
                <w:sz w:val="20"/>
              </w:rPr>
              <w:t>αντισυμβαλλομένους</w:t>
            </w:r>
            <w:r>
              <w:rPr>
                <w:rFonts w:ascii="Times New Roman" w:hAnsi="Times New Roman"/>
                <w:color w:val="000000" w:themeColor="text1"/>
                <w:spacing w:val="-2"/>
                <w:w w:val="95"/>
                <w:sz w:val="20"/>
              </w:rPr>
              <w:t xml:space="preserve"> ή ομάδα συνδεδεμένων πελατών. Από τους σημαντικούς εκτός ισολογισμού </w:t>
            </w:r>
            <w:r w:rsidR="00A45912">
              <w:rPr>
                <w:rFonts w:ascii="Times New Roman" w:hAnsi="Times New Roman"/>
                <w:color w:val="000000" w:themeColor="text1"/>
                <w:spacing w:val="-2"/>
                <w:w w:val="95"/>
                <w:sz w:val="20"/>
              </w:rPr>
              <w:t>αντισυμβαλλομένους</w:t>
            </w:r>
            <w:r>
              <w:rPr>
                <w:rFonts w:ascii="Times New Roman" w:hAnsi="Times New Roman"/>
                <w:color w:val="000000" w:themeColor="text1"/>
                <w:spacing w:val="-2"/>
                <w:w w:val="95"/>
                <w:sz w:val="20"/>
              </w:rPr>
              <w:t xml:space="preserve"> εξαιρούνται οι οντότητες που περιλαμβάνονται στις ενοποιημένες οικονομικές καταστάσεις του ομίλου. Οι αντισυμβαλλόμενοι και οι ομάδες συνδεδεμένων πελατών κατατάσσονται, στη συνέχεια, βάσει συγκεντρωτικού ποσού προκειμένου να προσδιοριστούν οι κορυφαίοι 10 σημαντικοί εκτός ισολογισμού αντισυμβαλλόμενοι, σε σχέση με τους οποίους θα παρασχεθούν πληροφορίες στο παρόν υπόδειγμα.</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Για τους σκοπούς του παρόντος υποδείγματος, αναφέρονται μόνο αντισυμβαλλόμενοι που δεν περιλαμβάνονται στις ενοποιημένες οικονομικές καταστάσεις.</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Όνομα οντότητας</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Βλέπε οδηγίες στη στήλη 0010 του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Κωδικός</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Βλέπε οδηγίες στη στήλη 0020 του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Ομάδα ή μεμονωμένος</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Βλέπε οδηγίες στη στήλη 0030 του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Χώρα</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Βλέπε οδηγίες στη στήλη 0040 του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Τομέας</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Βλέπε οδηγίες στη στήλη 0050 του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Είδος</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είδος του εκτός ισολογισμού ανοίγματος είναι ένα από τα ακόλουθα, όπως ορίζεται στη FINREP, υπόδειγμα F 09.02:</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OBS.1</w:t>
            </w:r>
            <w:r>
              <w:tab/>
            </w:r>
            <w:r>
              <w:rPr>
                <w:rFonts w:ascii="Times New Roman" w:hAnsi="Times New Roman"/>
                <w:color w:val="000000" w:themeColor="text1"/>
                <w:spacing w:val="-2"/>
                <w:w w:val="95"/>
                <w:sz w:val="20"/>
              </w:rPr>
              <w:t>Απαιτήσεις από ληφθείσες δανειακές υποχρεώσεις</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OBS.2</w:t>
            </w:r>
            <w:r>
              <w:tab/>
            </w:r>
            <w:r>
              <w:rPr>
                <w:rFonts w:ascii="Times New Roman" w:hAnsi="Times New Roman"/>
                <w:color w:val="000000" w:themeColor="text1"/>
                <w:spacing w:val="-2"/>
                <w:w w:val="95"/>
                <w:sz w:val="20"/>
              </w:rPr>
              <w:t>Απαιτήσεις από ληφθείσες χρηματοοικονομικές εγγυήσεις</w:t>
            </w:r>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OBS.3</w:t>
            </w:r>
            <w:r>
              <w:tab/>
            </w:r>
            <w:r>
              <w:rPr>
                <w:rFonts w:ascii="Times New Roman" w:hAnsi="Times New Roman"/>
                <w:color w:val="000000" w:themeColor="text1"/>
                <w:spacing w:val="-2"/>
                <w:w w:val="95"/>
                <w:sz w:val="20"/>
              </w:rPr>
              <w:t>Απαιτήσεις από άλλες ληφθείσες υποχρεώσεις</w:t>
            </w:r>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Εάν τα εκτός ισολογισμού στοιχεία που ελήφθησαν από σημαντικό αντισυμβαλλόμενο αποτελούνται από περισσότερους από έναν από τους τύπους που αναφέρονται ανωτέρω, κάθε τύπος εκτός ισολογισμού στοιχείου αναφέρεται σε χωριστή γραμμή.</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color w:val="000000" w:themeColor="text1"/>
                <w:sz w:val="20"/>
              </w:rPr>
              <w:t xml:space="preserve">Ποσό </w:t>
            </w:r>
          </w:p>
        </w:tc>
      </w:tr>
    </w:tbl>
    <w:p w:rsidR="00241763" w:rsidRPr="00D92B3C" w:rsidRDefault="00241763" w:rsidP="0056559D">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9" w:name="_Toc492542326"/>
      <w:bookmarkStart w:id="20" w:name="_Toc525210698"/>
      <w:r>
        <w:rPr>
          <w:rFonts w:ascii="Times New Roman" w:hAnsi="Times New Roman"/>
        </w:rPr>
        <w:t>Z 06.00 - Ασφάλιση καταθέσεων (DIS)</w:t>
      </w:r>
      <w:bookmarkEnd w:id="19"/>
      <w:bookmarkEnd w:id="20"/>
    </w:p>
    <w:p w:rsidR="008F7980" w:rsidRPr="00D92B3C" w:rsidRDefault="006A7DCF" w:rsidP="00715DAB">
      <w:pPr>
        <w:pStyle w:val="Instructionsberschrift3"/>
      </w:pPr>
      <w:r>
        <w:t>Γενικές παρατηρήσεις</w:t>
      </w:r>
    </w:p>
    <w:p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Το παρόν υπόδειγμα παρέχει επισκόπηση της ασφάλισης καταθέσεων εντός ενός ομίλου και των συστημάτων εγγύησης καταθέσεων στα οποία συμμετέχουν τα πιστωτικά ιδρύματα που είναι σχετικές νομικές οντότητες.</w:t>
      </w:r>
    </w:p>
    <w:p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Κάθε πιστωτικό ίδρυμα που ανήκει στον όμιλο αναφέρεται σε χωριστή γραμμή.</w:t>
      </w:r>
    </w:p>
    <w:p w:rsidR="006A7DCF" w:rsidRPr="00D92B3C" w:rsidRDefault="006A7DCF" w:rsidP="00715DAB">
      <w:pPr>
        <w:pStyle w:val="Instructionsberschrift3"/>
      </w:pPr>
      <w:r>
        <w:t>Οδηγίες για συγκεκριμένες θέσεις</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Οδηγίες</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Οντότητα</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Όνομα οντότητας</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Το όνομα της οντότητας όπως αναφέρεται στο Z 01.00 - Οργανωτική δομή (ORG).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Κωδικός </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κωδικός της οντότητας, όπως αναφέρεται στο Z 01.00 - Οργανωτική δομή (ORG).</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Πρόκειται για αναγνωριστικό γραμμής και πρέπει να είναι αποκλειστικό για κάθε γραμμή στο υπόδειγμα.</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ΣΕΚ</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άρθρο 4 παράγραφος 3 της οδηγίας 2014/49/ΕΕ</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όνομα του επισήμως αναγνωρισμένου ΣΕΚ στο οποίο συμμετέχει η οντότητα κατ’ εφαρμογήν της οδηγίας 2014/49/ΕΕ. Πρόκειται για το ΣΕΚ του κράτους μέλους σύστασης της οντότητας, χωρίς να λαμβάνονται υπόψη άλλα ΣΕΚ, σε άλλα κράτη μέλη, τα οποία μπορεί να παρέχουν πρόσθετη προστασία (συμπληρωματική κάλυψη) σε πελάτες της οντότητας σε υποκατάστημα στο εν λόγω κράτος μέλος. Σε περίπτωση που ένα ίδρυμα συμμετέχει σε ένα ΘΣΠ το οποίο είναι επίσης επίσημα αναγνωρισμένο ως ΣΕΚ, δυνάμει του άρθρου 4 παράγραφος 2 της οδηγίας 2014/49/ΕΕ, το όνομα του ΣΕΚ είναι πανομοιότυπο με το όνομα του ΘΣΠ στη γραμμή 050.</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Τα ΣΕΚ επιλέγονται, για κάθε χώρα σύστασης της οντότητας, μεταξύ των ακολούθων:</w:t>
            </w:r>
          </w:p>
          <w:p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lastRenderedPageBreak/>
              <w:t>Για την Αυστρία</w:t>
            </w:r>
          </w:p>
          <w:p w:rsidR="004842F3" w:rsidRPr="00A9747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A9747B">
              <w:rPr>
                <w:rFonts w:ascii="Times New Roman" w:hAnsi="Times New Roman"/>
                <w:color w:val="000000" w:themeColor="text1"/>
                <w:spacing w:val="-2"/>
                <w:w w:val="95"/>
                <w:sz w:val="20"/>
                <w:lang w:val="de-DE"/>
              </w:rPr>
              <w:t>«Einlagensicherung der Banken und Bankiers GmbH»</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«Sparkassen-Haftungs AG»</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«Österreichische Raiffeisen-Einlagensicherung eGen»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«Volksbank Einlagensicherung eG»</w:t>
            </w:r>
          </w:p>
          <w:p w:rsidR="004842F3" w:rsidRPr="00A9747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A9747B">
              <w:rPr>
                <w:rFonts w:ascii="Times New Roman" w:hAnsi="Times New Roman"/>
                <w:color w:val="000000" w:themeColor="text1"/>
                <w:spacing w:val="-2"/>
                <w:w w:val="95"/>
                <w:sz w:val="20"/>
                <w:lang w:val="de-DE"/>
              </w:rPr>
              <w:t>«Hypo Haftungs-Gesellschaft m.b.H.»</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Βέλγιο</w:t>
            </w:r>
          </w:p>
          <w:p w:rsidR="004842F3" w:rsidRPr="00A9747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A9747B">
              <w:rPr>
                <w:rFonts w:ascii="Times New Roman" w:hAnsi="Times New Roman"/>
                <w:color w:val="000000" w:themeColor="text1"/>
                <w:spacing w:val="-2"/>
                <w:w w:val="95"/>
                <w:sz w:val="20"/>
                <w:lang w:val="fr-FR"/>
              </w:rPr>
              <w:t>«Garantiefonds voor financiële diensten / Fonds de garantie pour les services financiers»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Βουλγαρία</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«Фондът за гарантиране на влоговете в банките»</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Κροατία</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«Državna agencija za osiguranje štednih </w:t>
            </w:r>
            <w:proofErr w:type="spellStart"/>
            <w:r>
              <w:rPr>
                <w:rFonts w:ascii="Times New Roman" w:hAnsi="Times New Roman"/>
                <w:color w:val="000000" w:themeColor="text1"/>
                <w:spacing w:val="-2"/>
                <w:w w:val="95"/>
                <w:sz w:val="20"/>
              </w:rPr>
              <w:t>uloga</w:t>
            </w:r>
            <w:proofErr w:type="spellEnd"/>
            <w:r>
              <w:rPr>
                <w:rFonts w:ascii="Times New Roman" w:hAnsi="Times New Roman"/>
                <w:color w:val="000000" w:themeColor="text1"/>
                <w:spacing w:val="-2"/>
                <w:w w:val="95"/>
                <w:sz w:val="20"/>
              </w:rPr>
              <w:t xml:space="preserve"> i </w:t>
            </w:r>
            <w:proofErr w:type="spellStart"/>
            <w:r>
              <w:rPr>
                <w:rFonts w:ascii="Times New Roman" w:hAnsi="Times New Roman"/>
                <w:color w:val="000000" w:themeColor="text1"/>
                <w:spacing w:val="-2"/>
                <w:w w:val="95"/>
                <w:sz w:val="20"/>
              </w:rPr>
              <w:t>sanaciju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banaka</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Κύπρος</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«Σύστημα Εγγύησης των Καταθέσεων και Εξυγίανσης Πιστωτικών και Άλλων Ιδρυμάτων»</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Τσεχική Δημοκρατία</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Garanční</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systém</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finančního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trhu</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Δανία</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Garantiformuen</w:t>
            </w:r>
            <w:proofErr w:type="spellEnd"/>
            <w:r>
              <w:rPr>
                <w:rFonts w:ascii="Times New Roman" w:hAnsi="Times New Roman"/>
                <w:color w:val="000000" w:themeColor="text1"/>
                <w:spacing w:val="-2"/>
                <w:w w:val="95"/>
                <w:sz w:val="20"/>
              </w:rPr>
              <w:t>»</w:t>
            </w:r>
            <w:bookmarkStart w:id="21" w:name="_GoBack"/>
            <w:bookmarkEnd w:id="21"/>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Εσθονία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Tagastisfond</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Φινλανδία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Talletussuojarahasto</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Γαλλία</w:t>
            </w:r>
          </w:p>
          <w:p w:rsidR="004842F3" w:rsidRPr="00A9747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A9747B">
              <w:rPr>
                <w:rFonts w:ascii="Times New Roman" w:hAnsi="Times New Roman"/>
                <w:color w:val="000000" w:themeColor="text1"/>
                <w:spacing w:val="-2"/>
                <w:w w:val="95"/>
                <w:sz w:val="20"/>
                <w:lang w:val="fr-FR"/>
              </w:rPr>
              <w:t>«Fonds de Garantie des Dépôts et de Résolution»</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Γερμανία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r>
              <w:rPr>
                <w:rFonts w:ascii="Times New Roman" w:hAnsi="Times New Roman"/>
                <w:color w:val="000000" w:themeColor="text1"/>
                <w:spacing w:val="-2"/>
                <w:w w:val="95"/>
                <w:sz w:val="20"/>
              </w:rPr>
              <w:t>»</w:t>
            </w:r>
          </w:p>
          <w:p w:rsidR="004842F3" w:rsidRPr="00A9747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A9747B">
              <w:rPr>
                <w:rFonts w:ascii="Times New Roman" w:hAnsi="Times New Roman"/>
                <w:color w:val="000000" w:themeColor="text1"/>
                <w:spacing w:val="-2"/>
                <w:w w:val="95"/>
                <w:sz w:val="20"/>
                <w:lang w:val="de-DE"/>
              </w:rPr>
              <w:t>«Entschädigungseinrichtung des Bundesverbandes Öffentlicher Banken Deutschlands GmbH»</w:t>
            </w:r>
          </w:p>
          <w:p w:rsidR="004842F3" w:rsidRPr="00A9747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A9747B">
              <w:rPr>
                <w:rFonts w:ascii="Times New Roman" w:hAnsi="Times New Roman"/>
                <w:color w:val="000000" w:themeColor="text1"/>
                <w:spacing w:val="-2"/>
                <w:w w:val="95"/>
                <w:sz w:val="20"/>
                <w:lang w:val="de-DE"/>
              </w:rPr>
              <w:t>«Sicherungseinrichtung des Deutschen Sparkassen- und Giroverbandes (DSGV-Haftungsverbund)»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«BVR </w:t>
            </w:r>
            <w:proofErr w:type="spellStart"/>
            <w:r>
              <w:rPr>
                <w:rFonts w:ascii="Times New Roman" w:hAnsi="Times New Roman"/>
                <w:color w:val="000000" w:themeColor="text1"/>
                <w:spacing w:val="-2"/>
                <w:w w:val="95"/>
                <w:sz w:val="20"/>
              </w:rPr>
              <w:t>Institutssicherung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r>
              <w:rPr>
                <w:rFonts w:ascii="Times New Roman" w:hAnsi="Times New Roman"/>
                <w:color w:val="000000" w:themeColor="text1"/>
                <w:spacing w:val="-2"/>
                <w:w w:val="95"/>
                <w:sz w:val="20"/>
              </w:rPr>
              <w:t>»</w:t>
            </w:r>
          </w:p>
          <w:p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Γιβραλτάρ</w:t>
            </w:r>
          </w:p>
          <w:p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«Σύστημα Εγγύησης των Καταθέσεων Γιβραλτάρ»</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Ελλάδα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«Ταμείο Εγγύησης Καταθέσεων και Επενδύσεων»</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Ουγγαρία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Országos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Betétbiztosítási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Alap</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Ισλανδία</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Tryggingarsjóður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innstæðueigenda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fjárfesta</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Ιρλανδία</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«Ιρλανδικό Σύστημα Προστασίας των Καταθέσεων»</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lastRenderedPageBreak/>
              <w:t xml:space="preserve">Ιταλία </w:t>
            </w:r>
          </w:p>
          <w:p w:rsidR="004842F3" w:rsidRPr="00A9747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it-IT"/>
              </w:rPr>
            </w:pPr>
            <w:r w:rsidRPr="00A9747B">
              <w:rPr>
                <w:rFonts w:ascii="Times New Roman" w:hAnsi="Times New Roman"/>
                <w:color w:val="000000" w:themeColor="text1"/>
                <w:spacing w:val="-2"/>
                <w:w w:val="95"/>
                <w:sz w:val="20"/>
                <w:lang w:val="it-IT"/>
              </w:rPr>
              <w:t>«Fondo Interbancario di Tutela dei Depositi»</w:t>
            </w:r>
          </w:p>
          <w:p w:rsidR="004842F3" w:rsidRPr="00A9747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it-IT"/>
              </w:rPr>
            </w:pPr>
            <w:r w:rsidRPr="00A9747B">
              <w:rPr>
                <w:rFonts w:ascii="Times New Roman" w:hAnsi="Times New Roman"/>
                <w:color w:val="000000" w:themeColor="text1"/>
                <w:spacing w:val="-2"/>
                <w:w w:val="95"/>
                <w:sz w:val="20"/>
                <w:lang w:val="it-IT"/>
              </w:rPr>
              <w:t>«Fondo di Garanzia dei Depositanti del Credito Cooperativo»</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Λετονία</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Latvijas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Noguldījumu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Λιχτενστάιν </w:t>
            </w:r>
          </w:p>
          <w:p w:rsidR="004842F3" w:rsidRPr="00A9747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A9747B">
              <w:rPr>
                <w:rFonts w:ascii="Times New Roman" w:hAnsi="Times New Roman"/>
                <w:color w:val="000000" w:themeColor="text1"/>
                <w:spacing w:val="-2"/>
                <w:w w:val="95"/>
                <w:sz w:val="20"/>
                <w:lang w:val="de-DE"/>
              </w:rPr>
              <w:t>«Einlagensicherungs- und Anlegerentschädigungs-Stiftung SV»</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Λιθουανία</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Indėlių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investicijų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draudimas</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Λουξεμβούργο</w:t>
            </w:r>
          </w:p>
          <w:p w:rsidR="004842F3" w:rsidRPr="00A9747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A9747B">
              <w:rPr>
                <w:rFonts w:ascii="Times New Roman" w:hAnsi="Times New Roman"/>
                <w:color w:val="000000" w:themeColor="text1"/>
                <w:spacing w:val="-2"/>
                <w:w w:val="95"/>
                <w:sz w:val="20"/>
                <w:lang w:val="fr-FR"/>
              </w:rPr>
              <w:t>«Fond de garantie des Dépôts Luxembourg»</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Μάλτα</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Depositor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Κάτω Χώρες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Nederlandsche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Depositogarantiestelsel</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Νορβηγία</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Bankenes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sikringsfond</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Πολωνία</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Bankowy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Fundusz</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Gwarancyjny</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Πορτογαλία</w:t>
            </w:r>
          </w:p>
          <w:p w:rsidR="004842F3" w:rsidRPr="00A9747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pt-PT"/>
              </w:rPr>
            </w:pPr>
            <w:r w:rsidRPr="00A9747B">
              <w:rPr>
                <w:rFonts w:ascii="Times New Roman" w:hAnsi="Times New Roman"/>
                <w:color w:val="000000" w:themeColor="text1"/>
                <w:spacing w:val="-2"/>
                <w:w w:val="95"/>
                <w:sz w:val="20"/>
                <w:lang w:val="pt-PT"/>
              </w:rPr>
              <w:t>«Fundo de Garantia de Depósitos»</w:t>
            </w:r>
          </w:p>
          <w:p w:rsidR="004842F3" w:rsidRPr="00A9747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pt-PT"/>
              </w:rPr>
            </w:pPr>
            <w:r w:rsidRPr="00A9747B">
              <w:rPr>
                <w:rFonts w:ascii="Times New Roman" w:hAnsi="Times New Roman"/>
                <w:color w:val="000000" w:themeColor="text1"/>
                <w:spacing w:val="-2"/>
                <w:w w:val="95"/>
                <w:sz w:val="20"/>
                <w:lang w:val="pt-PT"/>
              </w:rPr>
              <w:t>«Fundo de Garantia do Crédito Agrícola Mútuo»</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Ρουμανία</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Fondul</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Garantare</w:t>
            </w:r>
            <w:proofErr w:type="spellEnd"/>
            <w:r>
              <w:rPr>
                <w:rFonts w:ascii="Times New Roman" w:hAnsi="Times New Roman"/>
                <w:color w:val="000000" w:themeColor="text1"/>
                <w:spacing w:val="-2"/>
                <w:w w:val="95"/>
                <w:sz w:val="20"/>
              </w:rPr>
              <w:t xml:space="preserve"> a </w:t>
            </w:r>
            <w:proofErr w:type="spellStart"/>
            <w:r>
              <w:rPr>
                <w:rFonts w:ascii="Times New Roman" w:hAnsi="Times New Roman"/>
                <w:color w:val="000000" w:themeColor="text1"/>
                <w:spacing w:val="-2"/>
                <w:w w:val="95"/>
                <w:sz w:val="20"/>
              </w:rPr>
              <w:t>Depozitelor</w:t>
            </w:r>
            <w:proofErr w:type="spellEnd"/>
            <w:r>
              <w:rPr>
                <w:rFonts w:ascii="Times New Roman" w:hAnsi="Times New Roman"/>
                <w:color w:val="000000" w:themeColor="text1"/>
                <w:spacing w:val="-2"/>
                <w:w w:val="95"/>
                <w:sz w:val="20"/>
              </w:rPr>
              <w:t xml:space="preserve"> in </w:t>
            </w:r>
            <w:proofErr w:type="spellStart"/>
            <w:r>
              <w:rPr>
                <w:rFonts w:ascii="Times New Roman" w:hAnsi="Times New Roman"/>
                <w:color w:val="000000" w:themeColor="text1"/>
                <w:spacing w:val="-2"/>
                <w:w w:val="95"/>
                <w:sz w:val="20"/>
              </w:rPr>
              <w:t>Sistemul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Bancar</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Σλοβακία</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ochrany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vkladov</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Σλοβενία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«Τράπεζα της Σλοβενίας» (</w:t>
            </w:r>
            <w:proofErr w:type="spellStart"/>
            <w:r>
              <w:rPr>
                <w:rFonts w:ascii="Times New Roman" w:hAnsi="Times New Roman"/>
                <w:color w:val="000000" w:themeColor="text1"/>
                <w:spacing w:val="-2"/>
                <w:w w:val="95"/>
                <w:sz w:val="20"/>
              </w:rPr>
              <w:t>Banka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Slovenije</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Ισπανία</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Fondo</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Garantía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Entidades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Crédito</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Σουηδία</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Riksgälden</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Ην. Βασίλειο</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Σύστημα Αποζημίωσης Χρηματοοικονομικών Υπηρεσιών του Ηνωμένου Βασιλείου («UK Financial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Εάν το επίσημα αναγνωρισμένο ΣΕΚ στο οποίο συμμετέχει η οντότητα δεν απαριθμείται ανωτέρω, αναφέρεται η ένδειξη «άλλο».</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Ποσό καλυπτόμενων καταθέσεων</w:t>
            </w:r>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2 παράγραφοι 1 και 5, και άρθρο 6 παράγραφος 2 της οδηγίας 2014/49/ΕΕ</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Το ποσό των καλυπτόμενων καταθέσεων, όπως ορίζεται στο άρθρο 2 παράγραφος 1 σημείο 5), σε συνδυασμό με το άρθρο 6, της οδηγίας 2014/49/ΕΕ, όπως καλύπτεται από το ΣΕΚ στη γραμμή 00030, με την εξαίρεση των πρόσκαιρων υψηλών υπολοίπων, όπως ορίζονται στο άρθρο 6 παράγραφος 2 της εν λόγω οδηγίας.</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Θεσμικό σύστημα προστασίας</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113 παράγραφος 7 του κανονισμού (ΕΕ) αριθ. 575/2013</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όνομα του θεσμικού συστήματος προστασίας, όπως αναφέρεται στο άρθρο 113 παράγραφος 7 του κανονισμού (ΕΕ) αριθ. 575/2013, στο οποίο συμμετέχει η οντότητα. Εάν η οντότητα δεν συμμετέχει σε ΘΣΠ, μην αναφέρετε τίποτε. Σε περίπτωση που η οντότητα συμμετέχει σε ένα ΘΣΠ το οποίο είναι επίσης επίσημα αναγνωρισμένο ως ΣΕΚ, δυνάμει του άρθρου 4 παράγραφος 2 της οδηγίας 2014/49/ΕΕ, το όνομα του ΘΣΠ είναι πανομοιότυπο με το όνομα του ΣΕΚ στη γραμμή 030.</w:t>
            </w:r>
          </w:p>
          <w:p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Επιπλέον προστασία βάσει του συμβατικού συστήματος</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Άρθρο 1 παράγραφος 3 στοιχείο α) της οδηγίας 2014/49/ΕΕ</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Ποσό καταθέσεων που καλύπτεται από συμβατικό σύστημα στην οντότητα.</w:t>
            </w:r>
          </w:p>
        </w:tc>
      </w:tr>
    </w:tbl>
    <w:p w:rsidR="0057049E" w:rsidRPr="00D92B3C" w:rsidRDefault="0057049E" w:rsidP="008F7980">
      <w:pPr>
        <w:rPr>
          <w:rFonts w:ascii="Times New Roman" w:hAnsi="Times New Roman" w:cs="Times New Roman"/>
          <w:b/>
          <w:color w:val="000000" w:themeColor="text1"/>
          <w:sz w:val="20"/>
          <w:szCs w:val="20"/>
          <w:u w:val="single"/>
        </w:rPr>
      </w:pPr>
    </w:p>
    <w:p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22" w:name="_Toc492542327"/>
      <w:bookmarkStart w:id="23" w:name="_Toc525210699"/>
      <w:r>
        <w:rPr>
          <w:rFonts w:ascii="Times New Roman" w:hAnsi="Times New Roman"/>
        </w:rPr>
        <w:t>Κρίσιμες λειτουργίες και βασικοί επιχειρηματικοί τομείς</w:t>
      </w:r>
      <w:bookmarkEnd w:id="22"/>
      <w:bookmarkEnd w:id="23"/>
    </w:p>
    <w:p w:rsidR="00AA4026" w:rsidRPr="00D92B3C" w:rsidRDefault="00AA4026" w:rsidP="00715DAB">
      <w:pPr>
        <w:pStyle w:val="Instructionsberschrift3"/>
      </w:pPr>
      <w:r>
        <w:t>Γενικές παρατηρήσεις</w:t>
      </w:r>
    </w:p>
    <w:p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Τα τέσσερα υποδείγματα του παρόντος τμήματος παρέχουν βασικά στοιχεία και ποιοτικές αξιολογήσεις των επιπτώσεων, της δυνατότητας υποκατάστασης και της κρισιμότητας των οικονομικών λειτουργιών που παρέχει ο όμιλος, </w:t>
      </w:r>
      <w:proofErr w:type="spellStart"/>
      <w:r>
        <w:rPr>
          <w:rFonts w:ascii="Times New Roman" w:hAnsi="Times New Roman"/>
          <w:sz w:val="20"/>
        </w:rPr>
        <w:t>συμπληρούμενα</w:t>
      </w:r>
      <w:proofErr w:type="spellEnd"/>
      <w:r>
        <w:rPr>
          <w:rFonts w:ascii="Times New Roman" w:hAnsi="Times New Roman"/>
          <w:sz w:val="20"/>
        </w:rPr>
        <w:t xml:space="preserve"> από χαρτογράφηση των εν λόγω κρίσιμων λειτουργιών βάσει βασικών επιχειρηματικών τομέων και νομικών οντοτήτων.</w:t>
      </w:r>
    </w:p>
    <w:p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Ειδικότερα, τα υποδείγματα καλύπτουν τα ακόλουθα θέματα:</w:t>
      </w:r>
    </w:p>
    <w:p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Υπόδειγμα Z 07.01 - Η αξιολόγηση της κρισιμότητας οικονομικών λειτουργιών (FUNC 1) προσδιορίζει, βάσει ποσοτικών και ποιοτικών δεικτών, τις μη κρίσιμες και τις κρίσιμες λειτουργίες του ομίλου για κάθε κράτος μέλος στο οποίο δραστηριοποιείται,</w:t>
      </w:r>
    </w:p>
    <w:p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Υπόδειγμα Z 07.02 - Η χαρτογράφηση κρίσιμων λειτουργιών ανά νομική οντότητα (FUNC 2) χαρτογραφεί τις κρίσιμες λειτουργίες που προσδιορίζονται βάσει των νομικών οντοτήτων και αξιολογεί το κατά πόσον κάθε νομική οντότητα θεωρείται ουσιώδης για την απόδοση της κρίσιμης λειτουργίας,</w:t>
      </w:r>
    </w:p>
    <w:p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 07.03 - Η χαρτογράφηση των βασικών επιχειρηματικών τομέων ανά νομική οντότητα (FUNC 3) παρέχει πλήρη κατάλογο των βασικών επιχειρηματικών τομέων και τους χαρτογραφεί με βάση τις νομικές οντότητες,</w:t>
      </w:r>
    </w:p>
    <w:p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Υπόδειγμα Z 07.04 - Η χαρτογράφηση των κρίσιμων λειτουργιών βάσει βασικών επιχειρηματικών τομέων (FUNC 4) χαρτογραφεί τις προσδιορισθείσες λειτουργίες με βάση τους επιχειρηματικούς τομείς.</w:t>
      </w:r>
    </w:p>
    <w:p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Σύμφωνα με το άρθρο 2 παράγραφος 1 σημείο 35 της οδηγίας 2014/59/ΕΕ, κρίσιμες λειτουργίες είναι οι δραστηριότητες, υπηρεσίες ή λειτουργίες των οποίων η διακοπή ενδέχεται, σε ένα ή περισσότερα κράτη μέλη, να οδηγήσει σε διαταραχή της παροχής ζωτικών υπηρεσιών στην πραγματική οικονομία ή να διαταράξει τη χρηματοπιστωτική σταθερότητα λόγω του μεγέθους του ιδρύματος ή του ομίλου, του μεριδίου του στην αγορά, των εξωτερικών και εσωτερικών του διασυνδέσεων, της πολυπλοκότητας ή των διασυνοριακών δραστηριοτήτων του, ιδίως σε ό,τι αφορά τη δυνατότητα υποκατάστασης των εν λόγω δραστηριοτήτων, υπηρεσιών ή λειτουργιών. </w:t>
      </w:r>
    </w:p>
    <w:p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Σύμφωνα με το άρθρο 6 παράγραφος 1 του κανονισμού (ΕΕ) 2016/778 της Επιτροπής</w:t>
      </w:r>
      <w:r>
        <w:rPr>
          <w:rFonts w:ascii="Times New Roman" w:hAnsi="Times New Roman"/>
          <w:vertAlign w:val="superscript"/>
        </w:rPr>
        <w:footnoteReference w:id="16"/>
      </w:r>
      <w:r>
        <w:rPr>
          <w:rFonts w:ascii="Times New Roman" w:hAnsi="Times New Roman"/>
          <w:sz w:val="20"/>
        </w:rPr>
        <w:t>, μια λειτουργία θεωρείται κρίσιμη, όταν ικανοποιεί αμφότερα τα ακόλουθα κριτήρια:</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rPr>
        <w:t>η λειτουργία παρέχεται από ένα ίδρυμα σε τρίτα μέρη τα οποία δεν είναι συνδεδεμένα με το ίδρυμα ή τον όμιλο· και</w:t>
      </w:r>
    </w:p>
    <w:p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rPr>
        <w:t>η αιφνίδια διατάραξη της λειτουργίας είναι πιθανό να έχει σημαντικές αρνητικές επιπτώσεις στα τρίτα μέρη, να προκαλέσει μετάδοση ή να υπονομεύσει τη γενική εμπιστοσύνη των συμμετεχόντων στην αγορά, λόγω της συστημικής σπουδαιότητας της λειτουργίας για τα τρίτα μέρη και της συστημικής σπουδαιότητας του ιδρύματος ή του ομίλου που παρέχει τη λειτουργία.</w:t>
      </w:r>
    </w:p>
    <w:p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Σύμφωνα με το άρθρο 2 παράγραφος 1 σημείο 36) της οδηγίας 2014/59/ΕΕ, «βασικοί επιχειρηματικοί τομείς» είναι οι επιχειρηματικοί τομείς και οι συναφείς υπηρεσίες που αντιπροσωπεύουν ουσιώδεις πηγές εισοδήματος, κέρδους ή αξίας </w:t>
      </w:r>
      <w:proofErr w:type="spellStart"/>
      <w:r>
        <w:rPr>
          <w:rFonts w:ascii="Times New Roman" w:hAnsi="Times New Roman"/>
          <w:sz w:val="20"/>
        </w:rPr>
        <w:t>δικαιόχρησης</w:t>
      </w:r>
      <w:proofErr w:type="spellEnd"/>
      <w:r>
        <w:rPr>
          <w:rFonts w:ascii="Times New Roman" w:hAnsi="Times New Roman"/>
          <w:sz w:val="20"/>
        </w:rPr>
        <w:t xml:space="preserve"> για ένα ίδρυμα ή για έναν όμιλο του οποίου το ίδρυμα αποτελεί μέρος».</w:t>
      </w:r>
    </w:p>
    <w:p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Για τους σκοπούς του παρόντος υποδείγματος, οι οικονομικές λειτουργίες παραπέμπουν στις λειτουργίες που απαριθμούνται στον πίνακα κατωτέρω.</w:t>
      </w:r>
    </w:p>
    <w:p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Για κάθε κατηγορία οικονομικών λειτουργιών, ως οικονομική λειτουργία μπορεί να επιλεγεί η ένδειξη «άλλο», εάν η λειτουργία δεν αποτυπώνεται από άλλες προκαθορισμένες λειτουργίες.</w:t>
      </w:r>
    </w:p>
    <w:p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Οι αντισυμβαλλόμενοι που αναφέρονται στις γραμμές 0010 έως 0070 και στις γραμμές 0080 έως 0150 προσδιορίζονται με ταυτόσημο τρόπο με τους τομείς αντισυμβαλλομένων τομέων, όπως προβλέπεται στη FINREP, παράρτημα V, μέρος 1, κεφάλαιο 6. Ο όρος «ΜΜΕ» αναφέρεται στις ΜΜΕ, όπως ορίζονται στη FINREP, παράρτημα V μέρος 1 παράγραφος 5 στοιχείο θ).</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Αναγνωριστικό</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Οικονομική λειτουργία</w:t>
            </w:r>
          </w:p>
        </w:tc>
      </w:tr>
      <w:tr w:rsidR="00D22EB0" w:rsidRPr="00D92B3C" w:rsidTr="00905475">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Καταθέσεις</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Η αποδοχή καταθέσεων αναφέρεται στην αποδοχή καταθέσεων από μη χρηματοοικονομικούς διαμεσολαβητές. Δεν περιλαμβάνει δανεισμό από άλλους χρηματοοικονομικούς διαμεσολαβητές, ο οποίος αναφέρεται χωριστά στη «χρηματοδότηση χονδρικής». </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Στις καταθέσεις περιλαμβάνονται τα ακόλουθα: i) τρεχούμενοι λογαριασμοί/καταθέσεις μιας ημέρας, ii) προθεσμιακές καταθέσεις, και iii) καταθέσεις υπό προειδοποίηση, και εξαιρούνται οι συμφωνίες επαναγοράς.</w:t>
            </w:r>
          </w:p>
          <w:p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Παραπομπές: FSB </w:t>
            </w:r>
            <w:proofErr w:type="spellStart"/>
            <w:r>
              <w:rPr>
                <w:rFonts w:ascii="Times New Roman" w:hAnsi="Times New Roman"/>
                <w:color w:val="000000" w:themeColor="text1"/>
                <w:spacing w:val="-2"/>
                <w:w w:val="95"/>
                <w:sz w:val="20"/>
              </w:rPr>
              <w:t>Guidance</w:t>
            </w:r>
            <w:proofErr w:type="spellEnd"/>
            <w:r>
              <w:rPr>
                <w:rFonts w:ascii="Times New Roman" w:hAnsi="Times New Roman"/>
                <w:color w:val="000000" w:themeColor="text1"/>
                <w:spacing w:val="-2"/>
                <w:w w:val="95"/>
                <w:sz w:val="20"/>
              </w:rPr>
              <w:t xml:space="preserve"> on </w:t>
            </w:r>
            <w:proofErr w:type="spellStart"/>
            <w:r>
              <w:rPr>
                <w:rFonts w:ascii="Times New Roman" w:hAnsi="Times New Roman"/>
                <w:color w:val="000000" w:themeColor="text1"/>
                <w:spacing w:val="-2"/>
                <w:w w:val="95"/>
                <w:sz w:val="20"/>
              </w:rPr>
              <w:t>Identification</w:t>
            </w:r>
            <w:proofErr w:type="spellEnd"/>
            <w:r>
              <w:rPr>
                <w:rFonts w:ascii="Times New Roman" w:hAnsi="Times New Roman"/>
                <w:color w:val="000000" w:themeColor="text1"/>
                <w:spacing w:val="-2"/>
                <w:w w:val="95"/>
                <w:sz w:val="20"/>
              </w:rPr>
              <w:t xml:space="preserve"> of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Functions</w:t>
            </w:r>
            <w:proofErr w:type="spellEnd"/>
            <w:r>
              <w:rPr>
                <w:rFonts w:ascii="Times New Roman" w:hAnsi="Times New Roman"/>
                <w:color w:val="000000" w:themeColor="text1"/>
                <w:spacing w:val="-2"/>
                <w:w w:val="95"/>
                <w:sz w:val="20"/>
              </w:rPr>
              <w:t xml:space="preserve"> and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Shared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(2013), σ.14· παράρτημα ΙΙ, μέρος 2, στοιχεία 9.1, 9.2 και 9.3 του κανονισμού (ΕΕ) αριθ. 1071/2013.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Νοικοκυριά</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Μη χρηματοοικονομικές επιχειρήσεις (ΜΜΕ)</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Μη χρηματοοικονομικές επιχειρήσεις (μη ΜΜΕ)</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Γενικές κυβερνήσεις</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1.5, 1.6, 1.7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Άλλοι τομείς/αντισυμβαλλόμενοι 1), 2) και 3)</w:t>
            </w:r>
          </w:p>
        </w:tc>
      </w:tr>
      <w:tr w:rsidR="00D22EB0" w:rsidRPr="00D92B3C" w:rsidTr="0018458C">
        <w:tc>
          <w:tcPr>
            <w:tcW w:w="9083" w:type="dxa"/>
            <w:gridSpan w:val="2"/>
            <w:tcBorders>
              <w:top w:val="single" w:sz="4" w:space="0" w:color="1A171C"/>
              <w:left w:val="nil"/>
              <w:bottom w:val="single" w:sz="4" w:space="0" w:color="1A171C"/>
            </w:tcBorders>
          </w:tcPr>
          <w:p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Χορηγήσεις</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Οι χορηγήσεις δανείων αναφέρονται στη χορήγηση κεφαλαίων σε μη χρηματοοικονομικούς </w:t>
            </w:r>
            <w:r w:rsidR="00A45912">
              <w:rPr>
                <w:rFonts w:ascii="Times New Roman" w:hAnsi="Times New Roman"/>
                <w:color w:val="000000" w:themeColor="text1"/>
                <w:spacing w:val="-2"/>
                <w:w w:val="95"/>
                <w:sz w:val="20"/>
              </w:rPr>
              <w:t>αντισυμβαλλομένους</w:t>
            </w:r>
            <w:r>
              <w:rPr>
                <w:rFonts w:ascii="Times New Roman" w:hAnsi="Times New Roman"/>
                <w:color w:val="000000" w:themeColor="text1"/>
                <w:spacing w:val="-2"/>
                <w:w w:val="95"/>
                <w:sz w:val="20"/>
              </w:rPr>
              <w:t xml:space="preserve">, </w:t>
            </w:r>
            <w:r>
              <w:rPr>
                <w:rFonts w:ascii="Times New Roman" w:hAnsi="Times New Roman"/>
                <w:color w:val="000000" w:themeColor="text1"/>
                <w:spacing w:val="-2"/>
                <w:w w:val="95"/>
                <w:sz w:val="20"/>
              </w:rPr>
              <w:lastRenderedPageBreak/>
              <w:t xml:space="preserve">όπως εταιρικούς πελάτες ή πελάτες λιανικής. Οι χορηγήσεις δανείων σε χρηματοοικονομικούς </w:t>
            </w:r>
            <w:r w:rsidR="00A45912">
              <w:rPr>
                <w:rFonts w:ascii="Times New Roman" w:hAnsi="Times New Roman"/>
                <w:color w:val="000000" w:themeColor="text1"/>
                <w:spacing w:val="-2"/>
                <w:w w:val="95"/>
                <w:sz w:val="20"/>
              </w:rPr>
              <w:t>αντισυμβαλλομένους</w:t>
            </w:r>
            <w:r>
              <w:rPr>
                <w:rFonts w:ascii="Times New Roman" w:hAnsi="Times New Roman"/>
                <w:color w:val="000000" w:themeColor="text1"/>
                <w:spacing w:val="-2"/>
                <w:w w:val="95"/>
                <w:sz w:val="20"/>
              </w:rPr>
              <w:t xml:space="preserve"> αποτελεί διακριτή δραστηριότητα και αξιολογείται στη «χρηματοδότηση χονδρικής». Τα δάνεια περιλαμβάνουν χρεωστικούς τίτλους που κατέχουν τα ιδρύματα, αλλά με την εξαίρεση των χρεωστικών τίτλων που είναι αξιόγραφα, ανεξαρτήτως της λογιστικής ταξινόμησής τους (π.χ. </w:t>
            </w:r>
            <w:proofErr w:type="spellStart"/>
            <w:r>
              <w:rPr>
                <w:rFonts w:ascii="Times New Roman" w:hAnsi="Times New Roman"/>
                <w:color w:val="000000" w:themeColor="text1"/>
                <w:spacing w:val="-2"/>
                <w:w w:val="95"/>
                <w:sz w:val="20"/>
              </w:rPr>
              <w:t>διακρατούμενοι</w:t>
            </w:r>
            <w:proofErr w:type="spellEnd"/>
            <w:r>
              <w:rPr>
                <w:rFonts w:ascii="Times New Roman" w:hAnsi="Times New Roman"/>
                <w:color w:val="000000" w:themeColor="text1"/>
                <w:spacing w:val="-2"/>
                <w:w w:val="95"/>
                <w:sz w:val="20"/>
              </w:rPr>
              <w:t xml:space="preserve"> μέχρι τη λήξη ή διαθέσιμοι προς πώληση).</w:t>
            </w:r>
          </w:p>
          <w:p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Παραπομπές: FSB </w:t>
            </w:r>
            <w:proofErr w:type="spellStart"/>
            <w:r>
              <w:rPr>
                <w:rFonts w:ascii="Times New Roman" w:hAnsi="Times New Roman"/>
                <w:color w:val="000000" w:themeColor="text1"/>
                <w:spacing w:val="-2"/>
                <w:w w:val="95"/>
                <w:sz w:val="20"/>
              </w:rPr>
              <w:t>Guidance</w:t>
            </w:r>
            <w:proofErr w:type="spellEnd"/>
            <w:r>
              <w:rPr>
                <w:rFonts w:ascii="Times New Roman" w:hAnsi="Times New Roman"/>
                <w:color w:val="000000" w:themeColor="text1"/>
                <w:spacing w:val="-2"/>
                <w:w w:val="95"/>
                <w:sz w:val="20"/>
              </w:rPr>
              <w:t xml:space="preserve"> on </w:t>
            </w:r>
            <w:proofErr w:type="spellStart"/>
            <w:r>
              <w:rPr>
                <w:rFonts w:ascii="Times New Roman" w:hAnsi="Times New Roman"/>
                <w:color w:val="000000" w:themeColor="text1"/>
                <w:spacing w:val="-2"/>
                <w:w w:val="95"/>
                <w:sz w:val="20"/>
              </w:rPr>
              <w:t>Identification</w:t>
            </w:r>
            <w:proofErr w:type="spellEnd"/>
            <w:r>
              <w:rPr>
                <w:rFonts w:ascii="Times New Roman" w:hAnsi="Times New Roman"/>
                <w:color w:val="000000" w:themeColor="text1"/>
                <w:spacing w:val="-2"/>
                <w:w w:val="95"/>
                <w:sz w:val="20"/>
              </w:rPr>
              <w:t xml:space="preserve"> of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Functions</w:t>
            </w:r>
            <w:proofErr w:type="spellEnd"/>
            <w:r>
              <w:rPr>
                <w:rFonts w:ascii="Times New Roman" w:hAnsi="Times New Roman"/>
                <w:color w:val="000000" w:themeColor="text1"/>
                <w:spacing w:val="-2"/>
                <w:w w:val="95"/>
                <w:sz w:val="20"/>
              </w:rPr>
              <w:t xml:space="preserve"> and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Shared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(2013), σ. 17, παράρτημα ΙΙ, μέρος 2, στοιχείο 2 του κανονισμού (ΕΕ) αριθ. 1071/2013.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2.1</w:t>
            </w:r>
          </w:p>
        </w:tc>
        <w:tc>
          <w:tcPr>
            <w:tcW w:w="7892" w:type="dxa"/>
            <w:tcBorders>
              <w:top w:val="single" w:sz="4" w:space="0" w:color="1A171C"/>
              <w:left w:val="single" w:sz="4" w:space="0" w:color="1A171C"/>
              <w:bottom w:val="single" w:sz="4" w:space="0" w:color="1A171C"/>
              <w:right w:val="nil"/>
            </w:tcBorders>
          </w:tcPr>
          <w:p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Νοικοκυριά – Δανεισμός για αγορά κατοικίας</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Τα δάνεια για αγορά κατοικίας είναι δάνεια σε νοικοκυριά για επενδύσεις σε κατοικίες με σκοπό την ιδιόχρηση και την ενοικίαση, συμπεριλαμβανομένης της κατασκευής και της ανακαίνισής τους.</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Νοικοκυριά – άλλες χορηγήσεις</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Μη χρηματοοικονομικές επιχειρήσεις -(ΜΜΕ)</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Μη χρηματοοικονομικές επιχειρήσεις - μη ΜΜΕ</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Γενικές κυβερνήσεις</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Άλλοι τομείς/αντισυμβαλλόμενοι 1), 2) και 3)</w:t>
            </w:r>
          </w:p>
        </w:tc>
      </w:tr>
      <w:tr w:rsidR="00D22EB0" w:rsidRPr="00D92B3C" w:rsidTr="00955D42">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Υπηρεσίες πληρωμών, μετρητών, διακανονισμού, εκκαθάρισης και φυλάξεως</w:t>
            </w:r>
          </w:p>
          <w:p w:rsidR="00D71DD0" w:rsidRPr="00A9747B"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Pr>
                <w:rFonts w:ascii="Times New Roman" w:hAnsi="Times New Roman"/>
                <w:color w:val="000000" w:themeColor="text1"/>
                <w:spacing w:val="-2"/>
                <w:w w:val="95"/>
                <w:sz w:val="20"/>
              </w:rPr>
              <w:t>Παραπομπή</w:t>
            </w:r>
            <w:r w:rsidRPr="00A9747B">
              <w:rPr>
                <w:rFonts w:ascii="Times New Roman" w:hAnsi="Times New Roman"/>
                <w:color w:val="000000" w:themeColor="text1"/>
                <w:spacing w:val="-2"/>
                <w:w w:val="95"/>
                <w:sz w:val="20"/>
                <w:lang w:val="en-GB"/>
              </w:rPr>
              <w:t xml:space="preserve">: FSB Guidance on Identification of Critical Functions and Critical Shared Services (2013), </w:t>
            </w:r>
            <w:r>
              <w:rPr>
                <w:rFonts w:ascii="Times New Roman" w:hAnsi="Times New Roman"/>
                <w:color w:val="000000" w:themeColor="text1"/>
                <w:spacing w:val="-2"/>
                <w:w w:val="95"/>
                <w:sz w:val="20"/>
              </w:rPr>
              <w:t>σ</w:t>
            </w:r>
            <w:r w:rsidRPr="00A9747B">
              <w:rPr>
                <w:rFonts w:ascii="Times New Roman" w:hAnsi="Times New Roman"/>
                <w:color w:val="000000" w:themeColor="text1"/>
                <w:spacing w:val="-2"/>
                <w:w w:val="95"/>
                <w:sz w:val="20"/>
                <w:lang w:val="en-GB"/>
              </w:rPr>
              <w:t>. 20.</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Οι οικονομικές λειτουργίες που περιλαμβάνονται σε αυτό το πεδίο περιλαμβάνουν την παροχή υπηρεσιών πληρωμών, μετρητών, διακανονισμού, εκκαθάρισης και φύλαξης από πιστωτικό ίδρυμα, ως διαμεσολαβητή μεταξύ ίδιων πελατών ή ως διαμεσολαβητή μεταξύ ενός πελάτη και ενός ή περισσότερων σχετικών υποδομών χρηματοπιστωτικών αγορών (ΥΧΑ), ή την παροχή (έμμεσης) της δυνατότητας πρόσβασης σε ΥΧΑ σε άλλες τράπεζες. Σύμφωνα με την καθοδήγηση «FSB </w:t>
            </w:r>
            <w:proofErr w:type="spellStart"/>
            <w:r>
              <w:rPr>
                <w:rFonts w:ascii="Times New Roman" w:hAnsi="Times New Roman"/>
                <w:color w:val="000000" w:themeColor="text1"/>
                <w:spacing w:val="-2"/>
                <w:w w:val="95"/>
                <w:sz w:val="20"/>
              </w:rPr>
              <w:t>Guidance</w:t>
            </w:r>
            <w:proofErr w:type="spellEnd"/>
            <w:r>
              <w:rPr>
                <w:rFonts w:ascii="Times New Roman" w:hAnsi="Times New Roman"/>
                <w:color w:val="000000" w:themeColor="text1"/>
                <w:spacing w:val="-2"/>
                <w:w w:val="95"/>
                <w:sz w:val="20"/>
              </w:rPr>
              <w:t xml:space="preserve"> on </w:t>
            </w:r>
            <w:proofErr w:type="spellStart"/>
            <w:r>
              <w:rPr>
                <w:rFonts w:ascii="Times New Roman" w:hAnsi="Times New Roman"/>
                <w:color w:val="000000" w:themeColor="text1"/>
                <w:spacing w:val="-2"/>
                <w:w w:val="95"/>
                <w:sz w:val="20"/>
              </w:rPr>
              <w:t>Identification</w:t>
            </w:r>
            <w:proofErr w:type="spellEnd"/>
            <w:r>
              <w:rPr>
                <w:rFonts w:ascii="Times New Roman" w:hAnsi="Times New Roman"/>
                <w:color w:val="000000" w:themeColor="text1"/>
                <w:spacing w:val="-2"/>
                <w:w w:val="95"/>
                <w:sz w:val="20"/>
              </w:rPr>
              <w:t xml:space="preserve"> of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Functions</w:t>
            </w:r>
            <w:proofErr w:type="spellEnd"/>
            <w:r>
              <w:rPr>
                <w:rFonts w:ascii="Times New Roman" w:hAnsi="Times New Roman"/>
                <w:color w:val="000000" w:themeColor="text1"/>
                <w:spacing w:val="-2"/>
                <w:w w:val="95"/>
                <w:sz w:val="20"/>
              </w:rPr>
              <w:t xml:space="preserve"> and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Shared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του ΣΧΣ, η λειτουργία πληρωμών, εκκαθάρισης και διακανονισμού περιορίζεται στις υπηρεσίες που παρέχουν οι τράπεζες στους πελάτες τους. Η εν λόγω κατηγορία δεν καλύπτει τις υπηρεσίες που παρέχουν οι πάροχοι (αμιγώς) ΥΧΑ. Για τους σκοπούς του παρόντος υποδείγματος, οι ΥΧΑ περιλαμβάνουν συστήματα πληρωμών, συστήματα διακανονισμού </w:t>
            </w:r>
            <w:proofErr w:type="spellStart"/>
            <w:r>
              <w:rPr>
                <w:rFonts w:ascii="Times New Roman" w:hAnsi="Times New Roman"/>
                <w:color w:val="000000" w:themeColor="text1"/>
                <w:spacing w:val="-2"/>
                <w:w w:val="95"/>
                <w:sz w:val="20"/>
              </w:rPr>
              <w:t>αξιογράφων</w:t>
            </w:r>
            <w:proofErr w:type="spellEnd"/>
            <w:r>
              <w:rPr>
                <w:rFonts w:ascii="Times New Roman" w:hAnsi="Times New Roman"/>
                <w:color w:val="000000" w:themeColor="text1"/>
                <w:spacing w:val="-2"/>
                <w:w w:val="95"/>
                <w:sz w:val="20"/>
              </w:rPr>
              <w:t xml:space="preserve">, κεντρικά αποθετήρια τίτλων και κεντρικούς </w:t>
            </w:r>
            <w:r w:rsidR="00A45912">
              <w:rPr>
                <w:rFonts w:ascii="Times New Roman" w:hAnsi="Times New Roman"/>
                <w:color w:val="000000" w:themeColor="text1"/>
                <w:spacing w:val="-2"/>
                <w:w w:val="95"/>
                <w:sz w:val="20"/>
              </w:rPr>
              <w:t>αντισυμβαλλομένους</w:t>
            </w:r>
            <w:r>
              <w:rPr>
                <w:rFonts w:ascii="Times New Roman" w:hAnsi="Times New Roman"/>
                <w:color w:val="000000" w:themeColor="text1"/>
                <w:spacing w:val="-2"/>
                <w:w w:val="95"/>
                <w:sz w:val="20"/>
              </w:rPr>
              <w:t xml:space="preserve"> (και δεν περιλαμβάνουν αρχεία καταγραφής συναλλαγών).</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Οι όροι «υπηρεσία πληρωμών», «πράξη πληρωμών» και «σύστημα πληρωμών» έχουν την ίδια σημασία, όπως ορίζεται στο άρθρο 4 παράγραφοι 3, 5 και 7, αντίστοιχα, της οδηγίας 2015/2366 σχετικά με υπηρεσίες πληρωμών στην εσωτερική αγορά</w:t>
            </w:r>
            <w:r>
              <w:rPr>
                <w:rStyle w:val="FootnoteReference"/>
                <w:rFonts w:ascii="Times New Roman" w:hAnsi="Times New Roman"/>
                <w:color w:val="000000" w:themeColor="text1"/>
                <w:spacing w:val="-2"/>
                <w:w w:val="95"/>
                <w:sz w:val="20"/>
              </w:rPr>
              <w:footnoteReference w:id="17"/>
            </w:r>
            <w:r>
              <w:rPr>
                <w:rFonts w:ascii="Times New Roman" w:hAnsi="Times New Roman"/>
                <w:color w:val="000000" w:themeColor="text1"/>
                <w:spacing w:val="-2"/>
                <w:w w:val="95"/>
                <w:sz w:val="20"/>
              </w:rPr>
              <w:t>.</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Υπηρεσίες πληρωμών σε ΝΧΙ</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Η γραμμή αυτή περιλαμβάνει υπηρεσίες πληρωμών που παρέχονται σε νομισματικά χρηματοπιστωτικά ιδρύματα (ΝΧΙ), με ή χωρίς τη χρήση εξωτερικών συστημάτων πληρωμών. Σε αυτές περιλαμβάνονται επίσης (πληρωμές που σχετίζονται με) οι αντίστοιχες υπηρεσίες τραπεζικής. Τα ΝΧΙ αποτελούνται από το σύνολο των θεσμικών μονάδων που περιλαμβάνονται στους υποτομείς: i) κεντρική τράπεζα· ii) εταιρείες που δέχονται καταθέσεις εκτός της κεντρικής τράπεζας· και iii) αμοιβαία κεφάλαια της χρηματαγοράς.</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Υπηρεσίες πληρωμών σε μη ΝΧΙ</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Υπηρεσίες πληρωμών που παρέχονται σε πελάτες, με ή χωρίς τη χρήση εξωτερικών συστημάτων πληρωμών. Σε αυτές περιλαμβάνεται μόνο φυσικό ή νομικό πρόσωπο που δεν ανήκει στον τομέα ΝΧΙ. Οι πάροχοι υπηρεσιών πληρωμών εξαιρούνται επίσης από τον τομέα των «μη ΝΧΙ».</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Υπηρεσίες μετρητών</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Παροχή υπηρεσιών μετρητών σε πελάτες (φυσικά πρόσωπα και επιχειρήσεις, μόνο μη ΝΧΙ). Οι εν λόγω υπηρεσίες αφορούν αναλήψεις από μηχανήματα και σε ταμεία υποκαταστημάτων και δεν περιλαμβάνουν άλλες υπηρεσίες μετρητών (όπως υπηρεσίες χρηματαποστολών για επιχειρήσεις μαζικής λιανικής). Περιλαμβάνεται η ανάληψη μετρητών με επιταγές και στα ταμεία υποκαταστημάτων με χρήση τραπεζικών εντύπων (όπου οι κάρτες μπορούν να χρησιμοποιούνται ως μέσο ταυτοποίησης).</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3.4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Υπηρεσίες διακανονισμού </w:t>
            </w:r>
            <w:proofErr w:type="spellStart"/>
            <w:r>
              <w:rPr>
                <w:rFonts w:ascii="Times New Roman" w:hAnsi="Times New Roman"/>
                <w:b/>
                <w:color w:val="000000" w:themeColor="text1"/>
                <w:sz w:val="20"/>
              </w:rPr>
              <w:t>αξιογράφων</w:t>
            </w:r>
            <w:proofErr w:type="spellEnd"/>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Οι παρεχόμενες στους πελάτες υπηρεσίες επιβεβαίωσης, εκκαθάρισης και διακανονισμού συναλλαγών </w:t>
            </w:r>
            <w:proofErr w:type="spellStart"/>
            <w:r>
              <w:rPr>
                <w:rFonts w:ascii="Times New Roman" w:hAnsi="Times New Roman"/>
                <w:color w:val="000000" w:themeColor="text1"/>
                <w:spacing w:val="-2"/>
                <w:w w:val="95"/>
                <w:sz w:val="20"/>
              </w:rPr>
              <w:t>αξιογράφων</w:t>
            </w:r>
            <w:proofErr w:type="spellEnd"/>
            <w:r>
              <w:rPr>
                <w:rFonts w:ascii="Times New Roman" w:hAnsi="Times New Roman"/>
                <w:color w:val="000000" w:themeColor="text1"/>
                <w:spacing w:val="-2"/>
                <w:w w:val="95"/>
                <w:sz w:val="20"/>
              </w:rPr>
              <w:t xml:space="preserve">, με ή χωρίς τη χρήση συστημάτων διακανονισμού </w:t>
            </w:r>
            <w:proofErr w:type="spellStart"/>
            <w:r>
              <w:rPr>
                <w:rFonts w:ascii="Times New Roman" w:hAnsi="Times New Roman"/>
                <w:color w:val="000000" w:themeColor="text1"/>
                <w:spacing w:val="-2"/>
                <w:w w:val="95"/>
                <w:sz w:val="20"/>
              </w:rPr>
              <w:t>αξιογράφων</w:t>
            </w:r>
            <w:proofErr w:type="spellEnd"/>
            <w:r>
              <w:rPr>
                <w:rFonts w:ascii="Times New Roman" w:hAnsi="Times New Roman"/>
                <w:color w:val="000000" w:themeColor="text1"/>
                <w:spacing w:val="-2"/>
                <w:w w:val="95"/>
                <w:sz w:val="20"/>
              </w:rPr>
              <w:t xml:space="preserve">. «Διακανονισμός»: η ολοκλήρωση μιας συναλλαγής </w:t>
            </w:r>
            <w:proofErr w:type="spellStart"/>
            <w:r>
              <w:rPr>
                <w:rFonts w:ascii="Times New Roman" w:hAnsi="Times New Roman"/>
                <w:color w:val="000000" w:themeColor="text1"/>
                <w:spacing w:val="-2"/>
                <w:w w:val="95"/>
                <w:sz w:val="20"/>
              </w:rPr>
              <w:t>αξιογράφων</w:t>
            </w:r>
            <w:proofErr w:type="spellEnd"/>
            <w:r>
              <w:rPr>
                <w:rFonts w:ascii="Times New Roman" w:hAnsi="Times New Roman"/>
                <w:color w:val="000000" w:themeColor="text1"/>
                <w:spacing w:val="-2"/>
                <w:w w:val="95"/>
                <w:sz w:val="20"/>
              </w:rPr>
              <w:t xml:space="preserve"> οπουδήποτε πραγματοποιείται, με στόχο την εκπλήρωση των υποχρεώσεων των μερών της εν λόγω συναλλαγής μέσω της μεταφοράς μετρητών και/ή </w:t>
            </w:r>
            <w:proofErr w:type="spellStart"/>
            <w:r>
              <w:rPr>
                <w:rFonts w:ascii="Times New Roman" w:hAnsi="Times New Roman"/>
                <w:color w:val="000000" w:themeColor="text1"/>
                <w:spacing w:val="-2"/>
                <w:w w:val="95"/>
                <w:sz w:val="20"/>
              </w:rPr>
              <w:t>αξιογράφων</w:t>
            </w:r>
            <w:proofErr w:type="spellEnd"/>
            <w:r>
              <w:rPr>
                <w:rFonts w:ascii="Times New Roman" w:hAnsi="Times New Roman"/>
                <w:color w:val="000000" w:themeColor="text1"/>
                <w:spacing w:val="-2"/>
                <w:w w:val="95"/>
                <w:sz w:val="20"/>
              </w:rPr>
              <w: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Υπηρεσίες εκκαθάρισης ΚΑ</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Υπηρεσίες εκκαθάρισης </w:t>
            </w:r>
            <w:proofErr w:type="spellStart"/>
            <w:r>
              <w:rPr>
                <w:rFonts w:ascii="Times New Roman" w:hAnsi="Times New Roman"/>
                <w:color w:val="000000" w:themeColor="text1"/>
                <w:spacing w:val="-2"/>
                <w:w w:val="95"/>
                <w:sz w:val="20"/>
              </w:rPr>
              <w:t>αξιογράφων</w:t>
            </w:r>
            <w:proofErr w:type="spellEnd"/>
            <w:r>
              <w:rPr>
                <w:rFonts w:ascii="Times New Roman" w:hAnsi="Times New Roman"/>
                <w:color w:val="000000" w:themeColor="text1"/>
                <w:spacing w:val="-2"/>
                <w:w w:val="95"/>
                <w:sz w:val="20"/>
              </w:rPr>
              <w:t xml:space="preserve"> και παραγώγων παρεχόμενες σε πελάτες. Σε αυτές περιλαμβάνεται επίσης η παροχή πρόσβασης σε κεντρικό αντισυμβαλλόμενο (ΚΑ).</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Υπηρεσίες φύλαξης</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Φύλαξη και διαχείριση χρηματοπιστωτικών μέσων για πελάτες και υπηρεσίες που σχετίζονται με τη φύλαξη, όπως διαχείριση μετρητών και εξασφαλίσεων.</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3.7, 3.8, 3.9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Άλλες υπηρεσίες/δραστηριότητες/λειτουργίες 1), 2) και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Κεφαλαιαγορές</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Οι δραστηριότητες κεφαλαιαγορών αναφέρονται στην έκδοση και διαπραγμάτευση τίτλων, στις σχετικές υπηρεσίες παροχής συμβουλών, και στις συναφείς υπηρεσίες, όπως η βασική μεσολάβηση και η ειδική διαπραγμάτευση. </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Παράγωγα </w:t>
            </w:r>
            <w:proofErr w:type="spellStart"/>
            <w:r>
              <w:rPr>
                <w:rFonts w:ascii="Times New Roman" w:hAnsi="Times New Roman"/>
                <w:b/>
                <w:color w:val="000000" w:themeColor="text1"/>
                <w:sz w:val="20"/>
              </w:rPr>
              <w:t>διακρατούμενα</w:t>
            </w:r>
            <w:proofErr w:type="spellEnd"/>
            <w:r>
              <w:rPr>
                <w:rFonts w:ascii="Times New Roman" w:hAnsi="Times New Roman"/>
                <w:b/>
                <w:color w:val="000000" w:themeColor="text1"/>
                <w:sz w:val="20"/>
              </w:rPr>
              <w:t xml:space="preserve"> για διαπραγμάτευση (εξωχρηματιστηριακά)</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Άρθρο 2 </w:t>
            </w:r>
            <w:r w:rsidR="00A876F6">
              <w:rPr>
                <w:rFonts w:ascii="Times New Roman" w:hAnsi="Times New Roman"/>
                <w:color w:val="000000" w:themeColor="text1"/>
                <w:spacing w:val="-2"/>
                <w:w w:val="95"/>
                <w:sz w:val="20"/>
              </w:rPr>
              <w:t>σημεία</w:t>
            </w:r>
            <w:r>
              <w:rPr>
                <w:rFonts w:ascii="Times New Roman" w:hAnsi="Times New Roman"/>
                <w:color w:val="000000" w:themeColor="text1"/>
                <w:spacing w:val="-2"/>
                <w:w w:val="95"/>
                <w:sz w:val="20"/>
              </w:rPr>
              <w:t xml:space="preserve"> 5</w:t>
            </w:r>
            <w:r w:rsidR="00A876F6">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xml:space="preserve"> και 7</w:t>
            </w:r>
            <w:r w:rsidR="00A876F6">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xml:space="preserve"> του κανονισμού (ΕΕ) αριθ. 648/2012</w:t>
            </w:r>
            <w:r>
              <w:rPr>
                <w:rStyle w:val="FootnoteReference"/>
                <w:rFonts w:ascii="Times New Roman" w:hAnsi="Times New Roman"/>
                <w:color w:val="000000" w:themeColor="text1"/>
                <w:spacing w:val="-2"/>
                <w:w w:val="95"/>
                <w:sz w:val="20"/>
              </w:rPr>
              <w:footnoteReference w:id="18"/>
            </w:r>
            <w:r>
              <w:rPr>
                <w:rFonts w:ascii="Times New Roman" w:hAnsi="Times New Roman"/>
                <w:color w:val="000000" w:themeColor="text1"/>
                <w:spacing w:val="-2"/>
                <w:w w:val="95"/>
                <w:sz w:val="20"/>
              </w:rPr>
              <w:t>.</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Παράγωγα ή συμβάσεις παραγώγων: τα χρηματοπιστωτικά μέσα που ορίζονται στο παράρτημα Ι τμήμα Γ σημεία 4 έως 10 της οδηγίας 2014/65/ΕΕ</w:t>
            </w:r>
            <w:r>
              <w:rPr>
                <w:rStyle w:val="FootnoteReference"/>
                <w:rFonts w:ascii="Times New Roman" w:hAnsi="Times New Roman"/>
                <w:color w:val="000000" w:themeColor="text1"/>
                <w:spacing w:val="-2"/>
                <w:w w:val="95"/>
                <w:sz w:val="20"/>
              </w:rPr>
              <w:footnoteReference w:id="19"/>
            </w:r>
            <w:r>
              <w:rPr>
                <w:rFonts w:ascii="Times New Roman" w:hAnsi="Times New Roman"/>
                <w:color w:val="000000" w:themeColor="text1"/>
                <w:spacing w:val="-2"/>
                <w:w w:val="95"/>
                <w:sz w:val="20"/>
              </w:rPr>
              <w:t>, όπως εφαρμόζονται στα άρθρα 38 και 39 του κανονισμού (ΕΚ) αριθ. 1287/2006.</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Εξωχρηματιστηριακά παράγωγα (OTC) ή συμβάσεις εξωχρηματιστηριακών παραγώγων: συμβάσεις παραγώγων των οποίων η εκτέλεση δεν πραγματοποιείται σε ρυθμιζόμενη αγορά, όπως ορίζεται στο άρθρο 4 παράγραφος 1 σημείο 21) της οδηγίας 2014/65/ΕΕ, ή σε αγορά τρίτης χώρας που θεωρείται ισοδύναμη με ρυθμιζόμενη αγορά σύμφωνα με το άρθρο 2α του κανονισμού (ΕΕ) αριθ. 648/2012.</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Το ποσό που πρέπει να αναφέρεται περιλαμβάνει μόνο παράγωγα των οποίων η διαπραγμάτευση πραγματοποιείται σε </w:t>
            </w:r>
            <w:proofErr w:type="spellStart"/>
            <w:r>
              <w:rPr>
                <w:rFonts w:ascii="Times New Roman" w:hAnsi="Times New Roman"/>
                <w:color w:val="000000" w:themeColor="text1"/>
                <w:spacing w:val="-2"/>
                <w:w w:val="95"/>
                <w:sz w:val="20"/>
              </w:rPr>
              <w:t>εξωχρηματιστηριακή</w:t>
            </w:r>
            <w:proofErr w:type="spellEnd"/>
            <w:r>
              <w:rPr>
                <w:rFonts w:ascii="Times New Roman" w:hAnsi="Times New Roman"/>
                <w:color w:val="000000" w:themeColor="text1"/>
                <w:spacing w:val="-2"/>
                <w:w w:val="95"/>
                <w:sz w:val="20"/>
              </w:rPr>
              <w:t xml:space="preserve"> αγορά.</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Παράγωγα </w:t>
            </w:r>
            <w:proofErr w:type="spellStart"/>
            <w:r>
              <w:rPr>
                <w:rFonts w:ascii="Times New Roman" w:hAnsi="Times New Roman"/>
                <w:b/>
                <w:color w:val="000000" w:themeColor="text1"/>
                <w:sz w:val="20"/>
              </w:rPr>
              <w:t>διακρατούμενα</w:t>
            </w:r>
            <w:proofErr w:type="spellEnd"/>
            <w:r>
              <w:rPr>
                <w:rFonts w:ascii="Times New Roman" w:hAnsi="Times New Roman"/>
                <w:b/>
                <w:color w:val="000000" w:themeColor="text1"/>
                <w:sz w:val="20"/>
              </w:rPr>
              <w:t xml:space="preserve"> για διαπραγμάτευση (μη εξωχρηματιστηριακά)</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Όλα τα παράγωγα που </w:t>
            </w:r>
            <w:proofErr w:type="spellStart"/>
            <w:r>
              <w:rPr>
                <w:rFonts w:ascii="Times New Roman" w:hAnsi="Times New Roman"/>
                <w:color w:val="000000" w:themeColor="text1"/>
                <w:spacing w:val="-2"/>
                <w:w w:val="95"/>
                <w:sz w:val="20"/>
              </w:rPr>
              <w:t>διακρατούνται</w:t>
            </w:r>
            <w:proofErr w:type="spellEnd"/>
            <w:r>
              <w:rPr>
                <w:rFonts w:ascii="Times New Roman" w:hAnsi="Times New Roman"/>
                <w:color w:val="000000" w:themeColor="text1"/>
                <w:spacing w:val="-2"/>
                <w:w w:val="95"/>
                <w:sz w:val="20"/>
              </w:rPr>
              <w:t xml:space="preserve"> για διαπραγμάτευση, με εξαίρεση τα εξωχρηματιστηριακά παράγωγα που </w:t>
            </w:r>
            <w:proofErr w:type="spellStart"/>
            <w:r>
              <w:rPr>
                <w:rFonts w:ascii="Times New Roman" w:hAnsi="Times New Roman"/>
                <w:color w:val="000000" w:themeColor="text1"/>
                <w:spacing w:val="-2"/>
                <w:w w:val="95"/>
                <w:sz w:val="20"/>
              </w:rPr>
              <w:t>διακρατούνται</w:t>
            </w:r>
            <w:proofErr w:type="spellEnd"/>
            <w:r>
              <w:rPr>
                <w:rFonts w:ascii="Times New Roman" w:hAnsi="Times New Roman"/>
                <w:color w:val="000000" w:themeColor="text1"/>
                <w:spacing w:val="-2"/>
                <w:w w:val="95"/>
                <w:sz w:val="20"/>
              </w:rPr>
              <w:t xml:space="preserve"> για διαπραγμάτευση.</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Δευτερογενείς αγορές/διαπραγμάτευση:</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Η δευτερογενής αγορά είναι η αγορά όπου οι επενδυτές αγοράζουν και πωλούν τίτλους. Η εν λόγω λειτουργία εφαρμόζεται για το σύνολο του χαρτοφυλακίου διαπραγμάτευσης (ήτοι, κοινές μετοχές, εταιρικές πιστώσεις, πιστοληπτική ικανότητα κρατών).</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Το ποσό που πρέπει να αναφέρεται περιλαμβάνει την αξία των τίτλων μετρούμενη ως το συνολικό ποσό των διακρατούμενων για διαπραγμάτευση τίτλων. Οι τίτλοι αναφέρονται σε εύλογη αξία κατά την ημερομηνία αναφοράς.</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ποσό δεν περιλαμβάνει δάνεια, παράγωγα και μη διαπραγματεύσιμα στοιχεία ενεργητικού (π.χ. απαιτήσεις).</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4.4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Πρωτογενείς αγορές/αναδοχή</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Πρωτογενείς αγορές: αγορές στις οποίες εκδίδονται νέοι τίτλοι σε χρηματιστήριο από επιχειρήσεις, κυβερνήσεις, και άλλες ομάδες με σκοπό τη λήψη χρηματοδότησης μέσω </w:t>
            </w:r>
            <w:proofErr w:type="spellStart"/>
            <w:r>
              <w:rPr>
                <w:rFonts w:ascii="Times New Roman" w:hAnsi="Times New Roman"/>
                <w:color w:val="000000" w:themeColor="text1"/>
                <w:spacing w:val="-2"/>
                <w:w w:val="95"/>
                <w:sz w:val="20"/>
              </w:rPr>
              <w:t>χρεοπαγών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αξιογράφων</w:t>
            </w:r>
            <w:proofErr w:type="spellEnd"/>
            <w:r>
              <w:rPr>
                <w:rFonts w:ascii="Times New Roman" w:hAnsi="Times New Roman"/>
                <w:color w:val="000000" w:themeColor="text1"/>
                <w:spacing w:val="-2"/>
                <w:w w:val="95"/>
                <w:sz w:val="20"/>
              </w:rPr>
              <w:t xml:space="preserve"> ή </w:t>
            </w:r>
            <w:proofErr w:type="spellStart"/>
            <w:r>
              <w:rPr>
                <w:rFonts w:ascii="Times New Roman" w:hAnsi="Times New Roman"/>
                <w:color w:val="000000" w:themeColor="text1"/>
                <w:spacing w:val="-2"/>
                <w:w w:val="95"/>
                <w:sz w:val="20"/>
              </w:rPr>
              <w:t>αξιογράφων</w:t>
            </w:r>
            <w:proofErr w:type="spellEnd"/>
            <w:r>
              <w:rPr>
                <w:rFonts w:ascii="Times New Roman" w:hAnsi="Times New Roman"/>
                <w:color w:val="000000" w:themeColor="text1"/>
                <w:spacing w:val="-2"/>
                <w:w w:val="95"/>
                <w:sz w:val="20"/>
              </w:rPr>
              <w:t xml:space="preserve"> συμμετοχών (όπως κοινές ή προνομιούχες μετοχές, εταιρικά ομόλογα, αξιόγραφα, συναλλαγματικές, κρατικά ομόλογα). Η λειτουργία των πρωτογενών αγορών διευκολύνεται από ομάδες ασφαλιστών.</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Άλλες υπηρεσίες/δραστηριότητες/λειτουργίες 1), 2) και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Χρηματοδότηση χονδρικής</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Δραστηριότητες δανειοδοσίας ή δανειοληψίας σε αγορές χονδρικής από και προς χρηματοοικονομικούς </w:t>
            </w:r>
            <w:r w:rsidR="00A45912">
              <w:rPr>
                <w:rFonts w:ascii="Times New Roman" w:hAnsi="Times New Roman"/>
                <w:color w:val="000000" w:themeColor="text1"/>
                <w:spacing w:val="-2"/>
                <w:w w:val="95"/>
                <w:sz w:val="20"/>
              </w:rPr>
              <w:t>αντισυμβαλλομένους</w:t>
            </w:r>
            <w:r>
              <w:rPr>
                <w:rFonts w:ascii="Times New Roman" w:hAnsi="Times New Roman"/>
                <w:color w:val="000000" w:themeColor="text1"/>
                <w:spacing w:val="-2"/>
                <w:w w:val="95"/>
                <w:sz w:val="20"/>
              </w:rPr>
              <w:t xml:space="preserve"> (πιστωτικά ιδρύματα και άλλες χρηματοοικονομικές επιχειρήσεις).</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Δανειοληπτικές πράξεις</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Η </w:t>
            </w:r>
            <w:proofErr w:type="spellStart"/>
            <w:r>
              <w:rPr>
                <w:rFonts w:ascii="Times New Roman" w:hAnsi="Times New Roman"/>
                <w:color w:val="000000" w:themeColor="text1"/>
                <w:spacing w:val="-2"/>
                <w:w w:val="95"/>
                <w:sz w:val="20"/>
              </w:rPr>
              <w:t>δανειοληψία</w:t>
            </w:r>
            <w:proofErr w:type="spellEnd"/>
            <w:r>
              <w:rPr>
                <w:rFonts w:ascii="Times New Roman" w:hAnsi="Times New Roman"/>
                <w:color w:val="000000" w:themeColor="text1"/>
                <w:spacing w:val="-2"/>
                <w:w w:val="95"/>
                <w:sz w:val="20"/>
              </w:rPr>
              <w:t xml:space="preserve"> σε αγορές χονδρικής από χρηματοοικονομικούς </w:t>
            </w:r>
            <w:r w:rsidR="00A45912">
              <w:rPr>
                <w:rFonts w:ascii="Times New Roman" w:hAnsi="Times New Roman"/>
                <w:color w:val="000000" w:themeColor="text1"/>
                <w:spacing w:val="-2"/>
                <w:w w:val="95"/>
                <w:sz w:val="20"/>
              </w:rPr>
              <w:t>αντισυμβαλλομένους</w:t>
            </w:r>
            <w:r>
              <w:rPr>
                <w:rFonts w:ascii="Times New Roman" w:hAnsi="Times New Roman"/>
                <w:color w:val="000000" w:themeColor="text1"/>
                <w:spacing w:val="-2"/>
                <w:w w:val="95"/>
                <w:sz w:val="20"/>
              </w:rPr>
              <w:t xml:space="preserve"> (περιλαμβανομένου μέσω συμφωνιών επαναγοράς, διατραπεζικού δανεισμού, εμπορικών χρεογράφων, πιστοποιητικών καταθέσεων, αμοιβαίων κεφαλαίων χρηματαγοράς, πιστωτικών γραμμών, εμπορικών χρεογράφων εξασφαλισμένων με στοιχεία ενεργητικού και πιστωτικών καταθέσεων).</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Παράγωγα (στοιχεία του ενεργητικού)</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Όλα τα παράγωγα με χρηματοοικονομικούς </w:t>
            </w:r>
            <w:r w:rsidR="00A45912">
              <w:rPr>
                <w:rFonts w:ascii="Times New Roman" w:hAnsi="Times New Roman"/>
                <w:color w:val="000000" w:themeColor="text1"/>
                <w:spacing w:val="-2"/>
                <w:w w:val="95"/>
                <w:sz w:val="20"/>
              </w:rPr>
              <w:t>αντισυμβαλλομένους</w:t>
            </w:r>
            <w:r>
              <w:rPr>
                <w:rFonts w:ascii="Times New Roman" w:hAnsi="Times New Roman"/>
                <w:color w:val="000000" w:themeColor="text1"/>
                <w:spacing w:val="-2"/>
                <w:w w:val="95"/>
                <w:sz w:val="20"/>
              </w:rPr>
              <w:t xml:space="preserve"> που </w:t>
            </w:r>
            <w:proofErr w:type="spellStart"/>
            <w:r>
              <w:rPr>
                <w:rFonts w:ascii="Times New Roman" w:hAnsi="Times New Roman"/>
                <w:color w:val="000000" w:themeColor="text1"/>
                <w:spacing w:val="-2"/>
                <w:w w:val="95"/>
                <w:sz w:val="20"/>
              </w:rPr>
              <w:t>διακρατούνται</w:t>
            </w:r>
            <w:proofErr w:type="spellEnd"/>
            <w:r>
              <w:rPr>
                <w:rFonts w:ascii="Times New Roman" w:hAnsi="Times New Roman"/>
                <w:color w:val="000000" w:themeColor="text1"/>
                <w:spacing w:val="-2"/>
                <w:w w:val="95"/>
                <w:sz w:val="20"/>
              </w:rPr>
              <w:t xml:space="preserve"> στην πλευρά στοιχείων ενεργητικού του ισολογισμού. Σε αντίθεση με τις «Κεφαλαιαγορές», στη «Χρηματοδότηση χονδρικής» τα παράγωγα περιλαμβάνουν όλες τις συμβάσεις παραγώγων με χρηματοοικονομικούς </w:t>
            </w:r>
            <w:r w:rsidR="00A45912">
              <w:rPr>
                <w:rFonts w:ascii="Times New Roman" w:hAnsi="Times New Roman"/>
                <w:color w:val="000000" w:themeColor="text1"/>
                <w:spacing w:val="-2"/>
                <w:w w:val="95"/>
                <w:sz w:val="20"/>
              </w:rPr>
              <w:t>αντισυμβαλλομένους</w:t>
            </w:r>
            <w:r>
              <w:rPr>
                <w:rFonts w:ascii="Times New Roman" w:hAnsi="Times New Roman"/>
                <w:color w:val="000000" w:themeColor="text1"/>
                <w:spacing w:val="-2"/>
                <w:w w:val="95"/>
                <w:sz w:val="20"/>
              </w:rPr>
              <w:t xml:space="preserve"> (δεν περιορίζονται στις HFT).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Χορηγήσεις</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Η </w:t>
            </w:r>
            <w:proofErr w:type="spellStart"/>
            <w:r>
              <w:rPr>
                <w:rFonts w:ascii="Times New Roman" w:hAnsi="Times New Roman"/>
                <w:color w:val="000000" w:themeColor="text1"/>
                <w:spacing w:val="-2"/>
                <w:w w:val="95"/>
                <w:sz w:val="20"/>
              </w:rPr>
              <w:t>δανειοδοσία</w:t>
            </w:r>
            <w:proofErr w:type="spellEnd"/>
            <w:r>
              <w:rPr>
                <w:rFonts w:ascii="Times New Roman" w:hAnsi="Times New Roman"/>
                <w:color w:val="000000" w:themeColor="text1"/>
                <w:spacing w:val="-2"/>
                <w:w w:val="95"/>
                <w:sz w:val="20"/>
              </w:rPr>
              <w:t xml:space="preserve"> σε αγορές χονδρικής σε χρηματοοικονομικούς </w:t>
            </w:r>
            <w:r w:rsidR="00A45912">
              <w:rPr>
                <w:rFonts w:ascii="Times New Roman" w:hAnsi="Times New Roman"/>
                <w:color w:val="000000" w:themeColor="text1"/>
                <w:spacing w:val="-2"/>
                <w:w w:val="95"/>
                <w:sz w:val="20"/>
              </w:rPr>
              <w:t>αντισυμβαλλομένους</w:t>
            </w:r>
            <w:r>
              <w:rPr>
                <w:rFonts w:ascii="Times New Roman" w:hAnsi="Times New Roman"/>
                <w:color w:val="000000" w:themeColor="text1"/>
                <w:spacing w:val="-2"/>
                <w:w w:val="95"/>
                <w:sz w:val="20"/>
              </w:rPr>
              <w:t xml:space="preserve"> (περιλαμβανομένου μέσω δανείων αγοράς και </w:t>
            </w:r>
            <w:proofErr w:type="spellStart"/>
            <w:r>
              <w:rPr>
                <w:rFonts w:ascii="Times New Roman" w:hAnsi="Times New Roman"/>
                <w:color w:val="000000" w:themeColor="text1"/>
                <w:spacing w:val="-2"/>
                <w:w w:val="95"/>
                <w:sz w:val="20"/>
              </w:rPr>
              <w:t>επαναπώλησης</w:t>
            </w:r>
            <w:proofErr w:type="spellEnd"/>
            <w:r>
              <w:rPr>
                <w:rFonts w:ascii="Times New Roman" w:hAnsi="Times New Roman"/>
                <w:color w:val="000000" w:themeColor="text1"/>
                <w:spacing w:val="-2"/>
                <w:w w:val="95"/>
                <w:sz w:val="20"/>
              </w:rPr>
              <w:t>, εμπορικών χρεογράφων, πιστοποιητικών καταθέσεων, αμοιβαίων κεφαλαίων χρηματαγοράς, πιστωτικών γραμμών, εμπορικών χρεογράφων εξασφαλισμένων με στοιχεία ενεργητικού και πιστωτικών καταθέσεων).</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Παράγωγα (στοιχεία του παθητικού)</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Όλα τα παράγωγα με χρηματοοικονομικούς </w:t>
            </w:r>
            <w:r w:rsidR="00A45912">
              <w:rPr>
                <w:rFonts w:ascii="Times New Roman" w:hAnsi="Times New Roman"/>
                <w:color w:val="000000" w:themeColor="text1"/>
                <w:spacing w:val="-2"/>
                <w:w w:val="95"/>
                <w:sz w:val="20"/>
              </w:rPr>
              <w:t>αντισυμβαλλομένους</w:t>
            </w:r>
            <w:r>
              <w:rPr>
                <w:rFonts w:ascii="Times New Roman" w:hAnsi="Times New Roman"/>
                <w:color w:val="000000" w:themeColor="text1"/>
                <w:spacing w:val="-2"/>
                <w:w w:val="95"/>
                <w:sz w:val="20"/>
              </w:rPr>
              <w:t xml:space="preserve"> που </w:t>
            </w:r>
            <w:proofErr w:type="spellStart"/>
            <w:r>
              <w:rPr>
                <w:rFonts w:ascii="Times New Roman" w:hAnsi="Times New Roman"/>
                <w:color w:val="000000" w:themeColor="text1"/>
                <w:spacing w:val="-2"/>
                <w:w w:val="95"/>
                <w:sz w:val="20"/>
              </w:rPr>
              <w:t>διακρατούνται</w:t>
            </w:r>
            <w:proofErr w:type="spellEnd"/>
            <w:r>
              <w:rPr>
                <w:rFonts w:ascii="Times New Roman" w:hAnsi="Times New Roman"/>
                <w:color w:val="000000" w:themeColor="text1"/>
                <w:spacing w:val="-2"/>
                <w:w w:val="95"/>
                <w:sz w:val="20"/>
              </w:rPr>
              <w:t xml:space="preserve"> στην πλευρά στοιχείων παθητικού του ισολογισμού.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5.5, 5.6, 5.7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Άλλοι τύποι προϊόντων 1), 2) και 3)</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Οποιαδήποτε συνιστώσα της οικονομικής λειτουργίας «Χρηματοδότηση χονδρικής» που δεν περιλαμβάνεται στα παραπάνω.</w:t>
            </w:r>
          </w:p>
        </w:tc>
      </w:tr>
    </w:tbl>
    <w:p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07.01 - Αξιολόγηση κρισιμότητας των οικονομικών λειτουργιών (FUNC 1): Οδηγίες για συγκεκριμένες</w:t>
      </w:r>
      <w:r>
        <w:rPr>
          <w:rFonts w:ascii="Times New Roman" w:hAnsi="Times New Roman"/>
          <w:color w:val="000000" w:themeColor="text1"/>
          <w:sz w:val="20"/>
        </w:rPr>
        <w:t xml:space="preserve"> </w:t>
      </w:r>
      <w:r>
        <w:rPr>
          <w:rFonts w:ascii="Times New Roman" w:hAnsi="Times New Roman"/>
          <w:b w:val="0"/>
          <w:color w:val="000000" w:themeColor="text1"/>
          <w:sz w:val="20"/>
          <w:u w:val="single"/>
        </w:rPr>
        <w:t>θέσεις</w:t>
      </w:r>
    </w:p>
    <w:p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Το παρόν υπόδειγμα υποβάλλεται μία φορά για κάθε κράτος μέλος (προσδιοριζόμενο ως «χώρα») στο οποίο δραστηριοποιείται ο όμιλος.</w:t>
      </w:r>
    </w:p>
    <w:p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Καλύπτει όλες τις οικονομικές λειτουργίες που εκτελούνται στο εν λόγω κράτος μέλος από οποιαδήποτε οντότητα του ομίλου, είτε είναι κρίσιμες είτε όχι.</w:t>
      </w:r>
    </w:p>
    <w:p w:rsidR="005244DF" w:rsidRPr="00D92B3C"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Γραμμές</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Οδηγίες</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0010 - 0380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Οικονομικές λειτουργίες</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Οι οικονομικές λειτουργίες όπως ορίζονται ανωτέρω</w:t>
            </w:r>
          </w:p>
        </w:tc>
      </w:tr>
    </w:tbl>
    <w:p w:rsidR="0056559D" w:rsidRPr="00D92B3C"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Οδηγίες</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Περιγραφή της οικονομικής λειτουργίας</w:t>
            </w:r>
          </w:p>
          <w:p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Όταν η οικονομική λειτουργία είναι του τύπου «Άλλο» (λειτουργίες 1.5 – 1.7, 2.6 -2.8, 3.7 – 3.9, 4.5 – 4.7, 5.5 – 5.7), παρέχεται περιγραφή της εν λόγω λειτουργίας.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Μερίδιο αγοράς </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Εκτίμηση του μεριδίου αγοράς του ιδρύματος ή του ομίλου όσον αφορά την οικονομική λειτουργία στην αντίστοιχη χώρα. Ως ποσοστό του χρηματικού ποσού επί της συνολικής αγοράς.</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Χρηματικό ποσό</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περιεχόμενο αυτής της στήλης εξαρτάται από την παρεχόμενη οικονομική λειτουργία:</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Καταθέσεις</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Λογιστική αξία (περιλαμβανομένων των δεδουλευμένων τόκων) των καταθέσεων που έγιναν αποδεκτές</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Παραπομπές: FINREP, παραρτήματα III και IV, υπόδειγμα F 08.01 και παράρτημα V μέρος 2 παράγραφος 97.</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Χορηγήσεις</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Ακαθάριστη λογιστική αξία μη απομειωμένων και απομειωμένων δανείων και προκαταβολών (περιλαμβανομένων των δεδουλευμένων τόκων). Το απόθεμα χορηγήσεων εκλαμβάνεται ως βάση για την κατά προσέγγιση εκτίμηση των αναμενόμενων μελλοντικών χορηγήσεων.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Παραπομπές: FINREP, παραρτήματα III και IV, υπόδειγμα F 04.04.01 και παράρτημα V μέρος Ι παράγραφος 34 στοιχείο β)</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Υπηρεσίες πληρωμών, μετρητών, διακανονισμού, εκκαθάρισης και φυλάξεως</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Κατά κανόνα, αναφέρεται ο μέσος όρος των ημερήσιων συναλλαγών στη διάρκεια του έτους. Σε περίπτωση που δεν είναι διαθέσιμος, μπορεί να αναφερθεί ο μέσος όρος επί μικρότερου χρονικού διαστήματος (π.χ. λίγων μηνών).</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Ειδικά σε ό,τι αφορά τις διάφορες λειτουργίες, εξετάζονται οι ακόλουθοι τρόποι επιμέτρησης: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Υπηρεσίες πληρωμών (3.1 έως 3.2): Αξία συναλλαγών που αποστέλλονται.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(Παραπομπές: Άρθρο 4 παράγραφος 5 της οδηγίας 2015/2366/EK· ΕΚΤ/2013/43),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Υπηρεσίες μετρητών (3.3): Αξία συναλλαγών σε ATM, όπως ορίζεται στο ΕΚΤ/2013/43 πίνακας 5α, καθώς και αναλήψεων μετρητών στα ταμεία των τραπεζών, όπως ορίζεται στο ΕΚΤ/2014/15 πίνακας 4.</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Υπηρεσίες διακανονισμού </w:t>
            </w:r>
            <w:proofErr w:type="spellStart"/>
            <w:r>
              <w:rPr>
                <w:rFonts w:ascii="Times New Roman" w:hAnsi="Times New Roman"/>
                <w:color w:val="000000" w:themeColor="text1"/>
                <w:spacing w:val="-2"/>
                <w:w w:val="95"/>
                <w:sz w:val="20"/>
              </w:rPr>
              <w:t>αξιογράφων</w:t>
            </w:r>
            <w:proofErr w:type="spellEnd"/>
            <w:r>
              <w:rPr>
                <w:rFonts w:ascii="Times New Roman" w:hAnsi="Times New Roman"/>
                <w:color w:val="000000" w:themeColor="text1"/>
                <w:spacing w:val="-2"/>
                <w:w w:val="95"/>
                <w:sz w:val="20"/>
              </w:rPr>
              <w:t xml:space="preserve"> (3.4): Αξία μεταφορών τίτλων που εκτελούνται για λογαριασμό πελατών. Σε αυτές περιλαμβάνονται συναλλαγές που διακανονίζονται βάσει συστήματος διακανονισμού χρεογράφων ή διακανονίζονται εσωτερικά από τα ιδρύματα που υποβάλλουν αναφορές, και συναλλαγές χωρίς πληρωμή.</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Υπηρεσίες εκκαθάρισης ΚΑ (3.5): οι θέσεις (άνοιγμα) που οι ΚΑ στους οποίους συμμετέχει το ίδρυμα αναλαμβάνουν με το ίδρυμα για λογαριασμό των πελατών του. Αναφέρετε τη μέση ημερήσια αξία των ανοικτών θέσεων που σχετίζονται με δραστηριότητα πελατών στους ΚΑ. Σε περίπτωση που δεν είναι διαθέσιμη, μπορούν να αναφερθούν οι μέσοι όροι επί μικρότερου χρονικού διαστήματος (π.χ. λίγων μηνών).</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Υπηρεσίες φύλαξης (3.6): Το ποσό των στοιχείων ενεργητικού υπό φύλαξη, βάσει εύλογης αξίας. Μπορούν να χρησιμοποιηθούν άλλες βάσεις επιμέτρησης, περιλαμβανομένης της ονομαστικής αξίας, εάν δεν είναι διαθέσιμη η εύλογη αξία. Στις περιπτώσεις που το ίδρυμα </w:t>
            </w:r>
            <w:r>
              <w:rPr>
                <w:rFonts w:ascii="Times New Roman" w:hAnsi="Times New Roman"/>
                <w:color w:val="000000" w:themeColor="text1"/>
                <w:spacing w:val="-2"/>
                <w:w w:val="95"/>
                <w:sz w:val="20"/>
              </w:rPr>
              <w:lastRenderedPageBreak/>
              <w:t xml:space="preserve">παρέχει υπηρεσίες σε οντότητες όπως οι οργανισμοί συλλογικών επενδύσεων και τα συνταξιοδοτικά ταμεία, τα εν λόγω στοιχεία ενεργητικού μπορούν να αναφέρονται με την αξία με την οποία οι εν λόγω οντότητες υποβάλλουν τα στοιχεία ενεργητικού στον δικό τους ισολογισμό. Τα υποβαλλόμενα ποσά περιλαμβάνουν, κατά περίπτωση, τους δεδουλευμένους τόκους.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(Παραπομπή: FINREP, παραρτήματα III και IV, υπόδειγμα F 22.02, στήλη 010.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Κεφαλαιαγορές</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Ονομαστικό ποσό - Αναφέρετε μόνο για παράγωγα (4.1-4.2): η ακαθάριστη ονομαστική αξία όλων των πράξεων που έχουν συμφωνηθεί και δεν έχουν ακόμη διακανονισθεί κατά την ημερομηνία αναφοράς.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Παραπομπές: FINREP, παράρτημα V μέρος 2 παράγραφος 133 για τον ορισμό, για τα στοιχεία, βλέπε FINREP παράρτημα III· IV και V:</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Σύνολο παραγώγων (4.1-4.2): Υπόδειγμα F 10.00, στήλη 030, γραμμή 290.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Εξωχρηματιστηριακά παράγωγα (4.1): Υπόδειγμα F 10.00, στήλη 030, γραμμές 300+310+320.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Δραστηριότητες δευτερογενούς αγοράς (4.3). Λογιστική αξία στοιχείων ενεργητικού - η λογιστική αξία που πρέπει να αναφέρεται στην πλευρά των στοιχείων ενεργητικού του ισολογισμού, περιλαμβανομένων των δεδουλευμένων τόκων [FINREP: παράρτημα V μέρος 1 παράγραφος 27] για μέσα μετοχικού κεφαλαίου και χρεωστικούς τίτλους [FINREP: παράρτημα V μέρος 1 παράγραφος 31], ταξινομημένο ως «</w:t>
            </w:r>
            <w:proofErr w:type="spellStart"/>
            <w:r>
              <w:rPr>
                <w:rFonts w:ascii="Times New Roman" w:hAnsi="Times New Roman"/>
                <w:color w:val="000000" w:themeColor="text1"/>
                <w:spacing w:val="-2"/>
                <w:w w:val="95"/>
                <w:sz w:val="20"/>
              </w:rPr>
              <w:t>Διακρατούμενα</w:t>
            </w:r>
            <w:proofErr w:type="spellEnd"/>
            <w:r>
              <w:rPr>
                <w:rFonts w:ascii="Times New Roman" w:hAnsi="Times New Roman"/>
                <w:color w:val="000000" w:themeColor="text1"/>
                <w:spacing w:val="-2"/>
                <w:w w:val="95"/>
                <w:sz w:val="20"/>
              </w:rPr>
              <w:t xml:space="preserve"> για διαπραγμάτευση» [FINREP: Παράρτημα V μέρος 1 παράγραφος 15 στοιχείο α) και παράγραφος 16 στοιχείο α)].</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Παραπομπή: FINREP: παράρτημα ΙΙΙ, υπόδειγμα F 04.01, στήλη 010, γραμμές 010+060+120.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Πρωτογενείς αγορές (4.4): Έσοδα από αμοιβές - Αμοιβές και προμήθειες που ελήφθησαν για τη συμμετοχή στην αρχική διάθεση ή έκδοση τίτλων των οποίων η αρχική διάθεση ή έκδοση δεν προέρχεται από το ίδρυμα.</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Παραπομπή: FINREP: παραρτήματα ΙΙΙI, IV, υπόδειγμα F 22.01, στήλη 010, γραμμές 030+180.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Χρηματοδότηση χονδρικής</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Χρησιμοποιείται η ακαθάριστη λογιστική αξία όπως ορίζεται στη FINREP.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Παραπομπές: FINREP: παράρτημα V μέρος 1 παράγραφος 34, FINREP: παραρτήματα III, IV, υποδείγματα:</w:t>
            </w:r>
            <w:r>
              <w:rPr>
                <w:rFonts w:ascii="Calibri" w:hAnsi="Calibri"/>
                <w:b/>
                <w:color w:val="1F497D"/>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Δανειοληπτικές πράξεις (5.1): Υπόδειγμα F 20.06, στήλη 010, γραμμές 100+110, όλες οι χώρες.</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Παράγωγα (στοιχεία ενεργητικού) (5.2): Υπόδειγμα F 20.04, στήλη 010, γραμμή 010, όλες οι χώρες.</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Χορηγήσεις (5.3): Υπόδειγμα F 20.04, στήλη 010, γραμμές 170+180, όλες οι χώρες.</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Παράγωγα (στοιχεία παθητικού) (5.4): Υπόδειγμα F 20.06, στήλη 010, γραμμή 010, όλες οι χώρες.</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Αριθμητικός δείκτης </w:t>
            </w:r>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περιεχόμενο αυτής της στήλης εξαρτάται από την παρεχόμενη οικονομική λειτουργία.</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Καταθέσεις </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Ο συνολικός αριθμός πελατών που κατέθεσαν τις αξίες που αναφέρονται σε χρηματικό ποσό. Εάν ένας πελάτης χρησιμοποιεί περισσότερα του ενός προϊόντα/λογαριασμούς καταθέσεων, ο πελάτης </w:t>
            </w:r>
            <w:proofErr w:type="spellStart"/>
            <w:r>
              <w:rPr>
                <w:rFonts w:ascii="Times New Roman" w:hAnsi="Times New Roman"/>
                <w:color w:val="000000" w:themeColor="text1"/>
                <w:spacing w:val="-2"/>
                <w:w w:val="95"/>
                <w:sz w:val="20"/>
              </w:rPr>
              <w:t>επιμετράται</w:t>
            </w:r>
            <w:proofErr w:type="spellEnd"/>
            <w:r>
              <w:rPr>
                <w:rFonts w:ascii="Times New Roman" w:hAnsi="Times New Roman"/>
                <w:color w:val="000000" w:themeColor="text1"/>
                <w:spacing w:val="-2"/>
                <w:w w:val="95"/>
                <w:sz w:val="20"/>
              </w:rPr>
              <w:t xml:space="preserve"> μόνο μία φορά.</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Χορηγήσεις</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Συνολικός αριθμός πελατών. Εάν ένας πελάτης χρησιμοποιεί περισσότερα του ενός δανειακά προϊόντα/λογαριασμούς, ο πελάτης </w:t>
            </w:r>
            <w:proofErr w:type="spellStart"/>
            <w:r>
              <w:rPr>
                <w:rFonts w:ascii="Times New Roman" w:hAnsi="Times New Roman"/>
                <w:color w:val="000000" w:themeColor="text1"/>
                <w:spacing w:val="-2"/>
                <w:w w:val="95"/>
                <w:sz w:val="20"/>
              </w:rPr>
              <w:t>επιμετράται</w:t>
            </w:r>
            <w:proofErr w:type="spellEnd"/>
            <w:r>
              <w:rPr>
                <w:rFonts w:ascii="Times New Roman" w:hAnsi="Times New Roman"/>
                <w:color w:val="000000" w:themeColor="text1"/>
                <w:spacing w:val="-2"/>
                <w:w w:val="95"/>
                <w:sz w:val="20"/>
              </w:rPr>
              <w:t xml:space="preserve"> μόνο μία φορά.</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Υπηρεσίες πληρωμών, μετρητών, διακανονισμού, εκκαθάρισης και φυλάξεως</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Κατά κανόνα, αναφέρονται οι μέσοι όροι των ημερήσιων συναλλαγών στη διάρκεια του έτους. Σε περίπτωση που δεν είναι διαθέσιμοι, μπορούν να παρασχεθούν οι μέσοι όροι επί μικρότερου </w:t>
            </w:r>
            <w:r>
              <w:rPr>
                <w:rFonts w:ascii="Times New Roman" w:hAnsi="Times New Roman"/>
                <w:color w:val="000000" w:themeColor="text1"/>
                <w:spacing w:val="-2"/>
                <w:w w:val="95"/>
                <w:sz w:val="20"/>
              </w:rPr>
              <w:lastRenderedPageBreak/>
              <w:t xml:space="preserve">χρονικού διαστήματος (π.χ. λίγων μηνών).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Ειδικά σε ό,τι αφορά τις διάφορες λειτουργίες, χρησιμοποιούνται οι ακόλουθοι τρόποι επιμέτρησης:</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Υπηρεσίες πληρωμών (3.1-3.2): Αριθμός </w:t>
            </w:r>
            <w:proofErr w:type="spellStart"/>
            <w:r>
              <w:rPr>
                <w:rFonts w:ascii="Times New Roman" w:hAnsi="Times New Roman"/>
                <w:color w:val="000000" w:themeColor="text1"/>
                <w:spacing w:val="-2"/>
                <w:w w:val="95"/>
                <w:sz w:val="20"/>
              </w:rPr>
              <w:t>πραγματοποιηθείσων</w:t>
            </w:r>
            <w:proofErr w:type="spellEnd"/>
            <w:r>
              <w:rPr>
                <w:rFonts w:ascii="Times New Roman" w:hAnsi="Times New Roman"/>
                <w:color w:val="000000" w:themeColor="text1"/>
                <w:spacing w:val="-2"/>
                <w:w w:val="95"/>
                <w:sz w:val="20"/>
              </w:rPr>
              <w:t xml:space="preserve"> συναλλαγών.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Παραπομπές: Άρθρο 4 παράγραφος 5 της οδηγίας 2015/2366/EK της ΕΕ· ΕΚΤ/2013/43.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Υπηρεσίες μετρητών (3.3): Αριθμός συναλλαγών σε ATM, όπως ορίζεται στο ΕΚΤ/2013/43 πίνακας 5α, καθώς και αναλήψεων μετρητών στα ταμεία των τραπεζών, όπως ορίζεται στο ΕΚΤ/2014/15 πίνακας 4.</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Υπηρεσίες διακανονισμού </w:t>
            </w:r>
            <w:proofErr w:type="spellStart"/>
            <w:r>
              <w:rPr>
                <w:rFonts w:ascii="Times New Roman" w:hAnsi="Times New Roman"/>
                <w:color w:val="000000" w:themeColor="text1"/>
                <w:spacing w:val="-2"/>
                <w:w w:val="95"/>
                <w:sz w:val="20"/>
              </w:rPr>
              <w:t>αξιογράφων</w:t>
            </w:r>
            <w:proofErr w:type="spellEnd"/>
            <w:r>
              <w:rPr>
                <w:rFonts w:ascii="Times New Roman" w:hAnsi="Times New Roman"/>
                <w:color w:val="000000" w:themeColor="text1"/>
                <w:spacing w:val="-2"/>
                <w:w w:val="95"/>
                <w:sz w:val="20"/>
              </w:rPr>
              <w:t xml:space="preserve"> (3.4): Αριθμός συναλλαγών μεταφορών τίτλων που εκτελούνται για λογαριασμό πελατών. Σε αυτές περιλαμβάνονται συναλλαγές που διακανονίζονται βάσει συστήματος διακανονισμού χρεογράφων ή διακανονίζονται εσωτερικά από το ίδρυμα ή τον όμιλο που υποβάλει αναφορά, και συναλλαγές χωρίς πληρωμή.</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Κεφαλαιαγορές</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Αριθμός </w:t>
            </w:r>
            <w:r w:rsidR="00A45912">
              <w:rPr>
                <w:rFonts w:ascii="Times New Roman" w:hAnsi="Times New Roman"/>
                <w:color w:val="000000" w:themeColor="text1"/>
                <w:spacing w:val="-2"/>
                <w:w w:val="95"/>
                <w:sz w:val="20"/>
              </w:rPr>
              <w:t>αντισυμβαλλομένων</w:t>
            </w:r>
            <w:r>
              <w:rPr>
                <w:rFonts w:ascii="Times New Roman" w:hAnsi="Times New Roman"/>
                <w:color w:val="000000" w:themeColor="text1"/>
                <w:spacing w:val="-2"/>
                <w:w w:val="95"/>
                <w:sz w:val="20"/>
              </w:rPr>
              <w:t xml:space="preserve"> Ή συναλλαγών. Όσον αφορά τα παράγωγα (4.1-4.2) και τα μέσα δευτερογενών αγορών (4.3), ο συνολικός αριθμός </w:t>
            </w:r>
            <w:r w:rsidR="00A45912">
              <w:rPr>
                <w:rFonts w:ascii="Times New Roman" w:hAnsi="Times New Roman"/>
                <w:color w:val="000000" w:themeColor="text1"/>
                <w:spacing w:val="-2"/>
                <w:w w:val="95"/>
                <w:sz w:val="20"/>
              </w:rPr>
              <w:t>αντισυμβαλλομένων</w:t>
            </w:r>
            <w:r>
              <w:rPr>
                <w:rFonts w:ascii="Times New Roman" w:hAnsi="Times New Roman"/>
                <w:color w:val="000000" w:themeColor="text1"/>
                <w:spacing w:val="-2"/>
                <w:w w:val="95"/>
                <w:sz w:val="20"/>
              </w:rPr>
              <w:t>. Όσον αφορά τις πρωτογενείς αγορές (4.4), ο συνολικός αριθμός συναλλαγών με αναδοχή έκδοσης.</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Χρηματοδότηση χονδρικής</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Συνολικός αριθμός αντισυμβαλλομένων. Εάν ο αντισυμβαλλόμενος διαθέτει περισσότερους του ενός λογαριασμούς και/ή περισσότερες από μία συναλλαγές, ο αντισυμβαλλόμενος </w:t>
            </w:r>
            <w:proofErr w:type="spellStart"/>
            <w:r>
              <w:rPr>
                <w:rFonts w:ascii="Times New Roman" w:hAnsi="Times New Roman"/>
                <w:color w:val="000000" w:themeColor="text1"/>
                <w:spacing w:val="-2"/>
                <w:w w:val="95"/>
                <w:sz w:val="20"/>
              </w:rPr>
              <w:t>επιμετράται</w:t>
            </w:r>
            <w:proofErr w:type="spellEnd"/>
            <w:r>
              <w:rPr>
                <w:rFonts w:ascii="Times New Roman" w:hAnsi="Times New Roman"/>
                <w:color w:val="000000" w:themeColor="text1"/>
                <w:spacing w:val="-2"/>
                <w:w w:val="95"/>
                <w:sz w:val="20"/>
              </w:rPr>
              <w:t xml:space="preserve"> μόνο μία φορά.</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 xml:space="preserve">Αντίκτυπος στην αγορά </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εκτιμώμενος αντίκτυπος της αιφνίδιας διακοπής της λειτουργίας σε τρίτες χώρες, στις χρηματοπιστωτικές αγορές και στην πραγματική οικονομία, λαμβανομένου υπόψη του μεγέθους, του μεριδίου αγοράς στη χώρα, των εξωτερικών και εσωτερικών διασυνδέσεων, της πολυπλοκότητας και των διασυνοριακών δραστηριοτήτων του ιδρύματος.</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Η εν λόγω εκτίμηση εκφράζεται με όρους ποιότητας ως «Υψηλός (H)», «Μέτριος-Υψηλός (MH)», «Μέτριος-Χαμηλός (ML)» ή «Χαμηλός (L)».</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«H» επιλέγεται εάν η διακοπή έχει ιδιαίτερα σημαντικό αντίκτυπο στην εθνική αγορά· το «MH», εάν ο αντίκτυπος είναι σημαντικός· το «ML», εάν ο αντίκτυπος είναι σημαντικός, αλλά περιορισμένος· και το «L», εάν ο αντίκτυπος είναι χαμηλός.</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Δυνατότητα υποκατάστασης</w:t>
            </w:r>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Άρθρο 6 παράγραφος 3 του κατ’ εξουσιοδότηση κανονισμού (ΕΕ) 2016/778.</w:t>
            </w:r>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Μια λειτουργία θεωρείται δυνάμενη να υποκατασταθεί, εφόσον είναι δυνατόν να αντικατασταθεί με αποδεκτό τρόπο και εντός εύλογου χρονικού διαστήματος, ώστε να αποφεύγονται </w:t>
            </w:r>
            <w:proofErr w:type="spellStart"/>
            <w:r>
              <w:rPr>
                <w:rFonts w:ascii="Times New Roman" w:hAnsi="Times New Roman"/>
                <w:color w:val="000000" w:themeColor="text1"/>
                <w:spacing w:val="-2"/>
                <w:w w:val="95"/>
                <w:sz w:val="20"/>
              </w:rPr>
              <w:t>συστημικά</w:t>
            </w:r>
            <w:proofErr w:type="spellEnd"/>
            <w:r>
              <w:rPr>
                <w:rFonts w:ascii="Times New Roman" w:hAnsi="Times New Roman"/>
                <w:color w:val="000000" w:themeColor="text1"/>
                <w:spacing w:val="-2"/>
                <w:w w:val="95"/>
                <w:sz w:val="20"/>
              </w:rPr>
              <w:t xml:space="preserve"> προβλήματα για την πραγματική οικονομία και τις χρηματοπιστωτικές αγορές. Λαμβάνονται υπόψη τα ακόλουθα:</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α) η διάρθρωση της αγοράς για την εν λόγω λειτουργία και η διαθεσιμότητα εναλλακτικών παρόχων,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β) οι δυνατότητες των άλλων παρόχων όσον αφορά την παραγωγική ικανότητα, οι απαιτήσεις για την εκτέλεση της λειτουργίας, και οι πιθανοί φραγμοί στην είσοδο ή την επέκταση,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γ) το κίνητρο για άλλους παρόχους να αναλάβουν τις δραστηριότητες αυτές,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δ) ο απαιτούμενος χρόνος για να στραφούν οι χρήστες της υπηρεσίας προς τον νέο πάροχο της υπηρεσίας και το κόστος της κίνησης αυτής, ο απαιτούμενος χρόνος για να αναλάβουν τις λειτουργίες άλλοι ανταγωνιστές και το κατά πόσον επαρκεί το χρονικό αυτό διάστημα ώστε να αποτραπεί σημαντική διατάραξη, ανάλογα με το είδος υπηρεσίας.</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Η εν λόγω εκτίμηση εκφράζεται με όρους ποιότητας ως «Υψηλός (H)», «Μέτριος-Υψηλός (MH)», «Μέτριος-Χαμηλός (ML)» ή «Χαμηλός (L)».</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«H» επιλέγεται εάν μια λειτουργία μπορεί να παρασχεθεί εύκολα από άλλη τράπεζα υπό συγκρίσιμες συνθήκες και εντός ευλόγου χρονικού διαστήματος,</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Το «L» εάν μια λειτουργία δεν μπορεί να αντικατασταθεί εύκολα και γρήγορα, </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Τα «MH» και «ML» επιλέγονται για ενδιάμεσες περιπτώσεις, λαμβανομένων υπόψη διαφόρων παραμέτρων (π.χ. του μεριδίου αγοράς, της συγκέντρωσης της αγοράς, του χρονικού διαστήματος μέχρι την αντικατάσταση, καθώς και των νομικών φραγμών και των επιχειρησιακών απαιτήσεων για την είσοδο ή επέκταση) </w:t>
            </w:r>
          </w:p>
          <w:p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Κρίσιμη λειτουργία</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Σε αυτή τη στήλη αναφέρεται το κατά πόσον, λαμβανομένων υπόψη των ποσοτικών στοιχείων και των δεικτών κρισιμότητας του παρόντος υποδείγματος, η οικονομική λειτουργία θεωρείται κρίσιμη στην αγορά για την οικεία χώρα.</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Αναφέρετε «Ναι» ή «Όχι»</w:t>
            </w:r>
          </w:p>
        </w:tc>
      </w:tr>
    </w:tbl>
    <w:p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u w:val="single"/>
        </w:rPr>
        <w:t>Z 07.02 - Χαρτογράφηση κρίσιμων λειτουργιών ανά νομική οντότητα (FUNC 2): Οδηγίες για συγκεκριμένες θέσεις</w:t>
      </w:r>
    </w:p>
    <w:p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Το παρόν υπόδειγμα υποβάλλεται για το σύνολο του ομίλου. Στο παρόν υπόδειγμα αναφέρονται μόνο κρίσιμες λειτουργίες που προσδιορίζονται ως τέτοιες, όπως στο {Z 07.01;070} (ανά κράτος μέλος).</w:t>
      </w:r>
    </w:p>
    <w:p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Ο συνδυασμός των τιμών που αναφέρονται στις στήλες 0010, 0020 και 0040 του παρόντος υποδείγματος αποτελεί πρωτεύουσα κλείδα η οποία πρέπει να είναι μοναδική για κάθε γραμμή του υποδείγματος.</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Οδηγίες</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Χώρα</w:t>
            </w:r>
          </w:p>
          <w:p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Η χώρα σε σχέση με την οποία η λειτουργία είναι κρίσιμη, όπως αναφέρεται στο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Αναγνωριστικό</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Αναγνωριστικό των κρίσιμων λειτουργιών, όπως ορίζεται στο κεφάλαιο 2.7.1.4 ανωτέρω και αναφέρεται στο υπόδειγμα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Όνομα οντότητας</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Το όνομα της οντότητας που εκτελεί την κρίσιμη λειτουργία, όπως αναφέρεται στο Z 01.00 (ORG). </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Εάν υπάρχουν διάφορες οντότητες που εκτελούν τις ίδιες κρίσιμες λειτουργίες στην ίδια χώρα, κάθε οντότητα αναφέρεται σε χωριστή γραμμή.</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Κωδικός</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κωδικός της οντότητας που εκτελεί την κρίσιμη λειτουργία, όπως αναφέρεται στο Z 01.00 - Οργανωτική δομή (ORG).</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Χρηματικό ποσό</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Η συνεισφορά, σε χρηματικό ποσό, της νομικής οντότητας στο χρηματικό ποσό, όπως περιγράφεται στη στήλη 0030 του υποδείγματος Z 07.01 (FUNC 1) </w:t>
            </w:r>
          </w:p>
        </w:tc>
      </w:tr>
    </w:tbl>
    <w:p w:rsidR="0056559D" w:rsidRPr="00D92B3C" w:rsidRDefault="0056559D" w:rsidP="0056559D">
      <w:pPr>
        <w:rPr>
          <w:rFonts w:ascii="Times New Roman" w:hAnsi="Times New Roman" w:cs="Times New Roman"/>
          <w:color w:val="000000" w:themeColor="text1"/>
          <w:sz w:val="20"/>
          <w:szCs w:val="20"/>
        </w:rPr>
      </w:pPr>
    </w:p>
    <w:p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07.03 - Χαρτογράφηση των βασικών επιχειρηματικών τομέων βάσει νομικών οντοτήτων (FUNC 3): Οδηγίες για συγκεκριμένες θέσεις</w:t>
      </w:r>
    </w:p>
    <w:p w:rsidR="008D7004" w:rsidRPr="00D92B3C" w:rsidRDefault="00356129" w:rsidP="00E714C5">
      <w:pPr>
        <w:pStyle w:val="numberedparagraph"/>
        <w:rPr>
          <w:rFonts w:ascii="Times New Roman" w:hAnsi="Times New Roman" w:cs="Times New Roman"/>
          <w:sz w:val="20"/>
          <w:szCs w:val="20"/>
        </w:rPr>
      </w:pPr>
      <w:r>
        <w:rPr>
          <w:rFonts w:ascii="Times New Roman" w:hAnsi="Times New Roman"/>
          <w:sz w:val="20"/>
        </w:rPr>
        <w:t>Ο συνδυασμός των τιμών που αναφέρονται στις στήλες 0020 και 0040 του παρόντος υποδείγματος αποτελεί πρωτεύουσα κλείδα η οποία πρέπει να είναι μοναδική για κάθε γραμμή του υποδείγματος.</w:t>
      </w:r>
    </w:p>
    <w:p w:rsidR="002D7C07" w:rsidRPr="00D92B3C" w:rsidRDefault="002D7C07" w:rsidP="00E714C5">
      <w:pPr>
        <w:pStyle w:val="numberedparagraph"/>
        <w:rPr>
          <w:rFonts w:ascii="Times New Roman" w:hAnsi="Times New Roman" w:cs="Times New Roman"/>
          <w:sz w:val="20"/>
          <w:szCs w:val="20"/>
        </w:rPr>
      </w:pPr>
      <w:r>
        <w:rPr>
          <w:rFonts w:ascii="Times New Roman" w:hAnsi="Times New Roman"/>
          <w:sz w:val="20"/>
        </w:rPr>
        <w:t xml:space="preserve">Στο παρόν υπόδειγμα αναφέρονται μόνο σημαντικές οντότητες, όπως προσδιορίζονται στο {Z 07.02;0060}.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Στήλες</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Οδηγίες</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Βασικός επιχειρηματικός τομέας</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βασικός επιχειρηματικός τομέας σύμφωνα με το άρθρο 2 παράγραφος 1 σημείο 36) και το άρθρο 2 παράγραφος 2 της οδηγίας 2014/59/ΕΕ.</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Αναγνωριστικό επιχειρηματικού τομέα</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Μοναδικό αναγνωριστικό του επιχειρηματικού τομέα που πρέπει να παρέχεται από το ίδρυμα</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Περιγραφή</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Περιγραφή του βασικού επιχειρηματικού τομέα</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Όνομα οντότητας</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Όνομα της οντότητας, όπως αναφέρεται στο Z 01.00 (ORG) ως έχουσα συμμετάσχει ή ως συμμετέχουσα στον βασικό επιχειρηματικό τομέα.</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Εάν υπάρχουν διάφορες οντότητες που έχουν συμμετάσχει ή συμμετέχουν στον ίδιο βασικό επιχειρηματικό τομέα, κάθε οντότητα αναφέρεται σε χωριστή γραμμή.</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Κωδικός </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κωδικός της οντότητας που έχει συμμετάσχει ή συμμετέχει στον βασικό επιχειρηματικό τομέα, όπως αναφέρεται στο Z 01.00 (ORG).</w:t>
            </w:r>
          </w:p>
        </w:tc>
      </w:tr>
    </w:tbl>
    <w:p w:rsidR="0056559D" w:rsidRPr="00D92B3C" w:rsidRDefault="00F7117F" w:rsidP="00715DAB">
      <w:pPr>
        <w:pStyle w:val="Instructionsberschrift3"/>
      </w:pPr>
      <w:r>
        <w:t>Z 07.04 - Χαρτογράφηση κρίσιμων λειτουργιών βάσει βασικών επιχειρηματικών τομέων (FUNC 4): Οδηγίες για συγκεκριμένες θέσεις</w:t>
      </w:r>
    </w:p>
    <w:p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Ο συνδυασμός των τιμών που αναφέρονται στις στήλες 0010, 0020 και 0040 του παρόντος υποδείγματος αποτελεί πρωτεύουσα κλείδα η οποία πρέπει να είναι μοναδική για κάθε γραμμή του υποδείγματος.</w:t>
      </w:r>
    </w:p>
    <w:p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Στο παρόν υπόδειγμα αναφέρονται μόνο κρίσιμες λειτουργίες, όπως προσδιορίζονται στο {Z 07.01;0070}. </w:t>
      </w:r>
    </w:p>
    <w:p w:rsidR="00E714C5" w:rsidRPr="00D92B3C"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Οδηγίες</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Χώρα</w:t>
            </w:r>
          </w:p>
          <w:p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Η χώρα σε σχέση με την οποία η λειτουργία είναι κρίσιμη, όπως αναφέρεται στο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Αναγνωριστικό λειτουργίας</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Αναγνωριστικό των κρίσιμων λειτουργιών, όπως ορίζεται στο κεφάλαιο 2.7.1.2 ανωτέρω και αναφέρεται στο υπόδειγμα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Βασικός επιχειρηματικός τομέας</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βασικός επιχειρηματικός τομέας σύμφωνα με το άρθρο 2 παράγραφος 1 σημείο 36) και το άρθρο 2 παράγραφος 2 της οδηγίας 2014/59/ΕΕ, όπως αναφέρεται στο υπόδειγμα Z 07.03 (FUNC 3)</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Αναγνωριστικό επιχειρηματικού τομέα</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Μοναδικό αναγνωριστικό του επιχειρηματικού τομέα που πρέπει να παρέχεται από το ίδρυμα· το ίδιο αναγνωριστικό που αναφέρεται στο υπόδειγμα Z 07.03 (FUNC 3)</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4" w:name="_Toc525210700"/>
      <w:r>
        <w:rPr>
          <w:rFonts w:ascii="Times New Roman" w:hAnsi="Times New Roman"/>
        </w:rPr>
        <w:lastRenderedPageBreak/>
        <w:t>Z 08.00 - Κρίσιμες υπηρεσίες (SERV)</w:t>
      </w:r>
      <w:bookmarkEnd w:id="24"/>
    </w:p>
    <w:p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Γενικές οδηγίες</w:t>
      </w:r>
    </w:p>
    <w:p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Οι πληροφορίες που πρέπει να περιλαμβάνονται σε αυτό το υπόδειγμα αναφέρονται μία φορά για το σύνολο του ομίλου, περιλαμβάνουν τις κρίσιμες υπηρεσίες που ελήφθησαν από οποιαδήποτε οντότητα του ομίλου, και τις συνδέουν με τις κρίσιμες λειτουργίες που παρέχει ο όμιλος.</w:t>
      </w:r>
    </w:p>
    <w:p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Ως κρίσιμες υπηρεσίες νοούνται οι υποκείμενες λειτουργίες, δραστηριότητες και υπηρεσίες, οι οποίες επιτελούνται για μία (ειδικές υπηρεσίες) ή περισσότερες επιχειρηματικές μονάδες ή νομικές οντότητες (κοινές υπηρεσίες) εντός του ομίλου, και είναι αναγκαίες για την παροχή μίας ή περισσότερων κρίσιμων λειτουργιών. Οι κρίσιμες υπηρεσίες μπορούν να επιτελούνται από οντότητες εντός του ομίλου (εσωτερική υπηρεσία) ή να ανατίθενται σε εξωτερικό πάροχο (εξωτερική υπηρεσία). Μια υπηρεσία θεωρείται κρίσιμη, όταν η διατάραξή της μπορεί να αποτελέσει σοβαρό εμπόδιο στην επιτέλεση των κρίσιμων λειτουργιών ή να την αποτρέψει τελείως, δεδομένου ότι είναι άρρηκτα συνδεδεμένες με τις κρίσιμες λειτουργίες που επιτελεί το ίδρυμα για τρίτα μέρη.</w:t>
      </w:r>
    </w:p>
    <w:p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Στο παρόν υπόδειγμα δεν αναφέρονται οι υπηρεσίες που επιτελούνται εξ ολοκλήρου εντός μιας νομικής οντότητας.</w:t>
      </w:r>
    </w:p>
    <w:p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Στο παρόν υπόδειγμα δεν αναφέρονται οι υπηρεσίες που δεν έχουν σημαντικό αντίκτυπο σε κρίσιμες λειτουργίες.</w:t>
      </w:r>
    </w:p>
    <w:p w:rsidR="00276FFB"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Ο συνδυασμός των τιμών που αναφέρονται στις στήλες 0010, 0030, 0050, 0070 και 0080 του παρόντος υποδείγματος αποτελεί πρωτεύουσα κλείδα η οποία πρέπει να είναι μοναδική για κάθε γραμμή του υποδείγματος. </w:t>
      </w:r>
    </w:p>
    <w:p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Οδηγίες για συγκεκριμένες θέσεις</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Οδηγίες</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Κωδικός αναγνώρισης</w:t>
            </w:r>
          </w:p>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Είδος υπηρεσίας</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είδος της υπηρεσίας είναι ένα από τα είδη που απαριθμούνται κατωτέρω.</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Ει δυνατόν, αναφέρεται η υποκατηγορία (διψήφιο αναγνωριστικό). Εάν δεν υπάρχει υποκατηγορία ή δεν υπάρχει υποκατηγορία που να περιγράφει δεόντως την υπηρεσία που παρέχεται από το ίδρυμα, αναφέρεται η κύρια κατηγορία (μονοψήφιο αναγνωριστικό). </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Υποστήριξη ανθρώπινων πόρων</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r>
              <w:tab/>
            </w:r>
            <w:r>
              <w:rPr>
                <w:rFonts w:ascii="Times New Roman" w:hAnsi="Times New Roman"/>
                <w:color w:val="000000" w:themeColor="text1"/>
                <w:spacing w:val="-2"/>
                <w:w w:val="95"/>
                <w:sz w:val="20"/>
              </w:rPr>
              <w:t xml:space="preserve">διοικητική διαχείριση προσωπικού, περιλαμβανομένης της διαχείρισης συμβάσεων και των αποδοχών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r>
              <w:tab/>
            </w:r>
            <w:r>
              <w:rPr>
                <w:rFonts w:ascii="Times New Roman" w:hAnsi="Times New Roman"/>
                <w:color w:val="000000" w:themeColor="text1"/>
                <w:spacing w:val="-2"/>
                <w:w w:val="95"/>
                <w:sz w:val="20"/>
              </w:rPr>
              <w:t>εσωτερική επικοινωνία</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 xml:space="preserve">Τεχνολογία πληροφοριών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r>
              <w:tab/>
            </w:r>
            <w:r>
              <w:rPr>
                <w:rFonts w:ascii="Times New Roman" w:hAnsi="Times New Roman"/>
                <w:color w:val="000000" w:themeColor="text1"/>
                <w:spacing w:val="-2"/>
                <w:w w:val="95"/>
                <w:sz w:val="20"/>
              </w:rPr>
              <w:t xml:space="preserve">υλικό ΤΠ και επικοινωνιών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r>
              <w:tab/>
            </w:r>
            <w:r>
              <w:rPr>
                <w:rFonts w:ascii="Times New Roman" w:hAnsi="Times New Roman"/>
                <w:color w:val="000000" w:themeColor="text1"/>
                <w:spacing w:val="-2"/>
                <w:w w:val="95"/>
                <w:sz w:val="20"/>
              </w:rPr>
              <w:t xml:space="preserve">αποθήκευση και επεξεργασία δεδομένων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r>
              <w:tab/>
            </w:r>
            <w:r>
              <w:rPr>
                <w:rFonts w:ascii="Times New Roman" w:hAnsi="Times New Roman"/>
                <w:color w:val="000000" w:themeColor="text1"/>
                <w:spacing w:val="-2"/>
                <w:w w:val="95"/>
                <w:sz w:val="20"/>
              </w:rPr>
              <w:t xml:space="preserve">άλλες υποδομές ΤΠ, σταθμοί εργασίας, τηλεπικοινωνίες, </w:t>
            </w:r>
            <w:proofErr w:type="spellStart"/>
            <w:r>
              <w:rPr>
                <w:rFonts w:ascii="Times New Roman" w:hAnsi="Times New Roman"/>
                <w:color w:val="000000" w:themeColor="text1"/>
                <w:spacing w:val="-2"/>
                <w:w w:val="95"/>
                <w:sz w:val="20"/>
              </w:rPr>
              <w:t>διακομιστές</w:t>
            </w:r>
            <w:proofErr w:type="spellEnd"/>
            <w:r>
              <w:rPr>
                <w:rFonts w:ascii="Times New Roman" w:hAnsi="Times New Roman"/>
                <w:color w:val="000000" w:themeColor="text1"/>
                <w:spacing w:val="-2"/>
                <w:w w:val="95"/>
                <w:sz w:val="20"/>
              </w:rPr>
              <w:t xml:space="preserve">, κέντρα δεδομένων και σχετικές υπηρεσίες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r>
              <w:tab/>
            </w:r>
            <w:r>
              <w:rPr>
                <w:rFonts w:ascii="Times New Roman" w:hAnsi="Times New Roman"/>
                <w:color w:val="000000" w:themeColor="text1"/>
                <w:spacing w:val="-2"/>
                <w:w w:val="95"/>
                <w:sz w:val="20"/>
              </w:rPr>
              <w:t xml:space="preserve">διοικητική διαχείριση αδειών λογισμικού και λογισμικού εφαρμογών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r>
              <w:tab/>
            </w:r>
            <w:r>
              <w:rPr>
                <w:rFonts w:ascii="Times New Roman" w:hAnsi="Times New Roman"/>
                <w:color w:val="000000" w:themeColor="text1"/>
                <w:spacing w:val="-2"/>
                <w:w w:val="95"/>
                <w:sz w:val="20"/>
              </w:rPr>
              <w:t xml:space="preserve">πρόσβαση σε εξωτερικούς παρόχους, ιδίως παρόχους δεδομένων και υποδομών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w:t>
            </w:r>
            <w:r>
              <w:tab/>
            </w:r>
            <w:r>
              <w:rPr>
                <w:rFonts w:ascii="Times New Roman" w:hAnsi="Times New Roman"/>
                <w:color w:val="000000" w:themeColor="text1"/>
                <w:spacing w:val="-2"/>
                <w:w w:val="95"/>
                <w:sz w:val="20"/>
              </w:rPr>
              <w:t xml:space="preserve">συντήρηση εφαρμογών, περιλαμβανομένης της συντήρησης εφαρμογών και των σχετικών ροών δεδομένων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2.7</w:t>
            </w:r>
            <w:r>
              <w:tab/>
            </w:r>
            <w:r>
              <w:rPr>
                <w:rFonts w:ascii="Times New Roman" w:hAnsi="Times New Roman"/>
                <w:color w:val="000000" w:themeColor="text1"/>
                <w:spacing w:val="-2"/>
                <w:w w:val="95"/>
                <w:sz w:val="20"/>
              </w:rPr>
              <w:t>εκπόνηση εκθέσεων, εσωτερικές ροές πληροφοριών και βάσεις δεδομένων</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2.8</w:t>
            </w:r>
            <w:r>
              <w:tab/>
            </w:r>
            <w:r>
              <w:rPr>
                <w:rFonts w:ascii="Times New Roman" w:hAnsi="Times New Roman"/>
                <w:color w:val="000000" w:themeColor="text1"/>
                <w:spacing w:val="-2"/>
                <w:w w:val="95"/>
                <w:sz w:val="20"/>
              </w:rPr>
              <w:t>υποστήριξη χρηστών</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2.9</w:t>
            </w:r>
            <w:r>
              <w:tab/>
            </w:r>
            <w:r>
              <w:rPr>
                <w:rFonts w:ascii="Times New Roman" w:hAnsi="Times New Roman"/>
                <w:color w:val="000000" w:themeColor="text1"/>
                <w:spacing w:val="-2"/>
                <w:w w:val="95"/>
                <w:sz w:val="20"/>
              </w:rPr>
              <w:t>αποκατάσταση σε περίπτωση έκτακτης ανάγκης και καταστροφής</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Επεξεργασία συναλλαγών, συμπεριλαμβανομένων των νομικών ζητημάτων συναλλαγών, ιδίως της καταπολέμησης της νομιμοποίησης εσόδων από παράνομες δραστηριότητες.</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 xml:space="preserve">Παροχή ή διαχείριση ακινήτων και εγκαταστάσεων και σχετικές εγκαταστάσεις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r>
              <w:tab/>
            </w:r>
            <w:r>
              <w:rPr>
                <w:rFonts w:ascii="Times New Roman" w:hAnsi="Times New Roman"/>
                <w:color w:val="000000" w:themeColor="text1"/>
                <w:spacing w:val="-2"/>
                <w:w w:val="95"/>
                <w:sz w:val="20"/>
              </w:rPr>
              <w:t xml:space="preserve">εγκαταστάσεις γραφείων και αποθήκευση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r>
              <w:tab/>
            </w:r>
            <w:r>
              <w:rPr>
                <w:rFonts w:ascii="Times New Roman" w:hAnsi="Times New Roman"/>
                <w:color w:val="000000" w:themeColor="text1"/>
                <w:spacing w:val="-2"/>
                <w:w w:val="95"/>
                <w:sz w:val="20"/>
              </w:rPr>
              <w:t>διαχείριση εσωτερικών εγκαταστάσεων</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r>
              <w:tab/>
            </w:r>
            <w:r>
              <w:rPr>
                <w:rFonts w:ascii="Times New Roman" w:hAnsi="Times New Roman"/>
                <w:color w:val="000000" w:themeColor="text1"/>
                <w:spacing w:val="-2"/>
                <w:w w:val="95"/>
                <w:sz w:val="20"/>
              </w:rPr>
              <w:t xml:space="preserve">έλεγχος ασφάλειας και πρόσβασης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r>
              <w:tab/>
            </w:r>
            <w:r>
              <w:rPr>
                <w:rFonts w:ascii="Times New Roman" w:hAnsi="Times New Roman"/>
                <w:color w:val="000000" w:themeColor="text1"/>
                <w:spacing w:val="-2"/>
                <w:w w:val="95"/>
                <w:sz w:val="20"/>
              </w:rPr>
              <w:t>διαχείριση χαρτοφυλακίου ακινήτων</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w:t>
            </w:r>
            <w:r>
              <w:tab/>
            </w:r>
            <w:r>
              <w:rPr>
                <w:rFonts w:ascii="Times New Roman" w:hAnsi="Times New Roman"/>
                <w:color w:val="000000" w:themeColor="text1"/>
                <w:spacing w:val="-2"/>
                <w:w w:val="95"/>
                <w:sz w:val="20"/>
              </w:rPr>
              <w:t xml:space="preserve">άλλο, διευκρινίστε </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 xml:space="preserve">Νομικές υπηρεσίες και λειτουργίες συμμόρφωσης: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5.1</w:t>
            </w:r>
            <w:r>
              <w:tab/>
            </w:r>
            <w:r>
              <w:rPr>
                <w:rFonts w:ascii="Times New Roman" w:hAnsi="Times New Roman"/>
                <w:color w:val="000000" w:themeColor="text1"/>
                <w:spacing w:val="-2"/>
                <w:w w:val="95"/>
                <w:sz w:val="20"/>
              </w:rPr>
              <w:t xml:space="preserve">εταιρική νομική υποστήριξη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5.2</w:t>
            </w:r>
            <w:r>
              <w:tab/>
            </w:r>
            <w:r>
              <w:rPr>
                <w:rFonts w:ascii="Times New Roman" w:hAnsi="Times New Roman"/>
                <w:color w:val="000000" w:themeColor="text1"/>
                <w:spacing w:val="-2"/>
                <w:w w:val="95"/>
                <w:sz w:val="20"/>
              </w:rPr>
              <w:t>νομικές υπηρεσίες σχετικά με τις επιχειρηματικές δραστηριότητες και τις συναλλαγές</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5.3</w:t>
            </w:r>
            <w:r>
              <w:tab/>
            </w:r>
            <w:r>
              <w:rPr>
                <w:rFonts w:ascii="Times New Roman" w:hAnsi="Times New Roman"/>
                <w:color w:val="000000" w:themeColor="text1"/>
                <w:spacing w:val="-2"/>
                <w:w w:val="95"/>
                <w:sz w:val="20"/>
              </w:rPr>
              <w:t>υποστήριξη όσον αφορά τη συμμόρφωση</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w:t>
            </w:r>
            <w:r>
              <w:tab/>
            </w:r>
            <w:r>
              <w:rPr>
                <w:rFonts w:ascii="Times New Roman" w:hAnsi="Times New Roman"/>
                <w:color w:val="000000" w:themeColor="text1"/>
                <w:spacing w:val="-2"/>
                <w:w w:val="95"/>
                <w:sz w:val="20"/>
              </w:rPr>
              <w:t xml:space="preserve">Υπηρεσίες σχετιζόμενες με τη μονάδα διαχείρισης διαθεσίμων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6.1</w:t>
            </w:r>
            <w:r>
              <w:tab/>
            </w:r>
            <w:r>
              <w:rPr>
                <w:rFonts w:ascii="Times New Roman" w:hAnsi="Times New Roman"/>
                <w:color w:val="000000" w:themeColor="text1"/>
                <w:spacing w:val="-2"/>
                <w:w w:val="95"/>
                <w:sz w:val="20"/>
              </w:rPr>
              <w:t>συντονισμός, διοικητική διαχείριση και διαχείριση της δραστηριότητας της μονάδας διαχείρισης διαθεσίμων</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6.2</w:t>
            </w:r>
            <w:r>
              <w:tab/>
            </w:r>
            <w:r>
              <w:rPr>
                <w:rFonts w:ascii="Times New Roman" w:hAnsi="Times New Roman"/>
                <w:color w:val="000000" w:themeColor="text1"/>
                <w:spacing w:val="-2"/>
                <w:w w:val="95"/>
                <w:sz w:val="20"/>
              </w:rPr>
              <w:t xml:space="preserve">συντονισμός, διοικητική διαχείριση και διαχείριση της αναχρηματοδότησης οντοτήτων, περιλαμβανομένης της διαχείρισης εξασφαλίσεων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6.3</w:t>
            </w:r>
            <w:r>
              <w:tab/>
            </w:r>
            <w:r>
              <w:rPr>
                <w:rFonts w:ascii="Times New Roman" w:hAnsi="Times New Roman"/>
                <w:color w:val="000000" w:themeColor="text1"/>
                <w:spacing w:val="-2"/>
                <w:w w:val="95"/>
                <w:sz w:val="20"/>
              </w:rPr>
              <w:t xml:space="preserve">λειτουργία υποβολής αναφορών, ιδίως σε ό,τι αφορά τους κανονιστικούς δείκτες ρευστότητας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6.4</w:t>
            </w:r>
            <w:r>
              <w:tab/>
            </w:r>
            <w:r>
              <w:rPr>
                <w:rFonts w:ascii="Times New Roman" w:hAnsi="Times New Roman"/>
                <w:color w:val="000000" w:themeColor="text1"/>
                <w:spacing w:val="-2"/>
                <w:w w:val="95"/>
                <w:sz w:val="20"/>
              </w:rPr>
              <w:t xml:space="preserve">συντονισμός, διοικητική διαχείριση και διαχείριση μεσοπρόθεσμων και μακροπρόθεσμων χρηματοδοτικών προγραμμάτων, και αναχρηματοδότηση οντοτήτων του ομίλου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6.5</w:t>
            </w:r>
            <w:r>
              <w:tab/>
            </w:r>
            <w:r>
              <w:rPr>
                <w:rFonts w:ascii="Times New Roman" w:hAnsi="Times New Roman"/>
                <w:color w:val="000000" w:themeColor="text1"/>
                <w:spacing w:val="-2"/>
                <w:w w:val="95"/>
                <w:sz w:val="20"/>
              </w:rPr>
              <w:t>συντονισμός, διοικητική διαχείριση και διαχείριση της αναχρηματοδότησης, ιδίως των βραχυπρόθεσμων εκδόσεων</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w:t>
            </w:r>
            <w:r>
              <w:tab/>
            </w:r>
            <w:r>
              <w:rPr>
                <w:rFonts w:ascii="Times New Roman" w:hAnsi="Times New Roman"/>
                <w:color w:val="000000" w:themeColor="text1"/>
                <w:spacing w:val="-2"/>
                <w:w w:val="95"/>
                <w:sz w:val="20"/>
              </w:rPr>
              <w:t>Διαπραγμάτευση/διαχείριση περιουσιακών στοιχείων</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7.1</w:t>
            </w:r>
            <w:r>
              <w:tab/>
            </w:r>
            <w:r>
              <w:rPr>
                <w:rFonts w:ascii="Times New Roman" w:hAnsi="Times New Roman"/>
                <w:color w:val="000000" w:themeColor="text1"/>
                <w:spacing w:val="-2"/>
                <w:w w:val="95"/>
                <w:sz w:val="20"/>
              </w:rPr>
              <w:t>επεξεργασία πράξεων: καταλογισμός διαπραγμάτευσης, σχεδιασμός, υλοποίηση, εξυπηρέτηση προϊόντων διαπραγμάτευσης</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7.2</w:t>
            </w:r>
            <w:r>
              <w:tab/>
            </w:r>
            <w:r>
              <w:rPr>
                <w:rFonts w:ascii="Times New Roman" w:hAnsi="Times New Roman"/>
                <w:color w:val="000000" w:themeColor="text1"/>
                <w:spacing w:val="-2"/>
                <w:w w:val="95"/>
                <w:sz w:val="20"/>
              </w:rPr>
              <w:t>επιβεβαίωση, διακανονισμός, πληρωμή</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7.3</w:t>
            </w:r>
            <w:r>
              <w:tab/>
            </w:r>
            <w:r>
              <w:rPr>
                <w:rFonts w:ascii="Times New Roman" w:hAnsi="Times New Roman"/>
                <w:color w:val="000000" w:themeColor="text1"/>
                <w:spacing w:val="-2"/>
                <w:w w:val="95"/>
                <w:sz w:val="20"/>
              </w:rPr>
              <w:t xml:space="preserve">διαχείριση θέσεων και </w:t>
            </w:r>
            <w:r w:rsidR="00A45912">
              <w:rPr>
                <w:rFonts w:ascii="Times New Roman" w:hAnsi="Times New Roman"/>
                <w:color w:val="000000" w:themeColor="text1"/>
                <w:spacing w:val="-2"/>
                <w:w w:val="95"/>
                <w:sz w:val="20"/>
              </w:rPr>
              <w:t>αντισυμβαλλομένων</w:t>
            </w:r>
            <w:r>
              <w:rPr>
                <w:rFonts w:ascii="Times New Roman" w:hAnsi="Times New Roman"/>
                <w:color w:val="000000" w:themeColor="text1"/>
                <w:spacing w:val="-2"/>
                <w:w w:val="95"/>
                <w:sz w:val="20"/>
              </w:rPr>
              <w:t xml:space="preserve">, όσον αφορά την υποβολή δεδομένων και τις σχέσεις με τους </w:t>
            </w:r>
            <w:r w:rsidR="00A45912">
              <w:rPr>
                <w:rFonts w:ascii="Times New Roman" w:hAnsi="Times New Roman"/>
                <w:color w:val="000000" w:themeColor="text1"/>
                <w:spacing w:val="-2"/>
                <w:w w:val="95"/>
                <w:sz w:val="20"/>
              </w:rPr>
              <w:t>αντισυμβαλλομένους</w:t>
            </w:r>
            <w:r>
              <w:rPr>
                <w:rFonts w:ascii="Times New Roman" w:hAnsi="Times New Roman"/>
                <w:color w:val="000000" w:themeColor="text1"/>
                <w:spacing w:val="-2"/>
                <w:w w:val="95"/>
                <w:sz w:val="20"/>
              </w:rPr>
              <w:t xml:space="preserv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7.4</w:t>
            </w:r>
            <w:r>
              <w:tab/>
            </w:r>
            <w:r>
              <w:rPr>
                <w:rFonts w:ascii="Times New Roman" w:hAnsi="Times New Roman"/>
                <w:color w:val="000000" w:themeColor="text1"/>
                <w:spacing w:val="-2"/>
                <w:w w:val="95"/>
                <w:sz w:val="20"/>
              </w:rPr>
              <w:t>διαχείριση θέσεων (κίνδυνος και συμφωνία)</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w:t>
            </w:r>
            <w:r>
              <w:tab/>
            </w:r>
            <w:r>
              <w:rPr>
                <w:rFonts w:ascii="Times New Roman" w:hAnsi="Times New Roman"/>
                <w:color w:val="000000" w:themeColor="text1"/>
                <w:spacing w:val="-2"/>
                <w:w w:val="95"/>
                <w:sz w:val="20"/>
              </w:rPr>
              <w:t xml:space="preserve">Διαχείριση και αποτίμηση κινδύνου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8.1</w:t>
            </w:r>
            <w:r>
              <w:tab/>
            </w:r>
            <w:r>
              <w:rPr>
                <w:rFonts w:ascii="Times New Roman" w:hAnsi="Times New Roman"/>
                <w:color w:val="000000" w:themeColor="text1"/>
                <w:spacing w:val="-2"/>
                <w:w w:val="95"/>
                <w:sz w:val="20"/>
              </w:rPr>
              <w:t>κεντρική διαχείριση κινδύνου ή διαχείριση κινδύνου βάσει επιχειρηματικού τομέα ή τύπου κινδύνου</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8.2</w:t>
            </w:r>
            <w:r>
              <w:tab/>
            </w:r>
            <w:r>
              <w:rPr>
                <w:rFonts w:ascii="Times New Roman" w:hAnsi="Times New Roman"/>
                <w:color w:val="000000" w:themeColor="text1"/>
                <w:spacing w:val="-2"/>
                <w:w w:val="95"/>
                <w:sz w:val="20"/>
              </w:rPr>
              <w:t>εκπόνηση εκθέσεων κινδύνου</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w:t>
            </w:r>
            <w:r>
              <w:tab/>
            </w:r>
            <w:r>
              <w:rPr>
                <w:rFonts w:ascii="Times New Roman" w:hAnsi="Times New Roman"/>
                <w:color w:val="000000" w:themeColor="text1"/>
                <w:spacing w:val="-2"/>
                <w:w w:val="95"/>
                <w:sz w:val="20"/>
              </w:rPr>
              <w:t xml:space="preserve">Λογιστική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9.1</w:t>
            </w:r>
            <w:r>
              <w:tab/>
            </w:r>
            <w:r>
              <w:rPr>
                <w:rFonts w:ascii="Times New Roman" w:hAnsi="Times New Roman"/>
                <w:color w:val="000000" w:themeColor="text1"/>
                <w:spacing w:val="-2"/>
                <w:w w:val="95"/>
                <w:sz w:val="20"/>
              </w:rPr>
              <w:t>θεσμοθετημένη και κανονιστική υποβολή αναφορών</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9.2</w:t>
            </w:r>
            <w:r>
              <w:tab/>
            </w:r>
            <w:r>
              <w:rPr>
                <w:rFonts w:ascii="Times New Roman" w:hAnsi="Times New Roman"/>
                <w:color w:val="000000" w:themeColor="text1"/>
                <w:spacing w:val="-2"/>
                <w:w w:val="95"/>
                <w:sz w:val="20"/>
              </w:rPr>
              <w:t>αποτίμηση, ιδίως θέσεων στην αγορά</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9.3</w:t>
            </w:r>
            <w:r>
              <w:tab/>
            </w:r>
            <w:r>
              <w:rPr>
                <w:rFonts w:ascii="Times New Roman" w:hAnsi="Times New Roman"/>
                <w:color w:val="000000" w:themeColor="text1"/>
                <w:spacing w:val="-2"/>
                <w:w w:val="95"/>
                <w:sz w:val="20"/>
              </w:rPr>
              <w:t>υποβολή εκθέσεων σχετικά με τη διαχείριση</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10.</w:t>
            </w:r>
            <w:r>
              <w:tab/>
            </w:r>
            <w:r>
              <w:rPr>
                <w:rFonts w:ascii="Times New Roman" w:hAnsi="Times New Roman"/>
                <w:color w:val="000000" w:themeColor="text1"/>
                <w:spacing w:val="-2"/>
                <w:w w:val="95"/>
                <w:sz w:val="20"/>
              </w:rPr>
              <w:t>Διαχείριση μετρητών</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Αποδέκτης υπηρεσίας </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Η οντότητα του ομίλου που λαμβάνει την κρίσιμη υπηρεσία που αναφέρεται στη στήλη 0010 από άλλη οντότητα του ομίλου ή τον εξωτερικό πάροχο που αναφέρεται στις στήλες 0040-0050.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Όνομα οντότητας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Πρέπει να είναι διαφορετικό από το όνομα που αναφέρεται στη στήλη 0040.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Κωδικός </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Μοναδικός αναγνωριστικός κωδικός της νομικής οντότητας στη στήλη 0020, όπως αναφέρεται στο υπόδειγμα Z 01.00 (ORG)</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Πρέπει να είναι διαφορετικός από τον αναγνωριστικό κωδικό που αναφέρεται στη στήλη 0050.</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Πάροχος υπηρεσιών </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Η νομική οντότητα (εσωτερική ή εξωτερική) που παρέχει την κρίσιμη υπηρεσία που αναφέρεται στη στήλη 0010 σε οντότητα του ομίλου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Όνομα οντότητας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Πρέπει να είναι διαφορετικό από το όνομα που αναφέρεται στη στήλη 0020.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Κωδικός </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μοναδικός αναγνωριστικός κωδικός της νομικής οντότητας στη στήλη 0020.Πρέπει να είναι διαφορετικός από τον αναγνωριστικό κωδικό που παρατίθεται στη στήλη 0030.</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Σε περίπτωση που ο πάροχος της υπηρεσίας είναι οντότητα του ομίλου, ο κωδικός είναι ο ίδιος με αυτόν που αναφέρεται στο υπόδειγμα Z 01.00 (ORG). </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Σε περίπτωση που ο πάροχος της υπηρεσίας δεν είναι οντότητα του ομίλου, ο κωδικός της εν λόγω οντότητας είναι ο ακόλουθος:</w:t>
            </w:r>
          </w:p>
          <w:p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όσον αφορά τα ιδρύματα, ο 20ψήφιος, αλφαριθμητικός κωδικός LEI,</w:t>
            </w:r>
          </w:p>
          <w:p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όσον αφορά τις υπόλοιπες οντότητες, ο κωδικός είναι ο 20ψήφιος, αλφαριθμητικός κωδικός LEI, ή, σε περίπτωση που δεν είναι διαθέσιμος,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κωδικός είναι μοναδικός και χρησιμοποιείται με συνέπεια σε όλα τα υποδείγματα.</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Μέρος του ομίλου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«Ναι» – εάν η υπηρεσία παρέχεται από οντότητα του ομίλου («εσωτερική»)</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«Όχι» – εάν η υπηρεσία παρέχεται από οντότητα εκτός του ομίλου («εξωτερική»)</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0070-0080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Κρίσιμη λειτουργία</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Η κρίσιμη λειτουργία της οποίας η επιτέλεση θα παρεμποδιζόταν σοβαρά ή θα αποτρεπόταν πλήρως σε περίπτωση διατάραξης της κρίσιμης υπηρεσίας. Πρόκειται για μία από τις λειτουργίες που αξιολογούνται ως κρίσιμες στο υπόδειγμα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Χώρα</w:t>
            </w:r>
          </w:p>
          <w:p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Το κράτος μέλος σε σχέση με το οποίο η λειτουργία είναι κρίσιμη, όπως αναφέρεται στο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Αναγνωριστικό</w:t>
            </w:r>
          </w:p>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Αναγνωριστικό των κρίσιμων λειτουργιών, όπως ορίζεται στο κεφάλαιο 2.7.1.4 ανωτέρω και αναφέρεται στο υπόδειγμα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Εκτιμώμενο χρονικό διάστημα όσον αφορά τη δυνατότητα υποκατάστασης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Το εκτιμώμενο χρονικό διάστημα που είναι απαραίτητο για την αντικατάσταση ενός παρόχου από άλλον ο οποίος παρέχει συγκρίσιμη υπηρεσία ως προς το αντικείμενο, την ποιότητα και το κόστος.</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Αναφέρετε μία από τις ακόλουθες τιμές:</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ημέρα — 1 εβδομάδα», όταν ο χρόνος υποκατάστασης δεν υπερβαίνει τη μία εβδομάδα·</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εβδομάδα  – 1 μήνας», όταν ο χρόνος υποκατάστασης υπερβαίνει τη μία εβδομάδα, αλλά όχι τον ένα μήνα·</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εβδομάδα  – 6 μήνες» όταν ο χρόνος υποκατάστασης υπερβαίνει τον ένα μήνα, αλλά όχι τους έξι μήνες·</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 – 12 μήνες» όταν ο χρόνος υποκατάστασης υπερβαίνει τους έξι μήνες, αλλά όχι τον έναν χρόνο·</w:t>
            </w:r>
          </w:p>
          <w:p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χρόνο και πλέον», όταν ο χρόνος υποκατάστασης υπερβαίνει τον ένα χρόνο·</w:t>
            </w:r>
          </w:p>
          <w:p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0100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Εκτιμώμενο χρονικό διάστημα πρόσβασης στις συμβάσεις</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εκτιμώμενο χρονικό διάστημα που είναι απαραίτητο για να ανακτηθούν οι ακόλουθες πληροφορίες σχετικά με τη σύμβαση που διέπει την υπηρεσία, μετά από αίτημα της αρχής εξυγίανσης:</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διάρκεια της σύμβασης</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συμβαλλόμενα μέρη της σύμβασης (το μέρος που είναι ο συντάκτης και ο προμηθευτής, υπεύθυνοι επικοινωνίας) και η δικαιοδοσία τους</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φύση της υπηρεσίας (ήτοι σύντομη περιγραφή της φύσης της συναλλαγής μεταξύ συμβαλλόμενων μερών, περιλαμβανομένων τιμών)</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κατά πόσον η ίδια υπηρεσία μπορεί να παρασχεθεί από οποιονδήποτε άλλο εσωτερικό/εξωτερικό πάροχο (και προσδιορισμός των πιθανών υποψηφίων)</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τόπος εκτέλεσης της σύμβασης</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τμήμα που είναι αρμόδιο για τη διαχείριση των βασικών πράξεων που καλύπτει η σύμβαση</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οι κύριες ποινές που περιλαμβάνονται στη σύμβαση σε περίπτωση αναστολής ή καθυστέρησης των πληρωμών</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λόγος πρόωρης λήξης και η προθεσμία για τη λήξη</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επιχειρησιακή υποστήριξη μετά τη λήξη</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προσδιορισμός των κρίσιμων λειτουργιών και επιχειρηματικών τομέων προς τα οποία η σύμβαση παρουσιάζει συνάφεια</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Αναφέρετε μία από τις ακόλουθες τιμές:</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ημέρα</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ημέρα - 1 εβδομάδα</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άνω της 1 εβδομάδας</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η υπηρεσία δεν διέπεται από σύμβαση</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Εφαρμοστέο δίκαιο</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Κωδικός ISO του κωδικού χώρας το δίκαιο της οποίας διέπει τη σύμβαση.</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Σύμβαση που δεν επηρεάζεται από εξυγίανση </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Εκτίμηση του κατά πόσον η σύμβαση μπορεί να εξακολουθήσει να ισχύει και να μεταβιβαστεί στο πλαίσιο εξυγίανσης. </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Η εκτίμηση λαμβάνει υπόψη, μεταξύ άλλων, τους ακόλουθους παράγοντες:</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τυχόν ρήτρα που παρέχει σε αντισυμβαλλόμενο το δικαίωμα να καταγγείλει τη σύμβαση αποκλειστικά λόγω εξυγίανσης, μέτρων πρόωρης παρέμβασης ή σεναρίων σταυροειδούς αθέτησης υποχρέωσης, παρά τις σημαντικές υποχρεώσεις που εξακολουθούν να εκτελούνται,</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τυχόν ρήτρα που παρέχει σε αντισυμβαλλόμενο το δικαίωμα να τροποποιήσει τους όρους υπηρεσίας ή τιμολόγησης αποκλειστικά λόγω εξυγίανσης, πρόωρης παρέμβασης ή σεναρίων σταυροειδούς αθέτησης υποχρέωσης, παρά τις σημαντικές υποχρεώσεις που εξακολουθούν να εκτελούνται,</w:t>
            </w:r>
          </w:p>
          <w:p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την αναγνώριση, στη σύμβαση, των δικαιωμάτων αναστολής των αρχών εξυγίανσης.</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Αναφέρετε μία από τις ακόλουθες τιμές:</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«Ναι» – σε περίπτωση που εκτιμηθεί ότι η σύμβαση ότι δεν επηρεάζεται από εξυγίανση</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«Όχι» – σε περίπτωση που δεν εκτιμηθεί ότι η σύμβαση δεν επηρεάζεται από εξυγίανση</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«Μη </w:t>
            </w:r>
            <w:proofErr w:type="spellStart"/>
            <w:r>
              <w:rPr>
                <w:rFonts w:ascii="Times New Roman" w:hAnsi="Times New Roman"/>
                <w:color w:val="000000" w:themeColor="text1"/>
                <w:spacing w:val="-2"/>
                <w:w w:val="95"/>
                <w:sz w:val="20"/>
              </w:rPr>
              <w:t>εκτιμηθείσα</w:t>
            </w:r>
            <w:proofErr w:type="spellEnd"/>
            <w:r>
              <w:rPr>
                <w:rFonts w:ascii="Times New Roman" w:hAnsi="Times New Roman"/>
                <w:color w:val="000000" w:themeColor="text1"/>
                <w:spacing w:val="-2"/>
                <w:w w:val="95"/>
                <w:sz w:val="20"/>
              </w:rPr>
              <w:t>» – σε περίπτωση που δεν διενεργήθηκε εκτίμηση</w:t>
            </w:r>
          </w:p>
        </w:tc>
      </w:tr>
    </w:tbl>
    <w:p w:rsidR="00276FFB" w:rsidRPr="00D92B3C" w:rsidRDefault="00276FFB" w:rsidP="00276FFB">
      <w:pPr>
        <w:rPr>
          <w:rFonts w:ascii="Times New Roman" w:hAnsi="Times New Roman" w:cs="Times New Roman"/>
          <w:b/>
          <w:color w:val="000000" w:themeColor="text1"/>
          <w:sz w:val="20"/>
          <w:szCs w:val="20"/>
          <w:u w:val="single"/>
        </w:rPr>
      </w:pPr>
    </w:p>
    <w:p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25" w:name="_Toc492542329"/>
      <w:bookmarkStart w:id="26" w:name="_Toc525210701"/>
      <w:r>
        <w:rPr>
          <w:rFonts w:ascii="Times New Roman" w:hAnsi="Times New Roman"/>
          <w:color w:val="000000" w:themeColor="text1"/>
        </w:rPr>
        <w:t>Z 09.00 – Υπηρεσίες ΥΧΑ - Πάροχοι και χρήστες - Χαρτογράφηση βάσει κρίσιμων λειτουργιών</w:t>
      </w:r>
      <w:bookmarkEnd w:id="25"/>
      <w:bookmarkEnd w:id="26"/>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Γενικές παρατηρήσεις</w:t>
      </w:r>
    </w:p>
    <w:p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Στο παρόν υπόδειγμα προσδιορίζονται οι δραστηριότητες εκκαθάρισης, πληρωμών, διακανονισμού </w:t>
      </w:r>
      <w:proofErr w:type="spellStart"/>
      <w:r>
        <w:rPr>
          <w:rFonts w:ascii="Times New Roman" w:hAnsi="Times New Roman"/>
          <w:sz w:val="20"/>
        </w:rPr>
        <w:t>αξιογράφων</w:t>
      </w:r>
      <w:proofErr w:type="spellEnd"/>
      <w:r>
        <w:rPr>
          <w:rFonts w:ascii="Times New Roman" w:hAnsi="Times New Roman"/>
          <w:sz w:val="20"/>
        </w:rPr>
        <w:t xml:space="preserve"> και φύλαξης, οι λειτουργίες ή υπηρεσίες, η διακοπή των οποίων μπορεί να αποτελέσει σοβαρό εμπόδιο στην επιτέλεση μιας ή περισσότερων κρίσιμων λειτουργιών ή να την αποτρέψει τελείως.</w:t>
      </w:r>
    </w:p>
    <w:p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Το παρόν υπόδειγμα υποβάλλεται μία φορά για το σύνολο του ιδρύματος ή του ομίλου.</w:t>
      </w:r>
    </w:p>
    <w:p w:rsidR="000F273B" w:rsidRPr="00D92B3C" w:rsidRDefault="00AA64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Προσδιορίζονται μόνο οι υποδομές χρηματοπιστωτικών αγορών η διακοπή των οποίων μπορεί να αποτελέσει σοβαρό εμπόδιο στην επιτέλεση μιας κρίσιμης λειτουργίας ή να την αποτρέψει τελείως.</w:t>
      </w:r>
    </w:p>
    <w:p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Οδηγίες για συγκεκριμένες θέσεις</w:t>
      </w:r>
    </w:p>
    <w:p w:rsidR="00772F88" w:rsidRPr="00D92B3C"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Οδηγίες</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vAlign w:val="center"/>
          </w:tcPr>
          <w:p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Χρήστης</w:t>
            </w:r>
          </w:p>
          <w:p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Οντότητα του ομίλου που χρησιμοποιεί υπηρεσίες πληρωμών, φύλαξης, διακανονισμού, εκκαθάρισης ή αρχείου καταγραφής συναλλαγών, όπως αναφέρονται στο Z 01.00 - Οργανωτική δομή (ORG).</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Όνομα οντότητας</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Όνομα της οντότητας που χρησιμοποιεί υπηρεσίες πληρωμών, φύλαξης, διακανονισμού, εκκαθάρισης ή αρχείου καταγραφής συναλλαγών, όπως αναφέρονται στο Z 01.00 - Οργανωτική δομή (ORG).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Αναφέρονται μόνο οι οντότητες που προσδιορίζονται ως παρέχουσες κρίσιμες λειτουργίες στο Z 07.02.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Κωδικός</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Κωδικός της οντότητας που χρησιμοποιεί υπηρεσίες πληρωμών, φύλαξης, διακανονισμού, εκκαθάρισης ή αρχείου καταγραφής συναλλαγών, όπως αναφέρονται στο Z 01.00 - Οργανωτική δομή (ORG).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0030-0040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Κρίσιμη λειτουργία</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Επιτελούμενη από την οντότητα κρίσιμη λειτουργία, η επιτέλεση της οποίας θα εμποδιζόταν σοβαρά ή θα αποτρεπόταν τελείως από τη διατάραξη της πρόσβασης στην υπηρεσία πληρωμών, φύλαξης, διακανονισμού, εκκαθάρισης ή αρχείου καταγραφής συναλλαγών</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Χώρα</w:t>
            </w:r>
          </w:p>
          <w:p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Η χώρα σε σχέση με την οποία η λειτουργία είναι κρίσιμη, όπως αναφέρεται στο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Αναγνωριστικό</w:t>
            </w:r>
          </w:p>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Αναγνωριστικό των κρίσιμων λειτουργιών, όπως ορίζεται στο κεφάλαιο 2.7.1.4 ανωτέρω και </w:t>
            </w:r>
            <w:r>
              <w:rPr>
                <w:rFonts w:ascii="Times New Roman" w:hAnsi="Times New Roman"/>
                <w:color w:val="000000" w:themeColor="text1"/>
                <w:spacing w:val="-2"/>
                <w:w w:val="95"/>
                <w:sz w:val="20"/>
              </w:rPr>
              <w:lastRenderedPageBreak/>
              <w:t>αναφέρεται στο υπόδειγμα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0050-0080</w:t>
            </w:r>
          </w:p>
        </w:tc>
        <w:tc>
          <w:tcPr>
            <w:tcW w:w="7892" w:type="dxa"/>
            <w:tcBorders>
              <w:top w:val="single" w:sz="4" w:space="0" w:color="1A171C"/>
              <w:left w:val="single" w:sz="4" w:space="0" w:color="1A171C"/>
              <w:bottom w:val="single" w:sz="4" w:space="0" w:color="1A171C"/>
              <w:right w:val="nil"/>
            </w:tcBorders>
            <w:vAlign w:val="center"/>
          </w:tcPr>
          <w:p w:rsidR="0044725C" w:rsidRPr="00BB34DC"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Υποδομή χρηματοπιστωτικών αγορών (ΥΧΑ)</w:t>
            </w:r>
          </w:p>
          <w:p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Παραπομπή: CPMI, </w:t>
            </w:r>
            <w:hyperlink r:id="rId10">
              <w:proofErr w:type="spellStart"/>
              <w:r>
                <w:rPr>
                  <w:rFonts w:ascii="Times New Roman" w:hAnsi="Times New Roman"/>
                  <w:color w:val="000000" w:themeColor="text1"/>
                  <w:spacing w:val="-2"/>
                  <w:w w:val="95"/>
                  <w:sz w:val="20"/>
                </w:rPr>
                <w:t>Principles</w:t>
              </w:r>
              <w:proofErr w:type="spellEnd"/>
              <w:r>
                <w:rPr>
                  <w:rFonts w:ascii="Times New Roman" w:hAnsi="Times New Roman"/>
                  <w:color w:val="000000" w:themeColor="text1"/>
                  <w:spacing w:val="-2"/>
                  <w:w w:val="95"/>
                  <w:sz w:val="20"/>
                </w:rPr>
                <w:t xml:space="preserve"> for </w:t>
              </w:r>
              <w:proofErr w:type="spellStart"/>
              <w:r>
                <w:rPr>
                  <w:rFonts w:ascii="Times New Roman" w:hAnsi="Times New Roman"/>
                  <w:color w:val="000000" w:themeColor="text1"/>
                  <w:spacing w:val="-2"/>
                  <w:w w:val="95"/>
                  <w:sz w:val="20"/>
                </w:rPr>
                <w:t>financial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market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infrastructures</w:t>
              </w:r>
              <w:proofErr w:type="spellEnd"/>
            </w:hyperlink>
            <w:r>
              <w:rPr>
                <w:rFonts w:ascii="Times New Roman" w:hAnsi="Times New Roman"/>
                <w:color w:val="000000" w:themeColor="text1"/>
                <w:spacing w:val="-2"/>
                <w:w w:val="95"/>
                <w:sz w:val="20"/>
              </w:rPr>
              <w:t> </w:t>
            </w:r>
          </w:p>
          <w:p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Πολυμερές σύστημα μεταξύ των συμμετεχόντων χρηματοπιστωτικών ιδρυμάτων, περιλαμβανομένου του φορέα εκμετάλλευσης του συστήματος, που χρησιμοποιείται με σκοπό την καταγραφή, εκκαθάριση, ή διακανονισμό πληρωμών, τίτλων, παραγώγων ή άλλων χρηματοοικονομικών συναλλαγών.</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Τύπος συστήματος</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Αναφέρετε μία από τις ακόλουθες τιμές</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«PS»</w:t>
            </w:r>
            <w:r>
              <w:tab/>
            </w:r>
            <w:r>
              <w:rPr>
                <w:rFonts w:ascii="Times New Roman" w:hAnsi="Times New Roman"/>
                <w:color w:val="000000" w:themeColor="text1"/>
                <w:spacing w:val="-2"/>
                <w:w w:val="95"/>
                <w:sz w:val="20"/>
              </w:rPr>
              <w:t>Σύστημα πληρωμών (</w:t>
            </w:r>
            <w:proofErr w:type="spellStart"/>
            <w:r>
              <w:rPr>
                <w:rFonts w:ascii="Times New Roman" w:hAnsi="Times New Roman"/>
                <w:color w:val="000000" w:themeColor="text1"/>
                <w:spacing w:val="-2"/>
                <w:w w:val="95"/>
                <w:sz w:val="20"/>
              </w:rPr>
              <w:t>Payment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system</w:t>
            </w:r>
            <w:proofErr w:type="spellEnd"/>
            <w:r>
              <w:rPr>
                <w:rFonts w:ascii="Times New Roman" w:hAnsi="Times New Roman"/>
                <w:color w:val="000000" w:themeColor="text1"/>
                <w:spacing w:val="-2"/>
                <w:w w:val="95"/>
                <w:sz w:val="20"/>
              </w:rPr>
              <w:t>)</w:t>
            </w:r>
          </w:p>
          <w:p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rPr>
              <w:t>«(I) ΚΑΤ» - (διεθνές) κεντρικό αποθετήριο τίτλων, περιλαμβανομένου (I)ΚΑΤ που παρέχει υπηρεσίες διακανονισμού (εσωτερικά ή μέσω εξωτερικής ανάθεσης)</w:t>
            </w:r>
          </w:p>
          <w:p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«SSS»</w:t>
            </w:r>
            <w:r>
              <w:tab/>
            </w:r>
            <w:r>
              <w:rPr>
                <w:rFonts w:ascii="Times New Roman" w:hAnsi="Times New Roman"/>
                <w:color w:val="000000" w:themeColor="text1"/>
                <w:spacing w:val="-2"/>
                <w:w w:val="95"/>
                <w:sz w:val="20"/>
              </w:rPr>
              <w:t>Σύστημα διακανονισμού τίτλων χωρίς φύλαξη</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«ΚΑ-Τίτλοι» Κεντρικός αντισυμβαλλόμενος για εκκαθάριση τίτλων </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«ΚΑ-</w:t>
            </w:r>
            <w:proofErr w:type="spellStart"/>
            <w:r>
              <w:rPr>
                <w:rFonts w:ascii="Times New Roman" w:hAnsi="Times New Roman"/>
                <w:color w:val="000000" w:themeColor="text1"/>
                <w:spacing w:val="-2"/>
                <w:w w:val="95"/>
                <w:sz w:val="20"/>
              </w:rPr>
              <w:t>παράγωγ</w:t>
            </w:r>
            <w:proofErr w:type="spellEnd"/>
            <w:r>
              <w:rPr>
                <w:rFonts w:ascii="Times New Roman" w:hAnsi="Times New Roman"/>
                <w:color w:val="000000" w:themeColor="text1"/>
                <w:spacing w:val="-2"/>
                <w:w w:val="95"/>
                <w:sz w:val="20"/>
              </w:rPr>
              <w:t>α»</w:t>
            </w:r>
            <w:r>
              <w:tab/>
            </w:r>
            <w:r>
              <w:rPr>
                <w:rFonts w:ascii="Times New Roman" w:hAnsi="Times New Roman"/>
                <w:color w:val="000000" w:themeColor="text1"/>
                <w:spacing w:val="-2"/>
                <w:w w:val="95"/>
                <w:sz w:val="20"/>
              </w:rPr>
              <w:t>Κεντρικός αντισυμβαλλόμενος για εκκαθάριση παραγώγων</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w:t>
            </w:r>
            <w:r>
              <w:tab/>
            </w:r>
            <w:r>
              <w:rPr>
                <w:rFonts w:ascii="Times New Roman" w:hAnsi="Times New Roman"/>
                <w:color w:val="000000" w:themeColor="text1"/>
                <w:spacing w:val="-2"/>
                <w:w w:val="95"/>
                <w:sz w:val="20"/>
              </w:rPr>
              <w:t>Αποθετήριο τίτλων</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«Άλλο»</w:t>
            </w:r>
            <w:r>
              <w:tab/>
            </w:r>
            <w:r>
              <w:rPr>
                <w:rFonts w:ascii="Times New Roman" w:hAnsi="Times New Roman"/>
                <w:color w:val="000000" w:themeColor="text1"/>
                <w:spacing w:val="-2"/>
                <w:w w:val="95"/>
                <w:sz w:val="20"/>
              </w:rPr>
              <w:t>όταν ο τύπος συστήματος της ΥΧΑ δεν αντιστοιχεί σε κανέναν από τους προκαθορισμένους τύπους που αναφέρονται ανωτέρω</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«Α/Α»</w:t>
            </w:r>
            <w:r>
              <w:tab/>
            </w:r>
            <w:r>
              <w:rPr>
                <w:rFonts w:ascii="Times New Roman" w:hAnsi="Times New Roman"/>
                <w:color w:val="000000" w:themeColor="text1"/>
                <w:spacing w:val="-2"/>
                <w:w w:val="95"/>
                <w:sz w:val="20"/>
              </w:rPr>
              <w:t>όταν παρέχονται κρίσιμες υπηρεσίες, πληρωμών, εκκαθάρισης, διακανονισμού ή φύλαξης από οντότητα που δεν συγκαταλέγεται μεταξύ των υποδομών χρηματοπιστωτικών αγορών που αναφέρονται ανωτέρω, για παράδειγμα τράπεζες που ενεργούν ως θεματοφύλακας.</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Επωνυμία</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Εμπορική επωνυμία της υποδομής χρηματοπιστωτικών αγορών</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Όταν αναφέρεται η ένδειξη «Α/Α» στη στήλη 0050, η παρούσα στήλη παραμένει κενή</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Κωδικός ΥΧΑ</w:t>
            </w:r>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Ο κωδικός της ΥΧΑ. Εφόσον διατίθεται, ο κωδικός είναι ο 20ψήφιος, αλφαριθμητικός κωδικός LEI. Εάν ο κωδικός LEI δεν διατίθεται,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Όταν αναφέρεται η ένδειξη «Α/Α» στη στήλη 0050, η παρούσα στήλη παραμένει κενή.</w:t>
            </w:r>
          </w:p>
          <w:p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Τρόπος συμμετοχής</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Αναφέρετε μία από τις ακόλουθες τιμές:</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«Άμεση»</w:t>
            </w:r>
            <w:r>
              <w:tab/>
            </w:r>
            <w:r>
              <w:rPr>
                <w:rFonts w:ascii="Times New Roman" w:hAnsi="Times New Roman"/>
                <w:color w:val="000000" w:themeColor="text1"/>
                <w:spacing w:val="-2"/>
                <w:w w:val="95"/>
                <w:sz w:val="20"/>
              </w:rPr>
              <w:t>σε περίπτωση ιδιότητας άμεσου μέλους ή άμεσης συμμετοχής</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«Έμμεση»</w:t>
            </w:r>
            <w:r>
              <w:tab/>
            </w:r>
            <w:r>
              <w:rPr>
                <w:rFonts w:ascii="Times New Roman" w:hAnsi="Times New Roman"/>
                <w:color w:val="000000" w:themeColor="text1"/>
                <w:spacing w:val="-2"/>
                <w:w w:val="95"/>
                <w:sz w:val="20"/>
              </w:rPr>
              <w:t>σε περίπτωση ιδιότητας έμμεσου μέλους ή έμμεσης συμμετοχής</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«Α/Α»</w:t>
            </w:r>
            <w:r>
              <w:tab/>
            </w:r>
            <w:r>
              <w:rPr>
                <w:rFonts w:ascii="Times New Roman" w:hAnsi="Times New Roman"/>
                <w:color w:val="000000" w:themeColor="text1"/>
                <w:spacing w:val="-2"/>
                <w:w w:val="95"/>
                <w:sz w:val="20"/>
              </w:rPr>
              <w:t>όταν στη στήλη 0050 αναφέρεται η ένδειξη «Α/Α».</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Επωνυμία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Εμπορική επωνυμία του διαμεσολαβητή όταν στη στήλη 0080 αναφέρεται «Έμμεση» ή «Α/Α».</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Όταν στη στήλη 0080 αναφέρεται «Άμεση», αναφέρεται «Α/Α» (άνευ αντικειμένου).</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Ο διαμεσολαβητής μπορεί να είναι είτε μέρος του ομίλου στον οποίο ανήκει η οντότητα που υποβάλλει αναφορά είτε άλλο πιστωτικό ίδρυμα που δεν σχετίζεται με τον εν λόγω όμιλο. </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Ένας διαμεσολαβητής μπορεί να είναι επιχείρηση που παρέχει υπηρεσίες εκκαθάρισης, πληρωμών, </w:t>
            </w:r>
            <w:r>
              <w:rPr>
                <w:rFonts w:ascii="Times New Roman" w:hAnsi="Times New Roman"/>
                <w:color w:val="000000" w:themeColor="text1"/>
                <w:spacing w:val="-2"/>
                <w:w w:val="95"/>
                <w:sz w:val="20"/>
              </w:rPr>
              <w:lastRenderedPageBreak/>
              <w:t>διακανονισμού τίτλων και/ή φύλαξης σε άλλες επιχειρήσεις (ιδίως όταν στη στήλη 0050 αναφέρεται «Α/Α»)· μπορεί να είναι άμεσο μέλος μιας ή περισσότερων ΥΧΑ και να παρέχει εμμέσως πρόσβαση στις υπηρεσίες που παρέχει η εν λόγω ΥΧΑ (ιδίως όταν στη στήλη 0080 αναφέρεται «Έμμεση»).</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0100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Κωδικός</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Ο κωδικός του διαμεσολαβητή. Εφόσον διατίθεται, ο κωδικός είναι ο 20ψήφιος, αλφαριθμητικός κωδικός LEI. Εάν ο κωδικός LEI δεν διατίθεται,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EC6EE8" w:rsidRDefault="006D1180" w:rsidP="00EC6EE8">
            <w:pPr>
              <w:pStyle w:val="CommentText"/>
              <w:rPr>
                <w:rFonts w:ascii="Times New Roman" w:hAnsi="Times New Roman" w:cs="Times New Roman"/>
                <w:color w:val="000000" w:themeColor="text1"/>
              </w:rPr>
            </w:pPr>
            <w:r>
              <w:rPr>
                <w:rFonts w:ascii="Times New Roman" w:hAnsi="Times New Roman"/>
                <w:color w:val="000000" w:themeColor="text1"/>
                <w:spacing w:val="-2"/>
                <w:w w:val="95"/>
              </w:rPr>
              <w:t>Όταν στη στήλη 0090 αναφέρεται «Άμεση», πρέπει να αναφέρεται «Α/Α» (άνευ αντικειμένου).</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Περιγραφή υπηρεσίας</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Περιγραφή της υπηρεσίας, σε περίπτωση που ο τύπος συστήματος που αναφέρεται στη στήλη 050 είναι «Άλλο» ή «Α/Α».</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Εφαρμοστέο δίκαιο</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Αναγνωριστικός κωδικός ISO 3166-1 alpha-2 της χώρας της οποίας το δίκαιο διέπει την πρόσβαση στην ΥΧΑ. </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Σε περίπτωση ιδιότητας άμεσου μέλους ή άμεσης συμμετοχής, πρέπει να αναφέρεται το εφαρμοστέο δίκαιο της σύμβασης μεταξύ της υποδομής χρηματοπιστωτικών αγορών και του χρήστη. Σε περίπτωση ιδιότητας έμμεσου μέλους ή έμμεσης συμμετοχής, πρέπει να αναφέρεται το εφαρμοστέο δίκαιο της σύμβασης μεταξύ του ιδρύματος αντιπροσώπευσης και του χρήστη. </w:t>
            </w:r>
          </w:p>
        </w:tc>
      </w:tr>
    </w:tbl>
    <w:p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27" w:name="_Toc492542330"/>
      <w:bookmarkStart w:id="28" w:name="_Toc525210702"/>
      <w:r>
        <w:rPr>
          <w:rFonts w:ascii="Times New Roman" w:hAnsi="Times New Roman"/>
          <w:color w:val="000000" w:themeColor="text1"/>
        </w:rPr>
        <w:t>Κρίσιμα συστήματα πληροφοριών</w:t>
      </w:r>
      <w:bookmarkEnd w:id="27"/>
      <w:bookmarkEnd w:id="28"/>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29" w:name="_Toc368311813"/>
      <w:bookmarkStart w:id="30" w:name="_Toc322687864"/>
      <w:bookmarkStart w:id="31" w:name="_Toc368311822"/>
      <w:r>
        <w:rPr>
          <w:rFonts w:ascii="Times New Roman" w:hAnsi="Times New Roman"/>
          <w:b w:val="0"/>
          <w:color w:val="000000" w:themeColor="text1"/>
          <w:sz w:val="20"/>
          <w:u w:val="single"/>
        </w:rPr>
        <w:t>Γενικές παρατηρήσεις</w:t>
      </w:r>
    </w:p>
    <w:p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Το παρόν τμήμα αποτελείται από τα ακόλουθα υποδείγματα:</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10.01 - Κρίσιμα συστήματα πληροφοριών (γενικές πληροφορίες) (CIS 1), που περιλαμβάνει όλες τα συστήματα κρίσιμων πληροφοριών του ομίλου,</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10.02 - Χαρτογράφηση των κρίσιμων συστημάτων πληροφοριών (CIS 2), που χαρτογραφεί τα κρίσιμα συστήματα πληροφοριών για τις οντότητες χρήστες του ομίλου και τις κρίσιμες λειτουργίες.</w:t>
      </w:r>
    </w:p>
    <w:p w:rsidR="00277550" w:rsidRPr="00D92B3C" w:rsidRDefault="00AD4B22" w:rsidP="00E714C5">
      <w:pPr>
        <w:pStyle w:val="numberedparagraph"/>
        <w:rPr>
          <w:rFonts w:ascii="Times New Roman" w:hAnsi="Times New Roman" w:cs="Times New Roman"/>
          <w:sz w:val="20"/>
          <w:szCs w:val="20"/>
        </w:rPr>
      </w:pPr>
      <w:r>
        <w:rPr>
          <w:rFonts w:ascii="Times New Roman" w:hAnsi="Times New Roman"/>
          <w:sz w:val="20"/>
        </w:rPr>
        <w:t>Ένα κρίσιμο σύστημα πληροφοριών («CIS») νοείται ως εφαρμογή ή λογισμικό ΤΠ που υποστηρίζει μια κρίσιμη υπηρεσία η διατάραξη της οποίας μπορεί να αποτελέσει σοβαρό εμπόδιο στην επιτέλεση μιας κρίσιμης λειτουργίας ή να την αποτρέψει τελείως.</w:t>
      </w:r>
      <w:bookmarkEnd w:id="29"/>
      <w:bookmarkEnd w:id="30"/>
    </w:p>
    <w:p w:rsidR="00ED08D2" w:rsidRPr="00D92B3C" w:rsidRDefault="00262051" w:rsidP="00E714C5">
      <w:pPr>
        <w:pStyle w:val="numberedparagraph"/>
        <w:rPr>
          <w:rFonts w:ascii="Times New Roman" w:hAnsi="Times New Roman" w:cs="Times New Roman"/>
          <w:sz w:val="20"/>
          <w:szCs w:val="20"/>
        </w:rPr>
      </w:pPr>
      <w:r>
        <w:rPr>
          <w:rFonts w:ascii="Times New Roman" w:hAnsi="Times New Roman"/>
          <w:sz w:val="20"/>
        </w:rPr>
        <w:t>Τα παρόντα υποδείγματα υποβάλλονται για το σύνολο του ομίλου.</w:t>
      </w:r>
    </w:p>
    <w:p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10.01 - Κρίσιμα συστήματα πληροφοριών (γενικές πληροφορίες) (CIS 1): Οδηγίες για συγκεκριμένες θέσεις</w:t>
      </w:r>
    </w:p>
    <w:p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Η τιμή που αναφέρεται στη στήλη 0010 του παρόντος υποδείγματος αποτελεί πρωτεύουσα κλείδα η οποία πρέπει να είναι μοναδική για κάθε γραμμή του υποδείγματος. </w:t>
      </w:r>
    </w:p>
    <w:p w:rsidR="000B75A6" w:rsidRPr="00D92B3C"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Οδηγίες</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Κρίσιμο σύστημα πληροφοριών</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0010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Αναγνωριστικός κωδικός συστήματος</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αναγνωριστικός κωδικός του συστήματος είναι ένα ακρωνύμιο που καθορίζεται από το ίδρυμα και το οποίο προσδιορίζει με απόλυτη σαφήνεια το κρίσιμο σύστημα πληροφοριών.</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Πρόκειται για αναγνωριστικό γραμμής και είναι αποκλειστικό για κάθε γραμμή στο υπόδειγμα.</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Ονομασία συστήματος</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Εμπορική ή εσωτερική ονομασία του συστήματος.</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Τύπος συστήματος</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Αναφέρετε μία από τις ακόλουθες τιμές:</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«Κατά παραγγελία λογισμικό για επιχειρηματική υποστήριξη»</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Εφαρμογές που έχουν αναπτυχθεί σύμφωνα με αναλυτικές επιχειρηματικές προδιαγραφές. Μπορεί να έχει αναπτυχθεί εσωτερικά ή με χρήση εξωτερικών αναδόχων, αλλά πάντα με σκοπό την επιχειρηματική υποστήριξη.</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«Λογισμικό αγορασθέν ως έχει»</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Εφαρμογές που έχουν αγοραστεί στην αγορά, οι οποίες συνήθως πωλούνται ή </w:t>
            </w:r>
            <w:proofErr w:type="spellStart"/>
            <w:r>
              <w:rPr>
                <w:rFonts w:ascii="Times New Roman" w:hAnsi="Times New Roman"/>
                <w:color w:val="000000" w:themeColor="text1"/>
                <w:spacing w:val="-2"/>
                <w:w w:val="95"/>
                <w:sz w:val="20"/>
              </w:rPr>
              <w:t>αδειοδοτούνται</w:t>
            </w:r>
            <w:proofErr w:type="spellEnd"/>
            <w:r>
              <w:rPr>
                <w:rFonts w:ascii="Times New Roman" w:hAnsi="Times New Roman"/>
                <w:color w:val="000000" w:themeColor="text1"/>
                <w:spacing w:val="-2"/>
                <w:w w:val="95"/>
                <w:sz w:val="20"/>
              </w:rPr>
              <w:t xml:space="preserve"> από πωλητή, οι οποίες δεν τροποποιήθηκαν υπό την έννοια συγκεκριμένων προσαρμογών σε σχέση με τις επιχειρηματικές δραστηριότητες το του οργανισμού. Σε αυτή την κατηγορία περιλαμβάνονται οι εφαρμογές που υπόκεινται στους συνήθεις μηχανισμούς διαμόρφωσης παραμέτρων.</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«Λογισμικό αγορασθέν με ειδικές προσαρμογές»</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Εφαρμογές που έχουν αγορασθεί στην αγορά αλλά σε σχέση με τις οποίες ο πωλητής (ή ο αντιπρόσωπός του) έχει δημιουργήσει ειδική έκδοση προσαρμοσμένη στο πλαίσιο της συγκεκριμένης εγκατάστασης. Η εν λόγω συγκεκριμένη έκδοση χαρακτηρίζεται από αλλαγές στη συμπεριφορά της εφαρμογής, νέες λειτουργίες ή από τη συμπερίληψη μη τυπικών πρόσθετων που έχουν αναπτυχθεί λαμβανομένων υπόψη των επιχειρηματικών δραστηριοτήτων του οργανισμού.</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«Εφαρμογή/</w:t>
            </w:r>
            <w:proofErr w:type="spellStart"/>
            <w:r>
              <w:rPr>
                <w:rFonts w:ascii="Times New Roman" w:hAnsi="Times New Roman"/>
                <w:color w:val="000000" w:themeColor="text1"/>
                <w:spacing w:val="-2"/>
                <w:w w:val="95"/>
                <w:sz w:val="20"/>
              </w:rPr>
              <w:t>εξωτερικ</w:t>
            </w:r>
            <w:proofErr w:type="spellEnd"/>
            <w:r>
              <w:rPr>
                <w:rFonts w:ascii="Times New Roman" w:hAnsi="Times New Roman"/>
                <w:color w:val="000000" w:themeColor="text1"/>
                <w:spacing w:val="-2"/>
                <w:w w:val="95"/>
                <w:sz w:val="20"/>
              </w:rPr>
              <w:t>ή διαδικτυακή πύλη»</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Οι εξωτερικές διαδικτυακές πύλες ή εφαρμογές που παρέχονται από τρίτους, συνήθως εταίρους, με σκοπό την πρόσβαση στις υπηρεσίες που παρέχουν. Συνήθως, βρίσκονται εκτός του πεδίου εφαρμογής της διαχείρισης συστημάτων πληροφοριών του οργανισμού, και εγκαθίστανται, υποβάλλονται σε συντήρηση και υπόκεινται στη διαχείριση του ίδιου του εταίρου. Οι εν λόγω εφαρμογές έχουν συχνά τη μορφή διαδικτυακών πυλών (προσβαλλόμενες μέσω διαδικτύου ή ιδιωτικών δικτύων), και παρότι δεν εμπίπτουν στο πεδίο εφαρμογής των υπηρεσιών διαχείρισης συστημάτων πληροφοριών του οργανισμού, είναι σημαντικές (ή κρίσιμες) για ορισμένες επιχειρηματικές λειτουργίες.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Περιγραφή</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Περιγραφή του βασικού σκοπού του συστήματος πληροφοριών στο πλαίσιο των επιχειρηματικών δραστηριοτήτων.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0050 - 0060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Οντότητα του ομίλου που είναι υπεύθυνη για το σύστημα</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Όνομα οντότητας</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όνομα της νομικής οντότητας που είναι υπεύθυνη για το σύστημα στον όμιλο.</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Πρόκειται για την οντότητα που είναι υπεύθυνη για το σύνολο της προμήθειας, ανάπτυξης, ολοκλήρωσης, τροποποίησης, λειτουργίας, συντήρησης και απόσυρσης ενός συστήματος πληροφοριών και η οποία είναι ο βασικός παράγοντας για την ανάπτυξη των προδιαγραφών σχεδιασμού του συστήματος προκειμένου να διασφαλίσει την τεκμηρίωση, τον έλεγχο και την ικανοποίηση των αναγκών ασφάλειας και επιχειρησιακών αναγκών του χρήστη.</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Κωδικός</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κωδικός της νομικής οντότητας που είναι υπεύθυνη για το σύστημα σε έναν όμιλο, όπως αναφέρεται στο Z 01.00 - Οργανωτική δομή (ORG).</w:t>
            </w:r>
          </w:p>
        </w:tc>
      </w:tr>
    </w:tbl>
    <w:p w:rsidR="00AD4B22" w:rsidRPr="00D92B3C" w:rsidRDefault="00AD4B22" w:rsidP="00AD4B22">
      <w:pPr>
        <w:pStyle w:val="body"/>
        <w:rPr>
          <w:rFonts w:ascii="Times New Roman" w:hAnsi="Times New Roman" w:cs="Times New Roman"/>
          <w:color w:val="000000" w:themeColor="text1"/>
          <w:sz w:val="20"/>
          <w:szCs w:val="20"/>
        </w:rPr>
      </w:pPr>
    </w:p>
    <w:bookmarkEnd w:id="31"/>
    <w:p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10-02 - Χαρτογράφηση συστημάτων πληροφοριών (CIS 2): Οδηγίες για συγκεκριμένες θέσεις</w:t>
      </w:r>
    </w:p>
    <w:p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Ο συνδυασμός των τιμών που αναφέρονται στις στήλες 0010, 0030, 0040 και 0050 του παρόντος υποδείγματος αποτελεί πρωτεύουσα κλείδα η οποία πρέπει να είναι μοναδική για κάθε γραμμή του υποδείγματος. </w:t>
      </w:r>
    </w:p>
    <w:p w:rsidR="00720344" w:rsidRPr="00D92B3C"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Οδηγίες</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Αναγνωριστικός κωδικός συστήματος</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αναγνωριστικός κωδικός του συστήματος πληροφοριών, όπως αναφέρεται στη στήλη 010 του υποδείγματος Z 10.01 (CIS 1).</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Οντότητα του ομίλου που είναι χρήστης του συστήματος</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Η οντότητα που χρησιμοποιεί το σύστημα στον όμιλο («χρήστης»). Ενδέχεται να υπάρχουν περισσότεροι από ένας χρήστες, οπότε συμπληρώνονται αρκετές γραμμές για το ίδιο σύστημα πληροφοριών. </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Όνομα οντότητας</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Το όνομα της οντότητας, όπως αναφέρεται στο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Κωδικός</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Ο κωδικός της οντότητας χρήστη, όπως αναφέρεται στο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Κρίσιμη υπηρεσία</w:t>
            </w:r>
          </w:p>
          <w:p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Ο αναγνωριστικός κωδικός της κρίσιμης υπηρεσίας, όπως αναφέρεται στο Z 08.00 (στήλη 0005), την οποία υποστηρίζει το σύστημα. Η κρίσιμη υπηρεσία μπορεί να είναι η ίδια υπηρεσία ΤΠ, ή άλλο είδος υπηρεσίας που υποστηρίζει το σύστημα (για παράδειγμα, επεξεργασία συναλλαγών).</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0050-0060 </w:t>
            </w:r>
          </w:p>
        </w:tc>
        <w:tc>
          <w:tcPr>
            <w:tcW w:w="7892" w:type="dxa"/>
            <w:tcBorders>
              <w:top w:val="single" w:sz="4" w:space="0" w:color="1A171C"/>
              <w:left w:val="single" w:sz="4" w:space="0" w:color="1A171C"/>
              <w:bottom w:val="single" w:sz="4" w:space="0" w:color="1A171C"/>
              <w:right w:val="nil"/>
            </w:tcBorders>
          </w:tcPr>
          <w:p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Κρίσιμη λειτουργία</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Η κρίσιμη λειτουργία της οποίας η επιτέλεση μπορεί να εμποδιστεί σοβαρά ή να αποτραπεί τελείως λόγω διατάραξης των υπηρεσιών που υποστηρίζονται από το σύστημα πληροφοριών. Ενδέχεται να υπάρχουν περισσότερες από μία κρίσιμες λειτουργίες, οπότε συμπληρώνονται αρκετές γραμμές για το ίδιο σύστημα πληροφοριών.</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Χώρα</w:t>
            </w:r>
          </w:p>
          <w:p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Η χώρα σε σχέση με την οποία η λειτουργία είναι κρίσιμη, όπως αναφέρεται στο Z 07.01 (FUNC 1)</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Αναγνωριστικό</w:t>
            </w:r>
          </w:p>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Αναγνωριστικό των κρίσιμων λειτουργιών, όπως ορίζεται στο κεφάλαιο 2.7.1.4 ανωτέρω και αναφέρεται στο υπόδειγμα Z 07.01 (FUNC 1)</w:t>
            </w:r>
          </w:p>
        </w:tc>
      </w:tr>
    </w:tbl>
    <w:p w:rsidR="001E5EDF" w:rsidRPr="00D92B3C" w:rsidRDefault="001E5EDF" w:rsidP="00322967">
      <w:pPr>
        <w:pStyle w:val="body"/>
        <w:rPr>
          <w:rFonts w:ascii="Times New Roman" w:hAnsi="Times New Roman" w:cs="Times New Roman"/>
          <w:color w:val="000000" w:themeColor="text1"/>
          <w:sz w:val="20"/>
          <w:szCs w:val="20"/>
        </w:rPr>
      </w:pPr>
    </w:p>
    <w:sectPr w:rsidR="001E5EDF" w:rsidRPr="00D92B3C" w:rsidSect="00B665D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3AE" w:rsidRDefault="008613AE" w:rsidP="001E5EDF">
      <w:r>
        <w:separator/>
      </w:r>
    </w:p>
  </w:endnote>
  <w:endnote w:type="continuationSeparator" w:id="0">
    <w:p w:rsidR="008613AE" w:rsidRDefault="008613AE"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BDD" w:rsidRDefault="00720B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8613AE" w:rsidRDefault="008613AE" w:rsidP="000E60D6">
        <w:pPr>
          <w:pStyle w:val="Footer"/>
          <w:jc w:val="center"/>
        </w:pPr>
        <w:r>
          <w:rPr>
            <w:noProof/>
          </w:rPr>
          <w:fldChar w:fldCharType="begin"/>
        </w:r>
        <w:r>
          <w:rPr>
            <w:noProof/>
          </w:rPr>
          <w:instrText xml:space="preserve"> PAGE   \* MERGEFORMAT </w:instrText>
        </w:r>
        <w:r>
          <w:rPr>
            <w:noProof/>
          </w:rPr>
          <w:fldChar w:fldCharType="separate"/>
        </w:r>
        <w:r w:rsidR="00C0314B">
          <w:rPr>
            <w:noProof/>
          </w:rPr>
          <w:t>1</w:t>
        </w:r>
        <w:r>
          <w:rPr>
            <w:noProof/>
          </w:rPr>
          <w:fldChar w:fldCharType="end"/>
        </w:r>
      </w:p>
    </w:sdtContent>
  </w:sdt>
  <w:p w:rsidR="008613AE" w:rsidRDefault="008613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BDD" w:rsidRDefault="00720B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3AE" w:rsidRDefault="008613AE" w:rsidP="001E5EDF">
      <w:r>
        <w:separator/>
      </w:r>
    </w:p>
  </w:footnote>
  <w:footnote w:type="continuationSeparator" w:id="0">
    <w:p w:rsidR="008613AE" w:rsidRDefault="008613AE" w:rsidP="001E5EDF">
      <w:r>
        <w:continuationSeparator/>
      </w:r>
    </w:p>
  </w:footnote>
  <w:footnote w:id="1">
    <w:p w:rsidR="008613AE" w:rsidRPr="00A9747B" w:rsidRDefault="008613AE" w:rsidP="008E5458">
      <w:pPr>
        <w:pStyle w:val="FootnoteText"/>
      </w:pPr>
      <w:r>
        <w:rPr>
          <w:rStyle w:val="FootnoteReference"/>
          <w:rFonts w:ascii="Times New Roman" w:hAnsi="Times New Roman"/>
        </w:rPr>
        <w:footnoteRef/>
      </w:r>
      <w:r>
        <w:t xml:space="preserve"> Εκτελεστικός κανονισμός (ΕΕ) αριθ. 680/2014 της Επιτροπής, της 16ης Απριλίου 2014, για τη θέσπιση εκτελεστικών τεχνικών προτύπων όσον αφορά την υποβολή εποπτικών αναφορών από τα ιδρύματα σύμφωνα με τον κανονισμό (ΕΕ) αριθ. 575/2013 του Ευρωπαϊκού Κοινοβουλίου και του Συμβουλίου (ΕΕ L 191 της 28.6.2014, σ. 1).</w:t>
      </w:r>
    </w:p>
  </w:footnote>
  <w:footnote w:id="2">
    <w:p w:rsidR="008613AE" w:rsidRPr="00E17940" w:rsidRDefault="008613AE" w:rsidP="008E5458">
      <w:pPr>
        <w:pStyle w:val="FootnoteText"/>
      </w:pPr>
      <w:r>
        <w:rPr>
          <w:rStyle w:val="FootnoteReference"/>
          <w:rFonts w:ascii="Times New Roman" w:hAnsi="Times New Roman"/>
        </w:rPr>
        <w:footnoteRef/>
      </w:r>
      <w:r>
        <w:t xml:space="preserve"> Κανονισμός (ΕΚ) αριθ. 1606/2002 του Ευρωπαϊκού Κοινοβουλίου και του Συμβουλίου, της 19ης Ιουλίου 2002, για την εφαρμογή διεθνών λογιστικών προτύπων (ΕΕ L 243 της 11.9.2002, σ. 1).</w:t>
      </w:r>
    </w:p>
  </w:footnote>
  <w:footnote w:id="3">
    <w:p w:rsidR="008613AE" w:rsidRPr="008E5458" w:rsidRDefault="008613AE" w:rsidP="00543060">
      <w:pPr>
        <w:pStyle w:val="FootnoteText"/>
      </w:pPr>
      <w:r>
        <w:rPr>
          <w:rStyle w:val="FootnoteReference"/>
          <w:rFonts w:ascii="Times New Roman" w:hAnsi="Times New Roman"/>
        </w:rPr>
        <w:footnoteRef/>
      </w:r>
      <w:r>
        <w:t xml:space="preserve"> Κανονισμός (ΕΚ) αριθ. 1606/2002 του Ευρωπαϊκού Κοινοβουλίου και του Συμβουλίου, της 19ης Ιουλίου 2002, για την εφαρμογή διεθνών λογιστικών προτύπων (ΕΕ L 243 της 11.9.2002, σ. 1).</w:t>
      </w:r>
    </w:p>
  </w:footnote>
  <w:footnote w:id="4">
    <w:p w:rsidR="008613AE" w:rsidRPr="00A9747B" w:rsidRDefault="008613AE" w:rsidP="00543060">
      <w:pPr>
        <w:pStyle w:val="FootnoteText"/>
      </w:pPr>
      <w:r>
        <w:rPr>
          <w:rStyle w:val="FootnoteReference"/>
          <w:rFonts w:ascii="Times New Roman" w:hAnsi="Times New Roman"/>
        </w:rPr>
        <w:footnoteRef/>
      </w:r>
      <w:r>
        <w:t xml:space="preserve"> Οδηγία 86/635/ΕΟΚ του Συμβουλίου, της 8ης Δεκεμβρίου 1986, για τους ετήσιους και ενοποιημένους λογαριασμούς των τραπεζών και λοιπών άλλων χρηματοπιστωτικών ιδρυμάτων (EE L 372 της 31.12.1986, σ. 1)</w:t>
      </w:r>
    </w:p>
  </w:footnote>
  <w:footnote w:id="5">
    <w:p w:rsidR="008613AE" w:rsidRPr="00E17940" w:rsidRDefault="008613AE" w:rsidP="00543060">
      <w:pPr>
        <w:pStyle w:val="FootnoteText"/>
      </w:pPr>
      <w:r>
        <w:rPr>
          <w:rStyle w:val="FootnoteReference"/>
          <w:rFonts w:ascii="Times New Roman" w:hAnsi="Times New Roman"/>
        </w:rPr>
        <w:footnoteRef/>
      </w:r>
      <w:r>
        <w:t xml:space="preserve"> 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(ΕΕ L 176 της 27.6.2013, σ. 1).</w:t>
      </w:r>
    </w:p>
  </w:footnote>
  <w:footnote w:id="6">
    <w:p w:rsidR="008613AE" w:rsidRPr="00E17940" w:rsidRDefault="008613AE" w:rsidP="00543060">
      <w:pPr>
        <w:pStyle w:val="FootnoteText"/>
      </w:pPr>
      <w:r>
        <w:rPr>
          <w:rStyle w:val="FootnoteReference"/>
        </w:rPr>
        <w:footnoteRef/>
      </w:r>
      <w:r>
        <w:t xml:space="preserve"> Οδηγία 2013/36/ΕΕ του Ευρωπαϊκού Κοινοβουλίου και του Συμβουλίου,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L 176 της 27.6.2013, σ. 338).</w:t>
      </w:r>
    </w:p>
  </w:footnote>
  <w:footnote w:id="7">
    <w:p w:rsidR="008613AE" w:rsidRPr="00CF3EBF" w:rsidRDefault="008613AE" w:rsidP="008B1EBD">
      <w:pPr>
        <w:pStyle w:val="FootnoteText"/>
      </w:pPr>
      <w:r>
        <w:rPr>
          <w:rStyle w:val="FootnoteReference"/>
          <w:rFonts w:ascii="Times New Roman" w:hAnsi="Times New Roman"/>
        </w:rPr>
        <w:footnoteRef/>
      </w:r>
      <w:r>
        <w:t xml:space="preserve"> Οδηγία 2009/138/ΕΚ του Ευρωπαϊκού Κοινοβουλίου και του Συμβουλίου, της 25ης Νοεμβρίου 2009, σχετικά με την ανάληψη και την άσκηση δραστηριοτήτων ασφάλισης και αντασφάλισης (Φερεγγυότητα II) (Κείμενο που παρουσιάζει ενδιαφέρον για τον ΕΟΧ) (ΕΕ L 335 της 17.12.2009, σ. 1).</w:t>
      </w:r>
    </w:p>
  </w:footnote>
  <w:footnote w:id="8">
    <w:p w:rsidR="008613AE" w:rsidRPr="00113543" w:rsidRDefault="008613AE" w:rsidP="008B1EBD">
      <w:pPr>
        <w:pStyle w:val="FootnoteText"/>
      </w:pPr>
      <w:r>
        <w:rPr>
          <w:rStyle w:val="FootnoteReference"/>
          <w:rFonts w:ascii="Times New Roman" w:hAnsi="Times New Roman"/>
        </w:rPr>
        <w:footnoteRef/>
      </w:r>
      <w:r>
        <w:t xml:space="preserve"> Σύσταση της Επιτροπής, της 6ης Μαΐου 2003, σχετικά με τον ορισμό των πολύ μικρών, των μικρών και των μεσαίων επιχειρήσεων (κοινοποιηθείσα υπό τον αριθμό C(2003) 1422) (ΕΕ L 124 της 20.5.2003, σ. 36).</w:t>
      </w:r>
    </w:p>
  </w:footnote>
  <w:footnote w:id="9">
    <w:p w:rsidR="008613AE" w:rsidRPr="00A9747B" w:rsidRDefault="008613AE" w:rsidP="008B1EBD">
      <w:pPr>
        <w:pStyle w:val="FootnoteText"/>
      </w:pPr>
      <w:r>
        <w:rPr>
          <w:rStyle w:val="FootnoteReference"/>
          <w:rFonts w:ascii="Times New Roman" w:hAnsi="Times New Roman"/>
        </w:rPr>
        <w:footnoteRef/>
      </w:r>
      <w:r>
        <w:t xml:space="preserve"> Κανονισμός (ΕΕ) αριθ. 1071/2013 της Ευρωπαϊκής Κεντρικής Τράπεζας σχετικά με τη λογιστική κατάσταση του τομέα των νομισματικών χρηματοπιστωτικών ιδρυμάτων (ΕΕ L 297 της 7.11.2013, σ. 1).</w:t>
      </w:r>
    </w:p>
  </w:footnote>
  <w:footnote w:id="10">
    <w:p w:rsidR="008613AE" w:rsidRPr="00B77FC7" w:rsidRDefault="008613AE" w:rsidP="008E5458">
      <w:pPr>
        <w:pStyle w:val="FootnoteText"/>
      </w:pPr>
      <w:r>
        <w:rPr>
          <w:rStyle w:val="FootnoteReference"/>
        </w:rPr>
        <w:footnoteRef/>
      </w:r>
      <w:r>
        <w:t xml:space="preserve"> Οδηγία 2014/59/ΕΕ του Ευρωπαϊκού Κοινοβουλίου και του Συμβουλίου, της 15ης Μαΐου 2014, για τη θέσπιση πλαισίου για την ανάκαμψη και την εξυγίανση πιστωτικών ιδρυμάτων και επιχειρήσεων επενδύσεων και για την τροποποίηση της οδηγίας 82/891/ΕΟΚ του Συμβουλίου, και των οδηγιών 2001/24/ΕΚ, 2002/47/ΕΚ, 2004/25/ΕΚ, 2005/56/ΕΚ, 2007/36/ΕΚ, 2011/35/ΕΕ, 2012/30/ΕΕ και 2013/36/ΕΕ, καθώς και των κανονισμών του Ευρωπαϊκού Κοινοβουλίου και του Συμβουλίου (ΕΕ) αριθ. 1093/2010 και (ΕΕ) αριθ. 648/2012 (ΕΕ L 173 της 12.6.2014, σ. 190).</w:t>
      </w:r>
    </w:p>
  </w:footnote>
  <w:footnote w:id="11">
    <w:p w:rsidR="008613AE" w:rsidRPr="001D3665" w:rsidRDefault="008613AE" w:rsidP="008E5458">
      <w:pPr>
        <w:pStyle w:val="FootnoteText"/>
      </w:pPr>
      <w:r>
        <w:rPr>
          <w:rStyle w:val="FootnoteReference"/>
        </w:rPr>
        <w:footnoteRef/>
      </w:r>
      <w:r>
        <w:t xml:space="preserve"> Οδηγία 2014/49/ΕΕ του Ευρωπαϊκού Κοινοβουλίου και του Συμβουλίου, της 16ης Απριλίου 2014, περί των συστημάτων εγγύησης των καταθέσεων (ΕΕ L 173 της 12.6.2014, σ. 149).</w:t>
      </w:r>
    </w:p>
  </w:footnote>
  <w:footnote w:id="12">
    <w:p w:rsidR="008613AE" w:rsidRPr="00EB1AD3" w:rsidRDefault="008613AE" w:rsidP="00365E39">
      <w:pPr>
        <w:pStyle w:val="FootnoteText"/>
      </w:pPr>
      <w:r>
        <w:rPr>
          <w:rStyle w:val="FootnoteReference"/>
        </w:rPr>
        <w:footnoteRef/>
      </w:r>
      <w:r>
        <w:t xml:space="preserve"> Οδηγία 2009/65/ΕΚ του Ευρωπαϊκού Κοινοβουλίου και του Συμβουλίου, της 13ης Ιουλίου 2009, για τον συντονισμό των νομοθετικών, κανονιστικών και διοικητικών διατάξεων σχετικά με ορισμένους οργανισμούς συλλογικών επενδύσεων σε κινητές αξίες (ΟΣΕΚΑ) (ΕΕ L 302 της 17.11.2009, σ. 32).</w:t>
      </w:r>
    </w:p>
  </w:footnote>
  <w:footnote w:id="13">
    <w:p w:rsidR="008613AE" w:rsidRPr="00EB1AD3" w:rsidRDefault="008613AE" w:rsidP="00365E39">
      <w:pPr>
        <w:pStyle w:val="FootnoteText"/>
      </w:pPr>
      <w:r>
        <w:rPr>
          <w:rStyle w:val="FootnoteReference"/>
        </w:rPr>
        <w:footnoteRef/>
      </w:r>
      <w:r>
        <w:t xml:space="preserve"> Οδηγία 2011/61/ΕΕ του Ευρωπαϊκού Κοινοβουλίου και του Συμβουλίου της 8ης Ιουνίου 2011 σχετικά με τους διαχειριστές οργανισμών εναλλακτικών επενδύσεων και για την τροποποίηση των οδηγιών 2003/41/ΕΚ και 2009/65/ΕΚ και των κανονισμών (ΕΚ) αριθ. 1060/2009 και (ΕΕ) αριθ. 1095/2010 (ΕΕ L 174 της 1.7.2011, σ. 1).</w:t>
      </w:r>
    </w:p>
  </w:footnote>
  <w:footnote w:id="14">
    <w:p w:rsidR="008613AE" w:rsidRPr="004002B3" w:rsidRDefault="008613AE" w:rsidP="00365E39">
      <w:pPr>
        <w:pStyle w:val="FootnoteText"/>
      </w:pPr>
      <w:r>
        <w:rPr>
          <w:rStyle w:val="FootnoteReference"/>
        </w:rPr>
        <w:footnoteRef/>
      </w:r>
      <w:r>
        <w:t xml:space="preserve"> Οδηγία 98/26/ΕΚ του Ευρωπαϊκού Κοινοβουλίου και του Συμβουλίου, της 19ης Μαΐου 1998, σχετικά με το αμετάκλητο του διακανονισμού στα συστήματα πληρωμών και στα συστήματα διακανονισμού </w:t>
      </w:r>
      <w:proofErr w:type="spellStart"/>
      <w:r>
        <w:t>αξιογράφων</w:t>
      </w:r>
      <w:proofErr w:type="spellEnd"/>
      <w:r>
        <w:t xml:space="preserve"> (ΕΕ L 166 της 11.6.1998, σ. 45).</w:t>
      </w:r>
    </w:p>
  </w:footnote>
  <w:footnote w:id="15">
    <w:p w:rsidR="008613AE" w:rsidRPr="00A9747B" w:rsidRDefault="008613AE" w:rsidP="00767F1B">
      <w:pPr>
        <w:pStyle w:val="FootnoteText"/>
      </w:pPr>
      <w:r>
        <w:rPr>
          <w:rStyle w:val="FootnoteReference"/>
        </w:rPr>
        <w:footnoteRef/>
      </w:r>
      <w:r>
        <w:t xml:space="preserve"> Κατ’ εξουσιοδότηση κανονισμός (ΕΕ) 2016/1401 της Επιτροπής, της 23ης Μαΐου 2016, για τη συμπλήρωση της οδηγίας 2014/59/ΕΕ του Ευρωπαϊκού Κοινοβουλίου και του Συμβουλίου για τη θέσπιση πλαισίου για την ανάκαμψη και την εξυγίανση πιστωτικών ιδρυμάτων και επιχειρήσεων επενδύσεων όσον αφορά ρυθμιστικά τεχνικά πρότυπα για τις μεθόδους και τις αρχές αποτίμησης των υποχρεώσεων που προκύπτουν από παράγωγα (ΕΕ L 228 της 23.8.2016, σ. 7).</w:t>
      </w:r>
    </w:p>
  </w:footnote>
  <w:footnote w:id="16">
    <w:p w:rsidR="008613AE" w:rsidRPr="00A9747B" w:rsidRDefault="008613AE" w:rsidP="00767F1B">
      <w:pPr>
        <w:pStyle w:val="FootnoteText"/>
      </w:pPr>
      <w:r>
        <w:rPr>
          <w:rStyle w:val="FootnoteReference"/>
        </w:rPr>
        <w:footnoteRef/>
      </w:r>
      <w:r>
        <w:t xml:space="preserve"> Κατ' εξουσιοδότηση κανονισμός (ΕΕ) 2016/778 της Επιτροπής, της 2ας Φεβρουαρίου 2016, για τη συμπλήρωση της οδηγίας 2014/59/ΕΕ του Ευρωπαϊκού Κοινοβουλίου και του Συμβουλίου όσον αφορά τις περιστάσεις και προϋποθέσεις υπό τις οποίες η καταβολή έκτακτων εκ των υστέρων εισφορών ενδέχεται να αναβληθεί, εξολοκλήρου ή εν μέρει, και σχετικά με τα κριτήρια για τον προσδιορισμό των δραστηριοτήτων, υπηρεσιών και λειτουργιών που αφορούν κρίσιμες λειτουργίες, και για τον προσδιορισμό των επιχειρηματικών τομέων και των συναφών υπηρεσιών που αφορούν βασικούς επιχειρηματικούς τομείς (ΕΕ L 131 της 20.5.2016, σ. 41).</w:t>
      </w:r>
    </w:p>
  </w:footnote>
  <w:footnote w:id="17">
    <w:p w:rsidR="008613AE" w:rsidRPr="00A9747B" w:rsidRDefault="008613AE" w:rsidP="00543060">
      <w:pPr>
        <w:pStyle w:val="FootnoteText"/>
      </w:pPr>
      <w:r>
        <w:rPr>
          <w:rStyle w:val="FootnoteReference"/>
        </w:rPr>
        <w:footnoteRef/>
      </w:r>
      <w:r>
        <w:t xml:space="preserve"> Οδηγία (ΕΕ) 2015/2366 του Ευρωπαϊκού Κοινοβουλίου και του Συμβουλίου, της 25ης Νοεμβρίου 2015, σχετικά με υπηρεσίες πληρωμών στην εσωτερική αγορά, την τροποποίηση των οδηγιών 2002/65/ΕΚ, 2009/110/ΕΚ, 2013/36/ΕΕ και του κανονισμού (ΕΕ) αριθ. 1093/2010 και την κατάργηση της οδηγίας 2007/64/ΕΚ (ΕΕ L 337 της 23.12.2015, σ. 35).</w:t>
      </w:r>
    </w:p>
  </w:footnote>
  <w:footnote w:id="18">
    <w:p w:rsidR="008613AE" w:rsidRPr="00A9747B" w:rsidRDefault="008613AE" w:rsidP="00543060">
      <w:pPr>
        <w:pStyle w:val="FootnoteText"/>
      </w:pPr>
      <w:r>
        <w:rPr>
          <w:rStyle w:val="FootnoteReference"/>
        </w:rPr>
        <w:footnoteRef/>
      </w:r>
      <w:r>
        <w:t xml:space="preserve"> Κανονισμός (ΕΕ) αριθ. 648/2012 του Ευρωπαϊκού Κοινοβουλίου και του Συμβουλίου, της 4ης Ιουλίου 2012, για τα εξωχρηματιστηριακά παράγωγα</w:t>
      </w:r>
      <w:r w:rsidR="00720BDD">
        <w:t>, τους κεντρικούς αντισυμβαλλομέ</w:t>
      </w:r>
      <w:r>
        <w:t>νους και τα αρχεία καταγραφής συναλλαγών (ΕΕ L 201 της 27.7.2012, σ.1).</w:t>
      </w:r>
    </w:p>
  </w:footnote>
  <w:footnote w:id="19">
    <w:p w:rsidR="008613AE" w:rsidRPr="00A9747B" w:rsidRDefault="008613AE" w:rsidP="00543060">
      <w:pPr>
        <w:pStyle w:val="FootnoteText"/>
      </w:pPr>
      <w:r>
        <w:rPr>
          <w:rStyle w:val="FootnoteReference"/>
        </w:rPr>
        <w:footnoteRef/>
      </w:r>
      <w:r>
        <w:t xml:space="preserve"> Οδηγία 2014/65/ΕΕ του Ευρωπαϊκού Κοινοβουλίου και του Συμβουλίου, της 15ης Μαΐου 2014, για τις αγορές χρηματοπιστωτικών μέσων και την τροποποίηση της οδηγίας 2002/92/ΕΚ και της οδηγίας 2011/61/ΕΕ (ΕΕ L 173 της 12.6.2014, σ. 349).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BDD" w:rsidRDefault="00720B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3AE" w:rsidRPr="00720BDD" w:rsidRDefault="00720BDD" w:rsidP="000E60D6">
    <w:pPr>
      <w:pStyle w:val="Header"/>
      <w:jc w:val="center"/>
      <w:rPr>
        <w:rFonts w:ascii="Times New Roman" w:hAnsi="Times New Roman" w:cs="Times New Roman"/>
        <w:lang w:val="en-GB"/>
      </w:rPr>
    </w:pPr>
    <w:r>
      <w:rPr>
        <w:rFonts w:ascii="Times New Roman" w:hAnsi="Times New Roman"/>
      </w:rPr>
      <w:t>E</w:t>
    </w:r>
    <w:r>
      <w:rPr>
        <w:rFonts w:ascii="Times New Roman" w:hAnsi="Times New Roman"/>
        <w:lang w:val="en-GB"/>
      </w:rPr>
      <w:t>L</w:t>
    </w:r>
  </w:p>
  <w:p w:rsidR="008613AE" w:rsidRPr="000E60D6" w:rsidRDefault="008613AE" w:rsidP="000E60D6">
    <w:pPr>
      <w:pStyle w:val="Header"/>
      <w:jc w:val="center"/>
      <w:rPr>
        <w:rFonts w:ascii="Times New Roman" w:hAnsi="Times New Roman" w:cs="Times New Roman"/>
      </w:rPr>
    </w:pPr>
    <w:r>
      <w:rPr>
        <w:rFonts w:ascii="Times New Roman" w:hAnsi="Times New Roman"/>
      </w:rPr>
      <w:t>ΠΑΡΑΡΤΗΜΑ II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BDD" w:rsidRDefault="00720B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A9F"/>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954F4"/>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23B3"/>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0BDD"/>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6C4"/>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13A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5912"/>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6F6"/>
    <w:rsid w:val="00A877DA"/>
    <w:rsid w:val="00A909D3"/>
    <w:rsid w:val="00A915CE"/>
    <w:rsid w:val="00A923F4"/>
    <w:rsid w:val="00A942B3"/>
    <w:rsid w:val="00A94CD3"/>
    <w:rsid w:val="00A954D8"/>
    <w:rsid w:val="00A95BC4"/>
    <w:rsid w:val="00A96D2C"/>
    <w:rsid w:val="00A9747B"/>
    <w:rsid w:val="00A97EB7"/>
    <w:rsid w:val="00AA05D1"/>
    <w:rsid w:val="00AA21C8"/>
    <w:rsid w:val="00AA2A99"/>
    <w:rsid w:val="00AA2B72"/>
    <w:rsid w:val="00AA3B83"/>
    <w:rsid w:val="00AA4026"/>
    <w:rsid w:val="00AA5502"/>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14B"/>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1B5F"/>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4F3B"/>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97169"/>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l-GR" w:bidi="el-G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el-GR"/>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el-GR"/>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el-GR"/>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el-GR"/>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el-GR"/>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el-GR"/>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el-GR"/>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el-GR"/>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el-GR"/>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el-GR"/>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el-GR"/>
    </w:rPr>
  </w:style>
  <w:style w:type="table" w:styleId="TableGrid">
    <w:name w:val="Table Grid"/>
    <w:basedOn w:val="TableProfessional"/>
    <w:uiPriority w:val="59"/>
    <w:rsid w:val="00E13CE3"/>
    <w:rPr>
      <w:sz w:val="20"/>
      <w:szCs w:val="20"/>
      <w:lang w:val="en-GB" w:eastAsia="en-GB"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el-GR"/>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el-GR"/>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el-GR"/>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el-GR"/>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el-GR"/>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el-GR"/>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el-GR" w:eastAsia="el-GR"/>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l-GR"/>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E1041-1108-493C-966D-B1CBA7BB8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45</Pages>
  <Words>16088</Words>
  <Characters>98781</Characters>
  <Application>Microsoft Office Word</Application>
  <DocSecurity>0</DocSecurity>
  <Lines>2147</Lines>
  <Paragraphs>1511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113358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STEFANOU Ioannis (DGT)</cp:lastModifiedBy>
  <cp:revision>12</cp:revision>
  <cp:lastPrinted>2017-10-06T17:28:00Z</cp:lastPrinted>
  <dcterms:created xsi:type="dcterms:W3CDTF">2018-09-18T08:30:00Z</dcterms:created>
  <dcterms:modified xsi:type="dcterms:W3CDTF">2018-09-20T16:24:00Z</dcterms:modified>
</cp:coreProperties>
</file>