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rPr>
        <w:t>II pielikums: norādījumi</w:t>
      </w:r>
    </w:p>
    <w:p w:rsidR="001E5EDF" w:rsidRPr="00D92B3C" w:rsidRDefault="001E5EDF" w:rsidP="001E5EDF">
      <w:pPr>
        <w:rPr>
          <w:rFonts w:ascii="Times New Roman" w:hAnsi="Times New Roman" w:cs="Times New Roman"/>
          <w:b/>
          <w:color w:val="000000" w:themeColor="text1"/>
          <w:sz w:val="20"/>
          <w:szCs w:val="20"/>
        </w:rPr>
      </w:pPr>
    </w:p>
    <w:p w:rsidR="001E5EDF" w:rsidRPr="00D92B3C" w:rsidRDefault="001E5EDF" w:rsidP="00385C06">
      <w:pPr>
        <w:rPr>
          <w:rFonts w:ascii="Times New Roman" w:hAnsi="Times New Roman" w:cs="Times New Roman"/>
          <w:b/>
          <w:color w:val="000000" w:themeColor="text1"/>
          <w:sz w:val="20"/>
          <w:szCs w:val="20"/>
        </w:rPr>
      </w:pPr>
    </w:p>
    <w:p w:rsidR="00A801B3" w:rsidRDefault="001D258F">
      <w:pPr>
        <w:pStyle w:val="TOC2"/>
        <w:rPr>
          <w:lang w:val="en-GB" w:eastAsia="en-GB" w:bidi="ar-SA"/>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525051138" w:history="1">
        <w:r w:rsidR="00A801B3" w:rsidRPr="00501F33">
          <w:rPr>
            <w:rStyle w:val="Hyperlink"/>
            <w:rFonts w:ascii="Times New Roman" w:hAnsi="Times New Roman" w:cs="Times New Roman"/>
          </w:rPr>
          <w:t>I.</w:t>
        </w:r>
        <w:r w:rsidR="00A801B3">
          <w:rPr>
            <w:lang w:val="en-GB" w:eastAsia="en-GB" w:bidi="ar-SA"/>
          </w:rPr>
          <w:tab/>
        </w:r>
        <w:r w:rsidR="00A801B3" w:rsidRPr="00501F33">
          <w:rPr>
            <w:rStyle w:val="Hyperlink"/>
            <w:rFonts w:ascii="Times New Roman" w:hAnsi="Times New Roman"/>
          </w:rPr>
          <w:t>Vispārīgie norādījumi</w:t>
        </w:r>
        <w:r w:rsidR="00A801B3">
          <w:rPr>
            <w:webHidden/>
          </w:rPr>
          <w:tab/>
        </w:r>
        <w:r w:rsidR="00A801B3">
          <w:rPr>
            <w:webHidden/>
          </w:rPr>
          <w:fldChar w:fldCharType="begin"/>
        </w:r>
        <w:r w:rsidR="00A801B3">
          <w:rPr>
            <w:webHidden/>
          </w:rPr>
          <w:instrText xml:space="preserve"> PAGEREF _Toc525051138 \h </w:instrText>
        </w:r>
        <w:r w:rsidR="00A801B3">
          <w:rPr>
            <w:webHidden/>
          </w:rPr>
        </w:r>
        <w:r w:rsidR="00A801B3">
          <w:rPr>
            <w:webHidden/>
          </w:rPr>
          <w:fldChar w:fldCharType="separate"/>
        </w:r>
        <w:r w:rsidR="00A801B3">
          <w:rPr>
            <w:webHidden/>
          </w:rPr>
          <w:t>2</w:t>
        </w:r>
        <w:r w:rsidR="00A801B3">
          <w:rPr>
            <w:webHidden/>
          </w:rPr>
          <w:fldChar w:fldCharType="end"/>
        </w:r>
      </w:hyperlink>
    </w:p>
    <w:p w:rsidR="00A801B3" w:rsidRDefault="00236F31">
      <w:pPr>
        <w:pStyle w:val="TOC2"/>
        <w:rPr>
          <w:lang w:val="en-GB" w:eastAsia="en-GB" w:bidi="ar-SA"/>
        </w:rPr>
      </w:pPr>
      <w:hyperlink w:anchor="_Toc525051139" w:history="1">
        <w:r w:rsidR="00A801B3" w:rsidRPr="00501F33">
          <w:rPr>
            <w:rStyle w:val="Hyperlink"/>
            <w:rFonts w:ascii="Times New Roman" w:hAnsi="Times New Roman" w:cs="Times New Roman"/>
          </w:rPr>
          <w:t>I.1</w:t>
        </w:r>
        <w:r w:rsidR="00A801B3">
          <w:rPr>
            <w:lang w:val="en-GB" w:eastAsia="en-GB" w:bidi="ar-SA"/>
          </w:rPr>
          <w:tab/>
        </w:r>
        <w:r w:rsidR="00A801B3" w:rsidRPr="00501F33">
          <w:rPr>
            <w:rStyle w:val="Hyperlink"/>
            <w:rFonts w:ascii="Times New Roman" w:hAnsi="Times New Roman"/>
          </w:rPr>
          <w:t>Struktūra</w:t>
        </w:r>
        <w:r w:rsidR="00A801B3">
          <w:rPr>
            <w:webHidden/>
          </w:rPr>
          <w:tab/>
        </w:r>
        <w:r w:rsidR="00A801B3">
          <w:rPr>
            <w:webHidden/>
          </w:rPr>
          <w:fldChar w:fldCharType="begin"/>
        </w:r>
        <w:r w:rsidR="00A801B3">
          <w:rPr>
            <w:webHidden/>
          </w:rPr>
          <w:instrText xml:space="preserve"> PAGEREF _Toc525051139 \h </w:instrText>
        </w:r>
        <w:r w:rsidR="00A801B3">
          <w:rPr>
            <w:webHidden/>
          </w:rPr>
        </w:r>
        <w:r w:rsidR="00A801B3">
          <w:rPr>
            <w:webHidden/>
          </w:rPr>
          <w:fldChar w:fldCharType="separate"/>
        </w:r>
        <w:r w:rsidR="00A801B3">
          <w:rPr>
            <w:webHidden/>
          </w:rPr>
          <w:t>2</w:t>
        </w:r>
        <w:r w:rsidR="00A801B3">
          <w:rPr>
            <w:webHidden/>
          </w:rPr>
          <w:fldChar w:fldCharType="end"/>
        </w:r>
      </w:hyperlink>
    </w:p>
    <w:p w:rsidR="00A801B3" w:rsidRDefault="00236F31">
      <w:pPr>
        <w:pStyle w:val="TOC2"/>
        <w:rPr>
          <w:lang w:val="en-GB" w:eastAsia="en-GB" w:bidi="ar-SA"/>
        </w:rPr>
      </w:pPr>
      <w:hyperlink w:anchor="_Toc525051140" w:history="1">
        <w:r w:rsidR="00A801B3" w:rsidRPr="00501F33">
          <w:rPr>
            <w:rStyle w:val="Hyperlink"/>
            <w:rFonts w:ascii="Times New Roman" w:hAnsi="Times New Roman" w:cs="Times New Roman"/>
          </w:rPr>
          <w:t>I.2</w:t>
        </w:r>
        <w:r w:rsidR="00A801B3">
          <w:rPr>
            <w:lang w:val="en-GB" w:eastAsia="en-GB" w:bidi="ar-SA"/>
          </w:rPr>
          <w:tab/>
        </w:r>
        <w:r w:rsidR="00A801B3" w:rsidRPr="00501F33">
          <w:rPr>
            <w:rStyle w:val="Hyperlink"/>
            <w:rFonts w:ascii="Times New Roman" w:hAnsi="Times New Roman"/>
          </w:rPr>
          <w:t>Atsauces</w:t>
        </w:r>
        <w:r w:rsidR="00A801B3">
          <w:rPr>
            <w:webHidden/>
          </w:rPr>
          <w:tab/>
        </w:r>
        <w:r w:rsidR="00A801B3">
          <w:rPr>
            <w:webHidden/>
          </w:rPr>
          <w:fldChar w:fldCharType="begin"/>
        </w:r>
        <w:r w:rsidR="00A801B3">
          <w:rPr>
            <w:webHidden/>
          </w:rPr>
          <w:instrText xml:space="preserve"> PAGEREF _Toc525051140 \h </w:instrText>
        </w:r>
        <w:r w:rsidR="00A801B3">
          <w:rPr>
            <w:webHidden/>
          </w:rPr>
        </w:r>
        <w:r w:rsidR="00A801B3">
          <w:rPr>
            <w:webHidden/>
          </w:rPr>
          <w:fldChar w:fldCharType="separate"/>
        </w:r>
        <w:r w:rsidR="00A801B3">
          <w:rPr>
            <w:webHidden/>
          </w:rPr>
          <w:t>2</w:t>
        </w:r>
        <w:r w:rsidR="00A801B3">
          <w:rPr>
            <w:webHidden/>
          </w:rPr>
          <w:fldChar w:fldCharType="end"/>
        </w:r>
      </w:hyperlink>
    </w:p>
    <w:p w:rsidR="00A801B3" w:rsidRDefault="00236F31">
      <w:pPr>
        <w:pStyle w:val="TOC2"/>
        <w:rPr>
          <w:lang w:val="en-GB" w:eastAsia="en-GB" w:bidi="ar-SA"/>
        </w:rPr>
      </w:pPr>
      <w:hyperlink w:anchor="_Toc525051141" w:history="1">
        <w:r w:rsidR="00A801B3" w:rsidRPr="00501F33">
          <w:rPr>
            <w:rStyle w:val="Hyperlink"/>
            <w:rFonts w:ascii="Times New Roman" w:hAnsi="Times New Roman" w:cs="Times New Roman"/>
          </w:rPr>
          <w:t>I.3</w:t>
        </w:r>
        <w:r w:rsidR="00A801B3">
          <w:rPr>
            <w:lang w:val="en-GB" w:eastAsia="en-GB" w:bidi="ar-SA"/>
          </w:rPr>
          <w:tab/>
        </w:r>
        <w:r w:rsidR="00A801B3" w:rsidRPr="00501F33">
          <w:rPr>
            <w:rStyle w:val="Hyperlink"/>
            <w:rFonts w:ascii="Times New Roman" w:hAnsi="Times New Roman"/>
          </w:rPr>
          <w:t>Grāmatvedības standarti</w:t>
        </w:r>
        <w:r w:rsidR="00A801B3">
          <w:rPr>
            <w:webHidden/>
          </w:rPr>
          <w:tab/>
        </w:r>
        <w:r w:rsidR="00A801B3">
          <w:rPr>
            <w:webHidden/>
          </w:rPr>
          <w:fldChar w:fldCharType="begin"/>
        </w:r>
        <w:r w:rsidR="00A801B3">
          <w:rPr>
            <w:webHidden/>
          </w:rPr>
          <w:instrText xml:space="preserve"> PAGEREF _Toc525051141 \h </w:instrText>
        </w:r>
        <w:r w:rsidR="00A801B3">
          <w:rPr>
            <w:webHidden/>
          </w:rPr>
        </w:r>
        <w:r w:rsidR="00A801B3">
          <w:rPr>
            <w:webHidden/>
          </w:rPr>
          <w:fldChar w:fldCharType="separate"/>
        </w:r>
        <w:r w:rsidR="00A801B3">
          <w:rPr>
            <w:webHidden/>
          </w:rPr>
          <w:t>3</w:t>
        </w:r>
        <w:r w:rsidR="00A801B3">
          <w:rPr>
            <w:webHidden/>
          </w:rPr>
          <w:fldChar w:fldCharType="end"/>
        </w:r>
      </w:hyperlink>
    </w:p>
    <w:p w:rsidR="00A801B3" w:rsidRDefault="00236F31">
      <w:pPr>
        <w:pStyle w:val="TOC2"/>
        <w:rPr>
          <w:lang w:val="en-GB" w:eastAsia="en-GB" w:bidi="ar-SA"/>
        </w:rPr>
      </w:pPr>
      <w:hyperlink w:anchor="_Toc525051142" w:history="1">
        <w:r w:rsidR="00A801B3" w:rsidRPr="00501F33">
          <w:rPr>
            <w:rStyle w:val="Hyperlink"/>
            <w:rFonts w:ascii="Times New Roman" w:hAnsi="Times New Roman" w:cs="Times New Roman"/>
          </w:rPr>
          <w:t>I.4</w:t>
        </w:r>
        <w:r w:rsidR="00A801B3">
          <w:rPr>
            <w:lang w:val="en-GB" w:eastAsia="en-GB" w:bidi="ar-SA"/>
          </w:rPr>
          <w:tab/>
        </w:r>
        <w:r w:rsidR="00A801B3" w:rsidRPr="00501F33">
          <w:rPr>
            <w:rStyle w:val="Hyperlink"/>
            <w:rFonts w:ascii="Times New Roman" w:hAnsi="Times New Roman"/>
          </w:rPr>
          <w:t>Konsolidācijas tvērums</w:t>
        </w:r>
        <w:r w:rsidR="00A801B3">
          <w:rPr>
            <w:webHidden/>
          </w:rPr>
          <w:tab/>
        </w:r>
        <w:r w:rsidR="00A801B3">
          <w:rPr>
            <w:webHidden/>
          </w:rPr>
          <w:fldChar w:fldCharType="begin"/>
        </w:r>
        <w:r w:rsidR="00A801B3">
          <w:rPr>
            <w:webHidden/>
          </w:rPr>
          <w:instrText xml:space="preserve"> PAGEREF _Toc525051142 \h </w:instrText>
        </w:r>
        <w:r w:rsidR="00A801B3">
          <w:rPr>
            <w:webHidden/>
          </w:rPr>
        </w:r>
        <w:r w:rsidR="00A801B3">
          <w:rPr>
            <w:webHidden/>
          </w:rPr>
          <w:fldChar w:fldCharType="separate"/>
        </w:r>
        <w:r w:rsidR="00A801B3">
          <w:rPr>
            <w:webHidden/>
          </w:rPr>
          <w:t>3</w:t>
        </w:r>
        <w:r w:rsidR="00A801B3">
          <w:rPr>
            <w:webHidden/>
          </w:rPr>
          <w:fldChar w:fldCharType="end"/>
        </w:r>
      </w:hyperlink>
    </w:p>
    <w:p w:rsidR="00A801B3" w:rsidRDefault="00236F31">
      <w:pPr>
        <w:pStyle w:val="TOC2"/>
        <w:rPr>
          <w:lang w:val="en-GB" w:eastAsia="en-GB" w:bidi="ar-SA"/>
        </w:rPr>
      </w:pPr>
      <w:hyperlink w:anchor="_Toc525051143" w:history="1">
        <w:r w:rsidR="00A801B3" w:rsidRPr="00501F33">
          <w:rPr>
            <w:rStyle w:val="Hyperlink"/>
            <w:rFonts w:ascii="Times New Roman" w:hAnsi="Times New Roman" w:cs="Times New Roman"/>
          </w:rPr>
          <w:t>I.5</w:t>
        </w:r>
        <w:r w:rsidR="00A801B3">
          <w:rPr>
            <w:lang w:val="en-GB" w:eastAsia="en-GB" w:bidi="ar-SA"/>
          </w:rPr>
          <w:tab/>
        </w:r>
        <w:r w:rsidR="00A801B3" w:rsidRPr="00501F33">
          <w:rPr>
            <w:rStyle w:val="Hyperlink"/>
            <w:rFonts w:ascii="Times New Roman" w:hAnsi="Times New Roman"/>
          </w:rPr>
          <w:t>Numerācija un citas konvencijas</w:t>
        </w:r>
        <w:r w:rsidR="00A801B3">
          <w:rPr>
            <w:webHidden/>
          </w:rPr>
          <w:tab/>
        </w:r>
        <w:r w:rsidR="00A801B3">
          <w:rPr>
            <w:webHidden/>
          </w:rPr>
          <w:fldChar w:fldCharType="begin"/>
        </w:r>
        <w:r w:rsidR="00A801B3">
          <w:rPr>
            <w:webHidden/>
          </w:rPr>
          <w:instrText xml:space="preserve"> PAGEREF _Toc525051143 \h </w:instrText>
        </w:r>
        <w:r w:rsidR="00A801B3">
          <w:rPr>
            <w:webHidden/>
          </w:rPr>
        </w:r>
        <w:r w:rsidR="00A801B3">
          <w:rPr>
            <w:webHidden/>
          </w:rPr>
          <w:fldChar w:fldCharType="separate"/>
        </w:r>
        <w:r w:rsidR="00A801B3">
          <w:rPr>
            <w:webHidden/>
          </w:rPr>
          <w:t>4</w:t>
        </w:r>
        <w:r w:rsidR="00A801B3">
          <w:rPr>
            <w:webHidden/>
          </w:rPr>
          <w:fldChar w:fldCharType="end"/>
        </w:r>
      </w:hyperlink>
    </w:p>
    <w:p w:rsidR="00A801B3" w:rsidRDefault="00236F31">
      <w:pPr>
        <w:pStyle w:val="TOC2"/>
        <w:rPr>
          <w:lang w:val="en-GB" w:eastAsia="en-GB" w:bidi="ar-SA"/>
        </w:rPr>
      </w:pPr>
      <w:hyperlink w:anchor="_Toc525051144" w:history="1">
        <w:r w:rsidR="00A801B3" w:rsidRPr="00501F33">
          <w:rPr>
            <w:rStyle w:val="Hyperlink"/>
            <w:rFonts w:ascii="Times New Roman" w:hAnsi="Times New Roman" w:cs="Times New Roman"/>
          </w:rPr>
          <w:t>II.</w:t>
        </w:r>
        <w:r w:rsidR="00A801B3">
          <w:rPr>
            <w:lang w:val="en-GB" w:eastAsia="en-GB" w:bidi="ar-SA"/>
          </w:rPr>
          <w:tab/>
        </w:r>
        <w:r w:rsidR="00A801B3" w:rsidRPr="00501F33">
          <w:rPr>
            <w:rStyle w:val="Hyperlink"/>
            <w:rFonts w:ascii="Times New Roman" w:hAnsi="Times New Roman"/>
          </w:rPr>
          <w:t>Norādījumi saistībā ar veidnēm</w:t>
        </w:r>
        <w:r w:rsidR="00A801B3">
          <w:rPr>
            <w:webHidden/>
          </w:rPr>
          <w:tab/>
        </w:r>
        <w:r w:rsidR="00A801B3">
          <w:rPr>
            <w:webHidden/>
          </w:rPr>
          <w:fldChar w:fldCharType="begin"/>
        </w:r>
        <w:r w:rsidR="00A801B3">
          <w:rPr>
            <w:webHidden/>
          </w:rPr>
          <w:instrText xml:space="preserve"> PAGEREF _Toc525051144 \h </w:instrText>
        </w:r>
        <w:r w:rsidR="00A801B3">
          <w:rPr>
            <w:webHidden/>
          </w:rPr>
        </w:r>
        <w:r w:rsidR="00A801B3">
          <w:rPr>
            <w:webHidden/>
          </w:rPr>
          <w:fldChar w:fldCharType="separate"/>
        </w:r>
        <w:r w:rsidR="00A801B3">
          <w:rPr>
            <w:webHidden/>
          </w:rPr>
          <w:t>4</w:t>
        </w:r>
        <w:r w:rsidR="00A801B3">
          <w:rPr>
            <w:webHidden/>
          </w:rPr>
          <w:fldChar w:fldCharType="end"/>
        </w:r>
      </w:hyperlink>
    </w:p>
    <w:p w:rsidR="00A801B3" w:rsidRDefault="00236F31">
      <w:pPr>
        <w:pStyle w:val="TOC2"/>
        <w:rPr>
          <w:lang w:val="en-GB" w:eastAsia="en-GB" w:bidi="ar-SA"/>
        </w:rPr>
      </w:pPr>
      <w:hyperlink w:anchor="_Toc525051145" w:history="1">
        <w:r w:rsidR="00A801B3" w:rsidRPr="00501F33">
          <w:rPr>
            <w:rStyle w:val="Hyperlink"/>
            <w:rFonts w:ascii="Times New Roman" w:hAnsi="Times New Roman" w:cs="Times New Roman"/>
          </w:rPr>
          <w:t>II.1</w:t>
        </w:r>
        <w:r w:rsidR="00A801B3">
          <w:rPr>
            <w:lang w:val="en-GB" w:eastAsia="en-GB" w:bidi="ar-SA"/>
          </w:rPr>
          <w:tab/>
        </w:r>
        <w:r w:rsidR="00A801B3" w:rsidRPr="00501F33">
          <w:rPr>
            <w:rStyle w:val="Hyperlink"/>
            <w:rFonts w:ascii="Times New Roman" w:hAnsi="Times New Roman"/>
          </w:rPr>
          <w:t>Z 01.00 — organizatoriskā struktūra (</w:t>
        </w:r>
        <w:r w:rsidR="00A801B3" w:rsidRPr="00501F33">
          <w:rPr>
            <w:rStyle w:val="Hyperlink"/>
            <w:rFonts w:ascii="Times New Roman" w:hAnsi="Times New Roman"/>
            <w:i/>
          </w:rPr>
          <w:t>ORG</w:t>
        </w:r>
        <w:r w:rsidR="00A801B3" w:rsidRPr="00501F33">
          <w:rPr>
            <w:rStyle w:val="Hyperlink"/>
            <w:rFonts w:ascii="Times New Roman" w:hAnsi="Times New Roman"/>
          </w:rPr>
          <w:t>)</w:t>
        </w:r>
        <w:r w:rsidR="00A801B3">
          <w:rPr>
            <w:webHidden/>
          </w:rPr>
          <w:tab/>
        </w:r>
        <w:r w:rsidR="00A801B3">
          <w:rPr>
            <w:webHidden/>
          </w:rPr>
          <w:fldChar w:fldCharType="begin"/>
        </w:r>
        <w:r w:rsidR="00A801B3">
          <w:rPr>
            <w:webHidden/>
          </w:rPr>
          <w:instrText xml:space="preserve"> PAGEREF _Toc525051145 \h </w:instrText>
        </w:r>
        <w:r w:rsidR="00A801B3">
          <w:rPr>
            <w:webHidden/>
          </w:rPr>
        </w:r>
        <w:r w:rsidR="00A801B3">
          <w:rPr>
            <w:webHidden/>
          </w:rPr>
          <w:fldChar w:fldCharType="separate"/>
        </w:r>
        <w:r w:rsidR="00A801B3">
          <w:rPr>
            <w:webHidden/>
          </w:rPr>
          <w:t>4</w:t>
        </w:r>
        <w:r w:rsidR="00A801B3">
          <w:rPr>
            <w:webHidden/>
          </w:rPr>
          <w:fldChar w:fldCharType="end"/>
        </w:r>
      </w:hyperlink>
    </w:p>
    <w:p w:rsidR="00A801B3" w:rsidRDefault="00236F31">
      <w:pPr>
        <w:pStyle w:val="TOC2"/>
        <w:rPr>
          <w:lang w:val="en-GB" w:eastAsia="en-GB" w:bidi="ar-SA"/>
        </w:rPr>
      </w:pPr>
      <w:hyperlink w:anchor="_Toc525051146" w:history="1">
        <w:r w:rsidR="00A801B3" w:rsidRPr="00501F33">
          <w:rPr>
            <w:rStyle w:val="Hyperlink"/>
            <w:rFonts w:ascii="Times New Roman" w:hAnsi="Times New Roman" w:cs="Times New Roman"/>
          </w:rPr>
          <w:t>II.2</w:t>
        </w:r>
        <w:r w:rsidR="00A801B3">
          <w:rPr>
            <w:lang w:val="en-GB" w:eastAsia="en-GB" w:bidi="ar-SA"/>
          </w:rPr>
          <w:tab/>
        </w:r>
        <w:r w:rsidR="00A801B3" w:rsidRPr="00501F33">
          <w:rPr>
            <w:rStyle w:val="Hyperlink"/>
            <w:rFonts w:ascii="Times New Roman" w:hAnsi="Times New Roman"/>
          </w:rPr>
          <w:t>Z 02.00 — saistību struktūra (</w:t>
        </w:r>
        <w:r w:rsidR="00A801B3" w:rsidRPr="00501F33">
          <w:rPr>
            <w:rStyle w:val="Hyperlink"/>
            <w:rFonts w:ascii="Times New Roman" w:hAnsi="Times New Roman"/>
            <w:i/>
          </w:rPr>
          <w:t>LIAB</w:t>
        </w:r>
        <w:r w:rsidR="00A801B3" w:rsidRPr="00501F33">
          <w:rPr>
            <w:rStyle w:val="Hyperlink"/>
            <w:rFonts w:ascii="Times New Roman" w:hAnsi="Times New Roman"/>
          </w:rPr>
          <w:t>)</w:t>
        </w:r>
        <w:r w:rsidR="00A801B3">
          <w:rPr>
            <w:webHidden/>
          </w:rPr>
          <w:tab/>
        </w:r>
        <w:r w:rsidR="00A801B3">
          <w:rPr>
            <w:webHidden/>
          </w:rPr>
          <w:fldChar w:fldCharType="begin"/>
        </w:r>
        <w:r w:rsidR="00A801B3">
          <w:rPr>
            <w:webHidden/>
          </w:rPr>
          <w:instrText xml:space="preserve"> PAGEREF _Toc525051146 \h </w:instrText>
        </w:r>
        <w:r w:rsidR="00A801B3">
          <w:rPr>
            <w:webHidden/>
          </w:rPr>
        </w:r>
        <w:r w:rsidR="00A801B3">
          <w:rPr>
            <w:webHidden/>
          </w:rPr>
          <w:fldChar w:fldCharType="separate"/>
        </w:r>
        <w:r w:rsidR="00A801B3">
          <w:rPr>
            <w:webHidden/>
          </w:rPr>
          <w:t>7</w:t>
        </w:r>
        <w:r w:rsidR="00A801B3">
          <w:rPr>
            <w:webHidden/>
          </w:rPr>
          <w:fldChar w:fldCharType="end"/>
        </w:r>
      </w:hyperlink>
    </w:p>
    <w:p w:rsidR="00A801B3" w:rsidRDefault="00236F31">
      <w:pPr>
        <w:pStyle w:val="TOC2"/>
        <w:rPr>
          <w:lang w:val="en-GB" w:eastAsia="en-GB" w:bidi="ar-SA"/>
        </w:rPr>
      </w:pPr>
      <w:hyperlink w:anchor="_Toc525051147" w:history="1">
        <w:r w:rsidR="00A801B3" w:rsidRPr="00501F33">
          <w:rPr>
            <w:rStyle w:val="Hyperlink"/>
            <w:rFonts w:ascii="Times New Roman" w:hAnsi="Times New Roman" w:cs="Times New Roman"/>
          </w:rPr>
          <w:t>II.3</w:t>
        </w:r>
        <w:r w:rsidR="00A801B3">
          <w:rPr>
            <w:lang w:val="en-GB" w:eastAsia="en-GB" w:bidi="ar-SA"/>
          </w:rPr>
          <w:tab/>
        </w:r>
        <w:r w:rsidR="00A801B3" w:rsidRPr="00501F33">
          <w:rPr>
            <w:rStyle w:val="Hyperlink"/>
            <w:rFonts w:ascii="Times New Roman" w:hAnsi="Times New Roman"/>
          </w:rPr>
          <w:t>Z 03.00 — pašu kapitāla prasības (</w:t>
        </w:r>
        <w:r w:rsidR="00A801B3" w:rsidRPr="00501F33">
          <w:rPr>
            <w:rStyle w:val="Hyperlink"/>
            <w:rFonts w:ascii="Times New Roman" w:hAnsi="Times New Roman"/>
            <w:i/>
          </w:rPr>
          <w:t>OWN</w:t>
        </w:r>
        <w:r w:rsidR="00A801B3" w:rsidRPr="00501F33">
          <w:rPr>
            <w:rStyle w:val="Hyperlink"/>
            <w:rFonts w:ascii="Times New Roman" w:hAnsi="Times New Roman"/>
          </w:rPr>
          <w:t>)</w:t>
        </w:r>
        <w:r w:rsidR="00A801B3">
          <w:rPr>
            <w:webHidden/>
          </w:rPr>
          <w:tab/>
        </w:r>
        <w:r w:rsidR="00A801B3">
          <w:rPr>
            <w:webHidden/>
          </w:rPr>
          <w:fldChar w:fldCharType="begin"/>
        </w:r>
        <w:r w:rsidR="00A801B3">
          <w:rPr>
            <w:webHidden/>
          </w:rPr>
          <w:instrText xml:space="preserve"> PAGEREF _Toc525051147 \h </w:instrText>
        </w:r>
        <w:r w:rsidR="00A801B3">
          <w:rPr>
            <w:webHidden/>
          </w:rPr>
        </w:r>
        <w:r w:rsidR="00A801B3">
          <w:rPr>
            <w:webHidden/>
          </w:rPr>
          <w:fldChar w:fldCharType="separate"/>
        </w:r>
        <w:r w:rsidR="00A801B3">
          <w:rPr>
            <w:webHidden/>
          </w:rPr>
          <w:t>13</w:t>
        </w:r>
        <w:r w:rsidR="00A801B3">
          <w:rPr>
            <w:webHidden/>
          </w:rPr>
          <w:fldChar w:fldCharType="end"/>
        </w:r>
      </w:hyperlink>
    </w:p>
    <w:p w:rsidR="00A801B3" w:rsidRDefault="00236F31">
      <w:pPr>
        <w:pStyle w:val="TOC2"/>
        <w:rPr>
          <w:lang w:val="en-GB" w:eastAsia="en-GB" w:bidi="ar-SA"/>
        </w:rPr>
      </w:pPr>
      <w:hyperlink w:anchor="_Toc525051148" w:history="1">
        <w:r w:rsidR="00A801B3" w:rsidRPr="00501F33">
          <w:rPr>
            <w:rStyle w:val="Hyperlink"/>
            <w:rFonts w:ascii="Times New Roman" w:hAnsi="Times New Roman" w:cs="Times New Roman"/>
          </w:rPr>
          <w:t>II.4</w:t>
        </w:r>
        <w:r w:rsidR="00A801B3">
          <w:rPr>
            <w:lang w:val="en-GB" w:eastAsia="en-GB" w:bidi="ar-SA"/>
          </w:rPr>
          <w:tab/>
        </w:r>
        <w:r w:rsidR="00A801B3" w:rsidRPr="00501F33">
          <w:rPr>
            <w:rStyle w:val="Hyperlink"/>
            <w:rFonts w:ascii="Times New Roman" w:hAnsi="Times New Roman"/>
          </w:rPr>
          <w:t>Z 04.00 — grupas iekšējās finansiālās saiknes (</w:t>
        </w:r>
        <w:r w:rsidR="00A801B3" w:rsidRPr="00501F33">
          <w:rPr>
            <w:rStyle w:val="Hyperlink"/>
            <w:rFonts w:ascii="Times New Roman" w:hAnsi="Times New Roman"/>
            <w:i/>
          </w:rPr>
          <w:t>IFC</w:t>
        </w:r>
        <w:r w:rsidR="00A801B3" w:rsidRPr="00501F33">
          <w:rPr>
            <w:rStyle w:val="Hyperlink"/>
            <w:rFonts w:ascii="Times New Roman" w:hAnsi="Times New Roman"/>
          </w:rPr>
          <w:t>)</w:t>
        </w:r>
        <w:r w:rsidR="00A801B3">
          <w:rPr>
            <w:webHidden/>
          </w:rPr>
          <w:tab/>
        </w:r>
        <w:r w:rsidR="00A801B3">
          <w:rPr>
            <w:webHidden/>
          </w:rPr>
          <w:fldChar w:fldCharType="begin"/>
        </w:r>
        <w:r w:rsidR="00A801B3">
          <w:rPr>
            <w:webHidden/>
          </w:rPr>
          <w:instrText xml:space="preserve"> PAGEREF _Toc525051148 \h </w:instrText>
        </w:r>
        <w:r w:rsidR="00A801B3">
          <w:rPr>
            <w:webHidden/>
          </w:rPr>
        </w:r>
        <w:r w:rsidR="00A801B3">
          <w:rPr>
            <w:webHidden/>
          </w:rPr>
          <w:fldChar w:fldCharType="separate"/>
        </w:r>
        <w:r w:rsidR="00A801B3">
          <w:rPr>
            <w:webHidden/>
          </w:rPr>
          <w:t>17</w:t>
        </w:r>
        <w:r w:rsidR="00A801B3">
          <w:rPr>
            <w:webHidden/>
          </w:rPr>
          <w:fldChar w:fldCharType="end"/>
        </w:r>
      </w:hyperlink>
    </w:p>
    <w:p w:rsidR="00A801B3" w:rsidRDefault="00236F31">
      <w:pPr>
        <w:pStyle w:val="TOC2"/>
        <w:rPr>
          <w:lang w:val="en-GB" w:eastAsia="en-GB" w:bidi="ar-SA"/>
        </w:rPr>
      </w:pPr>
      <w:hyperlink w:anchor="_Toc525051149" w:history="1">
        <w:r w:rsidR="00A801B3" w:rsidRPr="00501F33">
          <w:rPr>
            <w:rStyle w:val="Hyperlink"/>
            <w:rFonts w:ascii="Times New Roman" w:hAnsi="Times New Roman" w:cs="Times New Roman"/>
          </w:rPr>
          <w:t>II.5</w:t>
        </w:r>
        <w:r w:rsidR="00A801B3">
          <w:rPr>
            <w:lang w:val="en-GB" w:eastAsia="en-GB" w:bidi="ar-SA"/>
          </w:rPr>
          <w:tab/>
        </w:r>
        <w:r w:rsidR="00A801B3" w:rsidRPr="00501F33">
          <w:rPr>
            <w:rStyle w:val="Hyperlink"/>
            <w:rFonts w:ascii="Times New Roman" w:hAnsi="Times New Roman"/>
          </w:rPr>
          <w:t>Z 05.01 un Z 05.02 — nozīmīgākie darījumi partneri (</w:t>
        </w:r>
        <w:r w:rsidR="00A801B3" w:rsidRPr="00501F33">
          <w:rPr>
            <w:rStyle w:val="Hyperlink"/>
            <w:rFonts w:ascii="Times New Roman" w:hAnsi="Times New Roman"/>
            <w:i/>
          </w:rPr>
          <w:t>MCP</w:t>
        </w:r>
        <w:r w:rsidR="00A801B3" w:rsidRPr="00501F33">
          <w:rPr>
            <w:rStyle w:val="Hyperlink"/>
            <w:rFonts w:ascii="Times New Roman" w:hAnsi="Times New Roman"/>
          </w:rPr>
          <w:t>)</w:t>
        </w:r>
        <w:r w:rsidR="00A801B3">
          <w:rPr>
            <w:webHidden/>
          </w:rPr>
          <w:tab/>
        </w:r>
        <w:r w:rsidR="00A801B3">
          <w:rPr>
            <w:webHidden/>
          </w:rPr>
          <w:fldChar w:fldCharType="begin"/>
        </w:r>
        <w:r w:rsidR="00A801B3">
          <w:rPr>
            <w:webHidden/>
          </w:rPr>
          <w:instrText xml:space="preserve"> PAGEREF _Toc525051149 \h </w:instrText>
        </w:r>
        <w:r w:rsidR="00A801B3">
          <w:rPr>
            <w:webHidden/>
          </w:rPr>
        </w:r>
        <w:r w:rsidR="00A801B3">
          <w:rPr>
            <w:webHidden/>
          </w:rPr>
          <w:fldChar w:fldCharType="separate"/>
        </w:r>
        <w:r w:rsidR="00A801B3">
          <w:rPr>
            <w:webHidden/>
          </w:rPr>
          <w:t>19</w:t>
        </w:r>
        <w:r w:rsidR="00A801B3">
          <w:rPr>
            <w:webHidden/>
          </w:rPr>
          <w:fldChar w:fldCharType="end"/>
        </w:r>
      </w:hyperlink>
    </w:p>
    <w:p w:rsidR="00A801B3" w:rsidRDefault="00236F31">
      <w:pPr>
        <w:pStyle w:val="TOC2"/>
        <w:rPr>
          <w:lang w:val="en-GB" w:eastAsia="en-GB" w:bidi="ar-SA"/>
        </w:rPr>
      </w:pPr>
      <w:hyperlink w:anchor="_Toc525051150" w:history="1">
        <w:r w:rsidR="00A801B3" w:rsidRPr="00501F33">
          <w:rPr>
            <w:rStyle w:val="Hyperlink"/>
            <w:rFonts w:ascii="Times New Roman" w:hAnsi="Times New Roman" w:cs="Times New Roman"/>
          </w:rPr>
          <w:t>II.6</w:t>
        </w:r>
        <w:r w:rsidR="00A801B3">
          <w:rPr>
            <w:lang w:val="en-GB" w:eastAsia="en-GB" w:bidi="ar-SA"/>
          </w:rPr>
          <w:tab/>
        </w:r>
        <w:r w:rsidR="00A801B3" w:rsidRPr="00501F33">
          <w:rPr>
            <w:rStyle w:val="Hyperlink"/>
            <w:rFonts w:ascii="Times New Roman" w:hAnsi="Times New Roman"/>
          </w:rPr>
          <w:t>Z 06.00 — noguldījumu apdrošināšana (</w:t>
        </w:r>
        <w:r w:rsidR="00A801B3" w:rsidRPr="00501F33">
          <w:rPr>
            <w:rStyle w:val="Hyperlink"/>
            <w:rFonts w:ascii="Times New Roman" w:hAnsi="Times New Roman"/>
            <w:i/>
          </w:rPr>
          <w:t>DIS</w:t>
        </w:r>
        <w:r w:rsidR="00A801B3" w:rsidRPr="00501F33">
          <w:rPr>
            <w:rStyle w:val="Hyperlink"/>
            <w:rFonts w:ascii="Times New Roman" w:hAnsi="Times New Roman"/>
          </w:rPr>
          <w:t>)</w:t>
        </w:r>
        <w:r w:rsidR="00A801B3">
          <w:rPr>
            <w:webHidden/>
          </w:rPr>
          <w:tab/>
        </w:r>
        <w:r w:rsidR="00A801B3">
          <w:rPr>
            <w:webHidden/>
          </w:rPr>
          <w:fldChar w:fldCharType="begin"/>
        </w:r>
        <w:r w:rsidR="00A801B3">
          <w:rPr>
            <w:webHidden/>
          </w:rPr>
          <w:instrText xml:space="preserve"> PAGEREF _Toc525051150 \h </w:instrText>
        </w:r>
        <w:r w:rsidR="00A801B3">
          <w:rPr>
            <w:webHidden/>
          </w:rPr>
        </w:r>
        <w:r w:rsidR="00A801B3">
          <w:rPr>
            <w:webHidden/>
          </w:rPr>
          <w:fldChar w:fldCharType="separate"/>
        </w:r>
        <w:r w:rsidR="00A801B3">
          <w:rPr>
            <w:webHidden/>
          </w:rPr>
          <w:t>22</w:t>
        </w:r>
        <w:r w:rsidR="00A801B3">
          <w:rPr>
            <w:webHidden/>
          </w:rPr>
          <w:fldChar w:fldCharType="end"/>
        </w:r>
      </w:hyperlink>
    </w:p>
    <w:p w:rsidR="00A801B3" w:rsidRDefault="00236F31">
      <w:pPr>
        <w:pStyle w:val="TOC2"/>
        <w:rPr>
          <w:lang w:val="en-GB" w:eastAsia="en-GB" w:bidi="ar-SA"/>
        </w:rPr>
      </w:pPr>
      <w:hyperlink w:anchor="_Toc525051151" w:history="1">
        <w:r w:rsidR="00A801B3" w:rsidRPr="00501F33">
          <w:rPr>
            <w:rStyle w:val="Hyperlink"/>
            <w:rFonts w:ascii="Times New Roman" w:hAnsi="Times New Roman" w:cs="Times New Roman"/>
          </w:rPr>
          <w:t>II.7</w:t>
        </w:r>
        <w:r w:rsidR="00A801B3">
          <w:rPr>
            <w:lang w:val="en-GB" w:eastAsia="en-GB" w:bidi="ar-SA"/>
          </w:rPr>
          <w:tab/>
        </w:r>
        <w:r w:rsidR="00A801B3" w:rsidRPr="00501F33">
          <w:rPr>
            <w:rStyle w:val="Hyperlink"/>
            <w:rFonts w:ascii="Times New Roman" w:hAnsi="Times New Roman"/>
          </w:rPr>
          <w:t>Kritiski svarīgas funkcijas un pamatdarbības virzieni (galvenās darbības jomas)</w:t>
        </w:r>
        <w:r w:rsidR="00A801B3">
          <w:rPr>
            <w:webHidden/>
          </w:rPr>
          <w:tab/>
        </w:r>
        <w:r w:rsidR="00A801B3">
          <w:rPr>
            <w:webHidden/>
          </w:rPr>
          <w:fldChar w:fldCharType="begin"/>
        </w:r>
        <w:r w:rsidR="00A801B3">
          <w:rPr>
            <w:webHidden/>
          </w:rPr>
          <w:instrText xml:space="preserve"> PAGEREF _Toc525051151 \h </w:instrText>
        </w:r>
        <w:r w:rsidR="00A801B3">
          <w:rPr>
            <w:webHidden/>
          </w:rPr>
        </w:r>
        <w:r w:rsidR="00A801B3">
          <w:rPr>
            <w:webHidden/>
          </w:rPr>
          <w:fldChar w:fldCharType="separate"/>
        </w:r>
        <w:r w:rsidR="00A801B3">
          <w:rPr>
            <w:webHidden/>
          </w:rPr>
          <w:t>24</w:t>
        </w:r>
        <w:r w:rsidR="00A801B3">
          <w:rPr>
            <w:webHidden/>
          </w:rPr>
          <w:fldChar w:fldCharType="end"/>
        </w:r>
      </w:hyperlink>
    </w:p>
    <w:p w:rsidR="00A801B3" w:rsidRDefault="00236F31">
      <w:pPr>
        <w:pStyle w:val="TOC2"/>
        <w:rPr>
          <w:lang w:val="en-GB" w:eastAsia="en-GB" w:bidi="ar-SA"/>
        </w:rPr>
      </w:pPr>
      <w:hyperlink w:anchor="_Toc525051152" w:history="1">
        <w:r w:rsidR="00A801B3" w:rsidRPr="00501F33">
          <w:rPr>
            <w:rStyle w:val="Hyperlink"/>
            <w:rFonts w:ascii="Times New Roman" w:hAnsi="Times New Roman" w:cs="Times New Roman"/>
          </w:rPr>
          <w:t>II.8</w:t>
        </w:r>
        <w:r w:rsidR="00A801B3">
          <w:rPr>
            <w:lang w:val="en-GB" w:eastAsia="en-GB" w:bidi="ar-SA"/>
          </w:rPr>
          <w:tab/>
        </w:r>
        <w:r w:rsidR="00A801B3" w:rsidRPr="00501F33">
          <w:rPr>
            <w:rStyle w:val="Hyperlink"/>
            <w:rFonts w:ascii="Times New Roman" w:hAnsi="Times New Roman"/>
          </w:rPr>
          <w:t>Z 08.00 — kritiski svarīgi pakalpojumi (</w:t>
        </w:r>
        <w:r w:rsidR="00A801B3" w:rsidRPr="00501F33">
          <w:rPr>
            <w:rStyle w:val="Hyperlink"/>
            <w:rFonts w:ascii="Times New Roman" w:hAnsi="Times New Roman"/>
            <w:i/>
          </w:rPr>
          <w:t>SERV</w:t>
        </w:r>
        <w:r w:rsidR="00A801B3" w:rsidRPr="00501F33">
          <w:rPr>
            <w:rStyle w:val="Hyperlink"/>
            <w:rFonts w:ascii="Times New Roman" w:hAnsi="Times New Roman"/>
          </w:rPr>
          <w:t>)</w:t>
        </w:r>
        <w:r w:rsidR="00A801B3">
          <w:rPr>
            <w:webHidden/>
          </w:rPr>
          <w:tab/>
        </w:r>
        <w:r w:rsidR="00A801B3">
          <w:rPr>
            <w:webHidden/>
          </w:rPr>
          <w:fldChar w:fldCharType="begin"/>
        </w:r>
        <w:r w:rsidR="00A801B3">
          <w:rPr>
            <w:webHidden/>
          </w:rPr>
          <w:instrText xml:space="preserve"> PAGEREF _Toc525051152 \h </w:instrText>
        </w:r>
        <w:r w:rsidR="00A801B3">
          <w:rPr>
            <w:webHidden/>
          </w:rPr>
        </w:r>
        <w:r w:rsidR="00A801B3">
          <w:rPr>
            <w:webHidden/>
          </w:rPr>
          <w:fldChar w:fldCharType="separate"/>
        </w:r>
        <w:r w:rsidR="00A801B3">
          <w:rPr>
            <w:webHidden/>
          </w:rPr>
          <w:t>33</w:t>
        </w:r>
        <w:r w:rsidR="00A801B3">
          <w:rPr>
            <w:webHidden/>
          </w:rPr>
          <w:fldChar w:fldCharType="end"/>
        </w:r>
      </w:hyperlink>
    </w:p>
    <w:p w:rsidR="00A801B3" w:rsidRDefault="00236F31">
      <w:pPr>
        <w:pStyle w:val="TOC2"/>
        <w:rPr>
          <w:lang w:val="en-GB" w:eastAsia="en-GB" w:bidi="ar-SA"/>
        </w:rPr>
      </w:pPr>
      <w:hyperlink w:anchor="_Toc525051153" w:history="1">
        <w:r w:rsidR="00A801B3" w:rsidRPr="00501F33">
          <w:rPr>
            <w:rStyle w:val="Hyperlink"/>
            <w:rFonts w:ascii="Times New Roman" w:hAnsi="Times New Roman" w:cs="Times New Roman"/>
          </w:rPr>
          <w:t>II.9</w:t>
        </w:r>
        <w:r w:rsidR="00A801B3">
          <w:rPr>
            <w:lang w:val="en-GB" w:eastAsia="en-GB" w:bidi="ar-SA"/>
          </w:rPr>
          <w:tab/>
        </w:r>
        <w:r w:rsidR="00A801B3" w:rsidRPr="00501F33">
          <w:rPr>
            <w:rStyle w:val="Hyperlink"/>
            <w:rFonts w:ascii="Times New Roman" w:hAnsi="Times New Roman"/>
          </w:rPr>
          <w:t>Z 09.00 — finanšu tirgus infrastruktūras pakalpojumi — sniedzēji un lietotāji — sasaistīšana ar kritiski svarīgām funkcijām</w:t>
        </w:r>
        <w:r w:rsidR="00A801B3">
          <w:rPr>
            <w:webHidden/>
          </w:rPr>
          <w:tab/>
        </w:r>
        <w:r w:rsidR="00A801B3">
          <w:rPr>
            <w:webHidden/>
          </w:rPr>
          <w:fldChar w:fldCharType="begin"/>
        </w:r>
        <w:r w:rsidR="00A801B3">
          <w:rPr>
            <w:webHidden/>
          </w:rPr>
          <w:instrText xml:space="preserve"> PAGEREF _Toc525051153 \h </w:instrText>
        </w:r>
        <w:r w:rsidR="00A801B3">
          <w:rPr>
            <w:webHidden/>
          </w:rPr>
        </w:r>
        <w:r w:rsidR="00A801B3">
          <w:rPr>
            <w:webHidden/>
          </w:rPr>
          <w:fldChar w:fldCharType="separate"/>
        </w:r>
        <w:r w:rsidR="00A801B3">
          <w:rPr>
            <w:webHidden/>
          </w:rPr>
          <w:t>37</w:t>
        </w:r>
        <w:r w:rsidR="00A801B3">
          <w:rPr>
            <w:webHidden/>
          </w:rPr>
          <w:fldChar w:fldCharType="end"/>
        </w:r>
      </w:hyperlink>
    </w:p>
    <w:p w:rsidR="00A801B3" w:rsidRDefault="00236F31">
      <w:pPr>
        <w:pStyle w:val="TOC2"/>
        <w:rPr>
          <w:lang w:val="en-GB" w:eastAsia="en-GB" w:bidi="ar-SA"/>
        </w:rPr>
      </w:pPr>
      <w:hyperlink w:anchor="_Toc525051154" w:history="1">
        <w:r w:rsidR="00A801B3" w:rsidRPr="00501F33">
          <w:rPr>
            <w:rStyle w:val="Hyperlink"/>
            <w:rFonts w:ascii="Times New Roman" w:hAnsi="Times New Roman" w:cs="Times New Roman"/>
          </w:rPr>
          <w:t>II.10</w:t>
        </w:r>
        <w:r w:rsidR="00A801B3">
          <w:rPr>
            <w:lang w:val="en-GB" w:eastAsia="en-GB" w:bidi="ar-SA"/>
          </w:rPr>
          <w:tab/>
        </w:r>
        <w:r w:rsidR="00A801B3" w:rsidRPr="00501F33">
          <w:rPr>
            <w:rStyle w:val="Hyperlink"/>
            <w:rFonts w:ascii="Times New Roman" w:hAnsi="Times New Roman"/>
          </w:rPr>
          <w:t>Kritiski svarīgas informācijas sistēmas</w:t>
        </w:r>
        <w:r w:rsidR="00A801B3">
          <w:rPr>
            <w:webHidden/>
          </w:rPr>
          <w:tab/>
        </w:r>
        <w:r w:rsidR="00A801B3">
          <w:rPr>
            <w:webHidden/>
          </w:rPr>
          <w:fldChar w:fldCharType="begin"/>
        </w:r>
        <w:r w:rsidR="00A801B3">
          <w:rPr>
            <w:webHidden/>
          </w:rPr>
          <w:instrText xml:space="preserve"> PAGEREF _Toc525051154 \h </w:instrText>
        </w:r>
        <w:r w:rsidR="00A801B3">
          <w:rPr>
            <w:webHidden/>
          </w:rPr>
        </w:r>
        <w:r w:rsidR="00A801B3">
          <w:rPr>
            <w:webHidden/>
          </w:rPr>
          <w:fldChar w:fldCharType="separate"/>
        </w:r>
        <w:r w:rsidR="00A801B3">
          <w:rPr>
            <w:webHidden/>
          </w:rPr>
          <w:t>39</w:t>
        </w:r>
        <w:r w:rsidR="00A801B3">
          <w:rPr>
            <w:webHidden/>
          </w:rPr>
          <w:fldChar w:fldCharType="end"/>
        </w:r>
      </w:hyperlink>
    </w:p>
    <w:p w:rsidR="00421CDC" w:rsidRPr="00D92B3C" w:rsidRDefault="001D258F">
      <w:pPr>
        <w:pStyle w:val="TOC2"/>
      </w:pPr>
      <w:r>
        <w:rPr>
          <w:rFonts w:ascii="Times New Roman" w:hAnsi="Times New Roman" w:cs="Times New Roman"/>
          <w:bCs/>
          <w:color w:val="000000" w:themeColor="text1"/>
          <w:sz w:val="20"/>
          <w:szCs w:val="20"/>
        </w:rPr>
        <w:fldChar w:fldCharType="end"/>
      </w:r>
    </w:p>
    <w:p w:rsidR="00385C06" w:rsidRPr="00D92B3C" w:rsidRDefault="00385C06" w:rsidP="00385C06">
      <w:pPr>
        <w:rPr>
          <w:rFonts w:ascii="Times New Roman" w:hAnsi="Times New Roman" w:cs="Times New Roman"/>
          <w:b/>
          <w:color w:val="000000" w:themeColor="text1"/>
          <w:sz w:val="20"/>
          <w:szCs w:val="20"/>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bookmarkStart w:id="2" w:name="_Toc525051138"/>
      <w:r>
        <w:rPr>
          <w:rFonts w:ascii="Times New Roman" w:hAnsi="Times New Roman"/>
        </w:rPr>
        <w:lastRenderedPageBreak/>
        <w:t>Vispārīgie norādījumi</w:t>
      </w:r>
      <w:bookmarkEnd w:id="0"/>
      <w:bookmarkEnd w:id="1"/>
      <w:bookmarkEnd w:id="2"/>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bookmarkStart w:id="4" w:name="_Toc525051139"/>
      <w:r>
        <w:rPr>
          <w:rFonts w:ascii="Times New Roman" w:hAnsi="Times New Roman"/>
        </w:rPr>
        <w:t>Struktūra</w:t>
      </w:r>
      <w:bookmarkEnd w:id="3"/>
      <w:bookmarkEnd w:id="4"/>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Satvaru veido 15 veidnes, kas sakārtotas 3 blokos:</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“Vispārīga informācija”, kurā sniegts pārskats par grupas organizatorisko struktūru un tās vienībām, aktīvu sadalījumu un riska darījumu vērtībām. Šajā blokā ir veidne “Z 01.00 — organizatoriskā struktūra (</w:t>
      </w:r>
      <w:r>
        <w:rPr>
          <w:rFonts w:ascii="Times New Roman" w:hAnsi="Times New Roman"/>
          <w:i/>
          <w:color w:val="000000" w:themeColor="text1"/>
          <w:sz w:val="20"/>
        </w:rPr>
        <w:t>ORG</w:t>
      </w:r>
      <w:r>
        <w:rPr>
          <w:rFonts w:ascii="Times New Roman" w:hAnsi="Times New Roman"/>
          <w:color w:val="000000" w:themeColor="text1"/>
          <w:sz w:val="20"/>
        </w:rPr>
        <w:t>)”.</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“Informācija par bilances un ārpusbilances posteņiem”, kurā sniegta finanšu informācija par saistībām, pašu kapitālu, finansiālajām saiknēm starp grupas vienībām, saistībām pret nozīmīgākajiem darījumu partneriem un ārpusbilances posteņiem, kas saņemti no galvenajiem darījumu partneriem, kā arī par noguldījumu apdrošināšanu. Šajā blokā ir 6 veidnes:</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02.00 — saistību struktūra (</w:t>
      </w:r>
      <w:r>
        <w:rPr>
          <w:rFonts w:ascii="Times New Roman" w:hAnsi="Times New Roman"/>
          <w:i/>
          <w:color w:val="000000" w:themeColor="text1"/>
          <w:sz w:val="20"/>
        </w:rPr>
        <w:t>LIAB</w:t>
      </w:r>
      <w:r>
        <w:rPr>
          <w:rFonts w:ascii="Times New Roman" w:hAnsi="Times New Roman"/>
          <w:color w:val="000000" w:themeColor="text1"/>
          <w:sz w:val="20"/>
        </w:rPr>
        <w:t>)”;</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03.00 — pašu kapitāla prasības (</w:t>
      </w:r>
      <w:r>
        <w:rPr>
          <w:rFonts w:ascii="Times New Roman" w:hAnsi="Times New Roman"/>
          <w:i/>
          <w:color w:val="000000" w:themeColor="text1"/>
          <w:sz w:val="20"/>
        </w:rPr>
        <w:t>OWN</w:t>
      </w:r>
      <w:r>
        <w:rPr>
          <w:rFonts w:ascii="Times New Roman" w:hAnsi="Times New Roman"/>
          <w:color w:val="000000" w:themeColor="text1"/>
          <w:sz w:val="20"/>
        </w:rPr>
        <w:t>)”;</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04.00 — grupas iekšējās finansiālās saiknes (</w:t>
      </w:r>
      <w:r>
        <w:rPr>
          <w:rFonts w:ascii="Times New Roman" w:hAnsi="Times New Roman"/>
          <w:i/>
          <w:color w:val="000000" w:themeColor="text1"/>
          <w:sz w:val="20"/>
        </w:rPr>
        <w:t>IFC</w:t>
      </w:r>
      <w:r>
        <w:rPr>
          <w:rFonts w:ascii="Times New Roman" w:hAnsi="Times New Roman"/>
          <w:color w:val="000000" w:themeColor="text1"/>
          <w:sz w:val="20"/>
        </w:rPr>
        <w:t>)”;</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divas veidnes par galvenajiem darījumu partneriem “Z 05.01 — nozīmīgākie saistību darījumu partneri (</w:t>
      </w:r>
      <w:r>
        <w:rPr>
          <w:rFonts w:ascii="Times New Roman" w:hAnsi="Times New Roman"/>
          <w:i/>
          <w:color w:val="000000" w:themeColor="text1"/>
          <w:sz w:val="20"/>
        </w:rPr>
        <w:t>MCP</w:t>
      </w:r>
      <w:r>
        <w:rPr>
          <w:rFonts w:ascii="Times New Roman" w:hAnsi="Times New Roman"/>
          <w:color w:val="000000" w:themeColor="text1"/>
          <w:sz w:val="20"/>
        </w:rPr>
        <w:t xml:space="preserve"> 1)” un “Z 05.02 — nozīmīgākie ārpusbilances darījumu partneri (</w:t>
      </w:r>
      <w:r>
        <w:rPr>
          <w:rFonts w:ascii="Times New Roman" w:hAnsi="Times New Roman"/>
          <w:i/>
          <w:color w:val="000000" w:themeColor="text1"/>
          <w:sz w:val="20"/>
        </w:rPr>
        <w:t>MCP</w:t>
      </w:r>
      <w:r>
        <w:rPr>
          <w:rFonts w:ascii="Times New Roman" w:hAnsi="Times New Roman"/>
          <w:color w:val="000000" w:themeColor="text1"/>
          <w:sz w:val="20"/>
        </w:rPr>
        <w:t xml:space="preserve"> 2)”;</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06.00 — noguldījumu apdrošināšana (</w:t>
      </w:r>
      <w:r>
        <w:rPr>
          <w:rFonts w:ascii="Times New Roman" w:hAnsi="Times New Roman"/>
          <w:i/>
          <w:color w:val="000000" w:themeColor="text1"/>
          <w:sz w:val="20"/>
        </w:rPr>
        <w:t>DIS</w:t>
      </w:r>
      <w:r>
        <w:rPr>
          <w:rFonts w:ascii="Times New Roman" w:hAnsi="Times New Roman"/>
          <w:color w:val="000000" w:themeColor="text1"/>
          <w:sz w:val="20"/>
        </w:rPr>
        <w:t>)”.</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“Kritiski svarīgas funkcijas”, kurā sniegts pārskats par kritiski svarīgām funkcijām un tās sasaistītas ar juridiskajām personām, pamatdarbības virzieniem, kritiski svarīgiem pakalpojumiem, finanšu tirgus infrastruktūrām un informācijas sistēmām. Šajā blokā ir 7 veidnes:</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4 veidnes par kritiski svarīgu funkciju identifikāciju to sasaistīšanu ar pamatdarbības virzieniem un grupas vienībām: “Z 07.01 — ekonomisko funkciju kritiskā svarīguma novērtējums (</w:t>
      </w:r>
      <w:r>
        <w:rPr>
          <w:rFonts w:ascii="Times New Roman" w:hAnsi="Times New Roman"/>
          <w:i/>
          <w:color w:val="000000" w:themeColor="text1"/>
          <w:sz w:val="20"/>
        </w:rPr>
        <w:t>FUNC</w:t>
      </w:r>
      <w:r>
        <w:rPr>
          <w:rFonts w:ascii="Times New Roman" w:hAnsi="Times New Roman"/>
          <w:color w:val="000000" w:themeColor="text1"/>
          <w:sz w:val="20"/>
        </w:rPr>
        <w:t xml:space="preserve"> 1)”, “Z 07.02 — kritiski svarīgo funkciju sasaistīšana pēc juridiskajām personām (</w:t>
      </w:r>
      <w:r>
        <w:rPr>
          <w:rFonts w:ascii="Times New Roman" w:hAnsi="Times New Roman"/>
          <w:i/>
          <w:color w:val="000000" w:themeColor="text1"/>
          <w:sz w:val="20"/>
        </w:rPr>
        <w:t>FUNC</w:t>
      </w:r>
      <w:r>
        <w:rPr>
          <w:rFonts w:ascii="Times New Roman" w:hAnsi="Times New Roman"/>
          <w:color w:val="000000" w:themeColor="text1"/>
          <w:sz w:val="20"/>
        </w:rPr>
        <w:t xml:space="preserve"> 2)”, “Z 07.03 — pamatdarbības virzienu sasaistīšana ar juridiskajām personām (</w:t>
      </w:r>
      <w:r>
        <w:rPr>
          <w:rFonts w:ascii="Times New Roman" w:hAnsi="Times New Roman"/>
          <w:i/>
          <w:color w:val="000000" w:themeColor="text1"/>
          <w:sz w:val="20"/>
        </w:rPr>
        <w:t>FUNC</w:t>
      </w:r>
      <w:r>
        <w:rPr>
          <w:rFonts w:ascii="Times New Roman" w:hAnsi="Times New Roman"/>
          <w:color w:val="000000" w:themeColor="text1"/>
          <w:sz w:val="20"/>
        </w:rPr>
        <w:t xml:space="preserve"> 3)” un “Z 07.04 — kritiski svarīgo funkciju sasaistīšana ar pamatdarbības virzieniem (</w:t>
      </w:r>
      <w:r>
        <w:rPr>
          <w:rFonts w:ascii="Times New Roman" w:hAnsi="Times New Roman"/>
          <w:i/>
          <w:color w:val="000000" w:themeColor="text1"/>
          <w:sz w:val="20"/>
        </w:rPr>
        <w:t>FUNC</w:t>
      </w:r>
      <w:r>
        <w:rPr>
          <w:rFonts w:ascii="Times New Roman" w:hAnsi="Times New Roman"/>
          <w:color w:val="000000" w:themeColor="text1"/>
          <w:sz w:val="20"/>
        </w:rPr>
        <w:t xml:space="preserve"> 4)”;</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“Z 08.00 — kritiski svarīgi pakalpojumi (</w:t>
      </w:r>
      <w:r>
        <w:rPr>
          <w:rFonts w:ascii="Times New Roman" w:hAnsi="Times New Roman"/>
          <w:i/>
          <w:color w:val="000000" w:themeColor="text1"/>
          <w:sz w:val="20"/>
        </w:rPr>
        <w:t>SERV</w:t>
      </w:r>
      <w:r>
        <w:rPr>
          <w:rFonts w:ascii="Times New Roman" w:hAnsi="Times New Roman"/>
          <w:color w:val="000000" w:themeColor="text1"/>
          <w:sz w:val="20"/>
        </w:rPr>
        <w:t>)”;</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09.00 — finanšu tirgus infrastruktūras pakalpojumi — sniedzēji un lietotāji — sasaiste ar kritiski svarīgām funkcijām (</w:t>
      </w:r>
      <w:r>
        <w:rPr>
          <w:rFonts w:ascii="Times New Roman" w:hAnsi="Times New Roman"/>
          <w:i/>
          <w:color w:val="000000" w:themeColor="text1"/>
          <w:sz w:val="20"/>
        </w:rPr>
        <w:t>FMI</w:t>
      </w:r>
      <w:r>
        <w:rPr>
          <w:rFonts w:ascii="Times New Roman" w:hAnsi="Times New Roman"/>
          <w:color w:val="000000" w:themeColor="text1"/>
          <w:sz w:val="20"/>
        </w:rPr>
        <w:t>)”;</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2 veidnes par kritiski svarīgām informācijas sistēmām: “Z 10.01 — kritiski svarīgas informācijas sistēmas (vispārīga informācija) (</w:t>
      </w:r>
      <w:r>
        <w:rPr>
          <w:rFonts w:ascii="Times New Roman" w:hAnsi="Times New Roman"/>
          <w:i/>
          <w:color w:val="000000" w:themeColor="text1"/>
          <w:sz w:val="20"/>
        </w:rPr>
        <w:t>CIS</w:t>
      </w:r>
      <w:r>
        <w:rPr>
          <w:rFonts w:ascii="Times New Roman" w:hAnsi="Times New Roman"/>
          <w:color w:val="000000" w:themeColor="text1"/>
          <w:sz w:val="20"/>
        </w:rPr>
        <w:t xml:space="preserve"> 1)” un “Z 10.02 — informācijas sistēmu sasaistīšana (</w:t>
      </w:r>
      <w:r>
        <w:rPr>
          <w:rFonts w:ascii="Times New Roman" w:hAnsi="Times New Roman"/>
          <w:i/>
          <w:color w:val="000000" w:themeColor="text1"/>
          <w:sz w:val="20"/>
        </w:rPr>
        <w:t>CIS</w:t>
      </w:r>
      <w:r>
        <w:rPr>
          <w:rFonts w:ascii="Times New Roman" w:hAnsi="Times New Roman"/>
          <w:color w:val="000000" w:themeColor="text1"/>
          <w:sz w:val="20"/>
        </w:rPr>
        <w:t xml:space="preserve">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5" w:name="_Toc509909034"/>
      <w:bookmarkStart w:id="6" w:name="_Toc525051140"/>
      <w:r>
        <w:rPr>
          <w:rFonts w:ascii="Times New Roman" w:hAnsi="Times New Roman"/>
        </w:rPr>
        <w:t>Atsauces</w:t>
      </w:r>
      <w:bookmarkEnd w:id="5"/>
      <w:bookmarkEnd w:id="6"/>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Šajā pielikumā piemēro šādus saīsinājumus:</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w:t>
      </w:r>
      <w:r>
        <w:rPr>
          <w:rFonts w:ascii="Times New Roman" w:hAnsi="Times New Roman"/>
          <w:i/>
          <w:color w:val="000000" w:themeColor="text1"/>
          <w:sz w:val="20"/>
        </w:rPr>
        <w:t>BCBS</w:t>
      </w:r>
      <w:r>
        <w:rPr>
          <w:rFonts w:ascii="Times New Roman" w:hAnsi="Times New Roman"/>
          <w:color w:val="000000" w:themeColor="text1"/>
          <w:sz w:val="20"/>
        </w:rPr>
        <w:t>” ir Starptautisko norēķinu bankas Bāzeles Banku uzraudzības komiteja;</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w:t>
      </w:r>
      <w:r>
        <w:rPr>
          <w:rFonts w:ascii="Times New Roman" w:hAnsi="Times New Roman"/>
          <w:i/>
          <w:color w:val="000000" w:themeColor="text1"/>
          <w:sz w:val="20"/>
        </w:rPr>
        <w:t>CPMI</w:t>
      </w:r>
      <w:r>
        <w:rPr>
          <w:rFonts w:ascii="Times New Roman" w:hAnsi="Times New Roman"/>
          <w:color w:val="000000" w:themeColor="text1"/>
          <w:sz w:val="20"/>
        </w:rPr>
        <w:t>” ir Starptautisko norēķinu bankas Maksājumu un tirgus infrastruktūru komiteja;</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w:t>
      </w:r>
      <w:r>
        <w:rPr>
          <w:rFonts w:ascii="Times New Roman" w:hAnsi="Times New Roman"/>
          <w:i/>
          <w:color w:val="000000" w:themeColor="text1"/>
          <w:sz w:val="20"/>
        </w:rPr>
        <w:t>FINREP</w:t>
      </w:r>
      <w:r>
        <w:rPr>
          <w:rFonts w:ascii="Times New Roman" w:hAnsi="Times New Roman"/>
          <w:color w:val="000000" w:themeColor="text1"/>
          <w:sz w:val="20"/>
        </w:rPr>
        <w:t>” ir Komisijas Īstenošanas regulas (ES) Nr. 680/2014</w:t>
      </w:r>
      <w:r>
        <w:rPr>
          <w:rStyle w:val="FootnoteReference"/>
          <w:rFonts w:ascii="Times New Roman" w:hAnsi="Times New Roman"/>
          <w:sz w:val="20"/>
        </w:rPr>
        <w:footnoteReference w:id="1"/>
      </w:r>
      <w:r>
        <w:rPr>
          <w:rFonts w:ascii="Times New Roman" w:hAnsi="Times New Roman"/>
          <w:color w:val="000000" w:themeColor="text1"/>
          <w:sz w:val="20"/>
        </w:rPr>
        <w:t xml:space="preserve"> III un IV pielikumā iekļautās finanšu informācijas veidnes un V pielikumā iekļautie papildu norādījumi;</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w:t>
      </w:r>
      <w:r>
        <w:rPr>
          <w:rFonts w:ascii="Times New Roman" w:hAnsi="Times New Roman"/>
          <w:i/>
          <w:color w:val="000000" w:themeColor="text1"/>
          <w:sz w:val="20"/>
        </w:rPr>
        <w:t>COREP (OF)</w:t>
      </w:r>
      <w:r>
        <w:rPr>
          <w:rFonts w:ascii="Times New Roman" w:hAnsi="Times New Roman"/>
          <w:color w:val="000000" w:themeColor="text1"/>
          <w:sz w:val="20"/>
        </w:rPr>
        <w:t>” ir Īstenošanas regulas (ES) Nr. 680/2014 I pielikums (veidnes) un II pielikums (norādījumi);</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w:t>
      </w:r>
      <w:r>
        <w:rPr>
          <w:rFonts w:ascii="Times New Roman" w:hAnsi="Times New Roman"/>
          <w:i/>
          <w:color w:val="000000" w:themeColor="text1"/>
          <w:sz w:val="20"/>
        </w:rPr>
        <w:t>COREP (LR)</w:t>
      </w:r>
      <w:r>
        <w:rPr>
          <w:rFonts w:ascii="Times New Roman" w:hAnsi="Times New Roman"/>
          <w:color w:val="000000" w:themeColor="text1"/>
          <w:sz w:val="20"/>
        </w:rPr>
        <w:t>” ir Īstenošanas regulas (ES) Nr. 680/2014 X pielikums (veidnes) un XI pielikums (norādījumi);</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“FSP” ir Finanšu stabilitātes padome;</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“SGS” ir starptautiskie grāmatvedības standarti, kas definēti Eiropas Parlamenta un Padomes Regulas (EK) Nr. 1606/2002</w:t>
      </w:r>
      <w:r>
        <w:rPr>
          <w:vertAlign w:val="superscript"/>
        </w:rPr>
        <w:footnoteReference w:id="2"/>
      </w:r>
      <w:r>
        <w:rPr>
          <w:rFonts w:ascii="Times New Roman" w:hAnsi="Times New Roman"/>
          <w:color w:val="000000" w:themeColor="text1"/>
          <w:sz w:val="20"/>
        </w:rPr>
        <w:t xml:space="preserve"> 2. pantā;</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“SFPS” ir starptautiskie finanšu pārskatu standarti, kas definēti Regulas (EK) Nr. 1606/2002</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 xml:space="preserve"> 2. pantā;</w:t>
      </w:r>
    </w:p>
    <w:p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  “</w:t>
      </w:r>
      <w:r>
        <w:rPr>
          <w:rFonts w:ascii="Times New Roman" w:hAnsi="Times New Roman"/>
          <w:i/>
          <w:color w:val="000000" w:themeColor="text1"/>
          <w:sz w:val="20"/>
        </w:rPr>
        <w:t>LEI</w:t>
      </w:r>
      <w:r>
        <w:rPr>
          <w:rFonts w:ascii="Times New Roman" w:hAnsi="Times New Roman"/>
          <w:color w:val="000000" w:themeColor="text1"/>
          <w:sz w:val="20"/>
        </w:rPr>
        <w:t xml:space="preserve">” ir juridiskās personas identifikatora kods, kura mērķis ir nodrošināt unikālu pasaules mēroga identifikāciju finanšu darījumu pusēm, kā ierosinājusi Finanšu stabilitātes padome (FSP) un apstiprinājušas G20 valstis. Kamēr globālā </w:t>
      </w:r>
      <w:r>
        <w:rPr>
          <w:rFonts w:ascii="Times New Roman" w:hAnsi="Times New Roman"/>
          <w:i/>
          <w:color w:val="000000" w:themeColor="text1"/>
          <w:sz w:val="20"/>
        </w:rPr>
        <w:t>LEI</w:t>
      </w:r>
      <w:r>
        <w:rPr>
          <w:rFonts w:ascii="Times New Roman" w:hAnsi="Times New Roman"/>
          <w:color w:val="000000" w:themeColor="text1"/>
          <w:sz w:val="20"/>
        </w:rPr>
        <w:t xml:space="preserve"> kodu sistēma nav sākusi pilnībā darboties, vietējā struktūrvienība, ko apstiprinājusi Regulatīvās uzraudzības komiteja (RUK), darījumu partneriem piešķir </w:t>
      </w:r>
      <w:proofErr w:type="spellStart"/>
      <w:r>
        <w:rPr>
          <w:rFonts w:ascii="Times New Roman" w:hAnsi="Times New Roman"/>
          <w:i/>
          <w:color w:val="000000" w:themeColor="text1"/>
          <w:sz w:val="20"/>
        </w:rPr>
        <w:t>pre-LEI</w:t>
      </w:r>
      <w:proofErr w:type="spellEnd"/>
      <w:r>
        <w:rPr>
          <w:rFonts w:ascii="Times New Roman" w:hAnsi="Times New Roman"/>
          <w:color w:val="000000" w:themeColor="text1"/>
          <w:sz w:val="20"/>
        </w:rPr>
        <w:t xml:space="preserve"> kodus, sīkāka informācija pieejama vietnē: </w:t>
      </w:r>
      <w:hyperlink r:id="rId9">
        <w:r>
          <w:rPr>
            <w:rStyle w:val="Hyperlink"/>
            <w:rFonts w:ascii="Times New Roman" w:hAnsi="Times New Roman"/>
            <w:color w:val="000000" w:themeColor="text1"/>
            <w:sz w:val="20"/>
          </w:rPr>
          <w:t>www.leiroc.org</w:t>
        </w:r>
      </w:hyperlink>
      <w:r>
        <w:rPr>
          <w:rFonts w:ascii="Times New Roman" w:hAnsi="Times New Roman"/>
          <w:color w:val="000000" w:themeColor="text1"/>
          <w:sz w:val="20"/>
        </w:rPr>
        <w:t>). Ja attiecīgam darījumu partnerim ir juridiskas personas identifikators (</w:t>
      </w:r>
      <w:r>
        <w:rPr>
          <w:rFonts w:ascii="Times New Roman" w:hAnsi="Times New Roman"/>
          <w:i/>
          <w:color w:val="000000" w:themeColor="text1"/>
          <w:sz w:val="20"/>
        </w:rPr>
        <w:t>LEI</w:t>
      </w:r>
      <w:r>
        <w:rPr>
          <w:rFonts w:ascii="Times New Roman" w:hAnsi="Times New Roman"/>
          <w:color w:val="000000" w:themeColor="text1"/>
          <w:sz w:val="20"/>
        </w:rPr>
        <w:t xml:space="preserve"> kods), to izmanto, lai identificētu minēto partneri;</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w:t>
      </w:r>
      <w:proofErr w:type="spellStart"/>
      <w:r>
        <w:rPr>
          <w:rFonts w:ascii="Times New Roman" w:hAnsi="Times New Roman"/>
          <w:i/>
          <w:color w:val="000000" w:themeColor="text1"/>
          <w:sz w:val="20"/>
        </w:rPr>
        <w:t>nGAAP</w:t>
      </w:r>
      <w:proofErr w:type="spellEnd"/>
      <w:r>
        <w:rPr>
          <w:rFonts w:ascii="Times New Roman" w:hAnsi="Times New Roman"/>
          <w:color w:val="000000" w:themeColor="text1"/>
          <w:sz w:val="20"/>
        </w:rPr>
        <w:t>” jeb “valsts vispārpieņemti grāmatvedības principi” ir valstu uzskaites ietvari, kas izstrādāti saskaņā ar Direktīvu 86/635/EEK</w:t>
      </w:r>
      <w:r>
        <w:rPr>
          <w:rStyle w:val="FootnoteReference"/>
          <w:color w:val="000000" w:themeColor="text1"/>
        </w:rPr>
        <w:footnoteReference w:id="4"/>
      </w:r>
      <w:r>
        <w:rPr>
          <w:rFonts w:ascii="Times New Roman" w:hAnsi="Times New Roman"/>
          <w:color w:val="000000" w:themeColor="text1"/>
          <w:sz w:val="20"/>
        </w:rPr>
        <w:t>.</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7" w:name="_Toc509909035"/>
      <w:bookmarkStart w:id="8" w:name="_Toc525051141"/>
      <w:r>
        <w:rPr>
          <w:rFonts w:ascii="Times New Roman" w:hAnsi="Times New Roman"/>
        </w:rPr>
        <w:t>Grāmatvedības standarti</w:t>
      </w:r>
      <w:bookmarkEnd w:id="7"/>
      <w:bookmarkEnd w:id="8"/>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Ja vien šajos norādījumos nav minēts citādi, iestādes sniedz pārskatus par visām summām, pamatojoties uz uzskaites ietvaru, ko tās izmanto, lai sniegtu pārskatus par finanšu informāciju saskaņā ar Īstenošanas regulas (ES) Nr. 680/2014 9.–11. pantu. Iestādes, kurām nav jāsniedz finanšu pārskati saskaņā ar Īstenošanas regulu (ES) Nr. 680/2014, piemēro savu attiecīgo uzskaites ietvaru noteikumus. </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Iestādēm, kas sniedz pārskatus saskaņā ar SFPS, ir iekļautas atsauces uz attiecīgajiem SFPS.</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9" w:name="_Toc509909036"/>
      <w:bookmarkStart w:id="10" w:name="_Toc525051142"/>
      <w:r>
        <w:rPr>
          <w:rFonts w:ascii="Times New Roman" w:hAnsi="Times New Roman"/>
        </w:rPr>
        <w:t>Konsolidācijas tvērums</w:t>
      </w:r>
      <w:bookmarkEnd w:id="9"/>
      <w:bookmarkEnd w:id="10"/>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Atkarībā no veidnes šis satvars attiecas uz:</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konsolidāciju, pamatojoties uz uzskaites konsolidāciju (vienības, kas iekļautas konsolidētajos finanšu pārskatos saskaņā ar piemērojamo uzskaites ietvaru);</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proofErr w:type="spellStart"/>
      <w:r>
        <w:rPr>
          <w:rFonts w:ascii="Times New Roman" w:hAnsi="Times New Roman"/>
          <w:sz w:val="20"/>
        </w:rPr>
        <w:t>prudenciālo</w:t>
      </w:r>
      <w:proofErr w:type="spellEnd"/>
      <w:r>
        <w:rPr>
          <w:rFonts w:ascii="Times New Roman" w:hAnsi="Times New Roman"/>
          <w:sz w:val="20"/>
        </w:rPr>
        <w:t xml:space="preserve"> konsolidāciju (vienības, kas ir konsolidācijas tvērumā saskaņā ar Eiropas Parlamenta un Padomes Regulas (ES) Nr. 575/2013</w:t>
      </w:r>
      <w:r>
        <w:rPr>
          <w:rStyle w:val="FootnoteReference"/>
        </w:rPr>
        <w:footnoteReference w:id="5"/>
      </w:r>
      <w:r>
        <w:rPr>
          <w:rFonts w:ascii="Times New Roman" w:hAnsi="Times New Roman"/>
          <w:sz w:val="20"/>
        </w:rPr>
        <w:t xml:space="preserve"> pirmās daļas II sadaļas 2. nodaļu) ES </w:t>
      </w:r>
      <w:proofErr w:type="spellStart"/>
      <w:r>
        <w:rPr>
          <w:rFonts w:ascii="Times New Roman" w:hAnsi="Times New Roman"/>
          <w:sz w:val="20"/>
        </w:rPr>
        <w:t>mātesuzņēmuma</w:t>
      </w:r>
      <w:proofErr w:type="spellEnd"/>
      <w:r>
        <w:rPr>
          <w:rFonts w:ascii="Times New Roman" w:hAnsi="Times New Roman"/>
          <w:sz w:val="20"/>
        </w:rPr>
        <w:t xml:space="preserve"> līmenī; </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noregulējuma grupas konsolidāciju noregulējuma vienības līmenī.</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Attiecībā uz katru veidni iestādes ievēro konsolidācijas pamatu vai pamatus, kas piemērojami saskaņā ar šīs Regulas 4. pantu.</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11" w:name="_Toc509909037"/>
      <w:bookmarkStart w:id="12" w:name="_Toc525051143"/>
      <w:r>
        <w:rPr>
          <w:rFonts w:ascii="Times New Roman" w:hAnsi="Times New Roman"/>
        </w:rPr>
        <w:lastRenderedPageBreak/>
        <w:t>Numerācija un citas konvencijas</w:t>
      </w:r>
      <w:bookmarkEnd w:id="11"/>
      <w:bookmarkEnd w:id="12"/>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Šajos norādījumos, atsaucoties uz veidņu slejām, rindām un ailēm, izmantota turpmāk izklāstītā marķēšanas konvencija. Šos ciparu kodus plaši izmanto validācijas noteikumos.</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Lai norādītu uz veidnes slejām, rindām un ailēm, šajos norādījumos izmanto šādu vispārēju pieraksta formu: {</w:t>
      </w:r>
      <w:proofErr w:type="spellStart"/>
      <w:r>
        <w:rPr>
          <w:rFonts w:ascii="Times New Roman" w:hAnsi="Times New Roman"/>
          <w:sz w:val="20"/>
        </w:rPr>
        <w:t>Veidne;Rinda;Sleja</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Ja validāciju veic veidnē, kurā izmantoti tikai minētās veidnes datu punkti, apzīmējumi neattiecas uz veidni: {</w:t>
      </w:r>
      <w:proofErr w:type="spellStart"/>
      <w:r>
        <w:rPr>
          <w:rFonts w:ascii="Times New Roman" w:hAnsi="Times New Roman"/>
          <w:sz w:val="20"/>
        </w:rPr>
        <w:t>Rinda;Sleja</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Ja veidnēs ir tikai viena sleja, atsaucas vienīgi uz rindām: {</w:t>
      </w:r>
      <w:proofErr w:type="spellStart"/>
      <w:r>
        <w:rPr>
          <w:rFonts w:ascii="Times New Roman" w:hAnsi="Times New Roman"/>
          <w:sz w:val="20"/>
        </w:rPr>
        <w:t>Veidne;Rinda</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Zvaigznītes zīmi izmanto, lai norādītu, ka validāciju veic attiecībā uz iepriekš norādītām rindām vai slejām.</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Ja uz vienībām, par kurām tiek iesniegts pārskats, kāds informācijas postenis neattiecas, attiecīgo lauku atstāj tukšu.</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Ja šie norādījumi ietver atsauci uz primāro atslēgu, tas nozīmē sleju vai sleju kombināciju, kas unikāli identificē visas veidnes rindas. Primārā atslēga ietver unikālu vērtību katrai veidnes rindai. Tā nevar ietvert nulles vērtību.</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13" w:name="_Toc492542319"/>
      <w:bookmarkStart w:id="14" w:name="_Toc509909038"/>
      <w:bookmarkStart w:id="15" w:name="_Toc525051144"/>
      <w:r>
        <w:rPr>
          <w:rFonts w:ascii="Times New Roman" w:hAnsi="Times New Roman"/>
        </w:rPr>
        <w:t>Norādījumi saistībā ar veidnēm</w:t>
      </w:r>
      <w:bookmarkEnd w:id="13"/>
      <w:bookmarkEnd w:id="14"/>
      <w:bookmarkEnd w:id="15"/>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6" w:name="_Toc493236007"/>
      <w:bookmarkStart w:id="17" w:name="_Toc509909039"/>
      <w:bookmarkStart w:id="18" w:name="_Toc525051145"/>
      <w:bookmarkEnd w:id="16"/>
      <w:r>
        <w:rPr>
          <w:rFonts w:ascii="Times New Roman" w:hAnsi="Times New Roman"/>
        </w:rPr>
        <w:t>Z 01.00 — organizatoriskā struktūra (</w:t>
      </w:r>
      <w:r>
        <w:rPr>
          <w:rFonts w:ascii="Times New Roman" w:hAnsi="Times New Roman"/>
          <w:i/>
        </w:rPr>
        <w:t>ORG</w:t>
      </w:r>
      <w:r>
        <w:rPr>
          <w:rFonts w:ascii="Times New Roman" w:hAnsi="Times New Roman"/>
        </w:rPr>
        <w:t>)</w:t>
      </w:r>
      <w:bookmarkEnd w:id="17"/>
      <w:bookmarkEnd w:id="18"/>
    </w:p>
    <w:p w:rsidR="00E13CE3" w:rsidRPr="00D92B3C" w:rsidRDefault="00E13CE3" w:rsidP="00EC261B">
      <w:pPr>
        <w:pStyle w:val="Instructionsberschrift3"/>
      </w:pPr>
      <w:r>
        <w:t>Vispārīgas piezīmes</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Šī veidne sniedz pārskatu par grupas juridisko un īpašumtiesību struktūru. Saistībā ar visām grupas vienībām, kas atbilst šīs regulas 4. panta 2. punkta a) apakšpunktā noteiktajam minimālajam slieksnim, iesniedz vienu veidni. Veidnē norāda tikai juridiskās personas. </w:t>
      </w:r>
    </w:p>
    <w:p w:rsidR="00E13CE3" w:rsidRPr="00D92B3C" w:rsidRDefault="00AF189E" w:rsidP="00EC261B">
      <w:pPr>
        <w:pStyle w:val="Instructionsberschrift3"/>
      </w:pPr>
      <w:r>
        <w:t>Norādījumi attiecībā uz konkrētām pozīcijām</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656"/>
        <w:gridCol w:w="8427"/>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Slejas</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Norādījumi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t>Vienība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Nosaukums</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Vienības nosaukums. Oficiālais nosaukums, kas minēts uzņēmuma aktos, tostarp norāde uz juridisko formu.</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Kods</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Vienības kods. Iestāžu gadījumā kods ir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 Citām vienībām kods ir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 vai, ja tas nav pieejams, Savienībā piemērojamai vienotai kodifikācijai atbilstošs kods, vai, ja tas nav pieejams, valsts kods.</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Kodam jābūt unikālam, un tas veidnēs jāizmanto konsekventi. Kodam vienmēr ir kāda vērtība.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i/>
                <w:color w:val="000000" w:themeColor="text1"/>
                <w:spacing w:val="-2"/>
                <w:w w:val="95"/>
                <w:sz w:val="20"/>
              </w:rPr>
              <w:t>LEI</w:t>
            </w:r>
            <w:r>
              <w:rPr>
                <w:rFonts w:ascii="Times New Roman" w:hAnsi="Times New Roman"/>
                <w:b/>
                <w:color w:val="000000" w:themeColor="text1"/>
                <w:spacing w:val="-2"/>
                <w:w w:val="95"/>
                <w:sz w:val="20"/>
              </w:rPr>
              <w:t xml:space="preserve"> kods</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 xml:space="preserve">Vienības burtciparu </w:t>
            </w:r>
            <w:r>
              <w:rPr>
                <w:rFonts w:ascii="Times New Roman" w:hAnsi="Times New Roman"/>
                <w:i/>
                <w:color w:val="000000" w:themeColor="text1"/>
                <w:spacing w:val="-2"/>
                <w:sz w:val="20"/>
              </w:rPr>
              <w:t>LEI</w:t>
            </w:r>
            <w:r>
              <w:rPr>
                <w:rFonts w:ascii="Times New Roman" w:hAnsi="Times New Roman"/>
                <w:color w:val="000000" w:themeColor="text1"/>
                <w:spacing w:val="-2"/>
                <w:sz w:val="20"/>
              </w:rPr>
              <w:t xml:space="preserve"> kods, ko veido 20 zīmes, ja tas ir pieejams.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Vienības veids</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Vienības veids prioritārā secībā ir kāds no turpmāk minētajiem.</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“Kredītiestāde”</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Šī kategorija ietver kredītiestādes saskaņā ar Regulas (ES) Nr. 575/2013 4. panta 1. punkta 1. apakšpunktā minēto definīciju, izņemot Direktīvas 2013/36/ES 2. panta 5. punktā minētās vienības</w:t>
            </w:r>
            <w:r>
              <w:rPr>
                <w:rStyle w:val="FootnoteReference"/>
                <w:color w:val="000000" w:themeColor="text1"/>
              </w:rPr>
              <w:footnoteReference w:id="6"/>
            </w:r>
            <w:r>
              <w:rPr>
                <w:rFonts w:ascii="Times New Roman" w:hAnsi="Times New Roman"/>
                <w:color w:val="000000" w:themeColor="text1"/>
                <w:sz w:val="20"/>
              </w:rPr>
              <w:t xml:space="preserve">;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“Ieguldījumu brokeru sabiedrība, uz kuru attiecas Direktīvas 2013/36/ES 28. panta 2. punktā noteiktā sākotnējā kapitāla prasība”</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Šī kategorija ietver ieguldījumu brokeru sabiedrības saskaņā ar Regulas (ES) Nr. 575/2013 4. panta 1. punkta 2. apakšpunktā minēto definīciju, uz kurām attiecas Direktīvas 2013/36/ES 28. panta 2. punktā noteiktā sākotnējā kapitāla prasība;</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“Ieguldījumu brokeru sabiedrība, uz kuru neattiecas Direktīvas 2013/36/ES 28. panta 2. punktā noteiktā sākotnējā kapitāla prasība”</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“Finanšu iestāde”</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Šī kategorija ietver finanšu iestādes, kas noteiktas Regulas (ES) Nr. 575/2013 4. panta 1. punkta 26. apakšpunktā, izņemot tās, kuras klasificētas kā “</w:t>
            </w:r>
            <w:proofErr w:type="spellStart"/>
            <w:r>
              <w:rPr>
                <w:rFonts w:ascii="Times New Roman" w:hAnsi="Times New Roman"/>
                <w:color w:val="000000" w:themeColor="text1"/>
                <w:sz w:val="20"/>
              </w:rPr>
              <w:t>pārvaldītājsabiedrība</w:t>
            </w:r>
            <w:proofErr w:type="spellEnd"/>
            <w:r>
              <w:rPr>
                <w:rFonts w:ascii="Times New Roman" w:hAnsi="Times New Roman"/>
                <w:color w:val="000000" w:themeColor="text1"/>
                <w:sz w:val="20"/>
              </w:rPr>
              <w:t>”, kā izklāstīts nākamajā e) punktā.</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w:t>
            </w:r>
            <w:proofErr w:type="spellStart"/>
            <w:r>
              <w:rPr>
                <w:rFonts w:ascii="Times New Roman" w:hAnsi="Times New Roman"/>
                <w:color w:val="000000" w:themeColor="text1"/>
                <w:sz w:val="20"/>
              </w:rPr>
              <w:t>Pārvaldītājsabiedrība</w:t>
            </w:r>
            <w:proofErr w:type="spellEnd"/>
            <w:r>
              <w:rPr>
                <w:rFonts w:ascii="Times New Roman" w:hAnsi="Times New Roman"/>
                <w:color w:val="000000" w:themeColor="text1"/>
                <w:sz w:val="20"/>
              </w:rPr>
              <w:t>”</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Šī kategorija ietver jebkuru no turpmāk minētajām sabiedrībām:</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 xml:space="preserve">finanšu </w:t>
            </w:r>
            <w:proofErr w:type="spellStart"/>
            <w:r>
              <w:rPr>
                <w:rFonts w:ascii="Times New Roman" w:hAnsi="Times New Roman"/>
                <w:color w:val="000000" w:themeColor="text1"/>
                <w:sz w:val="20"/>
              </w:rPr>
              <w:t>pārvaldītājsabiedrība</w:t>
            </w:r>
            <w:proofErr w:type="spellEnd"/>
            <w:r>
              <w:rPr>
                <w:rFonts w:ascii="Times New Roman" w:hAnsi="Times New Roman"/>
                <w:color w:val="000000" w:themeColor="text1"/>
                <w:sz w:val="20"/>
              </w:rPr>
              <w:t>, kā tā definēta Regulas (ES) Nr. 575/2013 4. panta 1. punkta 20. apakšpunktā;</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 xml:space="preserve">jaukta finanšu </w:t>
            </w:r>
            <w:proofErr w:type="spellStart"/>
            <w:r>
              <w:rPr>
                <w:rFonts w:ascii="Times New Roman" w:hAnsi="Times New Roman"/>
                <w:color w:val="000000" w:themeColor="text1"/>
                <w:sz w:val="20"/>
              </w:rPr>
              <w:t>pārvaldītājsabiedrība</w:t>
            </w:r>
            <w:proofErr w:type="spellEnd"/>
            <w:r>
              <w:rPr>
                <w:rFonts w:ascii="Times New Roman" w:hAnsi="Times New Roman"/>
                <w:color w:val="000000" w:themeColor="text1"/>
                <w:sz w:val="20"/>
              </w:rPr>
              <w:t>, kā tā definēta Regulas (ES) Nr. 575/2013 4. panta 1. punkta 21. apakšpunktā;</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 xml:space="preserve">jauktas darbības </w:t>
            </w:r>
            <w:proofErr w:type="spellStart"/>
            <w:r>
              <w:rPr>
                <w:rFonts w:ascii="Times New Roman" w:hAnsi="Times New Roman"/>
                <w:color w:val="000000" w:themeColor="text1"/>
                <w:sz w:val="20"/>
              </w:rPr>
              <w:t>pārvaldītājsabiedrība</w:t>
            </w:r>
            <w:proofErr w:type="spellEnd"/>
            <w:r>
              <w:rPr>
                <w:rFonts w:ascii="Times New Roman" w:hAnsi="Times New Roman"/>
                <w:color w:val="000000" w:themeColor="text1"/>
                <w:sz w:val="20"/>
              </w:rPr>
              <w:t>, kā tā definēta Regulas (ES) Nr. 575/2013 4. panta 1. punkta 22. apakšpunktā;</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 xml:space="preserve">mātes finanšu </w:t>
            </w:r>
            <w:proofErr w:type="spellStart"/>
            <w:r>
              <w:rPr>
                <w:rFonts w:ascii="Times New Roman" w:hAnsi="Times New Roman"/>
                <w:color w:val="000000" w:themeColor="text1"/>
                <w:sz w:val="20"/>
              </w:rPr>
              <w:t>pārvaldītājsabiedrības</w:t>
            </w:r>
            <w:proofErr w:type="spellEnd"/>
            <w:r>
              <w:rPr>
                <w:rFonts w:ascii="Times New Roman" w:hAnsi="Times New Roman"/>
                <w:color w:val="000000" w:themeColor="text1"/>
                <w:sz w:val="20"/>
              </w:rPr>
              <w:t>, kā tās definētas Regulas (ES) Nr. 575/2013 4. panta 1. punkta 30. apakšpunktā;</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 xml:space="preserve">Savienības mātes finanšu </w:t>
            </w:r>
            <w:proofErr w:type="spellStart"/>
            <w:r>
              <w:rPr>
                <w:rFonts w:ascii="Times New Roman" w:hAnsi="Times New Roman"/>
                <w:color w:val="000000" w:themeColor="text1"/>
                <w:sz w:val="20"/>
              </w:rPr>
              <w:t>pārvaldītājsabiedrība</w:t>
            </w:r>
            <w:proofErr w:type="spellEnd"/>
            <w:r>
              <w:rPr>
                <w:rFonts w:ascii="Times New Roman" w:hAnsi="Times New Roman"/>
                <w:color w:val="000000" w:themeColor="text1"/>
                <w:sz w:val="20"/>
              </w:rPr>
              <w:t>, kā tā definēta Regulas (ES) Nr. 575/2013 4. panta 1. punkta 31. apakšpunktā;</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 xml:space="preserve">mātes jaukta finanšu </w:t>
            </w:r>
            <w:proofErr w:type="spellStart"/>
            <w:r>
              <w:rPr>
                <w:rFonts w:ascii="Times New Roman" w:hAnsi="Times New Roman"/>
                <w:color w:val="000000" w:themeColor="text1"/>
                <w:sz w:val="20"/>
              </w:rPr>
              <w:t>pārvaldītājsabiedrība</w:t>
            </w:r>
            <w:proofErr w:type="spellEnd"/>
            <w:r>
              <w:rPr>
                <w:rFonts w:ascii="Times New Roman" w:hAnsi="Times New Roman"/>
                <w:color w:val="000000" w:themeColor="text1"/>
                <w:sz w:val="20"/>
              </w:rPr>
              <w:t>, kā tā definēta Regulas (ES) Nr. 575/2013 4. panta 1. punkta 32. apakšpunktā;</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 xml:space="preserve">Savienības mātes jaukta finanšu </w:t>
            </w:r>
            <w:proofErr w:type="spellStart"/>
            <w:r>
              <w:rPr>
                <w:rFonts w:ascii="Times New Roman" w:hAnsi="Times New Roman"/>
                <w:color w:val="000000" w:themeColor="text1"/>
                <w:sz w:val="20"/>
              </w:rPr>
              <w:t>pārvaldītājsabiedrība</w:t>
            </w:r>
            <w:proofErr w:type="spellEnd"/>
            <w:r>
              <w:rPr>
                <w:rFonts w:ascii="Times New Roman" w:hAnsi="Times New Roman"/>
                <w:color w:val="000000" w:themeColor="text1"/>
                <w:sz w:val="20"/>
              </w:rPr>
              <w:t>, kā tā definēta Regulas (ES) Nr. 575/2013 4. panta 1. punkta 33. apakšpunktā;</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“Apdrošināšanas sabiedrība”</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 xml:space="preserve">Šī kategorija ietver apdrošināšanas sabiedrības, kā noteikts </w:t>
            </w:r>
            <w:r>
              <w:rPr>
                <w:rFonts w:ascii="Times New Roman" w:hAnsi="Times New Roman"/>
                <w:color w:val="19161B"/>
                <w:sz w:val="20"/>
              </w:rPr>
              <w:t>Eiropas Parlamenta un Padomes Direktīvas 2009/138/EK 13. pantā</w:t>
            </w:r>
            <w:r>
              <w:rPr>
                <w:rStyle w:val="FootnoteReference"/>
                <w:rFonts w:ascii="Times New Roman" w:hAnsi="Times New Roman"/>
                <w:color w:val="000000" w:themeColor="text1"/>
                <w:sz w:val="20"/>
              </w:rPr>
              <w:footnoteReference w:id="7"/>
            </w:r>
            <w:r>
              <w:rPr>
                <w:rFonts w:ascii="Times New Roman" w:hAnsi="Times New Roman"/>
                <w:color w:val="000000" w:themeColor="text1"/>
                <w:sz w:val="20"/>
              </w:rPr>
              <w:t>.</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“Cits vienības veids”, ja vienība nav ietverta nevienā no minētajām kategorijām.</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Valsts</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Vienības reģistrācijas valsts, kas var būt dalībvalsts vai trešā valsts, </w:t>
            </w:r>
            <w:r>
              <w:rPr>
                <w:rFonts w:ascii="Times New Roman" w:hAnsi="Times New Roman"/>
                <w:i/>
                <w:color w:val="000000" w:themeColor="text1"/>
                <w:spacing w:val="-2"/>
                <w:w w:val="95"/>
                <w:sz w:val="20"/>
              </w:rPr>
              <w:t>ISO</w:t>
            </w:r>
            <w:r>
              <w:rPr>
                <w:rFonts w:ascii="Times New Roman" w:hAnsi="Times New Roman"/>
                <w:color w:val="000000" w:themeColor="text1"/>
                <w:spacing w:val="-2"/>
                <w:w w:val="95"/>
                <w:sz w:val="20"/>
              </w:rPr>
              <w:t> 3166-1–alfa–2 kods.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Iekļauta </w:t>
            </w:r>
            <w:proofErr w:type="spellStart"/>
            <w:r>
              <w:rPr>
                <w:rFonts w:ascii="Times New Roman" w:hAnsi="Times New Roman"/>
                <w:b/>
                <w:color w:val="000000" w:themeColor="text1"/>
                <w:spacing w:val="-2"/>
                <w:w w:val="95"/>
                <w:sz w:val="20"/>
              </w:rPr>
              <w:t>prudenciālajā</w:t>
            </w:r>
            <w:proofErr w:type="spellEnd"/>
            <w:r>
              <w:rPr>
                <w:rFonts w:ascii="Times New Roman" w:hAnsi="Times New Roman"/>
                <w:b/>
                <w:color w:val="000000" w:themeColor="text1"/>
                <w:spacing w:val="-2"/>
                <w:w w:val="95"/>
                <w:sz w:val="20"/>
              </w:rPr>
              <w:t xml:space="preserve"> perimetrā</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Uzrāda šādus saīsinājumus:</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“J — Jā;</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lastRenderedPageBreak/>
              <w:t>“N” — Nē.</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Atbrīvojums no KPR 7. panta</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Uzrāda šādus saīsinājumus:</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“J” — ja kompetentā iestāde ir atcēlusi Regulas (ES) Nr. 575/2013 6. panta 1. punkta piemērošanu saskaņā ar Regulas (ES) Nr. 575/2013 7. pantu;</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pārējos gadījumos.</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Atbrīvojums no KPR 10. panta</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Uzrāda šādus saīsinājumus:</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“J” — ja kompetentā iestāde ir piemērojusi atbrīvojumu saskaņā ar Regulas (ES) Nr. 575/2013 10. pantu.</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pārējos gadījumos.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Aktīvi kopā</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Aktīvi kopā, kā noteikts attiecībā uz </w:t>
            </w:r>
            <w:r>
              <w:rPr>
                <w:rFonts w:ascii="Times New Roman" w:hAnsi="Times New Roman"/>
                <w:i/>
                <w:color w:val="000000" w:themeColor="text1"/>
                <w:spacing w:val="-2"/>
                <w:w w:val="95"/>
                <w:sz w:val="20"/>
              </w:rPr>
              <w:t xml:space="preserve">FINREP </w:t>
            </w:r>
            <w:r>
              <w:rPr>
                <w:rFonts w:ascii="Times New Roman" w:hAnsi="Times New Roman"/>
                <w:color w:val="000000" w:themeColor="text1"/>
                <w:spacing w:val="-2"/>
                <w:w w:val="95"/>
                <w:sz w:val="20"/>
              </w:rPr>
              <w:t>{F 01.01;380,010}</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Kopējā riska darījumu vērtība</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Kopējā riska darījumu vērtība, kā noteikts attiecībā uz </w:t>
            </w: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02.00;010;010}</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Vienībām, kas nav iestādes, un vienībām, kas izmanto atbrīvojumu saskaņā ar Regulas (ES) Nr. 575/2013 7. vai 10. pantu, pārskatu par šo posteni nesniedz.</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Sviras rādītāja riska darījumi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Kopējie sviras rādītāja riska darījumi, kā noteikts attiecībā uz </w:t>
            </w:r>
            <w:r>
              <w:rPr>
                <w:rFonts w:ascii="Times New Roman" w:hAnsi="Times New Roman"/>
                <w:i/>
                <w:color w:val="000000" w:themeColor="text1"/>
                <w:spacing w:val="-2"/>
                <w:w w:val="95"/>
                <w:sz w:val="20"/>
              </w:rPr>
              <w:t>COREP (LR)</w:t>
            </w:r>
            <w:r>
              <w:rPr>
                <w:rFonts w:ascii="Times New Roman" w:hAnsi="Times New Roman"/>
                <w:color w:val="000000" w:themeColor="text1"/>
                <w:spacing w:val="-2"/>
                <w:w w:val="95"/>
                <w:sz w:val="20"/>
              </w:rPr>
              <w:t>: {C 47.00;290;010}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Vienībām, kas nav iestādes, un vienībām, kas izmanto atbrīvojumu saskaņā ar Regulas (ES) Nr. 575/2013 7. vai 10. pantu, pārskatu par šo posteni nesniedz.</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Grāmatvedības standarts</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Vienības piemērotie grāmatvedības standarti. Uzrāda šādus saīsinājumus: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SFPS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proofErr w:type="spellStart"/>
            <w:r>
              <w:rPr>
                <w:rFonts w:ascii="Times New Roman" w:hAnsi="Times New Roman"/>
                <w:i/>
                <w:color w:val="000000" w:themeColor="text1"/>
                <w:spacing w:val="-2"/>
                <w:w w:val="95"/>
                <w:sz w:val="20"/>
              </w:rPr>
              <w:t>nGAAP</w:t>
            </w:r>
            <w:proofErr w:type="spellEnd"/>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Iemaksa kopējos konsolidētajos aktīvos</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Summa, ko vienība iemaksā tās grupas kopējos konsolidētajos aktīvos, par kuru iesniegts pārskats.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Iemaksa kopējā konsolidētajā riska darījumu vērtībā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Summa, ko vienība iemaksā tās grupas kopējā konsolidētajā riska darījumu vērtībā, par kuru iesniegts pārskats.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Iemaksa konsolidētajos sviras rādītāja riska darījumos</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Summa, ko vienība iemaksā tās grupas kopējos konsolidētajos sviras rādītāja riska darījumos, par kuru iesniegts pārskats.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Attiecīgā juridiskā persona</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Vai vienība ir attiecīgā juridiskā persona saskaņā ar šīs regulas 2. pantā minēto definīciju.</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Tiešais </w:t>
            </w:r>
            <w:proofErr w:type="spellStart"/>
            <w:r>
              <w:rPr>
                <w:rFonts w:ascii="Times New Roman" w:hAnsi="Times New Roman"/>
                <w:b/>
                <w:color w:val="000000" w:themeColor="text1"/>
                <w:spacing w:val="-2"/>
                <w:w w:val="95"/>
                <w:sz w:val="20"/>
              </w:rPr>
              <w:t>mātesuzņēmums</w:t>
            </w:r>
            <w:proofErr w:type="spellEnd"/>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Vienības tiešais </w:t>
            </w:r>
            <w:proofErr w:type="spellStart"/>
            <w:r>
              <w:rPr>
                <w:rFonts w:ascii="Times New Roman" w:hAnsi="Times New Roman"/>
                <w:color w:val="000000" w:themeColor="text1"/>
                <w:spacing w:val="-2"/>
                <w:w w:val="95"/>
                <w:sz w:val="20"/>
              </w:rPr>
              <w:t>mātesuzņēmums</w:t>
            </w:r>
            <w:proofErr w:type="spellEnd"/>
            <w:r>
              <w:rPr>
                <w:rFonts w:ascii="Times New Roman" w:hAnsi="Times New Roman"/>
                <w:color w:val="000000" w:themeColor="text1"/>
                <w:spacing w:val="-2"/>
                <w:w w:val="95"/>
                <w:sz w:val="20"/>
              </w:rPr>
              <w:t xml:space="preserve">. Pārskatu iesniedz tikai par tiešu </w:t>
            </w:r>
            <w:proofErr w:type="spellStart"/>
            <w:r>
              <w:rPr>
                <w:rFonts w:ascii="Times New Roman" w:hAnsi="Times New Roman"/>
                <w:color w:val="000000" w:themeColor="text1"/>
                <w:spacing w:val="-2"/>
                <w:w w:val="95"/>
                <w:sz w:val="20"/>
              </w:rPr>
              <w:t>mātesuzņēmumu</w:t>
            </w:r>
            <w:proofErr w:type="spellEnd"/>
            <w:r>
              <w:rPr>
                <w:rFonts w:ascii="Times New Roman" w:hAnsi="Times New Roman"/>
                <w:color w:val="000000" w:themeColor="text1"/>
                <w:spacing w:val="-2"/>
                <w:w w:val="95"/>
                <w:sz w:val="20"/>
              </w:rPr>
              <w:t>, kam ir vairāk nekā 5 % balsstiesību vienībā.</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Ja vienībai ir vairāki tiešie </w:t>
            </w:r>
            <w:proofErr w:type="spellStart"/>
            <w:r>
              <w:rPr>
                <w:rFonts w:ascii="Times New Roman" w:hAnsi="Times New Roman"/>
                <w:color w:val="000000" w:themeColor="text1"/>
                <w:spacing w:val="-2"/>
                <w:w w:val="95"/>
                <w:sz w:val="20"/>
              </w:rPr>
              <w:t>mātesuzņēmumi</w:t>
            </w:r>
            <w:proofErr w:type="spellEnd"/>
            <w:r>
              <w:rPr>
                <w:rFonts w:ascii="Times New Roman" w:hAnsi="Times New Roman"/>
                <w:color w:val="000000" w:themeColor="text1"/>
                <w:spacing w:val="-2"/>
                <w:w w:val="95"/>
                <w:sz w:val="20"/>
              </w:rPr>
              <w:t xml:space="preserve">, pārskatu iesniedz tikai par tiešo </w:t>
            </w:r>
            <w:proofErr w:type="spellStart"/>
            <w:r>
              <w:rPr>
                <w:rFonts w:ascii="Times New Roman" w:hAnsi="Times New Roman"/>
                <w:color w:val="000000" w:themeColor="text1"/>
                <w:spacing w:val="-2"/>
                <w:w w:val="95"/>
                <w:sz w:val="20"/>
              </w:rPr>
              <w:t>mātesuzņēmumu</w:t>
            </w:r>
            <w:proofErr w:type="spellEnd"/>
            <w:r>
              <w:rPr>
                <w:rFonts w:ascii="Times New Roman" w:hAnsi="Times New Roman"/>
                <w:color w:val="000000" w:themeColor="text1"/>
                <w:spacing w:val="-2"/>
                <w:w w:val="95"/>
                <w:sz w:val="20"/>
              </w:rPr>
              <w:t>, kam ir augstākā kapitāla daļa vai — attiecīgā gadījumā — balsstiesību daļa.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Nosaukums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 xml:space="preserve">Vienības tiešā </w:t>
            </w:r>
            <w:proofErr w:type="spellStart"/>
            <w:r>
              <w:rPr>
                <w:rFonts w:ascii="Times New Roman" w:hAnsi="Times New Roman"/>
                <w:color w:val="000000" w:themeColor="text1"/>
                <w:sz w:val="20"/>
              </w:rPr>
              <w:t>mātesuzņēmuma</w:t>
            </w:r>
            <w:proofErr w:type="spellEnd"/>
            <w:r>
              <w:rPr>
                <w:rFonts w:ascii="Times New Roman" w:hAnsi="Times New Roman"/>
                <w:color w:val="000000" w:themeColor="text1"/>
                <w:sz w:val="20"/>
              </w:rPr>
              <w:t xml:space="preserve"> nosaukums.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Kods</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Tiešā </w:t>
            </w:r>
            <w:proofErr w:type="spellStart"/>
            <w:r>
              <w:rPr>
                <w:rFonts w:ascii="Times New Roman" w:hAnsi="Times New Roman"/>
                <w:color w:val="000000" w:themeColor="text1"/>
                <w:spacing w:val="-2"/>
                <w:w w:val="95"/>
                <w:sz w:val="20"/>
              </w:rPr>
              <w:t>mātesuzņēmuma</w:t>
            </w:r>
            <w:proofErr w:type="spellEnd"/>
            <w:r>
              <w:rPr>
                <w:rFonts w:ascii="Times New Roman" w:hAnsi="Times New Roman"/>
                <w:color w:val="000000" w:themeColor="text1"/>
                <w:spacing w:val="-2"/>
                <w:w w:val="95"/>
                <w:sz w:val="20"/>
              </w:rPr>
              <w:t xml:space="preserve"> kods. Iestāžu gadījumā kods ir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 Citām vienībām kods ir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 vai, ja tas nav pieejams, Savienībā piemērojamai vienotai kodifikācijai atbilstošs kods, vai, ja tas nav pieejams, valsts kods.</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Kodam jābūt unikālam, un tas veidnēs jāizmanto konsekventi. Kodam vienmēr ir kāda vērtība.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i/>
                <w:color w:val="000000" w:themeColor="text1"/>
                <w:sz w:val="20"/>
              </w:rPr>
              <w:t>LEI</w:t>
            </w:r>
            <w:r>
              <w:rPr>
                <w:rFonts w:ascii="Times New Roman" w:hAnsi="Times New Roman"/>
                <w:b/>
                <w:color w:val="000000" w:themeColor="text1"/>
                <w:sz w:val="20"/>
              </w:rPr>
              <w:t xml:space="preserve"> kods</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 xml:space="preserve">Vienības burtciparu </w:t>
            </w:r>
            <w:r>
              <w:rPr>
                <w:rFonts w:ascii="Times New Roman" w:hAnsi="Times New Roman"/>
                <w:i/>
                <w:color w:val="000000" w:themeColor="text1"/>
                <w:spacing w:val="-2"/>
                <w:sz w:val="20"/>
              </w:rPr>
              <w:t>LEI</w:t>
            </w:r>
            <w:r>
              <w:rPr>
                <w:rFonts w:ascii="Times New Roman" w:hAnsi="Times New Roman"/>
                <w:color w:val="000000" w:themeColor="text1"/>
                <w:spacing w:val="-2"/>
                <w:sz w:val="20"/>
              </w:rPr>
              <w:t xml:space="preserve"> kods, ko veido 20 zīmes, ja tas ir pieejams.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Akciju kapitāls</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Akciju kapitāla summa, ko tiešais </w:t>
            </w:r>
            <w:proofErr w:type="spellStart"/>
            <w:r>
              <w:rPr>
                <w:rFonts w:ascii="Times New Roman" w:hAnsi="Times New Roman"/>
                <w:color w:val="000000" w:themeColor="text1"/>
                <w:spacing w:val="-2"/>
                <w:w w:val="95"/>
                <w:sz w:val="20"/>
              </w:rPr>
              <w:t>mātesuzņēmums</w:t>
            </w:r>
            <w:proofErr w:type="spellEnd"/>
            <w:r>
              <w:rPr>
                <w:rFonts w:ascii="Times New Roman" w:hAnsi="Times New Roman"/>
                <w:color w:val="000000" w:themeColor="text1"/>
                <w:spacing w:val="-2"/>
                <w:w w:val="95"/>
                <w:sz w:val="20"/>
              </w:rPr>
              <w:t xml:space="preserve"> tur vienībā, izņemot rezerves.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Balsstiesības vienībā</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 xml:space="preserve">Tiešā </w:t>
            </w:r>
            <w:proofErr w:type="spellStart"/>
            <w:r>
              <w:rPr>
                <w:rFonts w:ascii="Times New Roman" w:hAnsi="Times New Roman"/>
                <w:color w:val="000000" w:themeColor="text1"/>
                <w:spacing w:val="-1"/>
                <w:w w:val="95"/>
                <w:sz w:val="20"/>
              </w:rPr>
              <w:t>mātesuzņēmuma</w:t>
            </w:r>
            <w:proofErr w:type="spellEnd"/>
            <w:r>
              <w:rPr>
                <w:rFonts w:ascii="Times New Roman" w:hAnsi="Times New Roman"/>
                <w:color w:val="000000" w:themeColor="text1"/>
                <w:spacing w:val="-1"/>
                <w:w w:val="95"/>
                <w:sz w:val="20"/>
              </w:rPr>
              <w:t xml:space="preserve"> balsstiesību procentuālā daļa vienībā.</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Šī informācija ir nepieciešama tikai tad, ja viena akcija neatbilst vienai balsij (attiecīgi balsstiesības neatbilst akciju kapitālam).</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2"/>
      <w:bookmarkStart w:id="20" w:name="_Toc509909040"/>
      <w:bookmarkStart w:id="21" w:name="_Toc525051146"/>
      <w:r>
        <w:rPr>
          <w:rFonts w:ascii="Times New Roman" w:hAnsi="Times New Roman"/>
        </w:rPr>
        <w:t>Z 02.00 — saistību struktūra (</w:t>
      </w:r>
      <w:r>
        <w:rPr>
          <w:rFonts w:ascii="Times New Roman" w:hAnsi="Times New Roman"/>
          <w:i/>
        </w:rPr>
        <w:t>LIAB</w:t>
      </w:r>
      <w:r>
        <w:rPr>
          <w:rFonts w:ascii="Times New Roman" w:hAnsi="Times New Roman"/>
        </w:rPr>
        <w:t>)</w:t>
      </w:r>
      <w:bookmarkEnd w:id="19"/>
      <w:bookmarkEnd w:id="20"/>
      <w:bookmarkEnd w:id="21"/>
    </w:p>
    <w:p w:rsidR="005B4526" w:rsidRPr="00D92B3C" w:rsidRDefault="005B4526" w:rsidP="00EC261B">
      <w:pPr>
        <w:pStyle w:val="Instructionsberschrift3"/>
      </w:pPr>
      <w:r>
        <w:t>Vispārīgas piezīmes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Šajā veidnē ir pieprasīta detalizēta informācija par vienības vai grupas saistību struktūru. Saistības tiek nošķirtas kā iekšējā </w:t>
      </w:r>
      <w:proofErr w:type="spellStart"/>
      <w:r>
        <w:rPr>
          <w:rFonts w:ascii="Times New Roman" w:hAnsi="Times New Roman"/>
          <w:sz w:val="20"/>
        </w:rPr>
        <w:t>rekapitalizācijā</w:t>
      </w:r>
      <w:proofErr w:type="spellEnd"/>
      <w:r>
        <w:rPr>
          <w:rFonts w:ascii="Times New Roman" w:hAnsi="Times New Roman"/>
          <w:sz w:val="20"/>
        </w:rPr>
        <w:t xml:space="preserve"> neiekļautās saistības un iekšējā </w:t>
      </w:r>
      <w:proofErr w:type="spellStart"/>
      <w:r>
        <w:rPr>
          <w:rFonts w:ascii="Times New Roman" w:hAnsi="Times New Roman"/>
          <w:sz w:val="20"/>
        </w:rPr>
        <w:t>rekapitalizācijā</w:t>
      </w:r>
      <w:proofErr w:type="spellEnd"/>
      <w:r>
        <w:rPr>
          <w:rFonts w:ascii="Times New Roman" w:hAnsi="Times New Roman"/>
          <w:sz w:val="20"/>
        </w:rPr>
        <w:t xml:space="preserve"> iekļautās saistības. Tiek prasīts arī sīkāks sadalījums pēc saistību kategorijām, darījumu partneru kategorijām un termiņa.</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Ja šajā veidnē ir norādīts termiņa sadalījums, atlikušais termiņš ir laiks līdz līguma termiņam vai, ja instrumenta turētājam ir tiešas vai netiešas, līgumiskas vai likumiskas tiesības uz agrāku atmaksu, līdz pirmajam datumam, kurā šādas tiesības rodas. Pamatsummas starpposma maksājumus iedala attiecīgajos termiņa periodos. Ja piemērojams, termiņu norāda atsevišķi gan pamatsummai, gan uzkrātajiem procentiem.</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Šajā veidnē norādītās summas pēc noklusējuma ir nenomaksātās summas. Prasības vai instrumenta nenomaksātā summa ir prasības vai instrumenta kopējā pamatsumma un uzkrātie procenti. Nenomaksātā summa, par ko jāveic maksājums, ir vienāda ar tās prasības vērtību, kuru kreditors varētu iesniegt maksātnespējas procedūrā. </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Atkāpjoties no iepriekšējā punkta, no atvasinātajiem instrumentiem izrietošās bilances saistības (norādītas 0330 rindā) norāda kā tīrās aktīvu vērtības. Tīrā aktīvu vērtība ir tīrā aktīvu vērtība, kā noteikts </w:t>
      </w:r>
      <w:r>
        <w:rPr>
          <w:rFonts w:ascii="Times New Roman" w:hAnsi="Times New Roman"/>
          <w:i/>
          <w:sz w:val="20"/>
        </w:rPr>
        <w:t xml:space="preserve">FINREP </w:t>
      </w:r>
      <w:r>
        <w:rPr>
          <w:rFonts w:ascii="Times New Roman" w:hAnsi="Times New Roman"/>
          <w:sz w:val="20"/>
        </w:rPr>
        <w:t xml:space="preserve">nolūkos attiecīgi vai nu saskaņā ar SFPS vai </w:t>
      </w:r>
      <w:proofErr w:type="spellStart"/>
      <w:r>
        <w:rPr>
          <w:rFonts w:ascii="Times New Roman" w:hAnsi="Times New Roman"/>
          <w:i/>
          <w:sz w:val="20"/>
        </w:rPr>
        <w:t>nGAAP</w:t>
      </w:r>
      <w:proofErr w:type="spellEnd"/>
      <w:r>
        <w:rPr>
          <w:rFonts w:ascii="Times New Roman" w:hAnsi="Times New Roman"/>
          <w:sz w:val="20"/>
        </w:rPr>
        <w:t xml:space="preserve">. Pārējos gadījumos izmanto skaitļus saskaņā ar </w:t>
      </w:r>
      <w:proofErr w:type="spellStart"/>
      <w:r>
        <w:rPr>
          <w:rFonts w:ascii="Times New Roman" w:hAnsi="Times New Roman"/>
          <w:i/>
          <w:sz w:val="20"/>
        </w:rPr>
        <w:t>nGAAP</w:t>
      </w:r>
      <w:proofErr w:type="spellEnd"/>
      <w:r>
        <w:rPr>
          <w:rFonts w:ascii="Times New Roman" w:hAnsi="Times New Roman"/>
          <w:sz w:val="20"/>
        </w:rPr>
        <w:t xml:space="preserve"> pārskatu iesniegšanas shēmām. </w:t>
      </w:r>
    </w:p>
    <w:p w:rsidR="00E13CE3" w:rsidRPr="00D92B3C" w:rsidRDefault="00E13CE3" w:rsidP="00EC261B">
      <w:pPr>
        <w:pStyle w:val="Instructionsberschrift3"/>
      </w:pPr>
      <w:r>
        <w:t>Norādījumi attiecībā uz konkrētām pozīcijām</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Slejas</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Norādījumi</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Mājsaimniecības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xml:space="preserve">, V pielikums, 1. daļas 42. punkta f) apakšpunkts.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 xml:space="preserve">Fiziskās personas vai personu grupas, kas ir preču un </w:t>
            </w:r>
            <w:proofErr w:type="spellStart"/>
            <w:r>
              <w:rPr>
                <w:rFonts w:ascii="Times New Roman" w:hAnsi="Times New Roman"/>
                <w:color w:val="000000" w:themeColor="text1"/>
                <w:spacing w:val="-2"/>
                <w:w w:val="95"/>
                <w:sz w:val="20"/>
              </w:rPr>
              <w:t>nefinanšu</w:t>
            </w:r>
            <w:proofErr w:type="spellEnd"/>
            <w:r>
              <w:rPr>
                <w:rFonts w:ascii="Times New Roman" w:hAnsi="Times New Roman"/>
                <w:color w:val="000000" w:themeColor="text1"/>
                <w:spacing w:val="-2"/>
                <w:w w:val="95"/>
                <w:sz w:val="20"/>
              </w:rPr>
              <w:t xml:space="preserve"> pakalpojumu patērētāji un ražotāji tikai savam galapatēriņam un tirgus preču ražotāji un </w:t>
            </w:r>
            <w:proofErr w:type="spellStart"/>
            <w:r>
              <w:rPr>
                <w:rFonts w:ascii="Times New Roman" w:hAnsi="Times New Roman"/>
                <w:color w:val="000000" w:themeColor="text1"/>
                <w:spacing w:val="-2"/>
                <w:w w:val="95"/>
                <w:sz w:val="20"/>
              </w:rPr>
              <w:t>nefinanšu</w:t>
            </w:r>
            <w:proofErr w:type="spellEnd"/>
            <w:r>
              <w:rPr>
                <w:rFonts w:ascii="Times New Roman" w:hAnsi="Times New Roman"/>
                <w:color w:val="000000" w:themeColor="text1"/>
                <w:spacing w:val="-2"/>
                <w:w w:val="95"/>
                <w:sz w:val="20"/>
              </w:rPr>
              <w:t xml:space="preserve"> un finanšu pakalpojumu sniedzēji ar nosacījumu, ka viņu darbība nav </w:t>
            </w:r>
            <w:proofErr w:type="spellStart"/>
            <w:r>
              <w:rPr>
                <w:rFonts w:ascii="Times New Roman" w:hAnsi="Times New Roman"/>
                <w:color w:val="000000" w:themeColor="text1"/>
                <w:spacing w:val="-2"/>
                <w:w w:val="95"/>
                <w:sz w:val="20"/>
              </w:rPr>
              <w:t>kvazisabiedrību</w:t>
            </w:r>
            <w:proofErr w:type="spellEnd"/>
            <w:r>
              <w:rPr>
                <w:rFonts w:ascii="Times New Roman" w:hAnsi="Times New Roman"/>
                <w:color w:val="000000" w:themeColor="text1"/>
                <w:spacing w:val="-2"/>
                <w:w w:val="95"/>
                <w:sz w:val="20"/>
              </w:rPr>
              <w:t xml:space="preserve"> darbība. Iekļautas ir arī bezpeļņas organizācijas, kas </w:t>
            </w:r>
            <w:r>
              <w:rPr>
                <w:rFonts w:ascii="Times New Roman" w:hAnsi="Times New Roman"/>
                <w:color w:val="000000" w:themeColor="text1"/>
                <w:spacing w:val="-2"/>
                <w:w w:val="95"/>
                <w:sz w:val="20"/>
              </w:rPr>
              <w:lastRenderedPageBreak/>
              <w:t>apkalpo mājsaimniecības un galvenokārt nodrošina ārpustirgus preces un pakalpojumus, kuri paredzēti konkrētām mājsaimniecību grupām.</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lastRenderedPageBreak/>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proofErr w:type="spellStart"/>
            <w:r>
              <w:rPr>
                <w:rFonts w:ascii="Times New Roman" w:hAnsi="Times New Roman"/>
                <w:b/>
                <w:color w:val="000000" w:themeColor="text1"/>
                <w:spacing w:val="-2"/>
                <w:w w:val="95"/>
                <w:sz w:val="20"/>
              </w:rPr>
              <w:t>Nefinanšu</w:t>
            </w:r>
            <w:proofErr w:type="spellEnd"/>
            <w:r>
              <w:rPr>
                <w:rFonts w:ascii="Times New Roman" w:hAnsi="Times New Roman"/>
                <w:b/>
                <w:color w:val="000000" w:themeColor="text1"/>
                <w:spacing w:val="-2"/>
                <w:w w:val="95"/>
                <w:sz w:val="20"/>
              </w:rPr>
              <w:t xml:space="preserve"> sabiedrības (MVU)</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Komisijas 2003. gada 6. maija ieteikuma</w:t>
            </w:r>
            <w:r>
              <w:rPr>
                <w:rStyle w:val="FootnoteReference"/>
                <w:color w:val="1A171C"/>
                <w:spacing w:val="-2"/>
                <w:w w:val="95"/>
              </w:rPr>
              <w:footnoteReference w:id="8"/>
            </w:r>
            <w:r>
              <w:rPr>
                <w:rFonts w:ascii="Times New Roman" w:hAnsi="Times New Roman"/>
                <w:color w:val="000000" w:themeColor="text1"/>
                <w:spacing w:val="-2"/>
                <w:w w:val="95"/>
                <w:sz w:val="20"/>
              </w:rPr>
              <w:t xml:space="preserve"> I pielikums, I sadaļas 2. panta 1. punkts;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V pielikums, 1. daļas 5. punkta i) apakšpunkts.</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Uzņēmumi, kuros nodarbināti mazāk nekā 250 cilvēki un kuru gada apgrozījums nepārsniedz 50 miljonus eiro un/vai gada kopējā bilance nepārsniedz 43 miljonus eiro.</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proofErr w:type="spellStart"/>
            <w:r>
              <w:rPr>
                <w:rFonts w:ascii="Times New Roman" w:hAnsi="Times New Roman"/>
                <w:b/>
                <w:color w:val="000000" w:themeColor="text1"/>
                <w:spacing w:val="-2"/>
                <w:w w:val="95"/>
                <w:sz w:val="20"/>
              </w:rPr>
              <w:t>Nefinanšu</w:t>
            </w:r>
            <w:proofErr w:type="spellEnd"/>
            <w:r>
              <w:rPr>
                <w:rFonts w:ascii="Times New Roman" w:hAnsi="Times New Roman"/>
                <w:b/>
                <w:color w:val="000000" w:themeColor="text1"/>
                <w:spacing w:val="-2"/>
                <w:w w:val="95"/>
                <w:sz w:val="20"/>
              </w:rPr>
              <w:t xml:space="preserve"> sabiedrības (kas nav MVU)</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V pielikums, 1. daļas 42. punkta e) apakšpunkts.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Sabiedrības un </w:t>
            </w:r>
            <w:proofErr w:type="spellStart"/>
            <w:r>
              <w:rPr>
                <w:rFonts w:ascii="Times New Roman" w:hAnsi="Times New Roman"/>
                <w:color w:val="000000" w:themeColor="text1"/>
                <w:spacing w:val="-2"/>
                <w:w w:val="95"/>
                <w:sz w:val="20"/>
              </w:rPr>
              <w:t>kvazisabiedrības</w:t>
            </w:r>
            <w:proofErr w:type="spellEnd"/>
            <w:r>
              <w:rPr>
                <w:rFonts w:ascii="Times New Roman" w:hAnsi="Times New Roman"/>
                <w:color w:val="000000" w:themeColor="text1"/>
                <w:spacing w:val="-2"/>
                <w:w w:val="95"/>
                <w:sz w:val="20"/>
              </w:rPr>
              <w:t xml:space="preserve">, kas nenodarbojas ar finanšu starpniecību, bet galvenokārt nodarbojas ar tirgū apgrozāmu preču ražošanu un </w:t>
            </w:r>
            <w:proofErr w:type="spellStart"/>
            <w:r>
              <w:rPr>
                <w:rFonts w:ascii="Times New Roman" w:hAnsi="Times New Roman"/>
                <w:color w:val="000000" w:themeColor="text1"/>
                <w:spacing w:val="-2"/>
                <w:w w:val="95"/>
                <w:sz w:val="20"/>
              </w:rPr>
              <w:t>nefinanšu</w:t>
            </w:r>
            <w:proofErr w:type="spellEnd"/>
            <w:r>
              <w:rPr>
                <w:rFonts w:ascii="Times New Roman" w:hAnsi="Times New Roman"/>
                <w:color w:val="000000" w:themeColor="text1"/>
                <w:spacing w:val="-2"/>
                <w:w w:val="95"/>
                <w:sz w:val="20"/>
              </w:rPr>
              <w:t xml:space="preserve"> pakalpojumu sniegšanu saskaņā ar Eiropas Centrālās bankas regulu (ES) Nr. 1071/2013</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Izņemot 0020. slejā norādītos MVU.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Kredītiestādes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V pielikums, 1. daļas 42. punkta c) apakšpunkts.</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Kredītiestādes Regulas (ES) Nr. 575/2013 4. panta 1. punkta 1. apakšpunkta nozīmē un daudzpusējas attīstības bankas.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Citas finanšu iestādes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V pielikums, 1. daļas 42. punkta d) apakšpunkts.</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Visas finanšu sabiedrības un </w:t>
            </w:r>
            <w:proofErr w:type="spellStart"/>
            <w:r>
              <w:rPr>
                <w:rFonts w:ascii="Times New Roman" w:hAnsi="Times New Roman"/>
                <w:color w:val="000000" w:themeColor="text1"/>
                <w:spacing w:val="-2"/>
                <w:w w:val="95"/>
                <w:sz w:val="20"/>
              </w:rPr>
              <w:t>kvazisabiedrības</w:t>
            </w:r>
            <w:proofErr w:type="spellEnd"/>
            <w:r>
              <w:rPr>
                <w:rFonts w:ascii="Times New Roman" w:hAnsi="Times New Roman"/>
                <w:color w:val="000000" w:themeColor="text1"/>
                <w:spacing w:val="-2"/>
                <w:w w:val="95"/>
                <w:sz w:val="20"/>
              </w:rPr>
              <w:t xml:space="preserve">, kas nav kredītiestādes, piemēram, ieguldījumu brokeru sabiedrības, ieguldījumu fondi, apdrošināšanas sabiedrības, pensiju fondi, kolektīvo ieguldījumu uzņēmumi un </w:t>
            </w:r>
            <w:proofErr w:type="spellStart"/>
            <w:r>
              <w:rPr>
                <w:rFonts w:ascii="Times New Roman" w:hAnsi="Times New Roman"/>
                <w:color w:val="000000" w:themeColor="text1"/>
                <w:spacing w:val="-2"/>
                <w:w w:val="95"/>
                <w:sz w:val="20"/>
              </w:rPr>
              <w:t>tīrvērtes</w:t>
            </w:r>
            <w:proofErr w:type="spellEnd"/>
            <w:r>
              <w:rPr>
                <w:rFonts w:ascii="Times New Roman" w:hAnsi="Times New Roman"/>
                <w:color w:val="000000" w:themeColor="text1"/>
                <w:spacing w:val="-2"/>
                <w:w w:val="95"/>
                <w:sz w:val="20"/>
              </w:rPr>
              <w:t xml:space="preserve"> iestādes, kā arī pārējie finanšu starpnieki, finanšu </w:t>
            </w:r>
            <w:proofErr w:type="spellStart"/>
            <w:r>
              <w:rPr>
                <w:rFonts w:ascii="Times New Roman" w:hAnsi="Times New Roman"/>
                <w:color w:val="000000" w:themeColor="text1"/>
                <w:spacing w:val="-2"/>
                <w:w w:val="95"/>
                <w:sz w:val="20"/>
              </w:rPr>
              <w:t>palīgiestādes</w:t>
            </w:r>
            <w:proofErr w:type="spellEnd"/>
            <w:r>
              <w:rPr>
                <w:rFonts w:ascii="Times New Roman" w:hAnsi="Times New Roman"/>
                <w:color w:val="000000" w:themeColor="text1"/>
                <w:spacing w:val="-2"/>
                <w:w w:val="95"/>
                <w:sz w:val="20"/>
              </w:rPr>
              <w:t>, piesaistītās (</w:t>
            </w:r>
            <w:proofErr w:type="spellStart"/>
            <w:r>
              <w:rPr>
                <w:rFonts w:ascii="Times New Roman" w:hAnsi="Times New Roman"/>
                <w:color w:val="000000" w:themeColor="text1"/>
                <w:spacing w:val="-2"/>
                <w:w w:val="95"/>
                <w:sz w:val="20"/>
              </w:rPr>
              <w:t>kaptīvās</w:t>
            </w:r>
            <w:proofErr w:type="spellEnd"/>
            <w:r>
              <w:rPr>
                <w:rFonts w:ascii="Times New Roman" w:hAnsi="Times New Roman"/>
                <w:color w:val="000000" w:themeColor="text1"/>
                <w:spacing w:val="-2"/>
                <w:w w:val="95"/>
                <w:sz w:val="20"/>
              </w:rPr>
              <w:t>) finanšu iestādes un naudas aizdevēji.</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Vispārējās valdības un centrālās bankas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V pielikums, 1. daļas 42. punkta a) un b) apakšpunkts.</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Centrālās bankas un centrālās valdības, pavalsts vai reģionālās pašvaldības un vietējās pašpārvaldes, tostarp administratīvās struktūras un nekomerciāli uzņēmumi, izņemot šo pārvaldes iestāžu publiskās un privātās sabiedrības, kas veic komercdarbību (atkarībā no darbības veida tās uzrāda kā “kredītiestādes”, “citas finanšu sabiedrības” vai “</w:t>
            </w:r>
            <w:proofErr w:type="spellStart"/>
            <w:r>
              <w:rPr>
                <w:rFonts w:ascii="Times New Roman" w:hAnsi="Times New Roman"/>
                <w:color w:val="000000" w:themeColor="text1"/>
                <w:spacing w:val="-2"/>
                <w:w w:val="95"/>
                <w:sz w:val="20"/>
              </w:rPr>
              <w:t>nefinanšu</w:t>
            </w:r>
            <w:proofErr w:type="spellEnd"/>
            <w:r>
              <w:rPr>
                <w:rFonts w:ascii="Times New Roman" w:hAnsi="Times New Roman"/>
                <w:color w:val="000000" w:themeColor="text1"/>
                <w:spacing w:val="-2"/>
                <w:w w:val="95"/>
                <w:sz w:val="20"/>
              </w:rPr>
              <w:t xml:space="preserve"> sabiedrības”); sociālā nodrošinājuma fondi; un tādas starptautiskās organizācijas kā Eiropas Savienība, Starptautiskais Valūtas fonds un Starptautisko norēķinu banka.</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Neidentificēts, iekļauts sarakstā tirdzniecības vietā</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Ja darījumu platformas (tirdzniecības vietas), kas noteikta saskaņā ar Eiropas Parlamenta un Padomes 2014. gada 15. maija Direktīvu 2014/65/ES par finanšu instrumentu tirgiem, sarakstā iekļauto instrumentu dēļ vērtspapīru turētāja identitāte nav zināma, summas norāda šajā slejā.</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Neidentificēts, neiekļauts sarakstā tirdzniecības vietā</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Ja vērtspapīru turētāja identitāte nav zināma un instrumenti nav iekļauti darījumu platformas (tirdzniecības vietas) sarakstā, summas norāda šajā slejā un nekāds sīkāks darījumu partneru iedalījums nav nepieciešams. Vienības dara visu iespējamo, lai identificētu darījumu partnerus un pēc iespējas ierobežotu šīs slejas izmantošanu.</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Kopā</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 tiem: grupas iekšējie darījumi</w:t>
            </w:r>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Saistības pret vienībām, kas iekļautas galvenās </w:t>
            </w:r>
            <w:proofErr w:type="spellStart"/>
            <w:r>
              <w:rPr>
                <w:rFonts w:ascii="Times New Roman" w:hAnsi="Times New Roman"/>
                <w:color w:val="000000" w:themeColor="text1"/>
                <w:spacing w:val="-2"/>
                <w:w w:val="95"/>
                <w:sz w:val="20"/>
              </w:rPr>
              <w:t>mātessabiedrības</w:t>
            </w:r>
            <w:proofErr w:type="spellEnd"/>
            <w:r>
              <w:rPr>
                <w:rFonts w:ascii="Times New Roman" w:hAnsi="Times New Roman"/>
                <w:color w:val="000000" w:themeColor="text1"/>
                <w:spacing w:val="-2"/>
                <w:w w:val="95"/>
                <w:sz w:val="20"/>
              </w:rPr>
              <w:t xml:space="preserve"> konsolidētajos finanšu pārskatos (atšķirībā no konsolidācijas regulatīvās darbības jomas).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 tiem: saistības, kurām piemēro trešās valsts tiesību aktus, izņemot grupas iekšējos darījumus</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Tās ietver saistību bruto summas, kurām piemēro trešās valsts tiesību aktus un/vai kuras emitē grupas vienības, kas nodibinātas trešajās valstīs. Grupas iekšējie darījumi netiek ņemti vērā.</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Ja noregulējuma iestāde ir apstiprinājusi, ka tā saskaņā ar Eiropas Parlamenta un Padomes Direktīvas 2014/59/ES</w:t>
            </w:r>
            <w:r>
              <w:rPr>
                <w:rStyle w:val="FootnoteReference"/>
                <w:color w:val="000000" w:themeColor="text1"/>
                <w:spacing w:val="-2"/>
                <w:w w:val="95"/>
              </w:rPr>
              <w:footnoteReference w:id="10"/>
            </w:r>
            <w:r>
              <w:rPr>
                <w:rFonts w:ascii="Times New Roman" w:hAnsi="Times New Roman"/>
                <w:color w:val="000000" w:themeColor="text1"/>
                <w:spacing w:val="-2"/>
                <w:w w:val="95"/>
                <w:sz w:val="20"/>
              </w:rPr>
              <w:t xml:space="preserve"> 45. panta 5. punktu ir apmierināta un ka jebkurš noregulējuma iestādes lēmums norakstīt vai konvertēt saistības stājas spēkā saskaņā ar attiecīgās trešās valsts tiesību aktiem, attiecīgās saistības šajā sadaļā nenorāda.</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Rindas</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Norādījumi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Iekšējā </w:t>
            </w:r>
            <w:proofErr w:type="spellStart"/>
            <w:r>
              <w:rPr>
                <w:rFonts w:ascii="Times New Roman" w:hAnsi="Times New Roman"/>
                <w:b/>
                <w:color w:val="000000" w:themeColor="text1"/>
                <w:spacing w:val="-2"/>
                <w:w w:val="95"/>
                <w:sz w:val="20"/>
              </w:rPr>
              <w:t>rekapitalizācijā</w:t>
            </w:r>
            <w:proofErr w:type="spellEnd"/>
            <w:r>
              <w:rPr>
                <w:rFonts w:ascii="Times New Roman" w:hAnsi="Times New Roman"/>
                <w:b/>
                <w:color w:val="000000" w:themeColor="text1"/>
                <w:spacing w:val="-2"/>
                <w:w w:val="95"/>
                <w:sz w:val="20"/>
              </w:rPr>
              <w:t xml:space="preserve"> neiekļautās saistības</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Direktīvas 2014/59/ES 44. panta 2. punktā noteikts, ka “noregulējuma iestādes neīsteno norakstīšanas vai konvertācijas pilnvaras attiecībā uz šādām saistībām neatkarīgi no tā, vai uz tām attiecas kādas dalībvalsts vai trešās valsts tiesību akti”.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Segtie noguldījumi</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Segto noguldījumu summa, kā noteikts Eiropas Parlamenta un Padomes Direktīvas 2014/49/ES</w:t>
            </w:r>
            <w:r>
              <w:rPr>
                <w:rStyle w:val="FootnoteReference"/>
                <w:color w:val="000000" w:themeColor="text1"/>
              </w:rPr>
              <w:footnoteReference w:id="11"/>
            </w:r>
            <w:r>
              <w:rPr>
                <w:rFonts w:ascii="Times New Roman" w:hAnsi="Times New Roman"/>
                <w:color w:val="000000" w:themeColor="text1"/>
                <w:spacing w:val="-2"/>
                <w:w w:val="95"/>
                <w:sz w:val="20"/>
              </w:rPr>
              <w:t xml:space="preserve"> 2. panta 1. punkta 5. apakšpunktā, izņemot augstas pagaidu bilances vērtības, kā noteikts attiecīgās direktīvas 6. panta 2. punktā.</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Nodrošinātās saistības — daļa, kas izmantota kā nodrošinājums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2014/59/ES 44. panta 2. punkta b) apakšpunkts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Nodrošinātās saistības, tostarp līgumi par aktīvu pārdošanu ar atpirkšanu, segtas obligācijas un saistības finanšu instrumentu veidā, kas veido seguma portfeļa neatņemamu daļu un kas saskaņā ar valsts tiesību aktiem tiek nodrošinātas līdzīgā veidā kā segtās obligācijas.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 prasība gādāt, lai visi nodrošinātie aktīvi saistībā ar segto obligāciju seguma portfeli paliktu neskarti, nošķirti un ar pietiekamu finansējumu, ne Direktīvas 2014/59/ES 44. panta 2. punkta b) apakšpunktā minētais izņēmums neliedz noregulējuma iestādēm attiecīgā gadījumā izmantot šādas pilnvaras saistībā ar jebkuru nodrošinātu saistību daļu vai saistībām, kurām ir ieķīlāts nodrošinājums, kas pārsniedz aktīvu, ķīlas, aizturējuma tiesību vai nodrošinājuma vērtību, pret ko tās ir nodrošinātas. Šādu nodrošināto saistību nesegto summu nenorāda šajā rindā, bet norāda 0340. rindā, piemērojot papildu sadalījumu.</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Centrālās bankas saistības, kuras sedz nodrošinājuma portfelis, (piem., galvenās refinansēšanas operācijas, ilgāka termiņa refinansēšanas operācijas, mērķa ilgāka termiņa refinansēšanas operācijas u. c.) uzskata par nodrošinātām saistībām.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Īpašs saistību veids ir nodrošinājuma pozīcijas (piem., skaidras naudas nodrošinājums), kas saņemtas un reģistrētas bilancē. Ja šādas nodrošinājuma pozīcijas ir juridiski saistītas ar aktīvu pozīciju, tās šī pārskata iesniegšanas nolūkā uzskata par nodrošinātajām saistībām.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Klientu saistības, ja aizsargātas maksātnespējas gadījumā</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Direktīvas 2014/59/ES 44. panta 2. punkta c) apakšpunkts</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Jebkuras saistības, ko rada iestādes vai Direktīvas 2014/59/ES 1. panta 1. punkta b), c) vai d) apakšpunktā minētās vienības turējumā esoši klienta aktīvi vai nauda, tostarp klienta aktīvi vai nauda, kas ir tās turējumā Eiropas Parlamenta un Padomes Direktīvas 2009/65/EK</w:t>
            </w:r>
            <w:r>
              <w:rPr>
                <w:rStyle w:val="FootnoteReference"/>
                <w:color w:val="000000" w:themeColor="text1"/>
                <w:spacing w:val="-2"/>
                <w:w w:val="95"/>
              </w:rPr>
              <w:footnoteReference w:id="12"/>
            </w:r>
            <w:r>
              <w:rPr>
                <w:rFonts w:ascii="Times New Roman" w:hAnsi="Times New Roman"/>
                <w:color w:val="000000" w:themeColor="text1"/>
                <w:spacing w:val="-2"/>
                <w:w w:val="95"/>
                <w:sz w:val="20"/>
              </w:rPr>
              <w:t xml:space="preserve"> 1. panta 2. punktā definēto PVKIU vārdā vai Eiropas Parlamenta un Padomes Direktīvas 2011/61/ES</w:t>
            </w:r>
            <w:r>
              <w:rPr>
                <w:rStyle w:val="FootnoteReference"/>
                <w:color w:val="000000" w:themeColor="text1"/>
                <w:spacing w:val="-2"/>
                <w:w w:val="95"/>
              </w:rPr>
              <w:footnoteReference w:id="13"/>
            </w:r>
            <w:r>
              <w:rPr>
                <w:rFonts w:ascii="Times New Roman" w:hAnsi="Times New Roman"/>
                <w:color w:val="000000" w:themeColor="text1"/>
                <w:spacing w:val="-2"/>
                <w:w w:val="95"/>
                <w:sz w:val="20"/>
              </w:rPr>
              <w:t xml:space="preserve"> 4. panta 1. punkta a) apakšpunktā definēto AIF vārdā, ar nosacījumu, ka šāds klients ir aizsargāts saskaņā ar piemērojamajiem tiesību aktiem maksātnespējas jomā.</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proofErr w:type="spellStart"/>
            <w:r>
              <w:rPr>
                <w:rFonts w:ascii="Times New Roman" w:hAnsi="Times New Roman"/>
                <w:b/>
                <w:color w:val="000000" w:themeColor="text1"/>
                <w:spacing w:val="-2"/>
                <w:w w:val="95"/>
                <w:sz w:val="20"/>
              </w:rPr>
              <w:t>Fiduciārās</w:t>
            </w:r>
            <w:proofErr w:type="spellEnd"/>
            <w:r>
              <w:rPr>
                <w:rFonts w:ascii="Times New Roman" w:hAnsi="Times New Roman"/>
                <w:b/>
                <w:color w:val="000000" w:themeColor="text1"/>
                <w:spacing w:val="-2"/>
                <w:w w:val="95"/>
                <w:sz w:val="20"/>
              </w:rPr>
              <w:t xml:space="preserve"> saistības, ja aizsargātas maksātnespējas gadījumā</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2014/59/ES 44. panta 2. punkta d) apakšpunkts</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Jebkuras saistības, kas rodas no </w:t>
            </w:r>
            <w:proofErr w:type="spellStart"/>
            <w:r>
              <w:rPr>
                <w:rFonts w:ascii="Times New Roman" w:hAnsi="Times New Roman"/>
                <w:color w:val="000000" w:themeColor="text1"/>
                <w:spacing w:val="-2"/>
                <w:w w:val="95"/>
                <w:sz w:val="20"/>
              </w:rPr>
              <w:t>fiduciārām</w:t>
            </w:r>
            <w:proofErr w:type="spellEnd"/>
            <w:r>
              <w:rPr>
                <w:rFonts w:ascii="Times New Roman" w:hAnsi="Times New Roman"/>
                <w:color w:val="000000" w:themeColor="text1"/>
                <w:spacing w:val="-2"/>
                <w:w w:val="95"/>
                <w:sz w:val="20"/>
              </w:rPr>
              <w:t xml:space="preserve"> attiecībām starp iestādi vai Direktīvas 2014/59/ES 1. panta 1. punkta b), c) vai d) apakšpunktā minēto vienību (kā </w:t>
            </w:r>
            <w:proofErr w:type="spellStart"/>
            <w:r>
              <w:rPr>
                <w:rFonts w:ascii="Times New Roman" w:hAnsi="Times New Roman"/>
                <w:color w:val="000000" w:themeColor="text1"/>
                <w:spacing w:val="-2"/>
                <w:w w:val="95"/>
                <w:sz w:val="20"/>
              </w:rPr>
              <w:t>fiduciāru</w:t>
            </w:r>
            <w:proofErr w:type="spellEnd"/>
            <w:r>
              <w:rPr>
                <w:rFonts w:ascii="Times New Roman" w:hAnsi="Times New Roman"/>
                <w:color w:val="000000" w:themeColor="text1"/>
                <w:spacing w:val="-2"/>
                <w:w w:val="95"/>
                <w:sz w:val="20"/>
              </w:rPr>
              <w:t>) un citu personu (kā labuma guvēju), ar nosacījumu, ka šāds labuma guvējs ir aizsargāts saskaņā ar piemērojamajām maksātnespējas tiesībām vai civiltiesībām.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Kredītiestādes saistības &lt; 7 dienas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2014/59/ES 44. panta 2. punkta e) apakšpunkts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Saistības pret kredītiestādēm, izņemot vienības, kas ir tajā pašā uzskaites grupā, kuru sākotnējais termiņš ir mazāks par septiņām dienām.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Sistēmas (operatora) saistības &lt; 7 dienas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2014/59/ES 44. panta 2. punkta f) apakšpunkts</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Tādas saistības pret sistēmām, kuras noteiktas saskaņā ar Eiropas Parlamenta un Padomes Direktīvu 98/26/EK</w:t>
            </w:r>
            <w:r>
              <w:rPr>
                <w:rStyle w:val="FootnoteReference"/>
                <w:color w:val="000000" w:themeColor="text1"/>
                <w:spacing w:val="-2"/>
                <w:w w:val="95"/>
              </w:rPr>
              <w:footnoteReference w:id="14"/>
            </w:r>
            <w:r>
              <w:rPr>
                <w:rFonts w:ascii="Times New Roman" w:hAnsi="Times New Roman"/>
                <w:color w:val="000000" w:themeColor="text1"/>
                <w:spacing w:val="-2"/>
                <w:w w:val="95"/>
                <w:sz w:val="20"/>
              </w:rPr>
              <w:t>, vai šādu sistēmu operatoriem vai to dalībniekiem, kuru atlikušais termiņš ir mazāks par septiņām dienām un kuras rodas no dalības šādā sistēmā.</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Darbinieku saistības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2014/59/ES 44. panta 2. punkta g) apakšpunkta i) punkts</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Saistības pret darbiniekiem saistībā ar uzkrāto algu, pensijas pabalstu vai citu fiksētu atalgojumu, izņemot atalgojuma mainīgo daļu, ko neregulē darba koplīgums. Taču to nepiemēro personu, kas uzņemas būtisku risku, atalgojuma mainīgajai daļai, kā noteikts Direktīvas 2013/36/ES 92. panta 2. punktā.</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Saistības, kas ir kritiski svarīgas ikdienas operatīvajai darbībai</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Direktīvas 2014/59/ES 44. panta 2. punkta g) apakšpunkta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punkts</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Saistības pret </w:t>
            </w:r>
            <w:proofErr w:type="spellStart"/>
            <w:r>
              <w:rPr>
                <w:rFonts w:ascii="Times New Roman" w:hAnsi="Times New Roman"/>
                <w:color w:val="000000" w:themeColor="text1"/>
                <w:spacing w:val="-2"/>
                <w:w w:val="95"/>
                <w:sz w:val="20"/>
              </w:rPr>
              <w:t>komerckreditoru</w:t>
            </w:r>
            <w:proofErr w:type="spellEnd"/>
            <w:r>
              <w:rPr>
                <w:rFonts w:ascii="Times New Roman" w:hAnsi="Times New Roman"/>
                <w:color w:val="000000" w:themeColor="text1"/>
                <w:spacing w:val="-2"/>
                <w:w w:val="95"/>
                <w:sz w:val="20"/>
              </w:rPr>
              <w:t xml:space="preserve"> vai tirdzniecības kreditoru, ja saistības rodas no iestādes vai Direktīvas 2014/59/ES 1. panta 1. punkta b), c) vai d) apakšpunktā minētās vienības ikdienas darba nodrošināšanai kritiski vajadzīgo preču vai pakalpojumu, tostarp IT pakalpojumu, sabiedrisko pakalpojumu un telpu īres, apkalpošanas un uzturēšanas pakalpojumu, sniegšanas.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Nodokļu un sociālā nodrošinājuma iestāžu saistības, ja tām ir priekšroka</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Direktīvas 2014/59/ES 44. panta 2. punkta g) apakšpunkta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punkts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Saistības pret nodokļu un sociālā nodrošinājuma iestādēm ar nosacījumu, ka minētajām saistībām ir prioritāte saskaņā ar piemērojamajiem tiesību aktiem.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NGS saistības</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Direktīvas 2014/59/ES 44. panta 2. punkta g) apakšpunkta </w:t>
            </w:r>
            <w:proofErr w:type="spellStart"/>
            <w:r>
              <w:rPr>
                <w:rFonts w:ascii="Times New Roman" w:hAnsi="Times New Roman"/>
                <w:color w:val="000000" w:themeColor="text1"/>
                <w:spacing w:val="-2"/>
                <w:w w:val="95"/>
                <w:sz w:val="20"/>
              </w:rPr>
              <w:t>iv</w:t>
            </w:r>
            <w:proofErr w:type="spellEnd"/>
            <w:r>
              <w:rPr>
                <w:rFonts w:ascii="Times New Roman" w:hAnsi="Times New Roman"/>
                <w:color w:val="000000" w:themeColor="text1"/>
                <w:spacing w:val="-2"/>
                <w:w w:val="95"/>
                <w:sz w:val="20"/>
              </w:rPr>
              <w:t>) punkts</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Saistības pret noguldījumu garantiju sistēmām, kas rodas no maksājamajām iemaksām saskaņā ar Direktīvu 2014/49/ES.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Iekšējā </w:t>
            </w:r>
            <w:proofErr w:type="spellStart"/>
            <w:r>
              <w:rPr>
                <w:rFonts w:ascii="Times New Roman" w:hAnsi="Times New Roman"/>
                <w:b/>
                <w:color w:val="000000" w:themeColor="text1"/>
                <w:spacing w:val="-2"/>
                <w:w w:val="95"/>
                <w:sz w:val="20"/>
              </w:rPr>
              <w:t>rekapitalizācijā</w:t>
            </w:r>
            <w:proofErr w:type="spellEnd"/>
            <w:r>
              <w:rPr>
                <w:rFonts w:ascii="Times New Roman" w:hAnsi="Times New Roman"/>
                <w:b/>
                <w:color w:val="000000" w:themeColor="text1"/>
                <w:spacing w:val="-2"/>
                <w:w w:val="95"/>
                <w:sz w:val="20"/>
              </w:rPr>
              <w:t xml:space="preserve"> iekļautās saistības</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0310., 0320., 0334., 0340., 0350., 0360., 0365., 0370., 0380., 0390. un 0400. rindas summa.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Noguldījumi, nesegtie, bet preferenciālie</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2014/59/ES 108. pants</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Noguldījumi, kā noteikts Direktīvas 2014/49/ES 2. panta 1. punkta 3. apakšpunktā, kas nekvalificējas atbrīvojumam no iekšējas </w:t>
            </w:r>
            <w:proofErr w:type="spellStart"/>
            <w:r>
              <w:rPr>
                <w:rFonts w:ascii="Times New Roman" w:hAnsi="Times New Roman"/>
                <w:color w:val="000000" w:themeColor="text1"/>
                <w:spacing w:val="-2"/>
                <w:w w:val="95"/>
                <w:sz w:val="20"/>
              </w:rPr>
              <w:t>rekapitalizācijas</w:t>
            </w:r>
            <w:proofErr w:type="spellEnd"/>
            <w:r>
              <w:rPr>
                <w:rFonts w:ascii="Times New Roman" w:hAnsi="Times New Roman"/>
                <w:color w:val="000000" w:themeColor="text1"/>
                <w:spacing w:val="-2"/>
                <w:w w:val="95"/>
                <w:sz w:val="20"/>
              </w:rPr>
              <w:t xml:space="preserve"> (Direktīvas 2014/59/ES 44. panta 2. punkta a) apakšpunkts), taču attiecībā uz kuriem ir paredzēts preferenciāls režīms saskaņā ar Direktīvas 2014/59/ES 108. pantu.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Noguldījumi, nesegtie un nepreferenciālie</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Noguldījumi, kā noteikts Direktīvas 2014/49/ES 2. panta 1. punkta 3. apakšpunktā, kas nekvalificējas atbrīvojumam no iekšējas </w:t>
            </w:r>
            <w:proofErr w:type="spellStart"/>
            <w:r>
              <w:rPr>
                <w:rFonts w:ascii="Times New Roman" w:hAnsi="Times New Roman"/>
                <w:color w:val="000000" w:themeColor="text1"/>
                <w:spacing w:val="-2"/>
                <w:w w:val="95"/>
                <w:sz w:val="20"/>
              </w:rPr>
              <w:t>rekapitalizācijas</w:t>
            </w:r>
            <w:proofErr w:type="spellEnd"/>
            <w:r>
              <w:rPr>
                <w:rFonts w:ascii="Times New Roman" w:hAnsi="Times New Roman"/>
                <w:color w:val="000000" w:themeColor="text1"/>
                <w:spacing w:val="-2"/>
                <w:w w:val="95"/>
                <w:sz w:val="20"/>
              </w:rPr>
              <w:t xml:space="preserve"> vai preferenciālam režīmam, piemērojot Direktīvas 2014/59/ES 44. panta 2. punkta a) apakšpunktu vai 108. pantu.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 atvasinātajiem instrumentiem izrietošās bilances saistības</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No atvasinātajiem instrumentiem izrietošo saistību uzskaites vērtība par kopējo summu, kas atbilst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{F 01.02;020;010} + {F 01.02;150;010}.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Neto saistību pozīciju summa, ņemot vērā līgumiskās savstarpējo prasījumu ieskaita kopas, pēc novērtēšanas atbilstoši tirgus cenas pielāgojumiem un pirms nodrošinājuma kompensācijas</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Pēc noklusējuma visu atvasināto instrumentu saistību neto tirgus vērtību summa katrai līgumisko savstarpējo prasījumu ieskaita kopai. Savstarpējo prasījumu ieskaita kopu iekļauj pārskatā tikai tad, ja savstarpējo prasījumu ieskaita kopas tirgus vērtība ir saistības. Šajā nolūkā atvasinātos instrumentus, uz kuriem neattiecas savstarpējā ieskaita līgumi, uzskata par vienu līgumu, t. i., it kā tā būtu savstarpējo prasījumu ieskaita kopa ar tikai vienu atvasināto instrumentu.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Neto saistību pozīciju summa, ņemot vērā līgumiskās savstarpējo prasījumu ieskaita kopas, pēc novērtēšanas atbilstoši tirgus cenas pielāgojumiem un pēc nodrošinājuma kompensācijas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Uz novērtējumu 0331. rindā attiecina pielāgojumu nodrošinājumam, kas paredzēts, lai nodrošinātu šo riska darījumu, kā rezultātā tiek iegūta šo neto tirgus vērtību summa pēc nodrošinājuma savstarpējā ieskaita atbilstoši tā tirgus vērtībai.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Neto saistību pozīciju summa, ņemot vērā līgumiskās savstarpējo prasījumu ieskaita kopas, pēc novērtēšanas atbilstoši tirgus cenas pielāgojumiem un pēc nodrošinājuma kompensācijas, iekļaujot aplēstās slēgšanas summas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Saskaņā ar Komisijas Deleģēto regulu (ES) 2016/1401</w:t>
            </w:r>
            <w:r>
              <w:rPr>
                <w:rStyle w:val="FootnoteReference"/>
                <w:color w:val="1A171C"/>
                <w:spacing w:val="-2"/>
                <w:w w:val="95"/>
              </w:rPr>
              <w:footnoteReference w:id="15"/>
            </w:r>
            <w:r>
              <w:rPr>
                <w:rFonts w:ascii="Times New Roman" w:hAnsi="Times New Roman"/>
                <w:color w:val="000000" w:themeColor="text1"/>
                <w:spacing w:val="-2"/>
                <w:w w:val="95"/>
                <w:sz w:val="20"/>
              </w:rPr>
              <w:t xml:space="preserve"> par tādu saistību vērtēšanu, kas izriet no atvasinātajiem instrumentiem, papildu slēgšanas summu, kas sedz zaudējumu summu vai atvasināto instrumentu darījumu partneru radītās izmaksas vai to gūtos ieguvumus, aizstājot vai iegūstot ekonomisko ekvivalentu atbilstoši līgumu materiālajiem noteikumiem un pušu izvēles tiesības, ievērojot izbeigtos līgumus.</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Nepieciešamās aplēses, lai noteiktu slēgšanas summu saskaņā ar iepriekš minēto regulu, individuālā līmenī var būt sarežģītas. Tāpēc to vietā var izmantot </w:t>
            </w:r>
            <w:proofErr w:type="spellStart"/>
            <w:r>
              <w:rPr>
                <w:rFonts w:ascii="Times New Roman" w:hAnsi="Times New Roman"/>
                <w:color w:val="000000" w:themeColor="text1"/>
                <w:spacing w:val="-2"/>
                <w:w w:val="95"/>
                <w:sz w:val="20"/>
              </w:rPr>
              <w:t>aizstājējvērtības</w:t>
            </w:r>
            <w:proofErr w:type="spellEnd"/>
            <w:r>
              <w:rPr>
                <w:rFonts w:ascii="Times New Roman" w:hAnsi="Times New Roman"/>
                <w:color w:val="000000" w:themeColor="text1"/>
                <w:spacing w:val="-2"/>
                <w:w w:val="95"/>
                <w:sz w:val="20"/>
              </w:rPr>
              <w:t xml:space="preserve">, kuru pamatā var būt pieejamie dati, piemēram, </w:t>
            </w:r>
            <w:proofErr w:type="spellStart"/>
            <w:r>
              <w:rPr>
                <w:rFonts w:ascii="Times New Roman" w:hAnsi="Times New Roman"/>
                <w:color w:val="000000" w:themeColor="text1"/>
                <w:spacing w:val="-2"/>
                <w:w w:val="95"/>
                <w:sz w:val="20"/>
              </w:rPr>
              <w:t>prudenciālās</w:t>
            </w:r>
            <w:proofErr w:type="spellEnd"/>
            <w:r>
              <w:rPr>
                <w:rFonts w:ascii="Times New Roman" w:hAnsi="Times New Roman"/>
                <w:color w:val="000000" w:themeColor="text1"/>
                <w:spacing w:val="-2"/>
                <w:w w:val="95"/>
                <w:sz w:val="20"/>
              </w:rPr>
              <w:t xml:space="preserve"> prasības tirgus riskam. Ja atvasināto instrumentu saistībām nav iespējams aprēķināt slēgšanas summu, norādītajai summai vajadzētu būt vienādai ar 0332. rindā norādīto summu.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Neto saistību pozīciju summa, ņemot vērā </w:t>
            </w:r>
            <w:proofErr w:type="spellStart"/>
            <w:r>
              <w:rPr>
                <w:rFonts w:ascii="Times New Roman" w:hAnsi="Times New Roman"/>
                <w:b/>
                <w:color w:val="000000" w:themeColor="text1"/>
                <w:sz w:val="20"/>
              </w:rPr>
              <w:t>prudenciālā</w:t>
            </w:r>
            <w:proofErr w:type="spellEnd"/>
            <w:r>
              <w:rPr>
                <w:rFonts w:ascii="Times New Roman" w:hAnsi="Times New Roman"/>
                <w:b/>
                <w:color w:val="000000" w:themeColor="text1"/>
                <w:sz w:val="20"/>
              </w:rPr>
              <w:t xml:space="preserve"> ieskaita noteikumus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Pārskatā norāda neto saistību pozīcijas atvasinātajiem instrumentiem, ņemot vērā Regulas (ES) Nr. 575/2013 429. panta </w:t>
            </w:r>
            <w:proofErr w:type="spellStart"/>
            <w:r>
              <w:rPr>
                <w:rFonts w:ascii="Times New Roman" w:hAnsi="Times New Roman"/>
                <w:color w:val="000000" w:themeColor="text1"/>
                <w:spacing w:val="-2"/>
                <w:w w:val="95"/>
                <w:sz w:val="20"/>
              </w:rPr>
              <w:t>prudenciālā</w:t>
            </w:r>
            <w:proofErr w:type="spellEnd"/>
            <w:r>
              <w:rPr>
                <w:rFonts w:ascii="Times New Roman" w:hAnsi="Times New Roman"/>
                <w:color w:val="000000" w:themeColor="text1"/>
                <w:spacing w:val="-2"/>
                <w:w w:val="95"/>
                <w:sz w:val="20"/>
              </w:rPr>
              <w:t xml:space="preserve"> ieskaita noteikumus (saistībā ar sviras rādītāja kopējās riska darījumu vērtības mēra aprēķināšanu).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Nodrošinātās saistības, kas netiek izmantotas kā nodrošinājums</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Nodrošināto saistību vai saistību summa, kurām ir ieķīlāts nodrošinājums, kas pārsniedz aktīvu, ķīlas, aizturējuma tiesību vai nodrošinājuma vērtību, pret ko tas ir nodrošināts. Tas ietver jebkādu saistību, kas tiek izmantotas kā nodrošinājums, “nenodrošināto” daļu, piemēram, segto obligāciju vai </w:t>
            </w:r>
            <w:proofErr w:type="spellStart"/>
            <w:r>
              <w:rPr>
                <w:rFonts w:ascii="Times New Roman" w:hAnsi="Times New Roman"/>
                <w:color w:val="000000" w:themeColor="text1"/>
                <w:spacing w:val="-2"/>
                <w:w w:val="95"/>
                <w:sz w:val="20"/>
              </w:rPr>
              <w:t>repo</w:t>
            </w:r>
            <w:proofErr w:type="spellEnd"/>
            <w:r>
              <w:rPr>
                <w:rFonts w:ascii="Times New Roman" w:hAnsi="Times New Roman"/>
                <w:color w:val="000000" w:themeColor="text1"/>
                <w:spacing w:val="-2"/>
                <w:w w:val="95"/>
                <w:sz w:val="20"/>
              </w:rPr>
              <w:t xml:space="preserve"> darījumu nenodrošināto daļu.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Strukturētas parādzīmes</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Strukturētas parādzīmes šajā nolūkā definē kā parādsaistības, kas ietver iegulta atvasināta instrumenta elementu ar atdevi, kas saistīta ar bāzes aktīviem vai indeksu (publisku vai pasūtītu, piemēram, kapitāla vērtspapīrus vai obligācijas, fiksētas ieņēmumu likmes vai kredītu, ārvalstu valūtas, preces u. c.). Strukturētas parādzīmes neietver parāda instrumentus, kas ietver tikai pirkšanas vai pārdošanas iespējas, piem., instrumenta vērtība nav atkarīga ne no kāda iegulta atvasināta instrumenta elementa.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Augstākās prioritātes nenodrošinātās saistības</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Tas ietver visus augstākās prioritātes nenodrošinātos instrumentus, kas nav iekļauti strukturēto parādzīmju kategorijā.</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Augstākās prioritātes nepreferenciālas saistības</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Jebkuru šādu saistību summa:</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nenodrošinātas prasības, kas izriet no Direktīvas 2014/59/ES 108. panta 2. punkta a), b) un c) apakšpunktā un 3. punktā minētajiem nosacījumiem atbilstošiem parāda instrumentiem;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nenodrošinātas prasības, kas izriet no Direktīvas 2014/59/ES 108. panta 5. punkta pirmās daļas b) apakšpunktā minētajiem parāda instrumentiem; vai</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parāda instrumenti, kam ir viszemākā prioritāte starp parastajām nenodrošinātajām prasībām, kas izriet no Direktīvas 2014/59/ES 108. panta 7. punktā minētajiem parāda instrumentiem, attiecībā uz kuriem kāda dalībvalsts saskaņā ar minēto punktu ir noteikusi, ka tie ir vienā līmenī ar prasībām, kas atbilst Direktīvas 2014/59/ES 108. panta 2. punkta a), b) un c) apakšpunktā un 3. punktā minētajiem nosacījumiem.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Subordinētās saistības</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Saistības, kuras tiks atmaksātas tikai saskaņā ar valsts tiesību aktiem maksātnespējas jomā pēc tam, kad visām parasto kreditoru un augstākās prioritātes nepreferenciālo kreditoru kategorijām ir veikta pilnīga atmaksa. Tās ietver gan līgumiskās, gan likumiskās subordinētās saistības. </w:t>
            </w:r>
            <w:proofErr w:type="spellStart"/>
            <w:r>
              <w:rPr>
                <w:rFonts w:ascii="Times New Roman" w:hAnsi="Times New Roman"/>
                <w:color w:val="000000" w:themeColor="text1"/>
                <w:spacing w:val="-2"/>
                <w:w w:val="95"/>
                <w:sz w:val="20"/>
              </w:rPr>
              <w:t>Pārvaldītājsabiedrību</w:t>
            </w:r>
            <w:proofErr w:type="spellEnd"/>
            <w:r>
              <w:rPr>
                <w:rFonts w:ascii="Times New Roman" w:hAnsi="Times New Roman"/>
                <w:color w:val="000000" w:themeColor="text1"/>
                <w:spacing w:val="-2"/>
                <w:w w:val="95"/>
                <w:sz w:val="20"/>
              </w:rPr>
              <w:t xml:space="preserve"> gadījumā šajā kategorijā var norādīt arī nesubordinētos parāda vērtspapīrus (t. i., strukturāla subordinācija).</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Šajā kategorijā iekļauj tikai subordinētus instrumentus, kas netiek atzīti kā pašu kapitāls.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Šajā rindā arī iekļauj to subordinēto saistību daļu, kas principā ir kvalificējama kā pašu kapitāls, taču nav iekļauta pašu kapitālā pārejas noteikumu dēļ, piemēram, saskaņā ar Regulas (ES) Nr. 575/2013 64. pantu (atlikušais termiņš) vai Regulas (ES) Nr. 575/2013 10. daļu (tiesību saglabāt iepriekš spēkā esošos nosacījumus ietekme).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Citas </w:t>
            </w:r>
            <w:r>
              <w:rPr>
                <w:rFonts w:ascii="Times New Roman" w:hAnsi="Times New Roman"/>
                <w:b/>
                <w:i/>
                <w:color w:val="000000" w:themeColor="text1"/>
                <w:sz w:val="20"/>
              </w:rPr>
              <w:t>MREL</w:t>
            </w:r>
            <w:r>
              <w:rPr>
                <w:rFonts w:ascii="Times New Roman" w:hAnsi="Times New Roman"/>
                <w:b/>
                <w:color w:val="000000" w:themeColor="text1"/>
                <w:sz w:val="20"/>
              </w:rPr>
              <w:t xml:space="preserve"> atbilstīgas saistības</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Jebkurš </w:t>
            </w:r>
            <w:r>
              <w:rPr>
                <w:rFonts w:ascii="Times New Roman" w:hAnsi="Times New Roman"/>
                <w:i/>
                <w:color w:val="000000" w:themeColor="text1"/>
                <w:spacing w:val="-2"/>
                <w:w w:val="95"/>
                <w:sz w:val="20"/>
              </w:rPr>
              <w:t>MREL</w:t>
            </w:r>
            <w:r>
              <w:rPr>
                <w:rFonts w:ascii="Times New Roman" w:hAnsi="Times New Roman"/>
                <w:color w:val="000000" w:themeColor="text1"/>
                <w:spacing w:val="-2"/>
                <w:w w:val="95"/>
                <w:sz w:val="20"/>
              </w:rPr>
              <w:t xml:space="preserve"> atbilstīgs instruments, kas nav norādīts 0320. un 0340.–0370. rindā.</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Nefinanšu</w:t>
            </w:r>
            <w:proofErr w:type="spellEnd"/>
            <w:r>
              <w:rPr>
                <w:rFonts w:ascii="Times New Roman" w:hAnsi="Times New Roman"/>
                <w:b/>
                <w:color w:val="000000" w:themeColor="text1"/>
                <w:sz w:val="20"/>
              </w:rPr>
              <w:t xml:space="preserve"> saistības</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Šī rinda ietver </w:t>
            </w:r>
            <w:proofErr w:type="spellStart"/>
            <w:r>
              <w:rPr>
                <w:rFonts w:ascii="Times New Roman" w:hAnsi="Times New Roman"/>
                <w:color w:val="000000" w:themeColor="text1"/>
                <w:spacing w:val="-2"/>
                <w:w w:val="95"/>
                <w:sz w:val="20"/>
              </w:rPr>
              <w:t>nefinanšu</w:t>
            </w:r>
            <w:proofErr w:type="spellEnd"/>
            <w:r>
              <w:rPr>
                <w:rFonts w:ascii="Times New Roman" w:hAnsi="Times New Roman"/>
                <w:color w:val="000000" w:themeColor="text1"/>
                <w:spacing w:val="-2"/>
                <w:w w:val="95"/>
                <w:sz w:val="20"/>
              </w:rPr>
              <w:t xml:space="preserve"> saistības, kas nav saistītas ar parāda instrumentiem, kurus turētājiem var </w:t>
            </w:r>
            <w:proofErr w:type="spellStart"/>
            <w:r>
              <w:rPr>
                <w:rFonts w:ascii="Times New Roman" w:hAnsi="Times New Roman"/>
                <w:color w:val="000000" w:themeColor="text1"/>
                <w:spacing w:val="-2"/>
                <w:w w:val="95"/>
                <w:sz w:val="20"/>
              </w:rPr>
              <w:t>rekapitalizēt</w:t>
            </w:r>
            <w:proofErr w:type="spellEnd"/>
            <w:r>
              <w:rPr>
                <w:rFonts w:ascii="Times New Roman" w:hAnsi="Times New Roman"/>
                <w:color w:val="000000" w:themeColor="text1"/>
                <w:spacing w:val="-2"/>
                <w:w w:val="95"/>
                <w:sz w:val="20"/>
              </w:rPr>
              <w:t xml:space="preserve"> praktisku iemeslu dēļ, piemēram, vienībai piemērojamie tiesvedības noteikumi.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Atlikušās saistības</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 xml:space="preserve">Jebkuras saistības, kas nav norādītas 0100.–0390. rindā.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rPr>
              <w:t>Pašu kapitāls</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Regulas (ES) Nr. 575/2013 4. panta 1. un 118. punkts un 72. pants.</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Tāda pati definīcija kā </w:t>
            </w: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01.00;010;010}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Pirmā līmeņa pamata kapitāls</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Regulas (ES) Nr. 575/2013 50. pants</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Tāda pati definīcija kā </w:t>
            </w: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01.00;020;010}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 tiem: kapitāla instrumenti / akciju kapitāls</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Tiesību instrumenti, kas veido pirmā līmeņa pamata kapitālu (daļu no tā) kapitāla instrumentu / akciju kapitāla veidā.</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 tiem: parastām akcijām līdzvērtīgi instrumenti</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Tiesību instrumenti, kas veido pirmā līmeņa pamata kapitāla pašu kapitālu (daļu no tā) kā instrumenti, kas nav kapitāla instrumenti / akciju kapitāls, taču ir līdzvērtīgi šai kategorijai.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Pirmā līmeņa papildu kapitāls</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Regulas (ES) Nr. 575/2013 61. pants</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Tāda pati definīcija kā </w:t>
            </w: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01.00;530;010}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 tiem: subordinētās saistības (to daļa), kas atzītas kā pašu kapitāls</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Tiesību instrumenti, kas veido pirmā līmeņa papildu kapitālu (daļu no tā).</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Otrā līmeņa kapitāls</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Regulas (ES) Nr. 575/2013 71. pants</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Tāda pati definīcija kā </w:t>
            </w: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01.00;750;010}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 tiem: subordinētās saistības (to daļa), kas atzītas kā pašu kapitāls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Šajā sadalījumā identificēti tiesību instrumenti, kas veido  otrā līmeņa pašu kapitālu (daļu no tā).</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Kopējās saistības un pašu kapitāls, tostarp atvasināto instrumentu saistības</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Visu šajā veidnē norādīto saistību un regulatīvām prasībām atbilstošā kapitāla summa. Šajā nolūkā pieskaita visas iepriekšējo rindu summas. Attiecībā uz atvasinātajiem instrumentiem izmantojamā vērtība ir 0334. rindā “Neto saistību pozīciju summa, ņemot vērā </w:t>
            </w:r>
            <w:proofErr w:type="spellStart"/>
            <w:r>
              <w:rPr>
                <w:rFonts w:ascii="Times New Roman" w:hAnsi="Times New Roman"/>
                <w:color w:val="000000" w:themeColor="text1"/>
                <w:spacing w:val="-2"/>
                <w:w w:val="95"/>
                <w:sz w:val="20"/>
              </w:rPr>
              <w:t>prudenciālā</w:t>
            </w:r>
            <w:proofErr w:type="spellEnd"/>
            <w:r>
              <w:rPr>
                <w:rFonts w:ascii="Times New Roman" w:hAnsi="Times New Roman"/>
                <w:color w:val="000000" w:themeColor="text1"/>
                <w:spacing w:val="-2"/>
                <w:w w:val="95"/>
                <w:sz w:val="20"/>
              </w:rPr>
              <w:t xml:space="preserve"> ieskaita noteikumus” norādītā vērtība.</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2" w:name="_Toc492542323"/>
      <w:bookmarkStart w:id="23" w:name="_Toc509909041"/>
      <w:bookmarkStart w:id="24" w:name="_Toc525051147"/>
      <w:r>
        <w:rPr>
          <w:rFonts w:ascii="Times New Roman" w:hAnsi="Times New Roman"/>
        </w:rPr>
        <w:t>Z 03.00 — pašu kapitāla prasības (</w:t>
      </w:r>
      <w:r>
        <w:rPr>
          <w:rFonts w:ascii="Times New Roman" w:hAnsi="Times New Roman"/>
          <w:i/>
        </w:rPr>
        <w:t>OWN</w:t>
      </w:r>
      <w:r>
        <w:rPr>
          <w:rFonts w:ascii="Times New Roman" w:hAnsi="Times New Roman"/>
        </w:rPr>
        <w:t>)</w:t>
      </w:r>
      <w:bookmarkEnd w:id="22"/>
      <w:bookmarkEnd w:id="23"/>
      <w:bookmarkEnd w:id="24"/>
    </w:p>
    <w:p w:rsidR="00F73F97" w:rsidRPr="00D92B3C" w:rsidRDefault="00F73F97" w:rsidP="00EC261B">
      <w:pPr>
        <w:pStyle w:val="Instructionsberschrift3"/>
      </w:pPr>
      <w:r>
        <w:t>Vispārīgas piezīmes</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Šajā veidnē apkopota informācija par pašu kapitāla prasībām vienībai vai grupai.</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Visa norādītā informācija atspoguļo pašu kapitāla prasības, kas piemērojamas pārskata atsauces datumā.</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Informācija par šajā veidnē norādītajām 2. pīlāra prasībām ir balstīta uz jaunāko pieejamo oficiālo </w:t>
      </w:r>
      <w:r>
        <w:rPr>
          <w:rFonts w:ascii="Times New Roman" w:hAnsi="Times New Roman"/>
          <w:i/>
          <w:sz w:val="20"/>
        </w:rPr>
        <w:t>SREP</w:t>
      </w:r>
      <w:r>
        <w:rPr>
          <w:rFonts w:ascii="Times New Roman" w:hAnsi="Times New Roman"/>
          <w:sz w:val="20"/>
        </w:rPr>
        <w:t xml:space="preserve"> vēstuli, ko nosūtījusi kompetentā iestāde.</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Ja vienībai, par kuru iesniegts pārskats, nav individuāli piemērojamu kapitāla prasību, tai jāsniedz informācija tikai 0110. rindā.</w:t>
      </w:r>
    </w:p>
    <w:p w:rsidR="00E13CE3" w:rsidRPr="00D92B3C" w:rsidRDefault="00E13CE3" w:rsidP="00EC261B">
      <w:pPr>
        <w:pStyle w:val="Instructionsberschrift3"/>
      </w:pPr>
      <w:r>
        <w:t>Norādījumi attiecībā uz konkrētām pozīcijām</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lastRenderedPageBreak/>
              <w:t>Rindas</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Norādījumi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Kopējā riska darījumu vērtība</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Regulas (ES) Nr. 575/2013 92. panta 3. punkts.</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Sk. Z 01.00, 0100. sleju</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Kopējā riska darījumu vērtība, kā noteikts attiecībā uz </w:t>
            </w: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02.00;010;010}</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Iemaksa kopējā konsolidētajā riska darījumu vērtībā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Sk. Z 01.00, 0140. sleju</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Kopējie sviras rādītāja riska darījumi, kā noteikts attiecībā uz </w:t>
            </w:r>
            <w:r>
              <w:rPr>
                <w:rFonts w:ascii="Times New Roman" w:hAnsi="Times New Roman"/>
                <w:i/>
                <w:color w:val="000000" w:themeColor="text1"/>
                <w:spacing w:val="-2"/>
                <w:w w:val="95"/>
                <w:sz w:val="20"/>
              </w:rPr>
              <w:t>COREP (LR)</w:t>
            </w:r>
            <w:r>
              <w:rPr>
                <w:rFonts w:ascii="Times New Roman" w:hAnsi="Times New Roman"/>
                <w:color w:val="000000" w:themeColor="text1"/>
                <w:spacing w:val="-2"/>
                <w:w w:val="95"/>
                <w:sz w:val="20"/>
              </w:rPr>
              <w:t>: {C 47.00;290;010}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Šo posteni iekļauj pārskatā tikai vienībām, kurām nav individuāli piemērojamu kapitāla prasību.</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Sākotnējā kapitāla un sviras rādītāja prasības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Sākotnējais kapitāls</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2013/36/ES 12. un 28.–31. pants un Regulas (ES) Nr. 575/2013 93. pants</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Sākotnējā kapitāla summa, kas nepieciešama kā priekšnosacījums atļaujai uzsākt iestādes darbību.</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Sviras rādītāja prasība</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Sviras rādītāja prasība, kā piemērojama vienībai vai grupai, izteikta kā procentuālā daļa no kopējiem sviras rādītāja riska darījumiem. Ja nav spēkā formāla prasība, vienības šo aili atstāj tukšu.</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Kopējos sviras rādītāja riska darījumus nosaka kā attiecībā uz </w:t>
            </w:r>
            <w:r>
              <w:rPr>
                <w:rFonts w:ascii="Times New Roman" w:hAnsi="Times New Roman"/>
                <w:i/>
                <w:color w:val="000000" w:themeColor="text1"/>
                <w:spacing w:val="-2"/>
                <w:w w:val="95"/>
                <w:sz w:val="20"/>
              </w:rPr>
              <w:t>COREP (LR)</w:t>
            </w:r>
            <w:r>
              <w:rPr>
                <w:rFonts w:ascii="Times New Roman" w:hAnsi="Times New Roman"/>
                <w:color w:val="000000" w:themeColor="text1"/>
                <w:spacing w:val="-2"/>
                <w:w w:val="95"/>
                <w:sz w:val="20"/>
              </w:rPr>
              <w:t>: {C 47.00;290;010}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Kopējais </w:t>
            </w:r>
            <w:r>
              <w:rPr>
                <w:rFonts w:ascii="Times New Roman" w:hAnsi="Times New Roman"/>
                <w:b/>
                <w:i/>
                <w:color w:val="000000" w:themeColor="text1"/>
                <w:sz w:val="20"/>
              </w:rPr>
              <w:t>SREP</w:t>
            </w:r>
            <w:r>
              <w:rPr>
                <w:rFonts w:ascii="Times New Roman" w:hAnsi="Times New Roman"/>
                <w:b/>
                <w:color w:val="000000" w:themeColor="text1"/>
                <w:sz w:val="20"/>
              </w:rPr>
              <w:t xml:space="preserve"> kapitāla prasības (</w:t>
            </w:r>
            <w:r>
              <w:rPr>
                <w:rFonts w:ascii="Times New Roman" w:hAnsi="Times New Roman"/>
                <w:b/>
                <w:i/>
                <w:color w:val="000000" w:themeColor="text1"/>
                <w:sz w:val="20"/>
              </w:rPr>
              <w:t>TSCR</w:t>
            </w:r>
            <w:r>
              <w:rPr>
                <w:rFonts w:ascii="Times New Roman" w:hAnsi="Times New Roman"/>
                <w:b/>
                <w:color w:val="000000" w:themeColor="text1"/>
                <w:sz w:val="20"/>
              </w:rPr>
              <w:t xml:space="preserve">) rādītājs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03.00;130;010}</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i) un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summa attiecīgi:</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kopējais kapitāla rādītājs (8 %), kā minēts Regulas (ES) Nr. 575/2013 92. panta 1. punkta c) apakšpunktā; </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papildu pašu kapitāla prasību (2. pīlāra prasības — </w:t>
            </w:r>
            <w:r>
              <w:rPr>
                <w:rFonts w:ascii="Times New Roman" w:hAnsi="Times New Roman"/>
                <w:i/>
                <w:color w:val="000000" w:themeColor="text1"/>
                <w:sz w:val="20"/>
              </w:rPr>
              <w:t>P2R</w:t>
            </w:r>
            <w:r>
              <w:rPr>
                <w:rFonts w:ascii="Times New Roman" w:hAnsi="Times New Roman"/>
                <w:color w:val="000000" w:themeColor="text1"/>
                <w:sz w:val="20"/>
              </w:rPr>
              <w:t xml:space="preserve">) rādītājs, kas noteikts saskaņā ar EBI pamatnostādnēs par kopējām procedūrām un </w:t>
            </w:r>
            <w:proofErr w:type="spellStart"/>
            <w:r>
              <w:rPr>
                <w:rFonts w:ascii="Times New Roman" w:hAnsi="Times New Roman"/>
                <w:color w:val="000000" w:themeColor="text1"/>
                <w:sz w:val="20"/>
              </w:rPr>
              <w:t>metodoloģijām</w:t>
            </w:r>
            <w:proofErr w:type="spellEnd"/>
            <w:r>
              <w:rPr>
                <w:rFonts w:ascii="Times New Roman" w:hAnsi="Times New Roman"/>
                <w:color w:val="000000" w:themeColor="text1"/>
                <w:sz w:val="20"/>
              </w:rPr>
              <w:t xml:space="preserve"> uzraudzības pārskatam un novērtēšanas procesam un uzraudzības stresa pārbaudei (EBI</w:t>
            </w:r>
            <w:r>
              <w:rPr>
                <w:rFonts w:ascii="Times New Roman" w:hAnsi="Times New Roman"/>
                <w:i/>
                <w:color w:val="000000" w:themeColor="text1"/>
                <w:sz w:val="20"/>
              </w:rPr>
              <w:t xml:space="preserve"> SREP GL</w:t>
            </w:r>
            <w:r>
              <w:rPr>
                <w:rFonts w:ascii="Times New Roman" w:hAnsi="Times New Roman"/>
                <w:color w:val="000000" w:themeColor="text1"/>
                <w:sz w:val="20"/>
              </w:rPr>
              <w:t>) minētajiem kritērijiem.</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Šajā postenī atspoguļo kopējo </w:t>
            </w:r>
            <w:r>
              <w:rPr>
                <w:rFonts w:ascii="Times New Roman" w:hAnsi="Times New Roman"/>
                <w:i/>
                <w:color w:val="000000" w:themeColor="text1"/>
                <w:sz w:val="20"/>
              </w:rPr>
              <w:t>SREP</w:t>
            </w:r>
            <w:r>
              <w:rPr>
                <w:rFonts w:ascii="Times New Roman" w:hAnsi="Times New Roman"/>
                <w:color w:val="000000" w:themeColor="text1"/>
                <w:sz w:val="20"/>
              </w:rPr>
              <w:t xml:space="preserve"> kapitāla prasības (</w:t>
            </w:r>
            <w:r>
              <w:rPr>
                <w:rFonts w:ascii="Times New Roman" w:hAnsi="Times New Roman"/>
                <w:i/>
                <w:color w:val="000000" w:themeColor="text1"/>
                <w:sz w:val="20"/>
              </w:rPr>
              <w:t>TSCR</w:t>
            </w:r>
            <w:r>
              <w:rPr>
                <w:rFonts w:ascii="Times New Roman" w:hAnsi="Times New Roman"/>
                <w:color w:val="000000" w:themeColor="text1"/>
                <w:sz w:val="20"/>
              </w:rPr>
              <w:t xml:space="preserve">) rādītāju, ko kompetentā iestāde paziņojusi iestādei. </w:t>
            </w:r>
            <w:r>
              <w:rPr>
                <w:rFonts w:ascii="Times New Roman" w:hAnsi="Times New Roman"/>
                <w:i/>
                <w:color w:val="000000" w:themeColor="text1"/>
                <w:sz w:val="20"/>
              </w:rPr>
              <w:t>TSCR</w:t>
            </w:r>
            <w:r>
              <w:rPr>
                <w:rFonts w:ascii="Times New Roman" w:hAnsi="Times New Roman"/>
                <w:color w:val="000000" w:themeColor="text1"/>
                <w:sz w:val="20"/>
              </w:rPr>
              <w:t xml:space="preserve"> ir definēts EBI</w:t>
            </w:r>
            <w:r>
              <w:rPr>
                <w:rFonts w:ascii="Times New Roman" w:hAnsi="Times New Roman"/>
                <w:i/>
                <w:color w:val="000000" w:themeColor="text1"/>
                <w:sz w:val="20"/>
              </w:rPr>
              <w:t xml:space="preserve"> SREP</w:t>
            </w:r>
            <w:r>
              <w:rPr>
                <w:rFonts w:ascii="Times New Roman" w:hAnsi="Times New Roman"/>
                <w:color w:val="000000" w:themeColor="text1"/>
                <w:sz w:val="20"/>
              </w:rPr>
              <w:t xml:space="preserve"> pamatnostādņu 1.2. sadaļā.</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Ja kompetentā iestāde nav paziņojusi nekādas papildu pašu kapitāla prasības, pārskatu sniedz tikai par i) punktu.</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i/>
                <w:color w:val="000000" w:themeColor="text1"/>
                <w:sz w:val="20"/>
              </w:rPr>
              <w:t>TSCR</w:t>
            </w:r>
            <w:r>
              <w:rPr>
                <w:rFonts w:ascii="Times New Roman" w:hAnsi="Times New Roman"/>
                <w:b/>
                <w:color w:val="000000" w:themeColor="text1"/>
                <w:sz w:val="20"/>
              </w:rPr>
              <w:t xml:space="preserve">: noteikt pēc pirmā līmeņa pamata kapitāla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03.00;140;010}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 xml:space="preserve">i) un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summa attiecīgi:</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w:t>
            </w:r>
            <w:r>
              <w:tab/>
            </w:r>
            <w:r>
              <w:rPr>
                <w:rFonts w:ascii="Times New Roman" w:hAnsi="Times New Roman"/>
                <w:color w:val="000000" w:themeColor="text1"/>
                <w:sz w:val="20"/>
              </w:rPr>
              <w:t>kopējais pirmā līmeņa pamata kapitāla rādītājs (4,5%) saskaņā ar Regulas (ES) Nr. 575/2013 92. panta 1. punkta a) apakšpunktu;</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w:t>
            </w:r>
            <w:r>
              <w:tab/>
            </w:r>
            <w:r>
              <w:rPr>
                <w:rFonts w:ascii="Times New Roman" w:hAnsi="Times New Roman"/>
                <w:color w:val="000000" w:themeColor="text1"/>
                <w:sz w:val="20"/>
              </w:rPr>
              <w:t xml:space="preserve">300. rindas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punktā minētā </w:t>
            </w:r>
            <w:r>
              <w:rPr>
                <w:rFonts w:ascii="Times New Roman" w:hAnsi="Times New Roman"/>
                <w:i/>
                <w:color w:val="000000" w:themeColor="text1"/>
                <w:sz w:val="20"/>
              </w:rPr>
              <w:t>P2R</w:t>
            </w:r>
            <w:r>
              <w:rPr>
                <w:rFonts w:ascii="Times New Roman" w:hAnsi="Times New Roman"/>
                <w:color w:val="000000" w:themeColor="text1"/>
                <w:sz w:val="20"/>
              </w:rPr>
              <w:t xml:space="preserve"> rādītāja daļa, ko kompetentā iestāde liek turēt kā pirmā līmeņa pamata kapitālu.</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Ja kompetentā iestāde nav paziņojusi nekādas papildu pašu kapitāla prasības, kas jātur kā pirmā līmeņa pamata kapitāls, pārskatu sniedz tikai par i) punktu.</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i/>
                <w:color w:val="000000" w:themeColor="text1"/>
                <w:u w:val="none"/>
              </w:rPr>
              <w:t>TSCR</w:t>
            </w:r>
            <w:r>
              <w:rPr>
                <w:rStyle w:val="InstructionsTabelleberschrift"/>
                <w:rFonts w:ascii="Times New Roman" w:hAnsi="Times New Roman"/>
                <w:color w:val="000000" w:themeColor="text1"/>
                <w:u w:val="none"/>
              </w:rPr>
              <w:t>: noteikt pēc pirmā līmeņa kapitāla</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lastRenderedPageBreak/>
              <w:t>COREP (OF)</w:t>
            </w:r>
            <w:r>
              <w:rPr>
                <w:rFonts w:ascii="Times New Roman" w:hAnsi="Times New Roman"/>
                <w:color w:val="000000" w:themeColor="text1"/>
                <w:spacing w:val="-2"/>
                <w:w w:val="95"/>
                <w:sz w:val="20"/>
              </w:rPr>
              <w:t>: {C 03.00;150;010}</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i) un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summa attiecīgi:</w:t>
            </w:r>
          </w:p>
          <w:p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rPr>
              <w:t>pirmā līmeņa kapitāla rādītājs (6 %) saskaņā ar Regulas (ES) Nr. 575/2013 92. panta 1. punkta b) apakšpunktu;</w:t>
            </w:r>
          </w:p>
          <w:p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300. rindas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punktā minētā </w:t>
            </w:r>
            <w:r>
              <w:rPr>
                <w:rFonts w:ascii="Times New Roman" w:hAnsi="Times New Roman"/>
                <w:i/>
                <w:color w:val="000000" w:themeColor="text1"/>
                <w:sz w:val="20"/>
              </w:rPr>
              <w:t>P2R</w:t>
            </w:r>
            <w:r>
              <w:rPr>
                <w:rFonts w:ascii="Times New Roman" w:hAnsi="Times New Roman"/>
                <w:color w:val="000000" w:themeColor="text1"/>
                <w:sz w:val="20"/>
              </w:rPr>
              <w:t xml:space="preserve"> rādītāja daļa, ko kompetentā iestāde liek turēt kā pirmā līmeņa kapitālu.</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Ja kompetentā iestāde nav paziņojusi nekādas papildu pašu kapitāla prasības, kas jātur kā pirmā līmeņa kapitāls, pārskatu sniedz tikai par i) punktu.</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Apvienoto rezervju prasības</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2013/36/ES 128. panta 6. punkts</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04.00;740;010}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Kapitāla saglabāšanas rezerves</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2013/36/ES 128. panta 1. punkts un 129. pants</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04.00;750;010}.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Saskaņā ar 129. panta 1. punktu kapitāla saglabāšanas rezerves ir papildus pirmā līmeņa pamata kapitālam uzturēta summa. Tā kā kapitāla saglabāšanas rezervju likme 2,5 % apmērā ir stabila, summu uzrāda šajā ailē.</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 xml:space="preserve">Saglabāšanas rezerves saistībā ar dalībvalsts līmenī konstatēto </w:t>
            </w:r>
            <w:proofErr w:type="spellStart"/>
            <w:r>
              <w:rPr>
                <w:rStyle w:val="InstructionsTabelleberschrift"/>
                <w:rFonts w:ascii="Times New Roman" w:hAnsi="Times New Roman"/>
                <w:color w:val="000000" w:themeColor="text1"/>
                <w:u w:val="none"/>
              </w:rPr>
              <w:t>makroprudenciālo</w:t>
            </w:r>
            <w:proofErr w:type="spellEnd"/>
            <w:r>
              <w:rPr>
                <w:rStyle w:val="InstructionsTabelleberschrift"/>
                <w:rFonts w:ascii="Times New Roman" w:hAnsi="Times New Roman"/>
                <w:color w:val="000000" w:themeColor="text1"/>
                <w:u w:val="none"/>
              </w:rPr>
              <w:t xml:space="preserve"> vai sistēmisko risku</w:t>
            </w:r>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 xml:space="preserve">Regulas (ES) Nr. 575/2013 458. panta 2. punkta d) apakšpunkta </w:t>
            </w:r>
            <w:proofErr w:type="spellStart"/>
            <w:r>
              <w:rPr>
                <w:rStyle w:val="InstructionsTabelleberschrift"/>
                <w:rFonts w:ascii="Times New Roman" w:hAnsi="Times New Roman"/>
                <w:b w:val="0"/>
                <w:color w:val="000000" w:themeColor="text1"/>
                <w:u w:val="none"/>
              </w:rPr>
              <w:t>iv</w:t>
            </w:r>
            <w:proofErr w:type="spellEnd"/>
            <w:r>
              <w:rPr>
                <w:rStyle w:val="InstructionsTabelleberschrift"/>
                <w:rFonts w:ascii="Times New Roman" w:hAnsi="Times New Roman"/>
                <w:b w:val="0"/>
                <w:color w:val="000000" w:themeColor="text1"/>
                <w:u w:val="none"/>
              </w:rPr>
              <w:t>) punkts</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04.00;760;010}.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 xml:space="preserve">Šajā ailē uzrāda to saglabāšanas rezervju summu saistībā ar dalībvalsts līmenī konstatēto </w:t>
            </w:r>
            <w:proofErr w:type="spellStart"/>
            <w:r>
              <w:rPr>
                <w:rFonts w:ascii="Times New Roman" w:hAnsi="Times New Roman"/>
                <w:color w:val="000000" w:themeColor="text1"/>
                <w:sz w:val="20"/>
              </w:rPr>
              <w:t>makroprudenciālo</w:t>
            </w:r>
            <w:proofErr w:type="spellEnd"/>
            <w:r>
              <w:rPr>
                <w:rFonts w:ascii="Times New Roman" w:hAnsi="Times New Roman"/>
                <w:color w:val="000000" w:themeColor="text1"/>
                <w:sz w:val="20"/>
              </w:rPr>
              <w:t xml:space="preserve"> vai sistēmisko risku, ko saskaņā ar Regulas (ES) Nr. 575/2013 458. pantu var pieprasīt papildus kapitāla saglabāšanas rezervēm.</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Uzrādītā summa atspoguļo pašu kapitāla summu, kas nepieciešama, lai pārskata sniegšanas datumā izpildītu attiecīgās kapitāla rezervju prasības.</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Iestādes specifiskās </w:t>
            </w:r>
            <w:proofErr w:type="spellStart"/>
            <w:r>
              <w:rPr>
                <w:rFonts w:ascii="Times New Roman" w:hAnsi="Times New Roman"/>
                <w:b/>
                <w:color w:val="000000" w:themeColor="text1"/>
                <w:sz w:val="20"/>
              </w:rPr>
              <w:t>pretcikliskās</w:t>
            </w:r>
            <w:proofErr w:type="spellEnd"/>
            <w:r>
              <w:rPr>
                <w:rFonts w:ascii="Times New Roman" w:hAnsi="Times New Roman"/>
                <w:b/>
                <w:color w:val="000000" w:themeColor="text1"/>
                <w:sz w:val="20"/>
              </w:rPr>
              <w:t xml:space="preserve"> kapitāla rezerves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2013/36/ES 128. panta 2. punkts un 130., 135.–140. pants</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(sk. </w:t>
            </w: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04.00;770;010}).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Uzrādītā summa atspoguļo pašu kapitāla summu, kas nepieciešama, lai pārskata sniegšanas datumā izpildītu attiecīgās kapitāla rezervju prasības.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Sistēmiskā riska rezerves</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2013/36/ES 128. panta 5. punkts un 133. un 134. pants</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(sk. </w:t>
            </w: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04.00;780;010}).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Uzrādītā summa atspoguļo pašu kapitāla summu, kas nepieciešama, lai pārskata sniegšanas datumā izpildītu attiecīgās kapitāla rezervju prasības.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Globālas sistēmiski nozīmīgas iestādes rezerves</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2013/36/ES 128. panta 3. punkts un 131. pants</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04.00;800;010}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lastRenderedPageBreak/>
              <w:t>Uzrādītā summa atspoguļo pašu kapitāla summu, kas nepieciešama, lai pārskata sniegšanas datumā izpildītu attiecīgās kapitāla rezervju prasības.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Citas sistēmiski nozīmīgas iestādes rezerves</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2013/36/ES 128. panta 4. punkts un 131. pants</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04.00;810;010}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Uzrādītā summa atspoguļo pašu kapitāla summu, kas nepieciešama, lai pārskata sniegšanas datumā izpildītu attiecīgās kapitāla rezervju prasības.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Kopējās kapitāla prasības (</w:t>
            </w:r>
            <w:r>
              <w:rPr>
                <w:rFonts w:ascii="Times New Roman" w:hAnsi="Times New Roman"/>
                <w:b/>
                <w:i/>
                <w:color w:val="000000" w:themeColor="text1"/>
                <w:sz w:val="20"/>
              </w:rPr>
              <w:t>OCR</w:t>
            </w:r>
            <w:r>
              <w:rPr>
                <w:rFonts w:ascii="Times New Roman" w:hAnsi="Times New Roman"/>
                <w:b/>
                <w:color w:val="000000" w:themeColor="text1"/>
                <w:sz w:val="20"/>
              </w:rPr>
              <w:t>) rādītājs</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03.00;160;010}</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 xml:space="preserve">i) un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summa attiecīgi:</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0300. rindā norādītais </w:t>
            </w:r>
            <w:r>
              <w:rPr>
                <w:rFonts w:ascii="Times New Roman" w:hAnsi="Times New Roman"/>
                <w:i/>
                <w:color w:val="000000" w:themeColor="text1"/>
                <w:sz w:val="20"/>
              </w:rPr>
              <w:t>TSCR</w:t>
            </w:r>
            <w:r>
              <w:rPr>
                <w:rFonts w:ascii="Times New Roman" w:hAnsi="Times New Roman"/>
                <w:color w:val="000000" w:themeColor="text1"/>
                <w:sz w:val="20"/>
              </w:rPr>
              <w:t xml:space="preserve"> rādītājs;</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ciktāl tas ir juridiski piemērojami, Direktīvas 2013/36/ES 128. panta 6. punktā minētais apvienoto rezervju prasības rādītājs.</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Šajā postenī atspoguļo kopējo kapitāla prasību (</w:t>
            </w:r>
            <w:r>
              <w:rPr>
                <w:rFonts w:ascii="Times New Roman" w:hAnsi="Times New Roman"/>
                <w:i/>
                <w:color w:val="000000" w:themeColor="text1"/>
                <w:sz w:val="20"/>
              </w:rPr>
              <w:t>OCR</w:t>
            </w:r>
            <w:r>
              <w:rPr>
                <w:rFonts w:ascii="Times New Roman" w:hAnsi="Times New Roman"/>
                <w:color w:val="000000" w:themeColor="text1"/>
                <w:sz w:val="20"/>
              </w:rPr>
              <w:t xml:space="preserve">) rādītāju, kā noteikts EBI </w:t>
            </w:r>
            <w:r>
              <w:rPr>
                <w:rFonts w:ascii="Times New Roman" w:hAnsi="Times New Roman"/>
                <w:i/>
                <w:color w:val="000000" w:themeColor="text1"/>
                <w:sz w:val="20"/>
              </w:rPr>
              <w:t>SREP</w:t>
            </w:r>
            <w:r>
              <w:rPr>
                <w:rFonts w:ascii="Times New Roman" w:hAnsi="Times New Roman"/>
                <w:color w:val="000000" w:themeColor="text1"/>
                <w:sz w:val="20"/>
              </w:rPr>
              <w:t xml:space="preserve"> pamatnostādņu 1.2. iedaļā.</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Ja nekādas rezervju prasības nav piemērojamas, pārskatu sniedz tikai par i) punktu.</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w:t>
            </w:r>
            <w:r>
              <w:rPr>
                <w:rFonts w:ascii="Times New Roman" w:hAnsi="Times New Roman"/>
                <w:b/>
                <w:i/>
                <w:color w:val="000000" w:themeColor="text1"/>
                <w:sz w:val="20"/>
              </w:rPr>
              <w:t>OCR</w:t>
            </w:r>
            <w:r>
              <w:rPr>
                <w:rFonts w:ascii="Times New Roman" w:hAnsi="Times New Roman"/>
                <w:b/>
                <w:color w:val="000000" w:themeColor="text1"/>
                <w:sz w:val="20"/>
              </w:rPr>
              <w:t>: noteikt pēc pirmā līmeņa pamata kapitāla</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03.00;170;010}</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i) un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summa attiecīgi:</w:t>
            </w:r>
          </w:p>
          <w:p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i/>
                <w:color w:val="000000" w:themeColor="text1"/>
                <w:sz w:val="20"/>
              </w:rPr>
              <w:t>TSCR</w:t>
            </w:r>
            <w:r>
              <w:rPr>
                <w:rFonts w:ascii="Times New Roman" w:hAnsi="Times New Roman"/>
                <w:color w:val="000000" w:themeColor="text1"/>
                <w:sz w:val="20"/>
              </w:rPr>
              <w:t xml:space="preserve"> rādītājs, ko nosaka pēc rindā Nr. 0310 minētā pirmā līmeņa pamata kapitāla;</w:t>
            </w:r>
          </w:p>
          <w:p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ciktāl tas ir juridiski piemērojami, Direktīvas 2013/36/ES 128. panta 6. punktā minētais apvienoto rezervju prasības rādītājs.</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Ja nekādas rezervju prasības nav piemērojamas, pārskatu sniedz tikai par i) punktu.</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w:t>
            </w:r>
            <w:r>
              <w:rPr>
                <w:rFonts w:ascii="Times New Roman" w:hAnsi="Times New Roman"/>
                <w:b/>
                <w:i/>
                <w:color w:val="000000" w:themeColor="text1"/>
                <w:sz w:val="20"/>
              </w:rPr>
              <w:t>OCR</w:t>
            </w:r>
            <w:r>
              <w:rPr>
                <w:rFonts w:ascii="Times New Roman" w:hAnsi="Times New Roman"/>
                <w:b/>
                <w:color w:val="000000" w:themeColor="text1"/>
                <w:sz w:val="20"/>
              </w:rPr>
              <w:t>: noteikt pēc pirmā līmeņa kapitāla</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03.00;180;010}</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 xml:space="preserve">i) un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summa attiecīgi:</w:t>
            </w:r>
          </w:p>
          <w:p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i/>
                <w:color w:val="000000" w:themeColor="text1"/>
                <w:sz w:val="20"/>
              </w:rPr>
              <w:t>TSCR</w:t>
            </w:r>
            <w:r>
              <w:rPr>
                <w:rFonts w:ascii="Times New Roman" w:hAnsi="Times New Roman"/>
                <w:color w:val="000000" w:themeColor="text1"/>
                <w:sz w:val="20"/>
              </w:rPr>
              <w:t xml:space="preserve"> rādītājs, ko nosaka pēc rindā Nr. 0320 minētā pirmā līmeņa kapitāla;</w:t>
            </w:r>
          </w:p>
          <w:p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ciktāl tas ir juridiski piemērojami, Direktīvas 2013/36/ES 128. panta 6. punktā minētais apvienoto rezervju prasības rādītājs.</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Ja nekādas rezervju prasības nav piemērojamas, pārskatu sniedz tikai par i) punktu.</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i/>
                <w:color w:val="000000" w:themeColor="text1"/>
                <w:sz w:val="20"/>
              </w:rPr>
              <w:t xml:space="preserve">OCR </w:t>
            </w:r>
            <w:r>
              <w:rPr>
                <w:rFonts w:ascii="Times New Roman" w:hAnsi="Times New Roman"/>
                <w:b/>
                <w:color w:val="000000" w:themeColor="text1"/>
                <w:sz w:val="20"/>
              </w:rPr>
              <w:t>un 2. pīlāra norādes (</w:t>
            </w:r>
            <w:r>
              <w:rPr>
                <w:rFonts w:ascii="Times New Roman" w:hAnsi="Times New Roman"/>
                <w:b/>
                <w:i/>
                <w:color w:val="000000" w:themeColor="text1"/>
                <w:sz w:val="20"/>
              </w:rPr>
              <w:t>P2G</w:t>
            </w:r>
            <w:r>
              <w:rPr>
                <w:rFonts w:ascii="Times New Roman" w:hAnsi="Times New Roman"/>
                <w:b/>
                <w:color w:val="000000" w:themeColor="text1"/>
                <w:sz w:val="20"/>
              </w:rPr>
              <w:t>)</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03.00;190;010}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i) un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summa attiecīgi:</w:t>
            </w:r>
          </w:p>
          <w:p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rindā Nr. 0500 norādītais </w:t>
            </w:r>
            <w:r>
              <w:rPr>
                <w:rFonts w:ascii="Times New Roman" w:hAnsi="Times New Roman"/>
                <w:i/>
                <w:color w:val="000000" w:themeColor="text1"/>
                <w:sz w:val="20"/>
              </w:rPr>
              <w:t>OCR</w:t>
            </w:r>
            <w:r>
              <w:rPr>
                <w:rFonts w:ascii="Times New Roman" w:hAnsi="Times New Roman"/>
                <w:color w:val="000000" w:themeColor="text1"/>
                <w:sz w:val="20"/>
              </w:rPr>
              <w:t xml:space="preserve"> rādītājs;</w:t>
            </w:r>
          </w:p>
          <w:p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ja piemērojami, 2. pīlāra norādījumus (</w:t>
            </w:r>
            <w:r>
              <w:rPr>
                <w:rFonts w:ascii="Times New Roman" w:hAnsi="Times New Roman"/>
                <w:i/>
                <w:color w:val="000000" w:themeColor="text1"/>
                <w:sz w:val="20"/>
              </w:rPr>
              <w:t>P2G</w:t>
            </w:r>
            <w:r>
              <w:rPr>
                <w:rFonts w:ascii="Times New Roman" w:hAnsi="Times New Roman"/>
                <w:color w:val="000000" w:themeColor="text1"/>
                <w:sz w:val="20"/>
              </w:rPr>
              <w:t xml:space="preserve">), kā noteikts EBI </w:t>
            </w:r>
            <w:r>
              <w:rPr>
                <w:rFonts w:ascii="Times New Roman" w:hAnsi="Times New Roman"/>
                <w:i/>
                <w:color w:val="000000" w:themeColor="text1"/>
                <w:sz w:val="20"/>
              </w:rPr>
              <w:t>SREP</w:t>
            </w:r>
            <w:r>
              <w:rPr>
                <w:rFonts w:ascii="Times New Roman" w:hAnsi="Times New Roman"/>
                <w:color w:val="000000" w:themeColor="text1"/>
                <w:sz w:val="20"/>
              </w:rPr>
              <w:t xml:space="preserve"> pamatnostādnēs. </w:t>
            </w:r>
            <w:r>
              <w:rPr>
                <w:rFonts w:ascii="Times New Roman" w:hAnsi="Times New Roman"/>
                <w:i/>
                <w:color w:val="000000" w:themeColor="text1"/>
                <w:sz w:val="20"/>
              </w:rPr>
              <w:t>P2G</w:t>
            </w:r>
            <w:r>
              <w:rPr>
                <w:rFonts w:ascii="Times New Roman" w:hAnsi="Times New Roman"/>
                <w:color w:val="000000" w:themeColor="text1"/>
                <w:sz w:val="20"/>
              </w:rPr>
              <w:t xml:space="preserve"> iekļauj tikai tad, ja kompetentā iestāde to ir paziņojusi iestādei.</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Ja kompetentā iestāde nav paziņojusi P2G, pārskatu sniedz tikai par i) punktu.</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i/>
                <w:color w:val="000000" w:themeColor="text1"/>
                <w:sz w:val="20"/>
              </w:rPr>
              <w:t>OCR</w:t>
            </w:r>
            <w:r>
              <w:rPr>
                <w:rFonts w:ascii="Times New Roman" w:hAnsi="Times New Roman"/>
                <w:b/>
                <w:color w:val="000000" w:themeColor="text1"/>
                <w:sz w:val="20"/>
              </w:rPr>
              <w:t>: noteikt pēc pirmā līmeņa pamata kapitāla</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03.00;200;010}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i) un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summa attiecīgi:</w:t>
            </w:r>
          </w:p>
          <w:p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rPr>
            </w:pPr>
            <w:r>
              <w:rPr>
                <w:rFonts w:ascii="Times New Roman" w:hAnsi="Times New Roman"/>
                <w:i/>
                <w:color w:val="000000" w:themeColor="text1"/>
                <w:sz w:val="20"/>
              </w:rPr>
              <w:lastRenderedPageBreak/>
              <w:t>OCR</w:t>
            </w:r>
            <w:r>
              <w:rPr>
                <w:rFonts w:ascii="Times New Roman" w:hAnsi="Times New Roman"/>
                <w:color w:val="000000" w:themeColor="text1"/>
                <w:sz w:val="20"/>
              </w:rPr>
              <w:t xml:space="preserve"> rādītājs, ko nosaka pēc 0520. rindā  minētā pirmā līmeņa pamata kapitāla;</w:t>
            </w:r>
          </w:p>
          <w:p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ja piemērojami, 0600. rindas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punktā minētā </w:t>
            </w:r>
            <w:r>
              <w:rPr>
                <w:rFonts w:ascii="Times New Roman" w:hAnsi="Times New Roman"/>
                <w:i/>
                <w:color w:val="000000" w:themeColor="text1"/>
                <w:sz w:val="20"/>
              </w:rPr>
              <w:t>P2G</w:t>
            </w:r>
            <w:r>
              <w:rPr>
                <w:rFonts w:ascii="Times New Roman" w:hAnsi="Times New Roman"/>
                <w:color w:val="000000" w:themeColor="text1"/>
                <w:sz w:val="20"/>
              </w:rPr>
              <w:t xml:space="preserve"> rādītāja daļa, ko kompetentā iestāde liek turēt kā pirmā līmeņa pamata kapitālu. </w:t>
            </w:r>
            <w:r>
              <w:rPr>
                <w:rFonts w:ascii="Times New Roman" w:hAnsi="Times New Roman"/>
                <w:i/>
                <w:color w:val="000000" w:themeColor="text1"/>
                <w:sz w:val="20"/>
              </w:rPr>
              <w:t>P2G</w:t>
            </w:r>
            <w:r>
              <w:rPr>
                <w:rFonts w:ascii="Times New Roman" w:hAnsi="Times New Roman"/>
                <w:color w:val="000000" w:themeColor="text1"/>
                <w:sz w:val="20"/>
              </w:rPr>
              <w:t xml:space="preserve"> iekļauj tikai tad, ja kompetentā iestāde to ir paziņojusi iestādei.</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Ja kompetentā iestāde nav paziņojusi P2G, pārskatu sniedz tikai par i) punktu.</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i/>
                <w:color w:val="000000" w:themeColor="text1"/>
                <w:sz w:val="20"/>
              </w:rPr>
              <w:t>OCR</w:t>
            </w:r>
            <w:r>
              <w:rPr>
                <w:rFonts w:ascii="Times New Roman" w:hAnsi="Times New Roman"/>
                <w:b/>
                <w:color w:val="000000" w:themeColor="text1"/>
                <w:sz w:val="20"/>
              </w:rPr>
              <w:t xml:space="preserve"> un </w:t>
            </w:r>
            <w:r>
              <w:rPr>
                <w:rFonts w:ascii="Times New Roman" w:hAnsi="Times New Roman"/>
                <w:b/>
                <w:i/>
                <w:color w:val="000000" w:themeColor="text1"/>
                <w:sz w:val="20"/>
              </w:rPr>
              <w:t>P2G</w:t>
            </w:r>
            <w:r>
              <w:rPr>
                <w:rFonts w:ascii="Times New Roman" w:hAnsi="Times New Roman"/>
                <w:b/>
                <w:color w:val="000000" w:themeColor="text1"/>
                <w:sz w:val="20"/>
              </w:rPr>
              <w:t>: noteikt pēc pirmā līmeņa kapitāla</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COREP (OF)</w:t>
            </w:r>
            <w:r>
              <w:rPr>
                <w:rFonts w:ascii="Times New Roman" w:hAnsi="Times New Roman"/>
                <w:color w:val="000000" w:themeColor="text1"/>
                <w:spacing w:val="-2"/>
                <w:w w:val="95"/>
                <w:sz w:val="20"/>
              </w:rPr>
              <w:t>: {C 03.00;210;010}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i) un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summa attiecīgi:</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i/>
                <w:color w:val="000000" w:themeColor="text1"/>
                <w:sz w:val="20"/>
              </w:rPr>
              <w:t>OCR</w:t>
            </w:r>
            <w:r>
              <w:rPr>
                <w:rFonts w:ascii="Times New Roman" w:hAnsi="Times New Roman"/>
                <w:color w:val="000000" w:themeColor="text1"/>
                <w:sz w:val="20"/>
              </w:rPr>
              <w:t xml:space="preserve"> rādītājs, ko nosaka pēc 0520. rindā minētā pirmā līmeņa kapitāla;</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ja piemērojami, 600. rindas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punktā minētā </w:t>
            </w:r>
            <w:r>
              <w:rPr>
                <w:rFonts w:ascii="Times New Roman" w:hAnsi="Times New Roman"/>
                <w:i/>
                <w:color w:val="000000" w:themeColor="text1"/>
                <w:sz w:val="20"/>
              </w:rPr>
              <w:t>P2G</w:t>
            </w:r>
            <w:r>
              <w:rPr>
                <w:rFonts w:ascii="Times New Roman" w:hAnsi="Times New Roman"/>
                <w:color w:val="000000" w:themeColor="text1"/>
                <w:sz w:val="20"/>
              </w:rPr>
              <w:t xml:space="preserve"> rādītāja daļa, ko kompetentā iestāde liek turēt kā pirmā līmeņa kapitālu. </w:t>
            </w:r>
            <w:r>
              <w:rPr>
                <w:rFonts w:ascii="Times New Roman" w:hAnsi="Times New Roman"/>
                <w:i/>
                <w:color w:val="000000" w:themeColor="text1"/>
                <w:sz w:val="20"/>
              </w:rPr>
              <w:t>P2G</w:t>
            </w:r>
            <w:r>
              <w:rPr>
                <w:rFonts w:ascii="Times New Roman" w:hAnsi="Times New Roman"/>
                <w:color w:val="000000" w:themeColor="text1"/>
                <w:sz w:val="20"/>
              </w:rPr>
              <w:t xml:space="preserve"> iekļauj tikai tad, ja kompetentā iestāde to ir paziņojusi iestādei.</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Ja kompetentā iestāde nav paziņojusi P2G, pārskatu sniedz tikai par i) punktu.</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5" w:name="_Toc492542324"/>
      <w:bookmarkStart w:id="26" w:name="_Toc509909042"/>
      <w:bookmarkStart w:id="27" w:name="_Toc525051148"/>
      <w:r>
        <w:rPr>
          <w:rFonts w:ascii="Times New Roman" w:hAnsi="Times New Roman"/>
        </w:rPr>
        <w:t>Z 04.00 — grupas iekšējās finansiālās saiknes (</w:t>
      </w:r>
      <w:r>
        <w:rPr>
          <w:rFonts w:ascii="Times New Roman" w:hAnsi="Times New Roman"/>
          <w:i/>
        </w:rPr>
        <w:t>IFC</w:t>
      </w:r>
      <w:r>
        <w:rPr>
          <w:rFonts w:ascii="Times New Roman" w:hAnsi="Times New Roman"/>
        </w:rPr>
        <w:t>)</w:t>
      </w:r>
      <w:bookmarkEnd w:id="25"/>
      <w:bookmarkEnd w:id="26"/>
      <w:bookmarkEnd w:id="27"/>
    </w:p>
    <w:p w:rsidR="00E13CE3" w:rsidRPr="00D92B3C" w:rsidRDefault="00AD2380" w:rsidP="00EC261B">
      <w:pPr>
        <w:pStyle w:val="Instructionsberschrift3"/>
      </w:pPr>
      <w:r>
        <w:t>Vispārīgas piezīmes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Šajā veidnē prasīta informācija par grupas iekšējām saistībām, kas nav izslēgtas no </w:t>
      </w:r>
      <w:proofErr w:type="spellStart"/>
      <w:r>
        <w:rPr>
          <w:rFonts w:ascii="Times New Roman" w:hAnsi="Times New Roman"/>
          <w:sz w:val="20"/>
        </w:rPr>
        <w:t>rekapitalizācijas</w:t>
      </w:r>
      <w:proofErr w:type="spellEnd"/>
      <w:r>
        <w:rPr>
          <w:rFonts w:ascii="Times New Roman" w:hAnsi="Times New Roman"/>
          <w:sz w:val="20"/>
        </w:rPr>
        <w:t xml:space="preserve">, kapitāla instrumentiem un garantijām. </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Pārskats jāsniedz par visām finansiālajām saiknēm starp attiecīgajām juridiskajām personām, kas ir iekļautas konsolidētajos finanšu pārskatos. Norādītās summas apkopo, ja tās ir saistītas ar tiem pašiem darījumu partneriem (gan emitents vai garantētā vienība, gan kreditors, turētājs vai garantijas sniedzējs) un tā paša veida saistībām, kapitāla instrumentiem vai garantijām.</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Šīs veidnes 0020., 0040. un 0050. slejās norādīto vērtību kombinācija veido primāru atslēgu, kurai jābūt unikālai katrā veidnes rindā.</w:t>
      </w:r>
    </w:p>
    <w:p w:rsidR="00E13CE3" w:rsidRPr="00D92B3C" w:rsidRDefault="00E13CE3" w:rsidP="00715DAB">
      <w:pPr>
        <w:pStyle w:val="Instructionsberschrift3"/>
      </w:pPr>
      <w:r>
        <w:t>Norādījumi attiecībā uz konkrētām pozīcijām</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Slejas</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Norādījumi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Emitents vai garantētā vienība</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Juridiskā persona, kas emitē saistības vai kapitāla instrumentu vai kas ir garantētā vienība.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Vienības nosaukums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Jābūt atšķirīgam no 0030. slejā minētā vienības nosaukuma.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Kods</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Emitenta vai garantijas saņēmēja kods. Iestāžu gadījumā kods ir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 Citām vienībām kods ir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 vai, ja tas nav pieejams, Savienībā piemērojamai vienotai kodifikācijai atbilstošs kods, vai, ja tas nav pieejams, valsts kods.</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Kodam jābūt unikālam, un tas veidnēs jāizmanto konsekventi.</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Kodam jābūt atšķirīgam no 0040. slejā minētā koda.</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Kreditors, turētājs vai garantijas sniedzējs</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Juridiskā persona, kas ir saistību kreditors, kapitāla instrumenta turētājs vai garantijas sniedzējs.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Vienības nosaukums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Jābūt atšķirīgam no 0010. slejā minētā vienības nosaukuma.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Kods</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Kreditora, turētāja vai garantijas sniedzēja kods. Iestāžu gadījumā kods ir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 Citām vienībām kods ir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 vai, ja tas nav pieejams, Savienībā piemērojamai vienotai kodifikācijai atbilstošs kods, vai, ja tas nav pieejams, valsts kods.</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Kodam jābūt unikālam, un tas veidnēs jāizmanto konsekventi.</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Jābūt atšķirīgam no 0020. slejā minētā koda.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Finansiālās saiknes</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Šis lauks raksturo finansiālās saiknes starp attiecīgajām juridiskajām personām.</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Veids</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Izvēlēties no šā saraksta.</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Grupas iekšējās saistības</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Noguldījumi, nesegtie, bet preferenciālie</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0310. rindā</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Noguldījumi, nesegtie un nepreferenciālie</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0320. rindā</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No atvasinātajiem instrumentiem izrietošās saistības (slēgšanas summas)</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0330. rindā</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Nodrošinātās saistības, kas netiek izmantotas kā nodrošinājums</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0340. rindā</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Strukturētas parādzīmes</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0350. rindā</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Augstākās prioritātes nenodrošinātās saistības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0360. rindā</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Augstākās prioritātes nepreferenciālas saistības</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0365. rindā</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Subordinētās saistības</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0370. rindā</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Citas </w:t>
            </w:r>
            <w:r>
              <w:rPr>
                <w:rFonts w:ascii="Times New Roman" w:hAnsi="Times New Roman"/>
                <w:i/>
                <w:color w:val="000000" w:themeColor="text1"/>
                <w:spacing w:val="-2"/>
                <w:w w:val="95"/>
                <w:sz w:val="20"/>
              </w:rPr>
              <w:t>MREL</w:t>
            </w:r>
            <w:r>
              <w:rPr>
                <w:rFonts w:ascii="Times New Roman" w:hAnsi="Times New Roman"/>
                <w:color w:val="000000" w:themeColor="text1"/>
                <w:spacing w:val="-2"/>
                <w:w w:val="95"/>
                <w:sz w:val="20"/>
              </w:rPr>
              <w:t xml:space="preserve"> atbilstīgas saistības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0380. rindā</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proofErr w:type="spellStart"/>
            <w:r>
              <w:rPr>
                <w:rFonts w:ascii="Times New Roman" w:hAnsi="Times New Roman"/>
                <w:color w:val="000000" w:themeColor="text1"/>
                <w:spacing w:val="-2"/>
                <w:w w:val="95"/>
                <w:sz w:val="20"/>
              </w:rPr>
              <w:t>Nefinanšu</w:t>
            </w:r>
            <w:proofErr w:type="spellEnd"/>
            <w:r>
              <w:rPr>
                <w:rFonts w:ascii="Times New Roman" w:hAnsi="Times New Roman"/>
                <w:color w:val="000000" w:themeColor="text1"/>
                <w:spacing w:val="-2"/>
                <w:w w:val="95"/>
                <w:sz w:val="20"/>
              </w:rPr>
              <w:t xml:space="preserve"> saistības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0390. rindā</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Atlikušās saistības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0400. rindā Jebkādas saistības, kas nav ietvertas kādā no iepriekšējiem posteņiem.</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Otrā līmeņa kapitāls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0530. rindā</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Pirmā līmeņa papildu kapitāls</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0520. rindā</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Pirmā līmeņa pamata kapitāls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Tāda pati definīcija kā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0510. rindā</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Grupas iekšējās garantijas</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Emisijas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Garantijas par konkrētiem emitētiem instrumentiem/saistībām</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Darījumu partneris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Garantijas, kas sniegtas konkrētam darījumu partnerim iestādē</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Neierobežots</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Vispārīgas garantijas bez fiksētas summas ierobežojuma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Cits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Jebkādas garantijas, kas nav ietvertas iepriekšējos veidos.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Nenomaksātā summa</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Saistībām (0050. slejā veidi L.1, L.2 un L.4–L.14) — grupas iekšējo saistību nenomaksātā summa; no atvasinātajiem instrumentiem izrietošajām saistībām (veids L.3) — slēgšanas summas, kā noteikts veidnes Z 02.00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0333. rindas nolūkos.</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Garantijām (0050. slejā vērtības G.1–G.4) — maksimālā potenciālā turpmāku maksājumu summa saskaņā ar garantiju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 kā: emitēta saskaņā ar trešās valsts tiesību aktiem</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Tās nenomaksātās summas daļa monetārā izteiksmē, uz ko attiecas trešās valsts tiesību akti.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no kā: atbilstīga </w:t>
            </w:r>
            <w:r>
              <w:rPr>
                <w:rFonts w:ascii="Times New Roman" w:hAnsi="Times New Roman"/>
                <w:b/>
                <w:i/>
                <w:color w:val="000000" w:themeColor="text1"/>
                <w:sz w:val="20"/>
              </w:rPr>
              <w:t>MREL</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color w:val="000000" w:themeColor="text1"/>
                <w:spacing w:val="-2"/>
                <w:w w:val="95"/>
                <w:sz w:val="20"/>
              </w:rPr>
              <w:t xml:space="preserve">MREL </w:t>
            </w:r>
            <w:r>
              <w:rPr>
                <w:rFonts w:ascii="Times New Roman" w:hAnsi="Times New Roman"/>
                <w:color w:val="000000" w:themeColor="text1"/>
                <w:spacing w:val="-2"/>
                <w:w w:val="95"/>
                <w:sz w:val="20"/>
              </w:rPr>
              <w:t>atbilstīgu saistību nenomaksātā summa, kas aprēķināta saskaņā ar Direktīvas 2014/59/ES 45. panta 4. punkta a) un c)–f) apakšpunktu. Šajā nolūkā saistības neizslēdz no aprēķina, pamatojoties tikai uz to, ka tās emitē grupas vienībai vai tās tur grupas vienība.</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8" w:name="_Toc509909043"/>
      <w:bookmarkStart w:id="29" w:name="_Toc525051149"/>
      <w:r>
        <w:rPr>
          <w:rFonts w:ascii="Times New Roman" w:hAnsi="Times New Roman"/>
        </w:rPr>
        <w:t xml:space="preserve">Z 05.01 un Z 05.02 — </w:t>
      </w:r>
      <w:bookmarkStart w:id="30" w:name="_Toc492542325"/>
      <w:r>
        <w:rPr>
          <w:rFonts w:ascii="Times New Roman" w:hAnsi="Times New Roman"/>
        </w:rPr>
        <w:t>nozīmīgākie darījumi partneri (</w:t>
      </w:r>
      <w:r>
        <w:rPr>
          <w:rFonts w:ascii="Times New Roman" w:hAnsi="Times New Roman"/>
          <w:i/>
        </w:rPr>
        <w:t>MCP</w:t>
      </w:r>
      <w:r>
        <w:rPr>
          <w:rFonts w:ascii="Times New Roman" w:hAnsi="Times New Roman"/>
        </w:rPr>
        <w:t>)</w:t>
      </w:r>
      <w:bookmarkEnd w:id="28"/>
      <w:bookmarkEnd w:id="30"/>
      <w:bookmarkEnd w:id="29"/>
    </w:p>
    <w:p w:rsidR="00BF5063" w:rsidRPr="00D92B3C" w:rsidRDefault="00BF5063" w:rsidP="00715DAB">
      <w:pPr>
        <w:pStyle w:val="Instructionsberschrift3"/>
      </w:pPr>
      <w:r>
        <w:t>Vispārīgas piezīmes</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Šajās veidnēs vākta informācija par saistībām pret nozīmīgākajiem darījumu partneriem (Z 05.01) un no nozīmīgākajiem darījumu partneriem saņemtajiem ārpusbilances posteņiem (Z 05.02). Pārskatā norādītās summas apkopo, ja tās attiecas uz to pašu darījumu partneri un tā paša veida saistībām vai ārpusbilances posteņiem.</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Šajās veidnēs nenorāda saistības un ārpusbilances posteņus, kam nevar identificēt darījumu partneri. Pārskatā nenorāda saistības un ārpusbilances posteņus, attiecībā uz kuriem darījumu partneris ir konsolidētajos finanšu pārskatos iekļauta vienība.</w:t>
      </w:r>
    </w:p>
    <w:p w:rsidR="00DF1EA4" w:rsidRPr="00D92B3C" w:rsidRDefault="00F7117F" w:rsidP="00715DAB">
      <w:pPr>
        <w:pStyle w:val="Instructionsberschrift3"/>
      </w:pPr>
      <w:r>
        <w:t>Z 05.01 — nozīmīgākie saistību partneri — norādījumi attiecībā uz konkrētām pozīcijām</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Šīs veidnes 0020. un 0060. slejās norādīto vērtību kombinācija veido primāru atslēgu, kurai jābūt unikālai katrā veidnes rindā.</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Slejas</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Norādījumi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Darījumu partneris</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Informācija par nozīmīgo darījumu partneri, attiecībā uz kuru rodas saistības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Nozīmīgākos darījumu partnerus identificē, summējot visu vienības vai grupas saistību nenomaksātās summas, par kurām ir iesniegta veidne, katram darījumu partnerim vai savstarpēji saistītu klientu grupai, izņemot saistības pret vienībām, kas iekļautas konsolidētajos finanšu pārskatos.</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Pēc tam darījumu partneri un savstarpēji saistītu darījumu partneru grupas tiek sakārtotas pēc kopējās nenomaksātās summas, lai identificētu 10 nozīmīgākos darījumu partnerus, par kuriem sniedz informāciju šajā veidnē.</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“Savstarpēji saistītu darījumu partneru grupas” definīcija atbilst Regulas (ES) Nr. 575/2013 4. panta 1. punkta 39. apakšpunktā minētajai “savstarpēji saistītu klientu grupas” definīcijai.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Šīs veidnes nolūkā darījumu partneris nevar būt konsolidētajos finanšu pārskatos iekļauta vienība.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Vienības nosaukums</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Nozīmīgā darījumu partnera nosaukums vai — attiecīgā gadījumā — savstarpēji saistītu klientu grupas </w:t>
            </w:r>
            <w:r>
              <w:rPr>
                <w:rFonts w:ascii="Times New Roman" w:hAnsi="Times New Roman"/>
                <w:color w:val="000000" w:themeColor="text1"/>
                <w:spacing w:val="-2"/>
                <w:w w:val="95"/>
                <w:sz w:val="20"/>
              </w:rPr>
              <w:lastRenderedPageBreak/>
              <w:t>nosaukums.</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Savstarpēji saistītu klientu grupas nosaukums ir </w:t>
            </w:r>
            <w:proofErr w:type="spellStart"/>
            <w:r>
              <w:rPr>
                <w:rFonts w:ascii="Times New Roman" w:hAnsi="Times New Roman"/>
                <w:color w:val="000000" w:themeColor="text1"/>
                <w:spacing w:val="-2"/>
                <w:w w:val="95"/>
                <w:sz w:val="20"/>
              </w:rPr>
              <w:t>mātesuzņēmuma</w:t>
            </w:r>
            <w:proofErr w:type="spellEnd"/>
            <w:r>
              <w:rPr>
                <w:rFonts w:ascii="Times New Roman" w:hAnsi="Times New Roman"/>
                <w:color w:val="000000" w:themeColor="text1"/>
                <w:spacing w:val="-2"/>
                <w:w w:val="95"/>
                <w:sz w:val="20"/>
              </w:rPr>
              <w:t xml:space="preserve"> nosaukums vai, ja savstarpēji saistītu klientu grupai nav </w:t>
            </w:r>
            <w:proofErr w:type="spellStart"/>
            <w:r>
              <w:rPr>
                <w:rFonts w:ascii="Times New Roman" w:hAnsi="Times New Roman"/>
                <w:color w:val="000000" w:themeColor="text1"/>
                <w:spacing w:val="-2"/>
                <w:w w:val="95"/>
                <w:sz w:val="20"/>
              </w:rPr>
              <w:t>mātesuzņēmuma</w:t>
            </w:r>
            <w:proofErr w:type="spellEnd"/>
            <w:r>
              <w:rPr>
                <w:rFonts w:ascii="Times New Roman" w:hAnsi="Times New Roman"/>
                <w:color w:val="000000" w:themeColor="text1"/>
                <w:spacing w:val="-2"/>
                <w:w w:val="95"/>
                <w:sz w:val="20"/>
              </w:rPr>
              <w:t xml:space="preserve">, grupas </w:t>
            </w:r>
            <w:proofErr w:type="spellStart"/>
            <w:r>
              <w:rPr>
                <w:rFonts w:ascii="Times New Roman" w:hAnsi="Times New Roman"/>
                <w:color w:val="000000" w:themeColor="text1"/>
                <w:spacing w:val="-2"/>
                <w:w w:val="95"/>
                <w:sz w:val="20"/>
              </w:rPr>
              <w:t>komercnosaukums</w:t>
            </w:r>
            <w:proofErr w:type="spellEnd"/>
            <w:r>
              <w:rPr>
                <w:rFonts w:ascii="Times New Roman" w:hAnsi="Times New Roman"/>
                <w:color w:val="000000" w:themeColor="text1"/>
                <w:spacing w:val="-2"/>
                <w:w w:val="95"/>
                <w:sz w:val="20"/>
              </w:rPr>
              <w: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Kods</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Nozīmīgā darījumu partnera vai savstarpēji saistītu klientu grupas kods. Iestāžu gadījumā kods ir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 Citām vienībām kods ir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 vai, ja tas nav pieejams, Savienībā piemērojamai vienotai kodifikācijai atbilstošs kods, vai, ja tas nav pieejams, valsts kods.</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Kodam jābūt unikālam, un tas veidnēs jāizmanto konsekventi.</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Grupa vai atsevišķs klients</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Iestāde pārskatā norāda atzīmi “1” individuālajiem nozīmīgākajiem darījumu partneriem un “2” savstarpēji saistītu klientu grupām.</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Valsts</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Darījumu partnera reģistrācijas valsts </w:t>
            </w:r>
            <w:r>
              <w:rPr>
                <w:rFonts w:ascii="Times New Roman" w:hAnsi="Times New Roman"/>
                <w:i/>
                <w:color w:val="000000" w:themeColor="text1"/>
                <w:spacing w:val="-2"/>
                <w:w w:val="95"/>
                <w:sz w:val="20"/>
              </w:rPr>
              <w:t>ISO</w:t>
            </w:r>
            <w:r>
              <w:rPr>
                <w:rFonts w:ascii="Times New Roman" w:hAnsi="Times New Roman"/>
                <w:color w:val="000000" w:themeColor="text1"/>
                <w:spacing w:val="-2"/>
                <w:w w:val="95"/>
                <w:sz w:val="20"/>
              </w:rPr>
              <w:t xml:space="preserve"> 3166-1 alfa 2 kods. Tas ietver starptautisko organizāciju </w:t>
            </w:r>
            <w:r>
              <w:rPr>
                <w:rFonts w:ascii="Times New Roman" w:hAnsi="Times New Roman"/>
                <w:i/>
                <w:color w:val="000000" w:themeColor="text1"/>
                <w:spacing w:val="-2"/>
                <w:w w:val="95"/>
                <w:sz w:val="20"/>
              </w:rPr>
              <w:t>ISO</w:t>
            </w:r>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pseidokodus</w:t>
            </w:r>
            <w:proofErr w:type="spellEnd"/>
            <w:r>
              <w:rPr>
                <w:rFonts w:ascii="Times New Roman" w:hAnsi="Times New Roman"/>
                <w:color w:val="000000" w:themeColor="text1"/>
                <w:spacing w:val="-2"/>
                <w:w w:val="95"/>
                <w:sz w:val="20"/>
              </w:rPr>
              <w:t xml:space="preserve">, kas pieejami </w:t>
            </w:r>
            <w:proofErr w:type="spellStart"/>
            <w:r>
              <w:rPr>
                <w:rFonts w:ascii="Times New Roman" w:hAnsi="Times New Roman"/>
                <w:i/>
                <w:color w:val="000000" w:themeColor="text1"/>
                <w:spacing w:val="-2"/>
                <w:w w:val="95"/>
                <w:sz w:val="20"/>
              </w:rPr>
              <w:t>Eurostat</w:t>
            </w:r>
            <w:proofErr w:type="spellEnd"/>
            <w:r>
              <w:rPr>
                <w:rFonts w:ascii="Times New Roman" w:hAnsi="Times New Roman"/>
                <w:color w:val="000000" w:themeColor="text1"/>
                <w:spacing w:val="-2"/>
                <w:w w:val="95"/>
                <w:sz w:val="20"/>
              </w:rPr>
              <w:t xml:space="preserve"> jaunākajā maksājumu bilances rokasgrāmatā (“</w:t>
            </w:r>
            <w:proofErr w:type="spellStart"/>
            <w:r>
              <w:rPr>
                <w:rFonts w:ascii="Times New Roman" w:hAnsi="Times New Roman"/>
                <w:i/>
                <w:color w:val="000000" w:themeColor="text1"/>
                <w:spacing w:val="-2"/>
                <w:w w:val="95"/>
                <w:sz w:val="20"/>
              </w:rPr>
              <w:t>Balance</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of</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Payments</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Vademecum</w:t>
            </w:r>
            <w:proofErr w:type="spellEnd"/>
            <w:r>
              <w:rPr>
                <w:rFonts w:ascii="Times New Roman" w:hAnsi="Times New Roman"/>
                <w:color w:val="000000" w:themeColor="text1"/>
                <w:spacing w:val="-2"/>
                <w:w w:val="95"/>
                <w:sz w:val="20"/>
              </w:rPr>
              <w:t xml:space="preserve">”).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Valsti nosaka, atsaucoties uz darījumu partnera juridisko adresi. Savstarpēji saistītu klientu grupām valsts ir </w:t>
            </w:r>
            <w:proofErr w:type="spellStart"/>
            <w:r>
              <w:rPr>
                <w:rFonts w:ascii="Times New Roman" w:hAnsi="Times New Roman"/>
                <w:color w:val="000000" w:themeColor="text1"/>
                <w:spacing w:val="-2"/>
                <w:w w:val="95"/>
                <w:sz w:val="20"/>
              </w:rPr>
              <w:t>mātesuzņēmuma</w:t>
            </w:r>
            <w:proofErr w:type="spellEnd"/>
            <w:r>
              <w:rPr>
                <w:rFonts w:ascii="Times New Roman" w:hAnsi="Times New Roman"/>
                <w:color w:val="000000" w:themeColor="text1"/>
                <w:spacing w:val="-2"/>
                <w:w w:val="95"/>
                <w:sz w:val="20"/>
              </w:rPr>
              <w:t xml:space="preserve"> reģistrācijas valsts.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Sektors</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Katram darījumu partnerim piešķir vienu sektoru, pamatojoties uz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xml:space="preserve"> ekonomisko sektoru kategorijām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V pielikums, 1. daļa, 6. nodaļa):</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Centrālās bankas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Vispārējās valdības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Kredītiestādes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Citas finanšu iestādes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Nefinanšu</w:t>
            </w:r>
            <w:proofErr w:type="spellEnd"/>
            <w:r>
              <w:rPr>
                <w:rFonts w:ascii="Times New Roman" w:hAnsi="Times New Roman"/>
                <w:color w:val="000000" w:themeColor="text1"/>
                <w:spacing w:val="-2"/>
                <w:w w:val="95"/>
                <w:sz w:val="20"/>
              </w:rPr>
              <w:t xml:space="preserve"> sabiedrības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Mājsaimniecības</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Savstarpēji saistītu klientu grupām sektoru nenorāda.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Veids</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Saistību veids ir kāds no veidnē Z 02.00 — saistību struktūra (</w:t>
            </w:r>
            <w:r>
              <w:rPr>
                <w:rFonts w:ascii="Times New Roman" w:hAnsi="Times New Roman"/>
                <w:i/>
                <w:color w:val="000000" w:themeColor="text1"/>
                <w:spacing w:val="-2"/>
                <w:w w:val="95"/>
                <w:sz w:val="20"/>
              </w:rPr>
              <w:t>LIAB</w:t>
            </w:r>
            <w:r>
              <w:rPr>
                <w:rFonts w:ascii="Times New Roman" w:hAnsi="Times New Roman"/>
                <w:color w:val="000000" w:themeColor="text1"/>
                <w:spacing w:val="-2"/>
                <w:w w:val="95"/>
                <w:sz w:val="20"/>
              </w:rPr>
              <w:t>) norādītajiem saistību veidiem.</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L.0</w:t>
            </w:r>
            <w:r>
              <w:tab/>
            </w:r>
            <w:r>
              <w:rPr>
                <w:rFonts w:ascii="Times New Roman" w:hAnsi="Times New Roman"/>
                <w:color w:val="000000" w:themeColor="text1"/>
                <w:spacing w:val="-2"/>
                <w:w w:val="95"/>
                <w:sz w:val="20"/>
              </w:rPr>
              <w:t xml:space="preserve">Iekšējā </w:t>
            </w:r>
            <w:proofErr w:type="spellStart"/>
            <w:r>
              <w:rPr>
                <w:rFonts w:ascii="Times New Roman" w:hAnsi="Times New Roman"/>
                <w:color w:val="000000" w:themeColor="text1"/>
                <w:spacing w:val="-2"/>
                <w:w w:val="95"/>
                <w:sz w:val="20"/>
              </w:rPr>
              <w:t>rekapitalizācijā</w:t>
            </w:r>
            <w:proofErr w:type="spellEnd"/>
            <w:r>
              <w:rPr>
                <w:rFonts w:ascii="Times New Roman" w:hAnsi="Times New Roman"/>
                <w:color w:val="000000" w:themeColor="text1"/>
                <w:spacing w:val="-2"/>
                <w:w w:val="95"/>
                <w:sz w:val="20"/>
              </w:rPr>
              <w:t xml:space="preserve"> neiekļautās saistības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Noguldījumi, nesegtie, bet preferenciālie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Noguldījumi, nesegtie un nepreferenciālie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No atvasinātajiem instrumentiem izrietošās saistības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L.4</w:t>
            </w:r>
            <w:r>
              <w:tab/>
            </w:r>
            <w:r>
              <w:rPr>
                <w:rFonts w:ascii="Times New Roman" w:hAnsi="Times New Roman"/>
                <w:color w:val="000000" w:themeColor="text1"/>
                <w:spacing w:val="-2"/>
                <w:w w:val="95"/>
                <w:sz w:val="20"/>
              </w:rPr>
              <w:t>Nodrošinātās saistības, kas netiek izmantotas kā nodrošinājums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Strukturētas parādzīmes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L.6</w:t>
            </w:r>
            <w:r>
              <w:tab/>
            </w:r>
            <w:r>
              <w:rPr>
                <w:rFonts w:ascii="Times New Roman" w:hAnsi="Times New Roman"/>
                <w:color w:val="000000" w:themeColor="text1"/>
                <w:spacing w:val="-2"/>
                <w:w w:val="95"/>
                <w:sz w:val="20"/>
              </w:rPr>
              <w:t>Augstākās prioritātes nenodrošinātās saistības</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L.7        augstākās prioritātes nepreferenciālās saistības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Subordinētās saistības (nav atzītas kā pašu kapitāls)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L.9</w:t>
            </w:r>
            <w:r>
              <w:tab/>
            </w:r>
            <w:r>
              <w:rPr>
                <w:rFonts w:ascii="Times New Roman" w:hAnsi="Times New Roman"/>
                <w:color w:val="000000" w:themeColor="text1"/>
                <w:spacing w:val="-2"/>
                <w:w w:val="95"/>
                <w:sz w:val="20"/>
              </w:rPr>
              <w:t xml:space="preserve">Citas </w:t>
            </w:r>
            <w:r>
              <w:rPr>
                <w:rFonts w:ascii="Times New Roman" w:hAnsi="Times New Roman"/>
                <w:i/>
                <w:color w:val="000000" w:themeColor="text1"/>
                <w:spacing w:val="-2"/>
                <w:w w:val="95"/>
                <w:sz w:val="20"/>
              </w:rPr>
              <w:t>MREL</w:t>
            </w:r>
            <w:r>
              <w:rPr>
                <w:rFonts w:ascii="Times New Roman" w:hAnsi="Times New Roman"/>
                <w:color w:val="000000" w:themeColor="text1"/>
                <w:spacing w:val="-2"/>
                <w:w w:val="95"/>
                <w:sz w:val="20"/>
              </w:rPr>
              <w:t xml:space="preserve"> atbilstīgas saistības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L.10</w:t>
            </w:r>
            <w:r>
              <w:tab/>
            </w:r>
            <w:proofErr w:type="spellStart"/>
            <w:r>
              <w:rPr>
                <w:rFonts w:ascii="Times New Roman" w:hAnsi="Times New Roman"/>
                <w:color w:val="000000" w:themeColor="text1"/>
                <w:spacing w:val="-2"/>
                <w:w w:val="95"/>
                <w:sz w:val="20"/>
              </w:rPr>
              <w:t>Nefinanšu</w:t>
            </w:r>
            <w:proofErr w:type="spellEnd"/>
            <w:r>
              <w:rPr>
                <w:rFonts w:ascii="Times New Roman" w:hAnsi="Times New Roman"/>
                <w:color w:val="000000" w:themeColor="text1"/>
                <w:spacing w:val="-2"/>
                <w:w w:val="95"/>
                <w:sz w:val="20"/>
              </w:rPr>
              <w:t xml:space="preserve"> saistības</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L.11</w:t>
            </w:r>
            <w:r>
              <w:tab/>
            </w:r>
            <w:r>
              <w:rPr>
                <w:rFonts w:ascii="Times New Roman" w:hAnsi="Times New Roman"/>
                <w:color w:val="000000" w:themeColor="text1"/>
                <w:spacing w:val="-2"/>
                <w:w w:val="95"/>
                <w:sz w:val="20"/>
              </w:rPr>
              <w:t>Atlikušās saistības</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 xml:space="preserve">Ja saistības pret nozīmīgu darījumu partneri ietver vairāk nekā vienu no minētajiem veidiem, katru saistību </w:t>
            </w:r>
            <w:r>
              <w:rPr>
                <w:rFonts w:ascii="Times New Roman" w:hAnsi="Times New Roman"/>
                <w:color w:val="000000" w:themeColor="text1"/>
                <w:spacing w:val="-2"/>
                <w:w w:val="95"/>
                <w:sz w:val="20"/>
              </w:rPr>
              <w:lastRenderedPageBreak/>
              <w:t>veidu norāda atsevišķā rindā.</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Summa</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Summa ir vienāda ar “nenomaksātās summas” definīciju, kā paredzēts veidnē Z 02.00 — saistību struktūra. No atvasinātajiem instrumentiem izrietošo saistību gadījumā (L.3 veids) pārskatā norāda slēgšanas summas, kā noteikts Z 02.00 veidnes 0333. rindas nolūkos.</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Z 05.02 — nozīmīgākie ārpusbilances darījumu partneri: norādījumi attiecībā uz konkrētām pozīcijām</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Šīs veidnes 0020. un 0060. slejās norādīto vērtību kombinācija veido primāru atslēgu, kurai jābūt unikālai katrā veidnes rindā.</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Slejas</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Norādījumi</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Darījumu partneri</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Informācija par nozīmīgākajiem ārpusbilances darījumu partneriem.</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Nozīmīgākos ārpusbilances darījumu partnerus identificē, summējot saņemto saistību un finanšu garantiju kopējo nominālo summu (kā noteikts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xml:space="preserve"> nolūkos F 09 veidnē) pēc vienības vai grupas vienībām, par kurām no darījumu partneriem vai savstarpēji saistītu klientu grupas ir iesniegta veidne. Nozīmīgākie ārpusbilances darījumu partneri neietver vienības, kas iekļautas grupas konsolidētajos finanšu pārskatos. Pēc tam darījumu partneri un savstarpēji saistītu klientu grupas tiek sakārtotas pēc kopējās summas, lai identificētu 10 nozīmīgākos ārpusbilances darījumu partnerus, par kuriem sniedz informāciju šajā veidnē.</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Šīs veidnes nolūkā pārskatu sniedz tikai par darījumu partneriem, kas nav iekļauti konsolidētajos finanšu pārskatos.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Vienības nosaukums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 norādījumus par Z 05.01 veidnes 0010. sleju</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 norādījumus par Z 05.01 veidnes 0020. sleju</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Grupa vai atsevišķs klients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 norādījumus par Z 05.01 veidnes 0030. sleju</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Valsts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 norādījumus par Z 05.01 veidnes 0040. sleju</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 norādījumus par Z 05.01 veidnes 0050. sleju</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Veids</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Ārpusbilances posteņu riska darījumu veids ir kāds no turpmāk minētajiem, kā noteikts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xml:space="preserve"> F 09.02 veidnē:</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OBS.1</w:t>
            </w:r>
            <w:r>
              <w:tab/>
            </w:r>
            <w:r>
              <w:rPr>
                <w:rFonts w:ascii="Times New Roman" w:hAnsi="Times New Roman"/>
                <w:color w:val="000000" w:themeColor="text1"/>
                <w:spacing w:val="-2"/>
                <w:w w:val="95"/>
                <w:sz w:val="20"/>
              </w:rPr>
              <w:t xml:space="preserve">Saņemtās aizdevumu saistības </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OBS.2</w:t>
            </w:r>
            <w:r>
              <w:tab/>
            </w:r>
            <w:r>
              <w:rPr>
                <w:rFonts w:ascii="Times New Roman" w:hAnsi="Times New Roman"/>
                <w:color w:val="000000" w:themeColor="text1"/>
                <w:spacing w:val="-2"/>
                <w:w w:val="95"/>
                <w:sz w:val="20"/>
              </w:rPr>
              <w:t>Saņemtās finanšu garantijas</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OBS.3</w:t>
            </w:r>
            <w:r>
              <w:tab/>
            </w:r>
            <w:r>
              <w:rPr>
                <w:rFonts w:ascii="Times New Roman" w:hAnsi="Times New Roman"/>
                <w:color w:val="000000" w:themeColor="text1"/>
                <w:spacing w:val="-2"/>
                <w:w w:val="95"/>
                <w:sz w:val="20"/>
              </w:rPr>
              <w:t>Citas saņemtās saistības</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Ja no nozīmīga darījumu partnera saņemtie ārpusbilances posteņi ietver vairāk nekā vienu no minētajiem veidiem, katru ārpusbilances posteņa veidu norāda atsevišķā rindā.</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 xml:space="preserve">Summa </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1" w:name="_Toc492542326"/>
      <w:bookmarkStart w:id="32" w:name="_Toc509909044"/>
      <w:bookmarkStart w:id="33" w:name="_Toc525051150"/>
      <w:r>
        <w:rPr>
          <w:rFonts w:ascii="Times New Roman" w:hAnsi="Times New Roman"/>
        </w:rPr>
        <w:t>Z 06.00 — noguldījumu apdrošināšana (</w:t>
      </w:r>
      <w:r>
        <w:rPr>
          <w:rFonts w:ascii="Times New Roman" w:hAnsi="Times New Roman"/>
          <w:i/>
        </w:rPr>
        <w:t>DIS</w:t>
      </w:r>
      <w:r>
        <w:rPr>
          <w:rFonts w:ascii="Times New Roman" w:hAnsi="Times New Roman"/>
        </w:rPr>
        <w:t>)</w:t>
      </w:r>
      <w:bookmarkEnd w:id="31"/>
      <w:bookmarkEnd w:id="32"/>
      <w:bookmarkEnd w:id="33"/>
    </w:p>
    <w:p w:rsidR="008F7980" w:rsidRPr="00D92B3C" w:rsidRDefault="006A7DCF" w:rsidP="00715DAB">
      <w:pPr>
        <w:pStyle w:val="Instructionsberschrift3"/>
      </w:pPr>
      <w:r>
        <w:t>Vispārīgas piezīmes</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Šajā veidnē sniegts pārskats par noguldījumu apdrošināšanu grupā un noguldījumu garantiju sistēmām, kurās piedalās kredītiestādes, kas ir attiecīgās juridiskās personas.</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Katru grupai piederošu kredītiestādi norāda atsevišķā rindā.</w:t>
      </w:r>
    </w:p>
    <w:p w:rsidR="006A7DCF" w:rsidRPr="00D92B3C" w:rsidRDefault="006A7DCF" w:rsidP="00715DAB">
      <w:pPr>
        <w:pStyle w:val="Instructionsberschrift3"/>
      </w:pPr>
      <w:r>
        <w:t>Norādījumi attiecībā uz konkrētām pozīcijām</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Norādījumi</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Vienība</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Vienības nosaukums</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Vienības nosaukums, kā norādīts veidnē Z 01.00 — organizatoriskā struktūra (</w:t>
            </w:r>
            <w:r>
              <w:rPr>
                <w:rFonts w:ascii="Times New Roman" w:hAnsi="Times New Roman"/>
                <w:i/>
                <w:color w:val="000000" w:themeColor="text1"/>
                <w:spacing w:val="-2"/>
                <w:w w:val="95"/>
                <w:sz w:val="20"/>
              </w:rPr>
              <w:t>ORG</w:t>
            </w:r>
            <w:r>
              <w:rPr>
                <w:rFonts w:ascii="Times New Roman" w:hAnsi="Times New Roman"/>
                <w:color w:val="000000" w:themeColor="text1"/>
                <w:spacing w:val="-2"/>
                <w:w w:val="95"/>
                <w:sz w:val="20"/>
              </w:rPr>
              <w:t xml:space="preserve">).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Kods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Vienības kods, kā norādīts veidnē Z 01.00 — organizatoriskā struktūra (</w:t>
            </w:r>
            <w:r>
              <w:rPr>
                <w:rFonts w:ascii="Times New Roman" w:hAnsi="Times New Roman"/>
                <w:i/>
                <w:color w:val="000000" w:themeColor="text1"/>
                <w:spacing w:val="-2"/>
                <w:w w:val="95"/>
                <w:sz w:val="20"/>
              </w:rPr>
              <w:t>ORG</w:t>
            </w:r>
            <w:r>
              <w:rPr>
                <w:rFonts w:ascii="Times New Roman" w:hAnsi="Times New Roman"/>
                <w:color w:val="000000" w:themeColor="text1"/>
                <w:spacing w:val="-2"/>
                <w:w w:val="95"/>
                <w:sz w:val="20"/>
              </w:rPr>
              <w:t>).</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Tas ir rindas identifikators, un tam jābūt unikālam katrai veidnes rindai.</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NGS</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2014/49/ES 4. panta 3. punkts</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Oficiāli atzītas NGS nosaukums, kurā vienība piedalās, piemērojot Direktīvu 2014/49/ES. Tā ir vienības reģistrācijas dalībvalstī esoša NGS, izņemot citas NGS, kuras vienības klientiem varētu sniegt papildu aizsardzību (“papildinājums”) citās dalībvalstīs esošās filiālēs. Ja iestāde piedalās IAS, kas ir arī oficiāli atzīta kā NGS saskaņā ar Direktīvas 2014/49/ES 4. panta 2. punktu, NGS nosaukums ir identisks IAS nosaukumam 050. rindā.</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Katrai vienības reģistrācijas valstij NGS izvēlas no turpmāk minētajām:</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Austrija</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der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Bankiers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Sparkassen-Haftungs</w:t>
            </w:r>
            <w:proofErr w:type="spellEnd"/>
            <w:r>
              <w:rPr>
                <w:rFonts w:ascii="Times New Roman" w:hAnsi="Times New Roman"/>
                <w:color w:val="000000" w:themeColor="text1"/>
                <w:spacing w:val="-2"/>
                <w:w w:val="95"/>
                <w:sz w:val="20"/>
              </w:rPr>
              <w:t xml:space="preserve">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Österreichische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Raiffeisen-Einlagensicherung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eGen</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Volksbank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Hypo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Haftungs-Gesellschaft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m.b.H</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Beļģija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Garantiefonds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voor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financiële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diensten</w:t>
            </w:r>
            <w:proofErr w:type="spellEnd"/>
            <w:r>
              <w:rPr>
                <w:rFonts w:ascii="Times New Roman" w:hAnsi="Times New Roman"/>
                <w:color w:val="000000" w:themeColor="text1"/>
                <w:spacing w:val="-2"/>
                <w:w w:val="95"/>
                <w:sz w:val="20"/>
              </w:rPr>
              <w:t xml:space="preserve"> / Fonds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pour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les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financiers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Bulgārija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Фондът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за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гарантиране</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на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влоговете</w:t>
            </w:r>
            <w:proofErr w:type="spellEnd"/>
            <w:r>
              <w:rPr>
                <w:rFonts w:ascii="Times New Roman" w:hAnsi="Times New Roman"/>
                <w:color w:val="000000" w:themeColor="text1"/>
                <w:spacing w:val="-2"/>
                <w:w w:val="95"/>
                <w:sz w:val="20"/>
              </w:rPr>
              <w:t xml:space="preserve"> в </w:t>
            </w:r>
            <w:proofErr w:type="spellStart"/>
            <w:r>
              <w:rPr>
                <w:rFonts w:ascii="Times New Roman" w:hAnsi="Times New Roman"/>
                <w:color w:val="000000" w:themeColor="text1"/>
                <w:spacing w:val="-2"/>
                <w:w w:val="95"/>
                <w:sz w:val="20"/>
              </w:rPr>
              <w:t>банките</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Horvātija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Državna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agencija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za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osiguranje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štednih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uloga</w:t>
            </w:r>
            <w:proofErr w:type="spellEnd"/>
            <w:r>
              <w:rPr>
                <w:rFonts w:ascii="Times New Roman" w:hAnsi="Times New Roman"/>
                <w:color w:val="000000" w:themeColor="text1"/>
                <w:spacing w:val="-2"/>
                <w:w w:val="95"/>
                <w:sz w:val="20"/>
              </w:rPr>
              <w:t xml:space="preserve"> i </w:t>
            </w:r>
            <w:proofErr w:type="spellStart"/>
            <w:r>
              <w:rPr>
                <w:rFonts w:ascii="Times New Roman" w:hAnsi="Times New Roman"/>
                <w:color w:val="000000" w:themeColor="text1"/>
                <w:spacing w:val="-2"/>
                <w:w w:val="95"/>
                <w:sz w:val="20"/>
              </w:rPr>
              <w:t>sanaciju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banaka</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Kipra</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Σύστημα</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των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Καταθέσεων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Εξυγίανσης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Πιστωτικών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Άλλων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Ιδρυμάτων</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Čehija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w:t>
            </w:r>
            <w:proofErr w:type="spellStart"/>
            <w:r>
              <w:rPr>
                <w:rFonts w:ascii="Times New Roman" w:hAnsi="Times New Roman"/>
                <w:color w:val="000000" w:themeColor="text1"/>
                <w:spacing w:val="-2"/>
                <w:w w:val="95"/>
                <w:sz w:val="20"/>
              </w:rPr>
              <w:t>Garanční</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systém</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finančního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trhu</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Dānija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Garantiformuen</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Igaunija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Tagastisfond</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Somija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Talletussuojarahasto</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Francija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"Fonds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Résolution</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Vācija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Bundesverbandes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Öffentlicher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Deutschlands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Sicherungseinrichtung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Sparkassen-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Giroverbandes</w:t>
            </w:r>
            <w:proofErr w:type="spellEnd"/>
            <w:r>
              <w:rPr>
                <w:rFonts w:ascii="Times New Roman" w:hAnsi="Times New Roman"/>
                <w:color w:val="000000" w:themeColor="text1"/>
                <w:spacing w:val="-2"/>
                <w:w w:val="95"/>
                <w:sz w:val="20"/>
              </w:rPr>
              <w:t xml:space="preserve"> (DSGV-</w:t>
            </w:r>
            <w:proofErr w:type="spellStart"/>
            <w:r>
              <w:rPr>
                <w:rFonts w:ascii="Times New Roman" w:hAnsi="Times New Roman"/>
                <w:color w:val="000000" w:themeColor="text1"/>
                <w:spacing w:val="-2"/>
                <w:w w:val="95"/>
                <w:sz w:val="20"/>
              </w:rPr>
              <w:t>Haftungsverbund</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"BVR </w:t>
            </w:r>
            <w:proofErr w:type="spellStart"/>
            <w:r>
              <w:rPr>
                <w:rFonts w:ascii="Times New Roman" w:hAnsi="Times New Roman"/>
                <w:color w:val="000000" w:themeColor="text1"/>
                <w:spacing w:val="-2"/>
                <w:w w:val="95"/>
                <w:sz w:val="20"/>
              </w:rPr>
              <w:t>Institutssicherung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Gibraltārs</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Gibraltar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Guarantee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Grieķija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Ταμείο</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Καταθέσεων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Επενδύσεων</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Ungārija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Országos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Betétbiztosítási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Alap</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Islande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Tryggingarsjóður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innstæðueigenda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fjárfesta</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Īrija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Irish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Protection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Itālija </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Interbancario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Tutela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Depositi</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Garanzia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Depositanti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Credito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Cooperativo</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Latvija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"Latvijas Noguldījumu garantiju fonds"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Lihtenšteina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Einlagensicherungs-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Anlegerentschädigungs-Stiftung</w:t>
            </w:r>
            <w:proofErr w:type="spellEnd"/>
            <w:r>
              <w:rPr>
                <w:rFonts w:ascii="Times New Roman" w:hAnsi="Times New Roman"/>
                <w:color w:val="000000" w:themeColor="text1"/>
                <w:spacing w:val="-2"/>
                <w:w w:val="95"/>
                <w:sz w:val="20"/>
              </w:rPr>
              <w:t xml:space="preserve">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Lietuva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Indėlių</w:t>
            </w:r>
            <w:proofErr w:type="spellEnd"/>
            <w:r>
              <w:rPr>
                <w:rFonts w:ascii="Times New Roman" w:hAnsi="Times New Roman"/>
                <w:color w:val="000000" w:themeColor="text1"/>
                <w:spacing w:val="-2"/>
                <w:w w:val="95"/>
                <w:sz w:val="20"/>
              </w:rPr>
              <w:t xml:space="preserve"> ir </w:t>
            </w:r>
            <w:proofErr w:type="spellStart"/>
            <w:r>
              <w:rPr>
                <w:rFonts w:ascii="Times New Roman" w:hAnsi="Times New Roman"/>
                <w:color w:val="000000" w:themeColor="text1"/>
                <w:spacing w:val="-2"/>
                <w:w w:val="95"/>
                <w:sz w:val="20"/>
              </w:rPr>
              <w:t>investicijų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draudimas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Luksemburga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Luxembourg"</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Malta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Depositor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Nīderlande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 </w:t>
            </w:r>
            <w:proofErr w:type="spellStart"/>
            <w:r>
              <w:rPr>
                <w:rFonts w:ascii="Times New Roman" w:hAnsi="Times New Roman"/>
                <w:color w:val="000000" w:themeColor="text1"/>
                <w:spacing w:val="-2"/>
                <w:w w:val="95"/>
                <w:sz w:val="20"/>
              </w:rPr>
              <w:t>Nederlandsche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Depositogarantiestelsel</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Norvēģija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w:t>
            </w:r>
            <w:proofErr w:type="spellStart"/>
            <w:r>
              <w:rPr>
                <w:rFonts w:ascii="Times New Roman" w:hAnsi="Times New Roman"/>
                <w:color w:val="000000" w:themeColor="text1"/>
                <w:spacing w:val="-2"/>
                <w:w w:val="95"/>
                <w:sz w:val="20"/>
              </w:rPr>
              <w:t>Bankenes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sikringsfond</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Polija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Bankowy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Fundusz</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Gwarancyjny</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Portugāle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Fundo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Fundo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Agrícola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Mútuo</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Rumānija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Fondul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Garantare</w:t>
            </w:r>
            <w:proofErr w:type="spellEnd"/>
            <w:r>
              <w:rPr>
                <w:rFonts w:ascii="Times New Roman" w:hAnsi="Times New Roman"/>
                <w:color w:val="000000" w:themeColor="text1"/>
                <w:spacing w:val="-2"/>
                <w:w w:val="95"/>
                <w:sz w:val="20"/>
              </w:rPr>
              <w:t xml:space="preserve"> a </w:t>
            </w:r>
            <w:proofErr w:type="spellStart"/>
            <w:r>
              <w:rPr>
                <w:rFonts w:ascii="Times New Roman" w:hAnsi="Times New Roman"/>
                <w:color w:val="000000" w:themeColor="text1"/>
                <w:spacing w:val="-2"/>
                <w:w w:val="95"/>
                <w:sz w:val="20"/>
              </w:rPr>
              <w:t>Depozitelor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Sistemul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Bancar</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Slovākija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ochrany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vkladov</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Slovēnija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"Banka </w:t>
            </w:r>
            <w:proofErr w:type="spellStart"/>
            <w:r>
              <w:rPr>
                <w:rFonts w:ascii="Times New Roman" w:hAnsi="Times New Roman"/>
                <w:color w:val="000000" w:themeColor="text1"/>
                <w:spacing w:val="-2"/>
                <w:w w:val="95"/>
                <w:sz w:val="20"/>
              </w:rPr>
              <w:t>Slovenije</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Spānija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Garantía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Entidades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Zviedrija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Riksgälden</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Apvienotā Karaliste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Financial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Ja oficiāli atzīta NGS, kurā vienība piedalās, šajā sarakstā nav minēta, pārskatā norāda “cita”.</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Segto noguldījumu summa</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2014/49/ES 2. panta 1. un 5. punkts un 6. panta 2. punkts</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Segto noguldījumu summa saskaņā ar Direktīvas 2014/49/ES 2. panta 1. punkta 5. apakšpunktu un 6. pantu, ko sedz 00030. rindā minētā NGS, izņemot augstas pagaidu bilances vērtības, kā noteikts Direktīvas 2014/49/ES 6. panta 2. punktā.</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Institucionālās aizsardzības shēma</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Regulas (ES) Nr. 575/2013 113. panta 7. punkts</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Institucionālās aizsardzības shēmas, kurā vienība piedalās, nosaukums, kā minēts Regulas (ES) Nr. 575/2013 113. panta 7. punktā. Ja vienība nepiedalās IAS, neko nenorādīt. Ja vienība piedalās IAS, kas ir arī oficiāli atzīta kā NGS saskaņā ar Direktīvas 2014/49/ES 4. panta 2. punktu, IAS nosaukums ir identisks NGS nosaukumam 030. rindā.</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Papildu aizsardzība saskaņā ar līgumisko shēmu</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Direktīvas 2014/49</w:t>
            </w:r>
            <w:r w:rsidR="00D41CE6">
              <w:rPr>
                <w:rFonts w:ascii="Times New Roman" w:hAnsi="Times New Roman"/>
                <w:color w:val="000000" w:themeColor="text1"/>
                <w:spacing w:val="-2"/>
                <w:w w:val="95"/>
                <w:sz w:val="20"/>
              </w:rPr>
              <w:t>/ES 1. panta 3. punkta a) apakš</w:t>
            </w:r>
            <w:r>
              <w:rPr>
                <w:rFonts w:ascii="Times New Roman" w:hAnsi="Times New Roman"/>
                <w:color w:val="000000" w:themeColor="text1"/>
                <w:spacing w:val="-2"/>
                <w:w w:val="95"/>
                <w:sz w:val="20"/>
              </w:rPr>
              <w:t>punkts</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Depozītu summas, ko sedz līgumiskā shēma vienībā.</w:t>
            </w:r>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34" w:name="_Toc492542327"/>
      <w:bookmarkStart w:id="35" w:name="_Toc509909045"/>
      <w:bookmarkStart w:id="36" w:name="_Toc525051151"/>
      <w:r>
        <w:rPr>
          <w:rFonts w:ascii="Times New Roman" w:hAnsi="Times New Roman"/>
        </w:rPr>
        <w:t>Kritiski svarīgas funkcijas un pamatdarbības virzieni (galvenās darbības jomas)</w:t>
      </w:r>
      <w:bookmarkEnd w:id="34"/>
      <w:bookmarkEnd w:id="35"/>
      <w:bookmarkEnd w:id="36"/>
    </w:p>
    <w:p w:rsidR="00AA4026" w:rsidRPr="00D92B3C" w:rsidRDefault="00AA4026" w:rsidP="00715DAB">
      <w:pPr>
        <w:pStyle w:val="Instructionsberschrift3"/>
      </w:pPr>
      <w:r>
        <w:t>Vispārīgas piezīmes</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Šīs sadaļas četras veidnes sniedz galvenos datus un kvalitatīvos novērtējumus par grupas veikto ekonomisko funkciju ietekmi, aizstājamību un kritisko svarīgumu, tos papildinot ar attiecīgo kritiski svarīgo funkciju sasaistīšanu ar pamatdarbības virzieniem un juridiskajām personām.</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Konkrētāk, veidnes ir paredzētas tālāk norādītajām tēmām.</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Veidnē “Z 07.01 — ekonomisko funkciju kritiskā svarīguma novērtējums (</w:t>
      </w:r>
      <w:r>
        <w:rPr>
          <w:rFonts w:ascii="Times New Roman" w:hAnsi="Times New Roman"/>
          <w:i/>
          <w:sz w:val="20"/>
        </w:rPr>
        <w:t>FUNC</w:t>
      </w:r>
      <w:r>
        <w:rPr>
          <w:rFonts w:ascii="Times New Roman" w:hAnsi="Times New Roman"/>
          <w:sz w:val="20"/>
        </w:rPr>
        <w:t xml:space="preserve"> 1)”, pamatojoties uz kvantitatīviem un kvalitatīviem rādītājiem, identificētas kritiski svarīgas un ne tik svarīgas funkcijas, ko grupa veic katrā dalībvalstī, kurā grupa ir aktīva.</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Veidnē “Z 07.02 — kritiski svarīgo funkciju sasaistīšana pēc juridiskajām personām (</w:t>
      </w:r>
      <w:r>
        <w:rPr>
          <w:rFonts w:ascii="Times New Roman" w:hAnsi="Times New Roman"/>
          <w:i/>
          <w:sz w:val="20"/>
        </w:rPr>
        <w:t>FUNC</w:t>
      </w:r>
      <w:r>
        <w:rPr>
          <w:rFonts w:ascii="Times New Roman" w:hAnsi="Times New Roman"/>
          <w:sz w:val="20"/>
        </w:rPr>
        <w:t xml:space="preserve"> 2)” identificētās kritiski svarīgās funkcijas, sasaistītas ar juridiskajām personām, un izvērtēts, vai katra juridiskā persona tiek uzskatīta par būtisku vai nebūtisku kritiski svarīgās funkcijas veikšanai.</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Veidnē “Z 07.03 — pamatdarbības virzienu sasaistīšana ar juridiskajām personām (</w:t>
      </w:r>
      <w:r>
        <w:rPr>
          <w:rFonts w:ascii="Times New Roman" w:hAnsi="Times New Roman"/>
          <w:i/>
          <w:sz w:val="20"/>
        </w:rPr>
        <w:t>FUNC</w:t>
      </w:r>
      <w:r>
        <w:rPr>
          <w:rFonts w:ascii="Times New Roman" w:hAnsi="Times New Roman"/>
          <w:sz w:val="20"/>
        </w:rPr>
        <w:t xml:space="preserve"> 3)” sniegts pilnīgs pamatdarbības virzienu saraksts, un tie sasaistīti ar juridiskajām personām.</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Veidnē “Z 07.04 — kritiski svarīgo funkciju sasaistīšana ar pamatdarbības virzieniem (</w:t>
      </w:r>
      <w:r>
        <w:rPr>
          <w:rFonts w:ascii="Times New Roman" w:hAnsi="Times New Roman"/>
          <w:i/>
          <w:sz w:val="20"/>
        </w:rPr>
        <w:t xml:space="preserve">FUNC </w:t>
      </w:r>
      <w:r>
        <w:rPr>
          <w:rFonts w:ascii="Times New Roman" w:hAnsi="Times New Roman"/>
          <w:sz w:val="20"/>
        </w:rPr>
        <w:t>4)” identificētās kritiski svarīgās funkcijas ir sasaistītas ar pamatdarbības virzieniem.</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Saskaņā ar Direktīvas 2014/59/ES 2. panta 1. punkta 35. apakšpunktu “kritiski svarīgas funkcijas” ir darbības, pakalpojumi vai operācijas, kuru pārtraukšana, iespējams, vienā vai vairākās dalībvalstīs izraisīs reālajai ekonomikai būtisku pakalpojumu sniegšanas traucējumus vai izjauks finanšu stabilitāti kādas iestādes vai grupas lieluma, tirgus daļas, ārējās un iekšējās savstarpējās saiknes, sarežģītības vai pārrobežu darbību dēļ, īpaši ņemot vērā šo darbību, pakalpojumu un operāciju aizstājamību. </w:t>
      </w:r>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Saskaņā ar Komisijas Regulas (ES) 2016/778</w:t>
      </w:r>
      <w:r>
        <w:rPr>
          <w:rFonts w:ascii="Times New Roman" w:hAnsi="Times New Roman"/>
          <w:vertAlign w:val="superscript"/>
        </w:rPr>
        <w:footnoteReference w:id="16"/>
      </w:r>
      <w:r>
        <w:rPr>
          <w:rFonts w:ascii="Times New Roman" w:hAnsi="Times New Roman"/>
          <w:sz w:val="20"/>
        </w:rPr>
        <w:t xml:space="preserve"> 6. panta 1. punktu funkciju uzskata par kritiski svarīgu, ja tā atbilst abiem turpmāk minētajiem kritērijiem:</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 xml:space="preserve">iestāde funkciju nodrošina </w:t>
      </w:r>
      <w:proofErr w:type="spellStart"/>
      <w:r>
        <w:rPr>
          <w:rFonts w:ascii="Times New Roman" w:hAnsi="Times New Roman"/>
          <w:color w:val="000000" w:themeColor="text1"/>
          <w:sz w:val="20"/>
        </w:rPr>
        <w:t>trešām</w:t>
      </w:r>
      <w:proofErr w:type="spellEnd"/>
      <w:r>
        <w:rPr>
          <w:rFonts w:ascii="Times New Roman" w:hAnsi="Times New Roman"/>
          <w:color w:val="000000" w:themeColor="text1"/>
          <w:sz w:val="20"/>
        </w:rPr>
        <w:t xml:space="preserve"> personām, kas nav saistītas ar iestādi vai grupu; kā arī</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pēkšņa pārtraukšana, visticamāk, radītu būtisku negatīvu ietekmi uz trešajām personām, radītu kaitīgu ietekmi vai apdraudētu tirgus dalībnieku vispārējo uzticēšanos saistībā ar attiecīgās funkcijas sistēmisku nozīmību trešajām personām un sistēmisku nozīmību iestādei vai grupai, kas nodrošina šo funkciju.</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Saskaņā ar Direktīvas 2014/59/ES 2. panta 1. punkta 36. apakšpunktu “pamatdarbības virzieni (galvenās darbības jomas)” ir “darbības jomas un saistītie pakalpojumi, kas ir svarīgs iestādes vai grupas, kuras sastāvā ietilpst iestāde, ienākumu, peļņas vai franšīzes vērtības avots”.</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Šīs veidnes nolūkā ekonomiskās funkcijas nozīmē turpmāk sniegtajā tabulā norādītās funkcijas.</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Katrai ekonomisko funkciju kategorijai var izvēlēties ekonomisko funkciju “cita”, ja funkcija nav ietverta pārējās iepriekš noteiktajās funkcijās.</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0010.–0070. un 0080.–0150. rindās minētos darījumu partnerus nosaka identiski darījumu partneru sektoriem, kas noteikti </w:t>
      </w:r>
      <w:r>
        <w:rPr>
          <w:rFonts w:ascii="Times New Roman" w:hAnsi="Times New Roman"/>
          <w:i/>
          <w:sz w:val="20"/>
        </w:rPr>
        <w:t>FINREP</w:t>
      </w:r>
      <w:r>
        <w:rPr>
          <w:rFonts w:ascii="Times New Roman" w:hAnsi="Times New Roman"/>
          <w:sz w:val="20"/>
        </w:rPr>
        <w:t xml:space="preserve"> V pielikuma 1. daļas 6. nodaļā. “MVU” ir MVU, kā noteikts </w:t>
      </w:r>
      <w:r>
        <w:rPr>
          <w:rFonts w:ascii="Times New Roman" w:hAnsi="Times New Roman"/>
          <w:i/>
          <w:sz w:val="20"/>
        </w:rPr>
        <w:t>FINREP</w:t>
      </w:r>
      <w:r>
        <w:rPr>
          <w:rFonts w:ascii="Times New Roman" w:hAnsi="Times New Roman"/>
          <w:sz w:val="20"/>
        </w:rPr>
        <w:t xml:space="preserve"> V pielikuma 1. daļas 5. punkta i) apakšpunktā.</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Ekonomiskā funkcija</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Noguldījumi</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Noguldījumu pieņemšana ir noguldījumu pieņemšana no </w:t>
            </w:r>
            <w:proofErr w:type="spellStart"/>
            <w:r>
              <w:rPr>
                <w:rFonts w:ascii="Times New Roman" w:hAnsi="Times New Roman"/>
                <w:color w:val="000000" w:themeColor="text1"/>
                <w:spacing w:val="-2"/>
                <w:w w:val="95"/>
                <w:sz w:val="20"/>
              </w:rPr>
              <w:t>nefinanšu</w:t>
            </w:r>
            <w:proofErr w:type="spellEnd"/>
            <w:r>
              <w:rPr>
                <w:rFonts w:ascii="Times New Roman" w:hAnsi="Times New Roman"/>
                <w:color w:val="000000" w:themeColor="text1"/>
                <w:spacing w:val="-2"/>
                <w:w w:val="95"/>
                <w:sz w:val="20"/>
              </w:rPr>
              <w:t xml:space="preserve"> starpniekiem. Tā neietver aizņēmumus no citiem finanšu starpniekiem, kas tiek uzskatīti atsevišķi sadaļā “korporatīvais finansējums”.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Noguldījumi ietver: i) norēķinu kontus / noguldījumus uz nakti,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xml:space="preserve">) termiņnoguldījumus un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noguldījumus ar brīdinājuma termiņu par izņemšanu, un neietver līgumus par aktīvu pārdošanu ar atpirkšanu.</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Atsauces: FSP norādījumi par kritiski svarīgu funkciju un kritiski svarīgu dalīto pakalpojumu identifikāciju (“</w:t>
            </w:r>
            <w:proofErr w:type="spellStart"/>
            <w:r>
              <w:rPr>
                <w:rFonts w:ascii="Times New Roman" w:hAnsi="Times New Roman"/>
                <w:i/>
                <w:color w:val="000000" w:themeColor="text1"/>
                <w:spacing w:val="-2"/>
                <w:w w:val="95"/>
                <w:sz w:val="20"/>
              </w:rPr>
              <w:t>Guidance</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lastRenderedPageBreak/>
              <w:t>on</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Identification</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of</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Functions</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and</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Shared</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Services</w:t>
            </w:r>
            <w:proofErr w:type="spellEnd"/>
            <w:r>
              <w:rPr>
                <w:rFonts w:ascii="Times New Roman" w:hAnsi="Times New Roman"/>
                <w:color w:val="000000" w:themeColor="text1"/>
                <w:spacing w:val="-2"/>
                <w:w w:val="95"/>
                <w:sz w:val="20"/>
              </w:rPr>
              <w:t>”) (2013.g.), 14. lpp.; Regulas (ES) Nr. 1071/2013 II pielikuma 2. daļas 9.1., 9.2. un 9.3. postenis.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Mājsaimniecības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b/>
                <w:color w:val="000000" w:themeColor="text1"/>
                <w:sz w:val="20"/>
              </w:rPr>
              <w:t>Nefinanšu</w:t>
            </w:r>
            <w:proofErr w:type="spellEnd"/>
            <w:r>
              <w:rPr>
                <w:rFonts w:ascii="Times New Roman" w:hAnsi="Times New Roman"/>
                <w:b/>
                <w:color w:val="000000" w:themeColor="text1"/>
                <w:sz w:val="20"/>
              </w:rPr>
              <w:t xml:space="preserve"> sabiedrības (MVU)</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b/>
                <w:color w:val="000000" w:themeColor="text1"/>
                <w:sz w:val="20"/>
              </w:rPr>
              <w:t>Nefinanšu</w:t>
            </w:r>
            <w:proofErr w:type="spellEnd"/>
            <w:r>
              <w:rPr>
                <w:rFonts w:ascii="Times New Roman" w:hAnsi="Times New Roman"/>
                <w:b/>
                <w:color w:val="000000" w:themeColor="text1"/>
                <w:sz w:val="20"/>
              </w:rPr>
              <w:t xml:space="preserve"> sabiedrības (kas nav MVU)</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Vispārējās valdības</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Citi sektori / darījumu partneri (1), (2) un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Aizdevumi</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Aizdevumu sniegšana ir līdzekļu piešķiršana </w:t>
            </w:r>
            <w:proofErr w:type="spellStart"/>
            <w:r>
              <w:rPr>
                <w:rFonts w:ascii="Times New Roman" w:hAnsi="Times New Roman"/>
                <w:color w:val="000000" w:themeColor="text1"/>
                <w:spacing w:val="-2"/>
                <w:w w:val="95"/>
                <w:sz w:val="20"/>
              </w:rPr>
              <w:t>nefinanšu</w:t>
            </w:r>
            <w:proofErr w:type="spellEnd"/>
            <w:r>
              <w:rPr>
                <w:rFonts w:ascii="Times New Roman" w:hAnsi="Times New Roman"/>
                <w:color w:val="000000" w:themeColor="text1"/>
                <w:spacing w:val="-2"/>
                <w:w w:val="95"/>
                <w:sz w:val="20"/>
              </w:rPr>
              <w:t xml:space="preserve"> darījumu partneriem, piemēram, korporatīvajiem vai privātajiem klientiem. Aizdevumu sniegšana finanšu darījumu partneriem ir atsevišķa darbība un tiek vērtēta sadaļā “korporatīvais finansējums”. Aizdevumi ietver iestāžu turētos parāda instrumentus, taču neietver parāda instrumentus, kas ir vērtspapīri, neatkarīgi no to uzskaites klasifikācijas (piem., turēti līdz termiņa beigām vai pieejami pārdošanai).</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Atsauces: FSP norādījumi par kritiski svarīgu funkciju un kritiski svarīgu dalīto pakalpojumu identifikāciju (“</w:t>
            </w:r>
            <w:proofErr w:type="spellStart"/>
            <w:r>
              <w:rPr>
                <w:rFonts w:ascii="Times New Roman" w:hAnsi="Times New Roman"/>
                <w:i/>
                <w:color w:val="000000" w:themeColor="text1"/>
                <w:spacing w:val="-2"/>
                <w:w w:val="95"/>
                <w:sz w:val="20"/>
              </w:rPr>
              <w:t>Guidance</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on</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Identification</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of</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Functions</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and</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Shared</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Services</w:t>
            </w:r>
            <w:proofErr w:type="spellEnd"/>
            <w:r>
              <w:rPr>
                <w:rFonts w:ascii="Times New Roman" w:hAnsi="Times New Roman"/>
                <w:color w:val="000000" w:themeColor="text1"/>
                <w:spacing w:val="-2"/>
                <w:w w:val="95"/>
                <w:sz w:val="20"/>
              </w:rPr>
              <w:t>”) (2013.g.), 17. lpp.; Regulas (ES) Nr. 1071/2013 II pielikuma 2. daļas 2. postenis.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Mājsaimniecības — aizdevumi mājas iegādei</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Aizdevumi mājas iegādei ir aizdevumi, kas sniegti mājsaimniecībām, lai ieguldītu pašu lietošanai un nomai paredzētās mājās, tostarp būvēšanā un renovācijā.</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Mājsaimniecības — citi aizdevumi</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Nefinanšu</w:t>
            </w:r>
            <w:proofErr w:type="spellEnd"/>
            <w:r>
              <w:rPr>
                <w:rFonts w:ascii="Times New Roman" w:hAnsi="Times New Roman"/>
                <w:b/>
                <w:color w:val="000000" w:themeColor="text1"/>
                <w:sz w:val="20"/>
              </w:rPr>
              <w:t xml:space="preserve"> sabiedrības — MVU</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Nefinanšu</w:t>
            </w:r>
            <w:proofErr w:type="spellEnd"/>
            <w:r>
              <w:rPr>
                <w:rFonts w:ascii="Times New Roman" w:hAnsi="Times New Roman"/>
                <w:b/>
                <w:color w:val="000000" w:themeColor="text1"/>
                <w:sz w:val="20"/>
              </w:rPr>
              <w:t xml:space="preserve"> sabiedrības, kas nav MVU</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Vispārējās valdības</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Citi sektori / darījumu partneri (1), (2) un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Maksājumi, skaidra nauda, norēķini, </w:t>
            </w:r>
            <w:proofErr w:type="spellStart"/>
            <w:r>
              <w:rPr>
                <w:rFonts w:ascii="Times New Roman" w:hAnsi="Times New Roman"/>
                <w:b/>
                <w:color w:val="000000" w:themeColor="text1"/>
                <w:sz w:val="20"/>
              </w:rPr>
              <w:t>tīrvērte</w:t>
            </w:r>
            <w:proofErr w:type="spellEnd"/>
            <w:r>
              <w:rPr>
                <w:rFonts w:ascii="Times New Roman" w:hAnsi="Times New Roman"/>
                <w:b/>
                <w:color w:val="000000" w:themeColor="text1"/>
                <w:sz w:val="20"/>
              </w:rPr>
              <w:t>, kontu turēšanas pakalpojumi</w:t>
            </w:r>
          </w:p>
          <w:p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Atsauce: FSP norādījumi par kritiski svarīgu funkciju un kritiski svarīgu dalīto pakalpojumu identifikāciju (“</w:t>
            </w:r>
            <w:proofErr w:type="spellStart"/>
            <w:r>
              <w:rPr>
                <w:rFonts w:ascii="Times New Roman" w:hAnsi="Times New Roman"/>
                <w:i/>
                <w:color w:val="000000" w:themeColor="text1"/>
                <w:spacing w:val="-2"/>
                <w:w w:val="95"/>
                <w:sz w:val="20"/>
              </w:rPr>
              <w:t>Guidance</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on</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Identification</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of</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Functions</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and</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Shared</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Services</w:t>
            </w:r>
            <w:proofErr w:type="spellEnd"/>
            <w:r>
              <w:rPr>
                <w:rFonts w:ascii="Times New Roman" w:hAnsi="Times New Roman"/>
                <w:color w:val="000000" w:themeColor="text1"/>
                <w:spacing w:val="-2"/>
                <w:w w:val="95"/>
                <w:sz w:val="20"/>
              </w:rPr>
              <w:t>”) (2013.g.), 20. lpp.</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Šajā sadaļā iekļautās ekonomiskās funkcijas ir maksājumu, skaidras naudas, norēķinu, </w:t>
            </w:r>
            <w:proofErr w:type="spellStart"/>
            <w:r>
              <w:rPr>
                <w:rFonts w:ascii="Times New Roman" w:hAnsi="Times New Roman"/>
                <w:color w:val="000000" w:themeColor="text1"/>
                <w:spacing w:val="-2"/>
                <w:w w:val="95"/>
                <w:sz w:val="20"/>
              </w:rPr>
              <w:t>tīrvērtes</w:t>
            </w:r>
            <w:proofErr w:type="spellEnd"/>
            <w:r>
              <w:rPr>
                <w:rFonts w:ascii="Times New Roman" w:hAnsi="Times New Roman"/>
                <w:color w:val="000000" w:themeColor="text1"/>
                <w:spacing w:val="-2"/>
                <w:w w:val="95"/>
                <w:sz w:val="20"/>
              </w:rPr>
              <w:t xml:space="preserve"> un kontu turēšanas pakalpojumi, ko kredītiestāde sniedz kā starpnieks starp saviem klientiem vai kā starpnieks starp klientu un vienu vai vairākām attiecīgajām finanšu tirgus infrastruktūrām, vai (netiešas) piekļuves finanšu tirgus infrastruktūrām sniegšana citām bankām. Saskaņā ar FSP norādījumiem par kritiski svarīgu funkciju un kritiski svarīgu dalīto pakalpojumu identifikāciju maksājumu, </w:t>
            </w:r>
            <w:proofErr w:type="spellStart"/>
            <w:r>
              <w:rPr>
                <w:rFonts w:ascii="Times New Roman" w:hAnsi="Times New Roman"/>
                <w:color w:val="000000" w:themeColor="text1"/>
                <w:spacing w:val="-2"/>
                <w:w w:val="95"/>
                <w:sz w:val="20"/>
              </w:rPr>
              <w:t>tīrvērtes</w:t>
            </w:r>
            <w:proofErr w:type="spellEnd"/>
            <w:r>
              <w:rPr>
                <w:rFonts w:ascii="Times New Roman" w:hAnsi="Times New Roman"/>
                <w:color w:val="000000" w:themeColor="text1"/>
                <w:spacing w:val="-2"/>
                <w:w w:val="95"/>
                <w:sz w:val="20"/>
              </w:rPr>
              <w:t xml:space="preserve"> un norēķinu funkcija attiecas tikai uz pakalpojumiem, ko bankas sniedz saviem klientiem. Šī kategorija neietver pakalpojumus, ko sniedz (tikai) finanšu tirgus infrastruktūras nodrošinātāji. Šīs veidnes nolūkā finanšu tirgus infrastruktūras ietver maksājumu sistēmas, vērtspapīru norēķinu sistēmas, centrālos vērtspapīru depozitārijus un centrālos darījumu partnerus (un neietver darījumu reģistrus).</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“Maksājumu pakalpojums”, “maksājumu darījums” un “maksājumu sistēma” nozīmē vienu un to pašu, kā attiecīgi definēts DIREKTĪVAS 2015/2366 par maksājumu pakalpojumiem iekšējā tirgū</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 xml:space="preserve"> 4. panta 3., 5. un 7. punktā.</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Maksājumu pakalpojumi monetārām finanšu iestādēm</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Šī rinda ietver maksājumu pakalpojumus, kas sniegti monetārām finanšu iestādēm, izmantojot vai neizmantojot ārējas maksājumu sistēmas. Tie arī ietver korespondentbanku pakalpojumus (ar tiem saistītus maksājumus). Monetārās finanšu iestādes ir visas institucionālās vienības, kas ietvertas </w:t>
            </w:r>
            <w:proofErr w:type="spellStart"/>
            <w:r>
              <w:rPr>
                <w:rFonts w:ascii="Times New Roman" w:hAnsi="Times New Roman"/>
                <w:color w:val="000000" w:themeColor="text1"/>
                <w:spacing w:val="-2"/>
                <w:w w:val="95"/>
                <w:sz w:val="20"/>
              </w:rPr>
              <w:t>apakšsektoros</w:t>
            </w:r>
            <w:proofErr w:type="spellEnd"/>
            <w:r>
              <w:rPr>
                <w:rFonts w:ascii="Times New Roman" w:hAnsi="Times New Roman"/>
                <w:color w:val="000000" w:themeColor="text1"/>
                <w:spacing w:val="-2"/>
                <w:w w:val="95"/>
                <w:sz w:val="20"/>
              </w:rPr>
              <w:t xml:space="preserve">: i) centrālā banka;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xml:space="preserve">) noguldījumus pieņemošas sabiedrības, izņemot centrālo banku; un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naudas tirgus fondi.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Maksājumu pakalpojumi nemonetārām finanšu iestādēm</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Maksājumu pakalpojumi, kas sniegti klientiem, izmantojot vai neizmantojot ārējas maksājumu sistēmas. Tas ietver tikai monetāro finanšu iestāžu sektoram nepiederošas fiziskas vai juridiskas personas. No nemonetāru finanšu iestāžu sektora ir izslēgti arī maksājumu pakalpojumu sniedzēji.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Skaidras naudas pakalpojumi</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Skaidras naudas pakalpojumu sniegšana klientiem (gan individuālajiem, gan korporatīvajiem, tikai nemonetārām finanšu iestādēm). Šādi pakalpojumi ir naudas izņemšana bankomātos un filiālēs un neietver citus skaidras naudas pakalpojumus (piemēram, skaidras naudas pārvadājumus lielajiem mazumtirgotājiem). Tiek iekļauta skaidras naudas izņemšana ar čekiem un filiālēs, izmantojot bankas veidlapas (ja kartes var izmantot kā identifikācijas līdzekļus).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Vērtspapīru norēķinu pakalpojumi</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Pakalpojumi, kas klientiem sniegti vērtspapīru darījumu apstiprināšanai, </w:t>
            </w:r>
            <w:proofErr w:type="spellStart"/>
            <w:r>
              <w:rPr>
                <w:rFonts w:ascii="Times New Roman" w:hAnsi="Times New Roman"/>
                <w:color w:val="000000" w:themeColor="text1"/>
                <w:spacing w:val="-2"/>
                <w:w w:val="95"/>
                <w:sz w:val="20"/>
              </w:rPr>
              <w:t>tīrvērtei</w:t>
            </w:r>
            <w:proofErr w:type="spellEnd"/>
            <w:r>
              <w:rPr>
                <w:rFonts w:ascii="Times New Roman" w:hAnsi="Times New Roman"/>
                <w:color w:val="000000" w:themeColor="text1"/>
                <w:spacing w:val="-2"/>
                <w:w w:val="95"/>
                <w:sz w:val="20"/>
              </w:rPr>
              <w:t xml:space="preserve"> un norēķiniem, izmantojot vai neizmantojot vērtspapīru norēķinu sistēmas. “Norēķini” ir jebkur noslēgta vērtspapīru darījuma pabeigšana ar mērķi nokārtot minētā darījuma pušu saistības, pārvedot naudu un/vai vērtspapīrus.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CDP </w:t>
            </w:r>
            <w:proofErr w:type="spellStart"/>
            <w:r>
              <w:rPr>
                <w:rFonts w:ascii="Times New Roman" w:hAnsi="Times New Roman"/>
                <w:b/>
                <w:color w:val="000000" w:themeColor="text1"/>
                <w:sz w:val="20"/>
              </w:rPr>
              <w:t>tīrvērtes</w:t>
            </w:r>
            <w:proofErr w:type="spellEnd"/>
            <w:r>
              <w:rPr>
                <w:rFonts w:ascii="Times New Roman" w:hAnsi="Times New Roman"/>
                <w:b/>
                <w:color w:val="000000" w:themeColor="text1"/>
                <w:sz w:val="20"/>
              </w:rPr>
              <w:t xml:space="preserve"> pakalpojumi</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Klientiem sniegtie vērtspapīru un atvasināto instrumentu </w:t>
            </w:r>
            <w:proofErr w:type="spellStart"/>
            <w:r>
              <w:rPr>
                <w:rFonts w:ascii="Times New Roman" w:hAnsi="Times New Roman"/>
                <w:color w:val="000000" w:themeColor="text1"/>
                <w:spacing w:val="-2"/>
                <w:w w:val="95"/>
                <w:sz w:val="20"/>
              </w:rPr>
              <w:t>tīrvērtes</w:t>
            </w:r>
            <w:proofErr w:type="spellEnd"/>
            <w:r>
              <w:rPr>
                <w:rFonts w:ascii="Times New Roman" w:hAnsi="Times New Roman"/>
                <w:color w:val="000000" w:themeColor="text1"/>
                <w:spacing w:val="-2"/>
                <w:w w:val="95"/>
                <w:sz w:val="20"/>
              </w:rPr>
              <w:t xml:space="preserve"> pakalpojumi. Tie arī ietver netiešas piekļuves nodrošināšanu centrālajam darījumu partnerim (CDP).</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Kontu turēšanas pakalpojumi</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Finanšu instrumentu kontu turēšana un administrācija klientiem un pakalpojumi saistībā ar glabāšanu, piemēram, skaidras naudas un nodrošinājuma pārvaldība.</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Citi pakalpojumi / darbības / funkcijas (1), (2) un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Kapitāla tirgi</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Kapitāla tirgus darbības ir vērtspapīru emitēšana un tirdzniecība, saistītie konsultāciju pakalpojumi un saistītie pakalpojumi, piemēram, specializētie brokera pakalpojumi un tirgus uzturēšana.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Tirdzniecības nolūkā turēti atvasinātie finanšu instrumenti (ārpusbiržas)</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REGULAS (ES) Nr. 648/2012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 xml:space="preserve"> 2. panta 5. un 7. punkts.</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“Atvasinātais instruments” jeb “atvasināto instrumentu līgums” ir finanšu instruments, kas minēts DIREKTĪVAS 2014/65/ES</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xml:space="preserve"> I pielikuma C iedaļas 4. līdz 10. punktā, ko īsteno ar REGULAS (EK) Nr. 1287/2006 38. un 39. pantu.</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“Ārpusbiržas atvasinātais instruments” jeb “ārpusbiržas atvasināto instrumentu līgums” ir atvasināto instrumentu līgums, kura izpilde nenotiek regulētā tirgū DIREKTĪVAS 2014/65/ES 4. panta 1. punkta 21. apakšpunkta nozīmē vai trešās valsts tirgū, ko uzskata par līdzvērtīgu regulētam tirgum saskaņā ar REGULAS (ES) Nr. 648/2012 2.a pantu.</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Uzrādāmā summa ietver tikai atvasinātos instrumentus, kas tirgoti ārpusbiržas tirgū.</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Tirdzniecības nolūkā turēti atvasinātie finanšu instrumenti (biržas)</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Visi tirdzniecības nolūkā turētie atvasinātie finanšu instrumenti, izņemot ārpusbiržas instrumentus, kas turēti tirdzniecības nolūkā.</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Sekundārie tirgi / tirdzniecība</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Sekundārais tirgus ir tad, kad ieguldītāji iegādājas un pārdod vērtspapīrus. Šī funkcija ir piemērojama kopējam tirdzniecības portfelim (t. i., pašu kapitālam, korporatīvajam kredītam, valsts kredītam).</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Pārskatā norādītajā summā iekļauj vērtspapīru vērtību, ko nosaka kā tirdzniecībai turēto vērtspapīru kopējo summu. Vērtspapīrus norāda pēc patiesās vērtības pārskata sniegšanas datumā.</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Summa neietver aizdevumus, atvasinātos instrumentus un netirgojamus aktīvus (piem., parādus).</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Primārie tirgi / riska parakstīšana</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Primārie tirgi ir tirgi, kuros uzņēmumi, valdības un citas grupas biržā emitē jaunus vērtspapīrus, lai iegūtu finansējumu, izmantojot uz parādu vai kapitālu balstītus vērtspapīrus (piem., parastās un priekšrocību akcijas, uzņēmuma obligācijas, parādzīmes, vekseļus, valsts obligācijas). Primāros tirgus vada parakstīšanas grupas.</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Citi pakalpojumi / darbības / funkcijas (1), (2) un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Korporatīvais finansējums</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Aizdevumu un aizņēmumu darbības korporatīvajos tirgos starp finanšu darījumu partneriem (kredītiestādes un citas finanšu korporācijas).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Aizņēmumi</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Aizņēmumi korporatīvajos tirgos no finanšu darījumu partneriem (tostarp izmantojot līgumus par aktīvu pārdošanu ar atpirkšanu, starpbanku aizņēmumus, komerciālus vērtspapīrus, noguldījumu sertifikātus, naudas tirgus fondus, kredītlīnijas, ar aktīviem balstītu komerciālu vērtspapīru un </w:t>
            </w:r>
            <w:proofErr w:type="spellStart"/>
            <w:r>
              <w:rPr>
                <w:rFonts w:ascii="Times New Roman" w:hAnsi="Times New Roman"/>
                <w:color w:val="000000" w:themeColor="text1"/>
                <w:spacing w:val="-2"/>
                <w:w w:val="95"/>
                <w:sz w:val="20"/>
              </w:rPr>
              <w:t>fiduciāros</w:t>
            </w:r>
            <w:proofErr w:type="spellEnd"/>
            <w:r>
              <w:rPr>
                <w:rFonts w:ascii="Times New Roman" w:hAnsi="Times New Roman"/>
                <w:color w:val="000000" w:themeColor="text1"/>
                <w:spacing w:val="-2"/>
                <w:w w:val="95"/>
                <w:sz w:val="20"/>
              </w:rPr>
              <w:t xml:space="preserve"> noguldījumus).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Atvasinātie instrumenti (aktīvi)</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Visi atvasinātie instrumenti ar finanšu darījumu partneriem, kas turēti bilances aktīvu daļā. Atšķirībā no sadaļas “Kapitāla tirgi”, sadaļā “Korporatīvais finansējums” atvasinātie instrumenti ietver visus atvasināto instrumentu līgumus ar finanšu darījumu partneriem (ne tikai ātrā datorizētā tirdzniecība).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Aizdevumi</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Aizdevumi korporatīvajos tirgos finanšu darījumu partneriem (tostarp izmantojot pirkšanas ar atpārdošanu aizdevumus, komerciālus vērtspapīrus, noguldījumu sertifikātus, naudas tirgus fondus, kredītlīnijas, ar aktīviem balstītu komerciālu vērtspapīru, </w:t>
            </w:r>
            <w:proofErr w:type="spellStart"/>
            <w:r>
              <w:rPr>
                <w:rFonts w:ascii="Times New Roman" w:hAnsi="Times New Roman"/>
                <w:color w:val="000000" w:themeColor="text1"/>
                <w:spacing w:val="-2"/>
                <w:w w:val="95"/>
                <w:sz w:val="20"/>
              </w:rPr>
              <w:t>fiduciāros</w:t>
            </w:r>
            <w:proofErr w:type="spellEnd"/>
            <w:r>
              <w:rPr>
                <w:rFonts w:ascii="Times New Roman" w:hAnsi="Times New Roman"/>
                <w:color w:val="000000" w:themeColor="text1"/>
                <w:spacing w:val="-2"/>
                <w:w w:val="95"/>
                <w:sz w:val="20"/>
              </w:rPr>
              <w:t xml:space="preserve"> noguldījumus).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Atvasinātie instrumenti (saistības)</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Visi atvasinātie instrumenti ar finanšu darījumu partneriem, kas turēti bilances saistību daļā.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Citi produktu veidi (1), (2) un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Jebkura ekonomiskās funkcijas “korporatīvais finansējums” funkcija, kas nav minēta iepriekš.</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07.01 — ekonomisko funkciju kritiskā svarīguma novērtējums (</w:t>
      </w:r>
      <w:r>
        <w:rPr>
          <w:rFonts w:ascii="Times New Roman" w:hAnsi="Times New Roman"/>
          <w:b w:val="0"/>
          <w:i/>
          <w:color w:val="000000" w:themeColor="text1"/>
          <w:sz w:val="20"/>
          <w:u w:val="single"/>
        </w:rPr>
        <w:t>FUNC</w:t>
      </w:r>
      <w:r>
        <w:rPr>
          <w:rFonts w:ascii="Times New Roman" w:hAnsi="Times New Roman"/>
          <w:b w:val="0"/>
          <w:color w:val="000000" w:themeColor="text1"/>
          <w:sz w:val="20"/>
          <w:u w:val="single"/>
        </w:rPr>
        <w:t xml:space="preserve"> 1): norādījumi attiecībā uz konkrētām pozīcijām</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Šo veidni iesniedz vienu reizi par katru dalībvalsti (identificēta kā “valsts”), kurā grupa veic darbību.</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Tā aptver visas ekonomiskās funkcijas, ko jebkura grupas vienība veic attiecīgajā dalībvalstī, neatkarīgi no tā, vai attiecīgā funkcija ir vai nav kritiski svarīga.</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Rindas</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Norādījumi</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Ekonomiskās funkcijas</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Ekonomiskās funkcijas, kā noteikts iepriekš</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Norādījumi</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Ekonomiskās funkcijas apraksts</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Ja ekonomiskā funkcija ir “Cita” (funkcijas Nr. 1.5.–1.7., 2.6.–2.8., 3.7.–3.9., 4.5.–4.7., 5.5.– 5.7.), sniedz attiecīgās funkcijas aprakstu.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Tirgus daļa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Iestādes vai grupas aplēstā tirgus daļa ekonomiskajai funkcijai attiecīgajā valstī. Kā procentuālā daļa no kopējā tirgus monetāras summas izteiksmē.</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Monetārā summa</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Šīs slejas saturs ir atkarīgs no sniegtās ekonomiskās funkcijas.</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Noguldījumi</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Pieņemto noguldījumu tīrā uzskaites vērtība (tostarp uzkrātie procenti)</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Atsauces: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III un IV pielikums, veidne F 08.01 un V pielikums, 2. daļas 97. punkts.</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Aizdevumi</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Samazinātas un nesamazinātas vērtības aizdevumu un avansu bruto uzskaites vērtība (tostarp uzkrātie procenti). Vērtspapīru aizdevums tiek uztverts kā gaidāmo turpmāko aizdevumu aplēstā vērtība.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Atsauces: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III un IV pielikums, veidne F 04.04.01 un V pielikums, 1. daļas 34. punkta b) apakšpunkts.</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Maksājumi, skaidra nauda, norēķini, </w:t>
            </w:r>
            <w:proofErr w:type="spellStart"/>
            <w:r>
              <w:rPr>
                <w:rFonts w:ascii="Times New Roman" w:hAnsi="Times New Roman"/>
                <w:color w:val="000000" w:themeColor="text1"/>
                <w:spacing w:val="-2"/>
                <w:w w:val="95"/>
                <w:sz w:val="20"/>
              </w:rPr>
              <w:t>tīrvērte</w:t>
            </w:r>
            <w:proofErr w:type="spellEnd"/>
            <w:r>
              <w:rPr>
                <w:rFonts w:ascii="Times New Roman" w:hAnsi="Times New Roman"/>
                <w:color w:val="000000" w:themeColor="text1"/>
                <w:spacing w:val="-2"/>
                <w:w w:val="95"/>
                <w:sz w:val="20"/>
              </w:rPr>
              <w:t>, kontu turēšanas pakalpojumi</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Principā pārskatu iesniedz par ikdienas darījumu vidējo vērtību gada laikā. Ja tā nav pieejama, pārskatā var norādīt vidējo vērtību īsākā posmā (piem., dažos mēnešos).</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Īpaši attiecībā uz dažādām funkcijām apsver tālāk norādītos mērus.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Maksājumu pakalpojumi (no 3.1. līdz 3.2.): nosūtīto darījumu vērtība.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(Atsauces: Direktīvas 2015/2366/EK 4. panta 5. punkts; ECB/2013/43)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Skaidras naudas pakalpojumi (3.3.): bankomāta darījumu vērtība, kā noteikts ECB/2013/43 5.a tabulā, kā arī skaidras naudas izņemšana filiālēs, kā noteikts ECB/2014/15 4. tabulā.</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Vērtspapīru norēķinu pakalpojumi (3.4.): klientu vārdā apstrādāto vērtspapīru darījumu vērtība. Tas ietver darījumus, kas veikti, izmantojot vērtspapīru norēķinu sistēmu, vai darījumus, ko pārskatu sniedzošās iestādes veikušas iekšēji, un “bezmaksas” darījumus.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CDP </w:t>
            </w:r>
            <w:proofErr w:type="spellStart"/>
            <w:r>
              <w:rPr>
                <w:rFonts w:ascii="Times New Roman" w:hAnsi="Times New Roman"/>
                <w:color w:val="000000" w:themeColor="text1"/>
                <w:spacing w:val="-2"/>
                <w:w w:val="95"/>
                <w:sz w:val="20"/>
              </w:rPr>
              <w:t>tīrvērtes</w:t>
            </w:r>
            <w:proofErr w:type="spellEnd"/>
            <w:r>
              <w:rPr>
                <w:rFonts w:ascii="Times New Roman" w:hAnsi="Times New Roman"/>
                <w:color w:val="000000" w:themeColor="text1"/>
                <w:spacing w:val="-2"/>
                <w:w w:val="95"/>
                <w:sz w:val="20"/>
              </w:rPr>
              <w:t xml:space="preserve"> pakalpojumi (3.5.): pozīcijas (riska darījumi), ko CDP, kurā iestāde piedalās, savu klientu vārdā veic ar iestādi. Norāda vidējo dienas vērtību atklātajām pozīcijām saistībā ar klienta darbību CDP. Ja tā nav pieejama, pārskatā var norādīt vidējās vērtības īsākā posmā (piem., dažos mēnešos).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Kontu turēšanas pakalpojumi (3.6.): glabāšanā esošo aktīvu summa, izmantojot patieso vērtību. Ja patiesā vērtība nav pieejama, drīkst izmantot citu novērtējuma bāzi, tostarp nominālvērtību. Ja iestāde sniedz pakalpojumus tādām sabiedrībām kā kolektīvo ieguldījumu uzņēmumi vai pensiju fondi, attiecīgos aktīvus var uzrādīt tajā vērtībā, kādā tās šos aktīvus uzrāda savā bilancē. Uzrādāmajās summās attiecīgā gadījumā iekļauj uzkrātos procentus.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 xml:space="preserve">(Atsauce: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III un IV pielikums, veidne F 22.02, 010. sleja)</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Kapitāla tirgi</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Nosacītā summa — norādīt tikai atvasinātos instrumentus (4.1.–4.2.): bruto nosacītā summa visiem </w:t>
            </w:r>
            <w:r>
              <w:rPr>
                <w:rFonts w:ascii="Times New Roman" w:hAnsi="Times New Roman"/>
                <w:color w:val="000000" w:themeColor="text1"/>
                <w:spacing w:val="-2"/>
                <w:w w:val="95"/>
                <w:sz w:val="20"/>
              </w:rPr>
              <w:lastRenderedPageBreak/>
              <w:t xml:space="preserve">darījumiem, kas noslēgti, bet vēl nav veikti atsauces datumā.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Atsauces: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xml:space="preserve">, V pielikums, 2. daļas 133. punkts definīcijai; datiem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xml:space="preserve"> III pielikums; IV un V pielikums.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Atvasinātie instrumenti kopā (4.1.–4.2.): veidne F 10.00, 030. sleja, 290. rinda.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Ārpusbiržas atvasinātie instrumenti (4.1.): veidne F 10.00, 030. sleja, 300. + 310. + 320. rinda.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Sekundārā tirgus darbības (4.3.). Uzskaites vērtības aktīvi — uzskaites vērtība, kas jānorāda bilances aktīvu daļā, tostarp uzkrātie procenti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V pielikuma 1. daļas 27. punkts] kapitāla vērtspapīru instrumentiem un parāda vērtspapīriem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V pielikuma 1. daļas 31. punkts], klasificēti kā “turēti tirdzniecības nolūkā”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V pielikuma 1. daļas 15. punkta a) apakšpunkts un 16. punkta a) apakšpunkts].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Atsauce: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III pielikums, veidne F 04.01, 010. sleja, 010. + 060. + 120. rinda.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Primārie tirgi (4.4.): “Ienākumi no maksām” ir maksas un komisijas nauda, kas saņemtas par iesaisti to vērtspapīru iniciēšanā vai emisijā, kurus nav iniciējusi vai emitējusi attiecīgā iestāde.</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Atsauce: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III, IV pielikums, veidne F 22.01, 010. sleja, 030. + 180. rinda.</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Korporatīvais finansējums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Izmanto bruto uzskaites vērtību, kā noteikts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Atsauces: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xml:space="preserve">: V pielikuma 1. daļas 34. punkts, </w:t>
            </w:r>
            <w:r>
              <w:rPr>
                <w:rFonts w:ascii="Times New Roman" w:hAnsi="Times New Roman"/>
                <w:i/>
                <w:color w:val="000000" w:themeColor="text1"/>
                <w:spacing w:val="-2"/>
                <w:w w:val="95"/>
                <w:sz w:val="20"/>
              </w:rPr>
              <w:t>FINREP</w:t>
            </w:r>
            <w:r>
              <w:rPr>
                <w:rFonts w:ascii="Times New Roman" w:hAnsi="Times New Roman"/>
                <w:color w:val="000000" w:themeColor="text1"/>
                <w:spacing w:val="-2"/>
                <w:w w:val="95"/>
                <w:sz w:val="20"/>
              </w:rPr>
              <w:t>: III, IV pielikums, veidnes:</w:t>
            </w:r>
            <w:r>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Aizņēmumi</w:t>
            </w:r>
            <w:r w:rsidR="0076000B">
              <w:rPr>
                <w:rFonts w:ascii="Times New Roman" w:hAnsi="Times New Roman"/>
                <w:color w:val="000000" w:themeColor="text1"/>
                <w:spacing w:val="-2"/>
                <w:w w:val="95"/>
                <w:sz w:val="20"/>
              </w:rPr>
              <w:t xml:space="preserve"> (5.1.): veidne F 20.06, 010. s</w:t>
            </w:r>
            <w:r>
              <w:rPr>
                <w:rFonts w:ascii="Times New Roman" w:hAnsi="Times New Roman"/>
                <w:color w:val="000000" w:themeColor="text1"/>
                <w:spacing w:val="-2"/>
                <w:w w:val="95"/>
                <w:sz w:val="20"/>
              </w:rPr>
              <w:t>leja, 100. + 110. rinda, visas valstis;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Atvasinātie instrumenti (aktīvi) (5.2.): veidne F 20.04, 010. sleja, 010. rinda, visas valstis;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Aizdevumi (5.3.): veidne F 20.04, 010. sleja, 170. + 180. rinda, visas valstis;</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Atvasinātie instrumenti (saistības) (5.4.): veidne F 20.06, 010. sleja, 010. rinda, visas valstis.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Skaitliskais rādītājs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Šīs slejas saturs ir atkarīgs no veiktās ekonomiskās funkcijas.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Noguldījumi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Kopējais klientu skaits, kuri noguldījuši vērtības, kas norādītas monetārā summā. Ja viens klients izmanto vairākus noguldījumu produktus / kontus, klientu skaita tikai vienreiz.</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Aizdevumi</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Kopējais klientu skaits. Ja klients izmanto vairākus aizdevumu produktus / kontus, klientu skaita tikai vienreiz.</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Maksājumi, skaidra nauda, norēķini, </w:t>
            </w:r>
            <w:proofErr w:type="spellStart"/>
            <w:r>
              <w:rPr>
                <w:rFonts w:ascii="Times New Roman" w:hAnsi="Times New Roman"/>
                <w:color w:val="000000" w:themeColor="text1"/>
                <w:spacing w:val="-2"/>
                <w:w w:val="95"/>
                <w:sz w:val="20"/>
              </w:rPr>
              <w:t>tīrvērte</w:t>
            </w:r>
            <w:proofErr w:type="spellEnd"/>
            <w:r>
              <w:rPr>
                <w:rFonts w:ascii="Times New Roman" w:hAnsi="Times New Roman"/>
                <w:color w:val="000000" w:themeColor="text1"/>
                <w:spacing w:val="-2"/>
                <w:w w:val="95"/>
                <w:sz w:val="20"/>
              </w:rPr>
              <w:t>, kontu turēšanas pakalpojumi</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Principā pārskatu iesniedz par ikdienas darījumu vidējo vērtību gada laikā. Ja tā nav pieejama, pārskatā var norādīt vidējo vērtību īsākā posmā (piem., dažos mēnešos).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Īpaši attiecībā uz dažādām funkcijām izmanto tālāk norādītos mērus.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Maksājumu pakalpojumi (3.1.–3.2.): veikto darījumu skaits.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Atsauces: ES Direktīvas 2015/2366/EK 4. panta 5. punkts; ECB/2013/43.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Skaidras naudas pakalpojumi (3.3.): bankomāta darījumu skaits, kā definēts ECB/2013/43 5.a tabulā, kā arī skaidras naudas izņemšana filiālēs, kā noteikts ECB/2014/15 4. tabulā.</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Vērtspapīru norēķinu pakalpojumi (3.4.): klientu vārdā apstrādāto vērtspapīru darījumu skaits. Tas ietver darījumus, kas veikti, izmantojot vērtspapīru norēķinu sistēmu, vai darījumus, ko pārskatu sniedzošā iestāde vai grupa veikusi iekšēji, un “bezmaksas” darījumus.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Kapitāla tirgi</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Darījumu partneru VAI darījumu skaits. Atvasinātajiem instrumentiem (4.1.–4.2.) un sekundārā tirgus instrumentiem (4.3.) — kopējais darījumu partneru skaits. Primārajiem tirgiem (4.4.) — kopējais parakstīto darījumu skaits.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Korporatīvais finansējums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Kopējais darījumu partneru skaits. Ja vienam darījumu partnerim ir vairāki konti un/vai vairāki darījumi, darījumu partneri skaita tikai vienreiz.</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Ietekme uz tirgu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Aplēstā ietekme, ko funkcijas pēkšņa pārtraukšana radītu uz trešajām personām, finanšu tirgiem un reālo ekonomiku, ņemot vērā apmēru, tirgus daļu valstī, ārējās un iekšējās savstarpējās saiknes, sarežģītību un iestādes pārrobežu darbības.</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Šo novērtējumu izsaka kvalitatīvi kā “augsts (A)”, “vidēji augsts (VA)”, “vidēji zems (VZ)” vai “zems (Z)”.</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norāda tad, ja pārtraukšanai ir būtiska ietekme uz valsts tirgu; “VA” — ja ietekme ir ievērojama; “VZ” — ja ietekme ir vērā ņemama, taču ierobežota; un “Z” — ja ietekme ir zema.</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Aizstājamība</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Deleģētās regulas (ES) 2016/778 6. panta 3. punkts.</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Funkciju uzskata par aizstājamu, ja to var aizstāt pieņemamā veidā un samērīgā laika posmā, tādējādi novēršot sistēmiskas problēmas reālajā ekonomikā un finanšu tirgos. Ņem vērā:</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tirgus struktūru attiecīgajai funkcijai un </w:t>
            </w:r>
            <w:proofErr w:type="spellStart"/>
            <w:r>
              <w:rPr>
                <w:rFonts w:ascii="Times New Roman" w:hAnsi="Times New Roman"/>
                <w:color w:val="000000" w:themeColor="text1"/>
                <w:spacing w:val="-2"/>
                <w:w w:val="95"/>
                <w:sz w:val="20"/>
              </w:rPr>
              <w:t>aizstājējfunkcijas</w:t>
            </w:r>
            <w:proofErr w:type="spellEnd"/>
            <w:r>
              <w:rPr>
                <w:rFonts w:ascii="Times New Roman" w:hAnsi="Times New Roman"/>
                <w:color w:val="000000" w:themeColor="text1"/>
                <w:spacing w:val="-2"/>
                <w:w w:val="95"/>
                <w:sz w:val="20"/>
              </w:rPr>
              <w:t xml:space="preserve"> nodrošinātāju pieejamību;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 citu pakalpojumu sniedzēju spējas attiecībā uz kapacitāti, funkcijas veikšanas prasības un iespējamos tirgū ienākšanas vai paplašināšanās šķēršļus;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 citu pakalpojumu sniedzēju stimulu uzņemties šādu darbību veikšanu;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 laiku, kas pakalpojuma lietotājiem nepieciešams, lai pārietu pie jaunā pakalpojumu sniedzēja, un šādas darbības izmaksas, laiku, kas citiem konkurentiem nepieciešams, lai pārņemtu konkrētās funkcijas, un tas, vai ir pietiekami daudz laika, lai novērstu būtisku darbības pārtraukšanu atkarībā no pakalpojuma veida.</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Šo novērtējumu izsaka kvalitatīvi kā “augsts (A)”, “vidēji augsts (VA)”, “vidēji zems (VZ)” vai “zems (Z)”.</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norāda, ja cita banka var viegli nodrošināt funkciju ar salīdzināmiem nosacījumiem un samērīgā laika posmā;</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“Z” — ja funkciju nevar vienkārši vai ātri aizstāt;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“VA” un “VZ” — pārējos gadījumos, ņemot vērā dažādus aspektus (piem., tirgus daļu, tirgus koncentrāciju, laiku aizstāšanai, kā arī juridiskos šķēršļus un darbības prasības ienākšanai vai izvēršanai)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Kritiski svarīga funkcija</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Šajā slejā norāda, vai, ņemot vērā šīs veidnes kvantitatīvos datus un kritiskā svarīguma rādītājus, ekonomiskā funkcija tiek uzskatīta par kritiski svarīgu attiecīgās valsts tirgū.</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Norādīt “Jā” vai “Nē”.</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t>Z 07.02 — kritiski svarīgo funkciju sasaistīšana pēc juridiskajām personām (</w:t>
      </w:r>
      <w:r>
        <w:rPr>
          <w:rFonts w:ascii="Times New Roman" w:hAnsi="Times New Roman"/>
          <w:b w:val="0"/>
          <w:i/>
          <w:color w:val="000000" w:themeColor="text1"/>
          <w:sz w:val="20"/>
          <w:u w:val="single"/>
        </w:rPr>
        <w:t>FUNC</w:t>
      </w:r>
      <w:r>
        <w:rPr>
          <w:rFonts w:ascii="Times New Roman" w:hAnsi="Times New Roman"/>
          <w:b w:val="0"/>
          <w:color w:val="000000" w:themeColor="text1"/>
          <w:sz w:val="20"/>
          <w:u w:val="single"/>
        </w:rPr>
        <w:t xml:space="preserve"> 2): Norādījumi attiecībā uz konkrētām pozīcijām</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Šajā veidnē sniedz pārskatu par visu grupu. Veidnē norāda tikai kritiski svarīgās funkcijas, kas kā tādas ir identificētas veidnē {Z 07.01;070} (par dalībvalsti).</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Šīs veidnes 0010., 0020. un 0040. slejās norādīto vērtību kombinācija veido primāru atslēgu, kurai jābūt unikālai katrā veidnes rindā.</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Norādījumi</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Valsts</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Valsts, kurā funkcija ir būtiski svarīga, kā norādīts veidnē Z 07.01 (</w:t>
            </w:r>
            <w:r>
              <w:rPr>
                <w:rFonts w:ascii="Times New Roman" w:hAnsi="Times New Roman"/>
                <w:i/>
                <w:color w:val="000000" w:themeColor="text1"/>
                <w:spacing w:val="-2"/>
                <w:w w:val="95"/>
                <w:sz w:val="20"/>
              </w:rPr>
              <w:t xml:space="preserve">FUNC </w:t>
            </w:r>
            <w:r>
              <w:rPr>
                <w:rFonts w:ascii="Times New Roman" w:hAnsi="Times New Roman"/>
                <w:color w:val="000000" w:themeColor="text1"/>
                <w:spacing w:val="-2"/>
                <w:w w:val="95"/>
                <w:sz w:val="20"/>
              </w:rPr>
              <w:t>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Kritiski svarīgu funkciju ID, kā noteikts iepriekš 2.7.1.4. nodaļā un minēts veidnē Z 07.01 (</w:t>
            </w:r>
            <w:r>
              <w:rPr>
                <w:rFonts w:ascii="Times New Roman" w:hAnsi="Times New Roman"/>
                <w:i/>
                <w:color w:val="000000" w:themeColor="text1"/>
                <w:spacing w:val="-2"/>
                <w:w w:val="95"/>
                <w:sz w:val="20"/>
              </w:rPr>
              <w:t>FUNC</w:t>
            </w:r>
            <w:r>
              <w:rPr>
                <w:rFonts w:ascii="Times New Roman" w:hAnsi="Times New Roman"/>
                <w:color w:val="000000" w:themeColor="text1"/>
                <w:spacing w:val="-2"/>
                <w:w w:val="95"/>
                <w:sz w:val="20"/>
              </w:rPr>
              <w:t xml:space="preserve">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Vienības nosaukums</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Kritiski svarīgo funkciju veicošās vienības nosaukums, kā norādīts veidnē Z 01.00 (</w:t>
            </w:r>
            <w:r>
              <w:rPr>
                <w:rFonts w:ascii="Times New Roman" w:hAnsi="Times New Roman"/>
                <w:i/>
                <w:color w:val="000000" w:themeColor="text1"/>
                <w:spacing w:val="-2"/>
                <w:w w:val="95"/>
                <w:sz w:val="20"/>
              </w:rPr>
              <w:t>ORG</w:t>
            </w:r>
            <w:r>
              <w:rPr>
                <w:rFonts w:ascii="Times New Roman" w:hAnsi="Times New Roman"/>
                <w:color w:val="000000" w:themeColor="text1"/>
                <w:spacing w:val="-2"/>
                <w:w w:val="95"/>
                <w:sz w:val="20"/>
              </w:rPr>
              <w:t xml:space="preserve">).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Ja vairākas vienības veic vienas un tās pašas kritiski svarīgās funkcijas vienā valstī, katru vienību norāda atsevišķā rindā.</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Kods</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Kritiski svarīgo funkciju veicošās vienības kods, kā norādīts veidnē Z 01.00 — organizatoriskā struktūra (</w:t>
            </w:r>
            <w:r>
              <w:rPr>
                <w:rFonts w:ascii="Times New Roman" w:hAnsi="Times New Roman"/>
                <w:i/>
                <w:color w:val="000000" w:themeColor="text1"/>
                <w:spacing w:val="-2"/>
                <w:w w:val="95"/>
                <w:sz w:val="20"/>
              </w:rPr>
              <w:t>ORG</w:t>
            </w:r>
            <w:r>
              <w:rPr>
                <w:rFonts w:ascii="Times New Roman" w:hAnsi="Times New Roman"/>
                <w:color w:val="000000" w:themeColor="text1"/>
                <w:spacing w:val="-2"/>
                <w:w w:val="95"/>
                <w:sz w:val="20"/>
              </w:rPr>
              <w:t>).</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Monetārā summa</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Iemaksa monetārā summā, ko juridiskā persona veic monetārajā summā, kā norādīts veidnes Z 07.01 (</w:t>
            </w:r>
            <w:r>
              <w:rPr>
                <w:rFonts w:ascii="Times New Roman" w:hAnsi="Times New Roman"/>
                <w:i/>
                <w:color w:val="000000" w:themeColor="text1"/>
                <w:spacing w:val="-2"/>
                <w:w w:val="95"/>
                <w:sz w:val="20"/>
              </w:rPr>
              <w:t>FUNC</w:t>
            </w:r>
            <w:r>
              <w:rPr>
                <w:rFonts w:ascii="Times New Roman" w:hAnsi="Times New Roman"/>
                <w:color w:val="000000" w:themeColor="text1"/>
                <w:spacing w:val="-2"/>
                <w:w w:val="95"/>
                <w:sz w:val="20"/>
              </w:rPr>
              <w:t xml:space="preserve"> 1) 0030. slejā. </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07.03 — pamatdarbības virzienu sasaistīšana ar juridiskajām personām (</w:t>
      </w:r>
      <w:r>
        <w:rPr>
          <w:rFonts w:ascii="Times New Roman" w:hAnsi="Times New Roman"/>
          <w:b w:val="0"/>
          <w:i/>
          <w:color w:val="000000" w:themeColor="text1"/>
          <w:sz w:val="20"/>
          <w:u w:val="single"/>
        </w:rPr>
        <w:t>FUNC</w:t>
      </w:r>
      <w:r>
        <w:rPr>
          <w:rFonts w:ascii="Times New Roman" w:hAnsi="Times New Roman"/>
          <w:b w:val="0"/>
          <w:color w:val="000000" w:themeColor="text1"/>
          <w:sz w:val="20"/>
          <w:u w:val="single"/>
        </w:rPr>
        <w:t xml:space="preserve"> 3): norādījumi attiecībā uz konkrētām pozīcijām</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rPr>
        <w:t>Šīs veidnes 0020. un 0040. slejā norādīto vērtību kombinācija veido primāru atslēgu, kurai jābūt unikālai katrā veidnes rindā.</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rPr>
        <w:t xml:space="preserve">Šajā veidnē norāda tikai būtiskas vienības, kā minēts veidnē {Z 07.02;0060}.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Norādījumi</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Pamatdarbības virziens</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Pamatdarbības virziens (galvenā darbības joma) Direktīvas 2014/59/ES 2. panta 1. punkta 36. apakšpunkta un 2. panta 2. punkta izpratnē.</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Darbības jomas ID</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Unikālais darbības jomas ID, ko izsniedz iestāde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Apraksts</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Pamatdarbības virziena apraksts.</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Vienības nosaukums</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Vienības nosaukums, kā norādīts veidnē Z 01.00 (</w:t>
            </w:r>
            <w:r>
              <w:rPr>
                <w:rFonts w:ascii="Times New Roman" w:hAnsi="Times New Roman"/>
                <w:i/>
                <w:color w:val="000000" w:themeColor="text1"/>
                <w:spacing w:val="-2"/>
                <w:w w:val="95"/>
                <w:sz w:val="20"/>
              </w:rPr>
              <w:t>ORG</w:t>
            </w:r>
            <w:r>
              <w:rPr>
                <w:rFonts w:ascii="Times New Roman" w:hAnsi="Times New Roman"/>
                <w:color w:val="000000" w:themeColor="text1"/>
                <w:spacing w:val="-2"/>
                <w:w w:val="95"/>
                <w:sz w:val="20"/>
              </w:rPr>
              <w:t>), kas ir vai ir bijusi daļa no pamatdarbības virziena.</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Ja vairākas vienības ir vai ir bijušas daļa no tā paša pamatdarbības virziena, katru vienību norāda atsevišķā rindā.</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Kods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Vienības kods, kura ir vai ir bijusi daļa no pamatdarbības virziena, kā norādīts veidnē Z 01.00 (</w:t>
            </w:r>
            <w:r>
              <w:rPr>
                <w:rFonts w:ascii="Times New Roman" w:hAnsi="Times New Roman"/>
                <w:i/>
                <w:color w:val="000000" w:themeColor="text1"/>
                <w:spacing w:val="-2"/>
                <w:w w:val="95"/>
                <w:sz w:val="20"/>
              </w:rPr>
              <w:t>ORG</w:t>
            </w:r>
            <w:r>
              <w:rPr>
                <w:rFonts w:ascii="Times New Roman" w:hAnsi="Times New Roman"/>
                <w:color w:val="000000" w:themeColor="text1"/>
                <w:spacing w:val="-2"/>
                <w:w w:val="95"/>
                <w:sz w:val="20"/>
              </w:rPr>
              <w:t>).</w:t>
            </w:r>
          </w:p>
        </w:tc>
      </w:tr>
    </w:tbl>
    <w:p w:rsidR="0056559D" w:rsidRPr="00D92B3C" w:rsidRDefault="00F7117F" w:rsidP="00715DAB">
      <w:pPr>
        <w:pStyle w:val="Instructionsberschrift3"/>
      </w:pPr>
      <w:r>
        <w:t>Z 07.04 — kritiski svarīgo funkciju sasaistīšana ar pamatdarbības virzieniem (</w:t>
      </w:r>
      <w:r>
        <w:rPr>
          <w:i/>
        </w:rPr>
        <w:t>FUNC</w:t>
      </w:r>
      <w:r>
        <w:t xml:space="preserve"> 4): norādījumi attiecībā uz konkrētām pozīcijām</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Šīs veidnes slejās 0010., 0020. un 0040. slejā norādīto vērtību kombinācija veido primāru atslēgu, kurai jābūt unikālai katrā veidnes rindā.</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 xml:space="preserve">Šajā veidnē norāda tikai kritiski svarīgas funkcijas, kā minēts veidnē {Z 07.01;0070}.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Norādījumi</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Valsts</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Valsts, kurā funkcija ir būtiski svarīga, kā norādīts veidnē Z 07.01 (</w:t>
            </w:r>
            <w:r>
              <w:rPr>
                <w:rFonts w:ascii="Times New Roman" w:hAnsi="Times New Roman"/>
                <w:i/>
                <w:color w:val="000000" w:themeColor="text1"/>
                <w:spacing w:val="-2"/>
                <w:w w:val="95"/>
                <w:sz w:val="20"/>
              </w:rPr>
              <w:t>FUNC</w:t>
            </w:r>
            <w:r>
              <w:rPr>
                <w:rFonts w:ascii="Times New Roman" w:hAnsi="Times New Roman"/>
                <w:color w:val="000000" w:themeColor="text1"/>
                <w:spacing w:val="-2"/>
                <w:w w:val="95"/>
                <w:sz w:val="20"/>
              </w:rPr>
              <w:t xml:space="preserve">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Funkcijas ID</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Kritiski svarīgu funkciju ID, kā noteikts iepriekš 2.7.1.2. nodaļā un minēts veidnē Z 07.01 (</w:t>
            </w:r>
            <w:r>
              <w:rPr>
                <w:rFonts w:ascii="Times New Roman" w:hAnsi="Times New Roman"/>
                <w:i/>
                <w:color w:val="000000" w:themeColor="text1"/>
                <w:spacing w:val="-2"/>
                <w:w w:val="95"/>
                <w:sz w:val="20"/>
              </w:rPr>
              <w:t>FUNC</w:t>
            </w:r>
            <w:r>
              <w:rPr>
                <w:rFonts w:ascii="Times New Roman" w:hAnsi="Times New Roman"/>
                <w:color w:val="000000" w:themeColor="text1"/>
                <w:spacing w:val="-2"/>
                <w:w w:val="95"/>
                <w:sz w:val="20"/>
              </w:rPr>
              <w:t xml:space="preserve">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Pamatdarbības virziens</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Pamatdarbības virzieni (galvenās darbības jomas) Direktīvas 2014/59/ES 2. panta 1. punkta 36. apakšpunkta un 2. panta 2. punkta izpratnē, kā norādīts veidnē Z 07.03 (</w:t>
            </w:r>
            <w:r>
              <w:rPr>
                <w:rFonts w:ascii="Times New Roman" w:hAnsi="Times New Roman"/>
                <w:i/>
                <w:color w:val="000000" w:themeColor="text1"/>
                <w:spacing w:val="-2"/>
                <w:w w:val="95"/>
                <w:sz w:val="20"/>
              </w:rPr>
              <w:t>FUNC</w:t>
            </w:r>
            <w:r>
              <w:rPr>
                <w:rFonts w:ascii="Times New Roman" w:hAnsi="Times New Roman"/>
                <w:color w:val="000000" w:themeColor="text1"/>
                <w:spacing w:val="-2"/>
                <w:w w:val="95"/>
                <w:sz w:val="20"/>
              </w:rPr>
              <w:t xml:space="preserve"> 3).</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Darbības jomas ID</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Unikālais darbības jomas ID, ko izsniedz iestāde; tāds pats ID, kā norādīts veidnē Z 07.03 (</w:t>
            </w:r>
            <w:r>
              <w:rPr>
                <w:rFonts w:ascii="Times New Roman" w:hAnsi="Times New Roman"/>
                <w:i/>
                <w:color w:val="000000" w:themeColor="text1"/>
                <w:spacing w:val="-2"/>
                <w:w w:val="95"/>
                <w:sz w:val="20"/>
              </w:rPr>
              <w:t>FUNC</w:t>
            </w:r>
            <w:r>
              <w:rPr>
                <w:rFonts w:ascii="Times New Roman" w:hAnsi="Times New Roman"/>
                <w:color w:val="000000" w:themeColor="text1"/>
                <w:spacing w:val="-2"/>
                <w:w w:val="95"/>
                <w:sz w:val="20"/>
              </w:rPr>
              <w:t xml:space="preserve"> 3)</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7" w:name="_Toc509909046"/>
      <w:bookmarkStart w:id="38" w:name="_Toc525051152"/>
      <w:r>
        <w:rPr>
          <w:rFonts w:ascii="Times New Roman" w:hAnsi="Times New Roman"/>
        </w:rPr>
        <w:t>Z 08.00 — kritiski svarīgi pakalpojumi (</w:t>
      </w:r>
      <w:r>
        <w:rPr>
          <w:rFonts w:ascii="Times New Roman" w:hAnsi="Times New Roman"/>
          <w:i/>
        </w:rPr>
        <w:t>SERV</w:t>
      </w:r>
      <w:r>
        <w:rPr>
          <w:rFonts w:ascii="Times New Roman" w:hAnsi="Times New Roman"/>
        </w:rPr>
        <w:t>)</w:t>
      </w:r>
      <w:bookmarkEnd w:id="37"/>
      <w:bookmarkEnd w:id="38"/>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Vispārīgie norādījumi</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Šajā veidnē prasīto informāciju norāda vienu reizi visai grupai, uzskaita kritiski svarīgos pakalpojumus, ko saņēmusi kāda vienība grupā, un sasaista tos ar grupas veiktajām kritiski svarīgajām funkcijām.</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Kritiski svarīgi pakalpojumi ir pamatā esošās operācijas, darbības un pakalpojumi, ko veic viena (īpaši pakalpojumi) vai vairākas uzņēmuma vienības vai juridiskās personas (kopīgi pakalpojumi) grupas ietvaros un kas ir nepieciešami, lai nodrošinātu vienu vai vairākas kritiski svarīgas funkcijas. Kritiski svarīgus pakalpojumus var sniegt vienības grupā (iekšējs pakalpojums) vai nodot ārpakalpojumā ārējam pakalpojumu sniedzējam (ārējs pakalpojums). Pakalpojumu uzskata par kritiski svarīgu, ja tā pārtraukšana var radīt nopietnu šķērsli vai pilnībā apturēt kritiski svarīgu funkciju veikšanu, jo tas ir cieši saistīts ar kritiski svarīgām funkcijām, ko iestāde veic trešajām personām.</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Pakalpojumus, ko pilnībā sniedz iekšējai juridiskai personai, šajā veidnē nenorāda.</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Pakalpojumus, kam nav būtiskas ietekmes uz kritiski svarīgiem pakalpojumiem, šajā veidnē nenorāda.</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Šīs veidnes 0010., 0030., 0050., 0070. un 0080. slejā norādīto vērtību kombinācija veido primāru atslēgu, kurai jābūt unikālai katrā veidnes rindā.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Norādījumi attiecībā uz konkrētām pozīcijām</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Norādījumi</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Identifikators</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Pakalpojuma veids</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Pakalpojuma veids ir kāds no turpmāk minētajiem pakalpojumu veidiem.</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Ja iespējams, norāda </w:t>
            </w:r>
            <w:proofErr w:type="spellStart"/>
            <w:r>
              <w:rPr>
                <w:rFonts w:ascii="Times New Roman" w:hAnsi="Times New Roman"/>
                <w:color w:val="000000" w:themeColor="text1"/>
                <w:spacing w:val="-2"/>
                <w:w w:val="95"/>
                <w:sz w:val="20"/>
              </w:rPr>
              <w:t>apakškategoriju</w:t>
            </w:r>
            <w:proofErr w:type="spellEnd"/>
            <w:r>
              <w:rPr>
                <w:rFonts w:ascii="Times New Roman" w:hAnsi="Times New Roman"/>
                <w:color w:val="000000" w:themeColor="text1"/>
                <w:spacing w:val="-2"/>
                <w:w w:val="95"/>
                <w:sz w:val="20"/>
              </w:rPr>
              <w:t xml:space="preserve"> (divciparu identifikācija). Ja nekādas </w:t>
            </w:r>
            <w:proofErr w:type="spellStart"/>
            <w:r>
              <w:rPr>
                <w:rFonts w:ascii="Times New Roman" w:hAnsi="Times New Roman"/>
                <w:color w:val="000000" w:themeColor="text1"/>
                <w:spacing w:val="-2"/>
                <w:w w:val="95"/>
                <w:sz w:val="20"/>
              </w:rPr>
              <w:t>apakškategorijas</w:t>
            </w:r>
            <w:proofErr w:type="spellEnd"/>
            <w:r>
              <w:rPr>
                <w:rFonts w:ascii="Times New Roman" w:hAnsi="Times New Roman"/>
                <w:color w:val="000000" w:themeColor="text1"/>
                <w:spacing w:val="-2"/>
                <w:w w:val="95"/>
                <w:sz w:val="20"/>
              </w:rPr>
              <w:t xml:space="preserve"> nav vai neviena </w:t>
            </w:r>
            <w:proofErr w:type="spellStart"/>
            <w:r>
              <w:rPr>
                <w:rFonts w:ascii="Times New Roman" w:hAnsi="Times New Roman"/>
                <w:color w:val="000000" w:themeColor="text1"/>
                <w:spacing w:val="-2"/>
                <w:w w:val="95"/>
                <w:sz w:val="20"/>
              </w:rPr>
              <w:t>apakškategorija</w:t>
            </w:r>
            <w:proofErr w:type="spellEnd"/>
            <w:r>
              <w:rPr>
                <w:rFonts w:ascii="Times New Roman" w:hAnsi="Times New Roman"/>
                <w:color w:val="000000" w:themeColor="text1"/>
                <w:spacing w:val="-2"/>
                <w:w w:val="95"/>
                <w:sz w:val="20"/>
              </w:rPr>
              <w:t xml:space="preserve"> pienācīgi neraksturo iestādes sniegto pakalpojumu, norāda galveno kategoriju (viencipara identifikācija).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Cilvēkresursu atbalsts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1.1.</w:t>
            </w:r>
            <w:r>
              <w:tab/>
            </w:r>
            <w:r>
              <w:rPr>
                <w:rFonts w:ascii="Times New Roman" w:hAnsi="Times New Roman"/>
                <w:color w:val="000000" w:themeColor="text1"/>
                <w:spacing w:val="-2"/>
                <w:w w:val="95"/>
                <w:sz w:val="20"/>
              </w:rPr>
              <w:t xml:space="preserve">personāla administrācija, tostarp līgumu un atalgojumu administrācija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r>
              <w:tab/>
            </w:r>
            <w:r>
              <w:rPr>
                <w:rFonts w:ascii="Times New Roman" w:hAnsi="Times New Roman"/>
                <w:color w:val="000000" w:themeColor="text1"/>
                <w:spacing w:val="-2"/>
                <w:w w:val="95"/>
                <w:sz w:val="20"/>
              </w:rPr>
              <w:t>iekšējā saziņa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Informācijas tehnoloģijas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color w:val="000000" w:themeColor="text1"/>
                <w:spacing w:val="-2"/>
                <w:w w:val="95"/>
                <w:sz w:val="20"/>
              </w:rPr>
              <w:t xml:space="preserve">IT un komunikāciju aparatūra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Pr>
                <w:rFonts w:ascii="Times New Roman" w:hAnsi="Times New Roman"/>
                <w:color w:val="000000" w:themeColor="text1"/>
                <w:spacing w:val="-2"/>
                <w:w w:val="95"/>
                <w:sz w:val="20"/>
              </w:rPr>
              <w:t xml:space="preserve">datu glabāšana un apstrāde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 xml:space="preserve">cita IT infrastruktūra, darbstacijas, telesakari, serveri, datu centri un saistītie pakalpojumi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 xml:space="preserve">programmatūras licenču un lietojumprogrammatūras administrācija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 xml:space="preserve">piekļuve ārējiem pakalpojumu sniedzējiem, jo īpaši datu un infrastruktūras nodrošinātājiem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w:t>
            </w:r>
            <w:r>
              <w:tab/>
            </w:r>
            <w:r>
              <w:rPr>
                <w:rFonts w:ascii="Times New Roman" w:hAnsi="Times New Roman"/>
                <w:color w:val="000000" w:themeColor="text1"/>
                <w:spacing w:val="-2"/>
                <w:w w:val="95"/>
                <w:sz w:val="20"/>
              </w:rPr>
              <w:t xml:space="preserve">lietojumprogrammu uzturēšana, tostarp lietojumprogrammatūras uzturēšana un saistītās datu plūsmas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2.7.</w:t>
            </w:r>
            <w:r>
              <w:tab/>
            </w:r>
            <w:r>
              <w:rPr>
                <w:rFonts w:ascii="Times New Roman" w:hAnsi="Times New Roman"/>
                <w:color w:val="000000" w:themeColor="text1"/>
                <w:spacing w:val="-2"/>
                <w:w w:val="95"/>
                <w:sz w:val="20"/>
              </w:rPr>
              <w:t>pārskatu ģenerēšana, iekšējās informācijas plūsmas un datu bāzes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lietotāju atbalsts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atgūšanās no ārkārtas un katastrofu situācijām</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Darījumu apstrāde, tostarp darījumu juridiskie jautājumi, jo īpaši cīņa pret nelikumīgi iegūtu līdzekļu legalizēšanu.</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 xml:space="preserve">Nekustamā īpašuma un objektu nodrošināšana un pārvaldība, kā arī saistītie objekti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 xml:space="preserve">biroju telpas un glabāšana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r>
              <w:tab/>
            </w:r>
            <w:r>
              <w:rPr>
                <w:rFonts w:ascii="Times New Roman" w:hAnsi="Times New Roman"/>
                <w:color w:val="000000" w:themeColor="text1"/>
                <w:spacing w:val="-2"/>
                <w:w w:val="95"/>
                <w:sz w:val="20"/>
              </w:rPr>
              <w:t>iekšējā objektu pārvaldība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 xml:space="preserve">drošība un piekļuves kontrole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r>
              <w:rPr>
                <w:rFonts w:ascii="Times New Roman" w:hAnsi="Times New Roman"/>
                <w:color w:val="000000" w:themeColor="text1"/>
                <w:spacing w:val="-2"/>
                <w:w w:val="95"/>
                <w:sz w:val="20"/>
              </w:rPr>
              <w:t>nekustamā īpašuma portfeļa pārvaldība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w:t>
            </w:r>
            <w:r>
              <w:tab/>
            </w:r>
            <w:r>
              <w:rPr>
                <w:rFonts w:ascii="Times New Roman" w:hAnsi="Times New Roman"/>
                <w:color w:val="000000" w:themeColor="text1"/>
                <w:spacing w:val="-2"/>
                <w:w w:val="95"/>
                <w:sz w:val="20"/>
              </w:rPr>
              <w:t xml:space="preserve">citas darbības — lūgums precizēt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 xml:space="preserve">Juridiskie pakalpojumi un atbilstības nodrošināšanas funkcijas: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Pr>
                <w:rFonts w:ascii="Times New Roman" w:hAnsi="Times New Roman"/>
                <w:color w:val="000000" w:themeColor="text1"/>
                <w:spacing w:val="-2"/>
                <w:w w:val="95"/>
                <w:sz w:val="20"/>
              </w:rPr>
              <w:t xml:space="preserve">uzņēmuma juridiskais atbalsts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uzņēmējdarbības un darījumu juridiskie pakalpojumi</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atbilstības nodrošināšanas atbalsts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 xml:space="preserve">Ar finanšu līdzekļiem saistītie pakalpojumi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r>
              <w:rPr>
                <w:rFonts w:ascii="Times New Roman" w:hAnsi="Times New Roman"/>
                <w:color w:val="000000" w:themeColor="text1"/>
                <w:spacing w:val="-2"/>
                <w:w w:val="95"/>
                <w:sz w:val="20"/>
              </w:rPr>
              <w:t>kases darbības koordinācija, administrācija un pārvaldība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 xml:space="preserve">vienības refinansēšanas koordinācija, administrācija un pārvaldība, tostarp nodrošinājuma pārvaldība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6.3.</w:t>
            </w:r>
            <w:r>
              <w:tab/>
            </w:r>
            <w:r>
              <w:rPr>
                <w:rFonts w:ascii="Times New Roman" w:hAnsi="Times New Roman"/>
                <w:color w:val="000000" w:themeColor="text1"/>
                <w:spacing w:val="-2"/>
                <w:w w:val="95"/>
                <w:sz w:val="20"/>
              </w:rPr>
              <w:t xml:space="preserve">pārskatu iesniegšanas funkcija, jo īpaši attiecībā uz regulatīvajiem likviditātes rādītājiem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 xml:space="preserve">vidēja un ilgtermiņa finansēšanas programmu koordinācija, administrācija un pārvaldība un grupas vienību refinansēšana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refinansēšanas koordinācija, administrācija un pārvaldība, jo īpaši īstermiņa jautājumos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Tirdzniecība / aktīvu pārvaldība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7.1.</w:t>
            </w:r>
            <w:r>
              <w:tab/>
            </w:r>
            <w:r>
              <w:rPr>
                <w:rFonts w:ascii="Times New Roman" w:hAnsi="Times New Roman"/>
                <w:color w:val="000000" w:themeColor="text1"/>
                <w:spacing w:val="-2"/>
                <w:w w:val="95"/>
                <w:sz w:val="20"/>
              </w:rPr>
              <w:t>operāciju apstrāde: tirdzniecības pārņemšana, izstrāde, realizācija, tirdzniecības produktu apkalpošana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apstiprināšana, norēķini, maksājumi</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 xml:space="preserve">pozīciju un darījumu partneru pārvaldība, ievērojot datu pārskatu sniegšanu un darījumu partneru attiecības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pozīciju pārvaldība (risks un saskaņošana)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 xml:space="preserve">Riska pārvaldība un novērtēšana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8.1.</w:t>
            </w:r>
            <w:r>
              <w:tab/>
            </w:r>
            <w:r>
              <w:rPr>
                <w:rFonts w:ascii="Times New Roman" w:hAnsi="Times New Roman"/>
                <w:color w:val="000000" w:themeColor="text1"/>
                <w:spacing w:val="-2"/>
                <w:w w:val="95"/>
                <w:sz w:val="20"/>
              </w:rPr>
              <w:t>ar centrālās vai darbības jomas vai riska veidu saistīta riska pārvaldība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8.2.</w:t>
            </w:r>
            <w:r>
              <w:tab/>
            </w:r>
            <w:r>
              <w:rPr>
                <w:rFonts w:ascii="Times New Roman" w:hAnsi="Times New Roman"/>
                <w:color w:val="000000" w:themeColor="text1"/>
                <w:spacing w:val="-2"/>
                <w:w w:val="95"/>
                <w:sz w:val="20"/>
              </w:rPr>
              <w:t>riska pārskatu sagatavošana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 xml:space="preserve">Grāmatvedība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tiesību aktos paredzēto un regulatīvo pārskatu sniegšana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novērtēšana, jo īpaši tirgus pozīciju novērtēšana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vadības sagatavotie pārskati</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Skaidras naudas apstrāde</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Pakalpojuma saņēmējs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Grupas vienība, kas saņem 0010. slejā norādīto kritiski svarīgo pakalpojumu no citas 0040.–0050. slejā minētas grupas vienības vai ārēja pakalpojumu sniedzēja.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Vienības nosaukums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Jābūt atšķirīgam no 0040. slejā minētā nosaukuma.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Kods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Juridiskās personas unikālais identifikators 0020. slejā, kā norādīts veidnē Z 01.00 (</w:t>
            </w:r>
            <w:r>
              <w:rPr>
                <w:rFonts w:ascii="Times New Roman" w:hAnsi="Times New Roman"/>
                <w:i/>
                <w:color w:val="000000" w:themeColor="text1"/>
                <w:spacing w:val="-2"/>
                <w:w w:val="95"/>
                <w:sz w:val="20"/>
              </w:rPr>
              <w:t>ORG</w:t>
            </w:r>
            <w:r>
              <w:rPr>
                <w:rFonts w:ascii="Times New Roman" w:hAnsi="Times New Roman"/>
                <w:color w:val="000000" w:themeColor="text1"/>
                <w:spacing w:val="-2"/>
                <w:w w:val="95"/>
                <w:sz w:val="20"/>
              </w:rPr>
              <w:t>)</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Jābūt atšķirīgam no 0050. slejā minētā identifikatora.</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Pakalpojuma sniedzējs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Juridiskā persona (iekšēja vai ārēja), kas grupas vienībai sniedz 0010. slejā norādīto kritiski svarīgo pakalpojumu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Vienības nosaukums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Jābūt atšķirīgam no 0020. slejā minētā nosaukuma.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Kods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Juridiskās personas unikālais identifikators 0020. slejā. Jābūt atšķirīgam no 0030. slejā norādītā identifikatora.</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Ja pakalpojuma sniedzējs ir grupas vienība, kods ir vienāds ar veidnē Z 01.00 (</w:t>
            </w:r>
            <w:r>
              <w:rPr>
                <w:rFonts w:ascii="Times New Roman" w:hAnsi="Times New Roman"/>
                <w:i/>
                <w:color w:val="000000" w:themeColor="text1"/>
                <w:spacing w:val="-2"/>
                <w:w w:val="95"/>
                <w:sz w:val="20"/>
              </w:rPr>
              <w:t>ORG</w:t>
            </w:r>
            <w:r>
              <w:rPr>
                <w:rFonts w:ascii="Times New Roman" w:hAnsi="Times New Roman"/>
                <w:color w:val="000000" w:themeColor="text1"/>
                <w:spacing w:val="-2"/>
                <w:w w:val="95"/>
                <w:sz w:val="20"/>
              </w:rPr>
              <w:t xml:space="preserve">) norādīto.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Ja pakalpojuma sniedzējs nav grupas vienība, attiecīgās vienības kods ir:</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iestādēm —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citām vienībām kods ir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 vai, ja tas nav pieejams, Savienībā piemērojamai vienotai kodifikācijai atbilstošs kods, vai, ja tas nav pieejams, valsts kods.</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Kodam jābūt unikālam, un tas veidnēs jāizmanto konsekventi.</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Grupas daļa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“Jā” — ja pakalpojumu sniedz grupas vienība (“iekšējs”)</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“Nē” — ja pakalpojumu sniedz vienība ārpus grupas (“ārējs”)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Kritiski svarīga funkcija</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Kritiski svarīga funkcija, kuras veikšana kritiski svarīga pakalpojuma traucējumu gadījumā tiktu ievērojami sarežģīta vai pilnībā pārtraukta. Tā ir kāda no funkcijām, kas veidnē Z 07.01 (</w:t>
            </w:r>
            <w:r>
              <w:rPr>
                <w:rFonts w:ascii="Times New Roman" w:hAnsi="Times New Roman"/>
                <w:i/>
                <w:color w:val="000000" w:themeColor="text1"/>
                <w:spacing w:val="-2"/>
                <w:w w:val="95"/>
                <w:sz w:val="20"/>
              </w:rPr>
              <w:t>FUNC</w:t>
            </w:r>
            <w:r>
              <w:rPr>
                <w:rFonts w:ascii="Times New Roman" w:hAnsi="Times New Roman"/>
                <w:color w:val="000000" w:themeColor="text1"/>
                <w:spacing w:val="-2"/>
                <w:w w:val="95"/>
                <w:sz w:val="20"/>
              </w:rPr>
              <w:t xml:space="preserve"> 1) novērtēta kā kritiski svarīga.</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Valsts</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Dalībvalsts, kurā funkcija ir būtiski svarīga, kā norādīts veidnē Z 07.01 (</w:t>
            </w:r>
            <w:r>
              <w:rPr>
                <w:rFonts w:ascii="Times New Roman" w:hAnsi="Times New Roman"/>
                <w:i/>
                <w:color w:val="000000" w:themeColor="text1"/>
                <w:spacing w:val="-2"/>
                <w:w w:val="95"/>
                <w:sz w:val="20"/>
              </w:rPr>
              <w:t>FUNC</w:t>
            </w:r>
            <w:r>
              <w:rPr>
                <w:rFonts w:ascii="Times New Roman" w:hAnsi="Times New Roman"/>
                <w:color w:val="000000" w:themeColor="text1"/>
                <w:spacing w:val="-2"/>
                <w:w w:val="95"/>
                <w:sz w:val="20"/>
              </w:rPr>
              <w:t xml:space="preserve">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Kritiski svarīgu funkciju ID, kā noteikts iepriekš 2.7.1.4. nodaļā un minēts veidnē Z 07.01 (</w:t>
            </w:r>
            <w:r>
              <w:rPr>
                <w:rFonts w:ascii="Times New Roman" w:hAnsi="Times New Roman"/>
                <w:i/>
                <w:color w:val="000000" w:themeColor="text1"/>
                <w:spacing w:val="-2"/>
                <w:w w:val="95"/>
                <w:sz w:val="20"/>
              </w:rPr>
              <w:t>FUNC</w:t>
            </w:r>
            <w:r>
              <w:rPr>
                <w:rFonts w:ascii="Times New Roman" w:hAnsi="Times New Roman"/>
                <w:color w:val="000000" w:themeColor="text1"/>
                <w:spacing w:val="-2"/>
                <w:w w:val="95"/>
                <w:sz w:val="20"/>
              </w:rPr>
              <w:t xml:space="preserve">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Aplēstais aizstājamības laiks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Aplēstais laiks, kas nepieciešams, lai attiecībā uz saņemtā pakalpojuma priekšmetu, kvalitāti un izmaksām salīdzināmā mērā aizstātu pakalpojuma sniedzēju ar citu.</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Norādīt vienu no šādām vērtībām:</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diena — 1 nedēļa”, ja aizstāšanas laiks nav ilgāks par nedēļu;</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nedēļa — 1 mēnesis”, ja aizstāšanas laiks ir ilgāks par nedēļu, bet nav ilgāks par mēnesi;</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nedēļa — 6 mēneši”, ja aizstāšanas laiks ir ilgāks par mēnesi, bet nav ilgāks par sešiem mēnešiem;</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 nedēļas — 12 mēneši”, ja aizstāšanas laiks ir ilgāks par sešiem mēnešiem, bet nav ilgāks par gadu;</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“vairāk nekā 1 gads”, ja aizstāšanas laiks ir ilgāks par gadu.</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Plānotais laiks piekļuvei līgumiem</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Plānotais laiks, kas nepieciešams, lai pēc noregulējuma iestādes pieprasījuma iegūtu šādu informāciju par līgumu, ar ko regulē pakalpojumu:</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līguma darbības laiks;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līgumslēdzējas puses (sagatavotāja puse un piegādātājs, kontaktpersonas) un to jurisdikcija;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pakalpojuma raksturs (t. i., īss apraksts par darījuma raksturu starp pusēm, tostarp cenas);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vai kāds cits ārējs/iekšējs pakalpojuma sniedzējs var sniegt to pašu pakalpojumu (norādīt potenciālos kandidātus);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līguma jurisdikcija;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atbildīgā nodaļa par galveno līgumā paredzēto operāciju veikšanu;</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galvenās līgumā ietvertās sankcijas maksājumu apturēšanas vai aizkavēšanas gadījumā;</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pirmstermiņa pārtraukšanas izraisītāji un atļautais izbeigšanas laiks;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darbības atbalsts pēc izbeigšanas;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kurām kritiski svarīgajām funkcijām un darbības virzieniem tas ir nozīmīgi.</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Norādīt vienu no šādām vērtībām:</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diena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diena–1 nedēļa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vairāk par 1 nedēļu</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nav līguma, ar ko regulē pakalpojumu</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Piemērojamie tiesību akti</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 xml:space="preserve">Tās valsts </w:t>
            </w:r>
            <w:r>
              <w:rPr>
                <w:rFonts w:ascii="Times New Roman" w:hAnsi="Times New Roman"/>
                <w:i/>
                <w:color w:val="000000" w:themeColor="text1"/>
                <w:sz w:val="20"/>
              </w:rPr>
              <w:t>ISO</w:t>
            </w:r>
            <w:r>
              <w:rPr>
                <w:rFonts w:ascii="Times New Roman" w:hAnsi="Times New Roman"/>
                <w:color w:val="000000" w:themeColor="text1"/>
                <w:sz w:val="20"/>
              </w:rPr>
              <w:t xml:space="preserve"> kods, kuras tiesību akti līgumam ir piemērojami.</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Noregulējuma apliecinājuma līgums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Atspoguļo novērtējumu par to, vai līgumu varētu turpināt un pārnest noregulējumā.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Novērtējumā cita starpā ņem vērā:</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jebkādas klauzulas, kas sniegtu darījuma partnerim tiesības izbeigt līgumu tikai noregulējuma, agrīnas intervences pasākumu vai saistību neizpildes atzīšanas gadījumos, kad nav pildītas kādas citas saistības, kaut arī būtiskie pienākumi joprojām tiek veikti;</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jebkādas klauzulas, kas sniegtu darījuma partnerim tiesības mainīt pakalpojuma vai cenas noteikšanas noteikumus tikai noregulējuma, agrīnas intervences vai saistību neizpildes atzīšanas gadījumos, kad nav pildītas kādas citas saistības, kaut arī būtiskie pienākumi joprojām tiek veikti;</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noregulējuma iestāžu apturēšanas tiesību atzīšanu līgumā.</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Norādīt vienu no šādām vērtībām:</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“Jā” — ja līgums tiek novērtēts kā noregulējuma apliecinājums</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“Nē” — ja līgums netiek novērtēts kā noregulējuma apliecinājums</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“Nav novērtēts” — ja nekāds vērtējums nav veikts</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39" w:name="_Toc492542329"/>
      <w:bookmarkStart w:id="40" w:name="_Toc509909047"/>
      <w:bookmarkStart w:id="41" w:name="_Toc525051153"/>
      <w:r>
        <w:rPr>
          <w:rFonts w:ascii="Times New Roman" w:hAnsi="Times New Roman"/>
          <w:color w:val="000000" w:themeColor="text1"/>
        </w:rPr>
        <w:lastRenderedPageBreak/>
        <w:t>Z 09.00 — finanšu tirgus infrastruktūras pakalpojumi — sniedzēji un lietotāji — sasaistīšana ar kritiski svarīgām funkcijām</w:t>
      </w:r>
      <w:bookmarkEnd w:id="39"/>
      <w:bookmarkEnd w:id="40"/>
      <w:bookmarkEnd w:id="41"/>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Vispārīgas piezīmes</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Šajā veidnē identificētas </w:t>
      </w:r>
      <w:proofErr w:type="spellStart"/>
      <w:r>
        <w:rPr>
          <w:rFonts w:ascii="Times New Roman" w:hAnsi="Times New Roman"/>
          <w:sz w:val="20"/>
        </w:rPr>
        <w:t>tīrvērtes</w:t>
      </w:r>
      <w:proofErr w:type="spellEnd"/>
      <w:r>
        <w:rPr>
          <w:rFonts w:ascii="Times New Roman" w:hAnsi="Times New Roman"/>
          <w:sz w:val="20"/>
        </w:rPr>
        <w:t>, maksājumu, vērtspapīru norēķinu un kontu turēšanas darbības, funkcijas vai pakalpojumi, kuru pārtraukšana var ievērojami sarežģīt vai pilnībā novērst vienas vai vairāku kritiski svarīgu funkciju veikšanu.</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Šajā veidnē sniedz vienu pārskatu par visu iestādi vai grupu.</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Identificē tikai finanšu tirgus infrastruktūras, kuru traucējumi ievērojami sarežģītu vai apturētu kritiski svarīgas funkcijas veikšanu.</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Norādījumi attiecībā uz konkrētām pozīcijām</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Norādījumi</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Lietotājs</w:t>
            </w:r>
          </w:p>
          <w:p w:rsidR="00080110" w:rsidRPr="00236F31" w:rsidRDefault="00080110" w:rsidP="00080110">
            <w:pPr>
              <w:pStyle w:val="TableParagraph"/>
              <w:spacing w:before="108"/>
              <w:ind w:left="85"/>
              <w:jc w:val="both"/>
              <w:rPr>
                <w:rFonts w:ascii="Times New Roman" w:hAnsi="Times New Roman" w:cs="Times New Roman"/>
                <w:bCs/>
                <w:color w:val="000000" w:themeColor="text1"/>
                <w:spacing w:val="-2"/>
                <w:w w:val="95"/>
                <w:sz w:val="20"/>
                <w:szCs w:val="20"/>
              </w:rPr>
            </w:pPr>
            <w:r w:rsidRPr="00236F31">
              <w:rPr>
                <w:rFonts w:ascii="Times New Roman" w:hAnsi="Times New Roman"/>
                <w:color w:val="000000" w:themeColor="text1"/>
                <w:spacing w:val="-2"/>
                <w:w w:val="95"/>
                <w:sz w:val="20"/>
              </w:rPr>
              <w:t xml:space="preserve">Grupas vienība, kas izmanto maksājumu, kontu turēšanas, norēķinu, </w:t>
            </w:r>
            <w:proofErr w:type="spellStart"/>
            <w:r w:rsidRPr="00236F31">
              <w:rPr>
                <w:rFonts w:ascii="Times New Roman" w:hAnsi="Times New Roman"/>
                <w:color w:val="000000" w:themeColor="text1"/>
                <w:spacing w:val="-2"/>
                <w:w w:val="95"/>
                <w:sz w:val="20"/>
              </w:rPr>
              <w:t>tīrvērtes</w:t>
            </w:r>
            <w:proofErr w:type="spellEnd"/>
            <w:r w:rsidRPr="00236F31">
              <w:rPr>
                <w:rFonts w:ascii="Times New Roman" w:hAnsi="Times New Roman"/>
                <w:color w:val="000000" w:themeColor="text1"/>
                <w:spacing w:val="-2"/>
                <w:w w:val="95"/>
                <w:sz w:val="20"/>
              </w:rPr>
              <w:t xml:space="preserve"> vai darījumu reģistra pakalpojumus, kā norādīts veidnē Z 01.00 — organizatoriskā struktūra (</w:t>
            </w:r>
            <w:r w:rsidRPr="00236F31">
              <w:rPr>
                <w:rFonts w:ascii="Times New Roman" w:hAnsi="Times New Roman"/>
                <w:i/>
                <w:color w:val="000000" w:themeColor="text1"/>
                <w:spacing w:val="-2"/>
                <w:w w:val="95"/>
                <w:sz w:val="20"/>
              </w:rPr>
              <w:t>ORG</w:t>
            </w:r>
            <w:r w:rsidRPr="00236F31">
              <w:rPr>
                <w:rFonts w:ascii="Times New Roman" w:hAnsi="Times New Roman"/>
                <w:color w:val="000000" w:themeColor="text1"/>
                <w:spacing w:val="-2"/>
                <w:w w:val="95"/>
                <w:sz w:val="20"/>
              </w:rPr>
              <w:t>).</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Vienības nosaukums</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Vienības, kas izmanto maksājumu, kontu turēšanas, norēķinu</w:t>
            </w:r>
            <w:bookmarkStart w:id="42" w:name="_GoBack"/>
            <w:bookmarkEnd w:id="42"/>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tīrvērtes</w:t>
            </w:r>
            <w:proofErr w:type="spellEnd"/>
            <w:r>
              <w:rPr>
                <w:rFonts w:ascii="Times New Roman" w:hAnsi="Times New Roman"/>
                <w:color w:val="000000" w:themeColor="text1"/>
                <w:spacing w:val="-2"/>
                <w:w w:val="95"/>
                <w:sz w:val="20"/>
              </w:rPr>
              <w:t xml:space="preserve"> vai darījumu reģistra pakalpojumus, kā norādīts veidnē Z 01.00 — organizatoriskā struktūra (</w:t>
            </w:r>
            <w:r>
              <w:rPr>
                <w:rFonts w:ascii="Times New Roman" w:hAnsi="Times New Roman"/>
                <w:i/>
                <w:color w:val="000000" w:themeColor="text1"/>
                <w:spacing w:val="-2"/>
                <w:w w:val="95"/>
                <w:sz w:val="20"/>
              </w:rPr>
              <w:t>ORG</w:t>
            </w:r>
            <w:r>
              <w:rPr>
                <w:rFonts w:ascii="Times New Roman" w:hAnsi="Times New Roman"/>
                <w:color w:val="000000" w:themeColor="text1"/>
                <w:spacing w:val="-2"/>
                <w:w w:val="95"/>
                <w:sz w:val="20"/>
              </w:rPr>
              <w:t xml:space="preserve">), nosaukums.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Pārskatā norāda tikai vienības, kuras veidnē Z 07.02 ir noteiktas kā tādas, kas veic kritiski svarīgas funkcijas.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Kods</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Vienības, kas izmanto maksājumu, kontu turēšanas, norēķinu, </w:t>
            </w:r>
            <w:proofErr w:type="spellStart"/>
            <w:r>
              <w:rPr>
                <w:rFonts w:ascii="Times New Roman" w:hAnsi="Times New Roman"/>
                <w:color w:val="000000" w:themeColor="text1"/>
                <w:spacing w:val="-2"/>
                <w:w w:val="95"/>
                <w:sz w:val="20"/>
              </w:rPr>
              <w:t>tīrvērtes</w:t>
            </w:r>
            <w:proofErr w:type="spellEnd"/>
            <w:r>
              <w:rPr>
                <w:rFonts w:ascii="Times New Roman" w:hAnsi="Times New Roman"/>
                <w:color w:val="000000" w:themeColor="text1"/>
                <w:spacing w:val="-2"/>
                <w:w w:val="95"/>
                <w:sz w:val="20"/>
              </w:rPr>
              <w:t xml:space="preserve"> vai darījumu reģistra pakalpojumus, kā norādīts veidnē Z 01.00 — organizatoriskā struktūra (</w:t>
            </w:r>
            <w:r>
              <w:rPr>
                <w:rFonts w:ascii="Times New Roman" w:hAnsi="Times New Roman"/>
                <w:i/>
                <w:color w:val="000000" w:themeColor="text1"/>
                <w:spacing w:val="-2"/>
                <w:w w:val="95"/>
                <w:sz w:val="20"/>
              </w:rPr>
              <w:t>ORG</w:t>
            </w:r>
            <w:r>
              <w:rPr>
                <w:rFonts w:ascii="Times New Roman" w:hAnsi="Times New Roman"/>
                <w:color w:val="000000" w:themeColor="text1"/>
                <w:spacing w:val="-2"/>
                <w:w w:val="95"/>
                <w:sz w:val="20"/>
              </w:rPr>
              <w:t xml:space="preserve">), kods.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Kritiski svarīga funkcija</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 xml:space="preserve">Vienības veikta kritiski svarīga funkcija, kuras darbību sarežģītu vai apturētu traucējumi piekļuvē maksājumu, kontu turēšanas, norēķinu, </w:t>
            </w:r>
            <w:proofErr w:type="spellStart"/>
            <w:r>
              <w:rPr>
                <w:rFonts w:ascii="Times New Roman" w:hAnsi="Times New Roman"/>
                <w:color w:val="000000" w:themeColor="text1"/>
                <w:sz w:val="20"/>
              </w:rPr>
              <w:t>tīrvērtes</w:t>
            </w:r>
            <w:proofErr w:type="spellEnd"/>
            <w:r>
              <w:rPr>
                <w:rFonts w:ascii="Times New Roman" w:hAnsi="Times New Roman"/>
                <w:color w:val="000000" w:themeColor="text1"/>
                <w:sz w:val="20"/>
              </w:rPr>
              <w:t xml:space="preserve"> vai darījumu reģistra pakalpojumiem</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Valsts</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Valsts, kurā funkcija ir būtiski svarīga, kā norādīts veidnē Z 07.01 (</w:t>
            </w:r>
            <w:r>
              <w:rPr>
                <w:rFonts w:ascii="Times New Roman" w:hAnsi="Times New Roman"/>
                <w:i/>
                <w:color w:val="000000" w:themeColor="text1"/>
                <w:spacing w:val="-2"/>
                <w:w w:val="95"/>
                <w:sz w:val="20"/>
              </w:rPr>
              <w:t>FUNC</w:t>
            </w:r>
            <w:r>
              <w:rPr>
                <w:rFonts w:ascii="Times New Roman" w:hAnsi="Times New Roman"/>
                <w:color w:val="000000" w:themeColor="text1"/>
                <w:spacing w:val="-2"/>
                <w:w w:val="95"/>
                <w:sz w:val="20"/>
              </w:rPr>
              <w:t xml:space="preserve">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Kritiski svarīgu funkciju ID, kā noteikts iepriekš 2.7.1.4. nodaļā un minēts veidnē Z 07.01 (</w:t>
            </w:r>
            <w:r>
              <w:rPr>
                <w:rFonts w:ascii="Times New Roman" w:hAnsi="Times New Roman"/>
                <w:i/>
                <w:color w:val="000000" w:themeColor="text1"/>
                <w:spacing w:val="-2"/>
                <w:w w:val="95"/>
                <w:sz w:val="20"/>
              </w:rPr>
              <w:t>FUNC</w:t>
            </w:r>
            <w:r>
              <w:rPr>
                <w:rFonts w:ascii="Times New Roman" w:hAnsi="Times New Roman"/>
                <w:color w:val="000000" w:themeColor="text1"/>
                <w:spacing w:val="-2"/>
                <w:w w:val="95"/>
                <w:sz w:val="20"/>
              </w:rPr>
              <w:t xml:space="preserve">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Finanšu tirgus infrastruktūra (</w:t>
            </w:r>
            <w:r>
              <w:rPr>
                <w:rFonts w:ascii="Times New Roman" w:hAnsi="Times New Roman"/>
                <w:b/>
                <w:i/>
                <w:color w:val="000000" w:themeColor="text1"/>
                <w:sz w:val="20"/>
              </w:rPr>
              <w:t>FMI</w:t>
            </w:r>
            <w:r>
              <w:rPr>
                <w:rFonts w:ascii="Times New Roman" w:hAnsi="Times New Roman"/>
                <w:b/>
                <w:color w:val="000000" w:themeColor="text1"/>
                <w:sz w:val="20"/>
              </w:rPr>
              <w:t>)</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Atsauce: Maksājumu un tirgus infrastruktūru komiteja, </w:t>
            </w:r>
            <w:hyperlink r:id="rId10">
              <w:r>
                <w:rPr>
                  <w:rFonts w:ascii="Times New Roman" w:hAnsi="Times New Roman"/>
                  <w:color w:val="000000" w:themeColor="text1"/>
                  <w:spacing w:val="-2"/>
                  <w:w w:val="95"/>
                  <w:sz w:val="20"/>
                </w:rPr>
                <w:t>Finanšu tirgus infrastruktūru principi</w:t>
              </w:r>
            </w:hyperlink>
            <w:r>
              <w:rPr>
                <w:rFonts w:ascii="Times New Roman" w:hAnsi="Times New Roman"/>
                <w:color w:val="000000" w:themeColor="text1"/>
                <w:spacing w:val="-2"/>
                <w:w w:val="95"/>
                <w:sz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Daudzpusēja sistēma starp </w:t>
            </w:r>
            <w:proofErr w:type="spellStart"/>
            <w:r>
              <w:rPr>
                <w:rFonts w:ascii="Times New Roman" w:hAnsi="Times New Roman"/>
                <w:color w:val="000000" w:themeColor="text1"/>
                <w:spacing w:val="-2"/>
                <w:w w:val="95"/>
                <w:sz w:val="20"/>
              </w:rPr>
              <w:t>līdzdalīgajām</w:t>
            </w:r>
            <w:proofErr w:type="spellEnd"/>
            <w:r>
              <w:rPr>
                <w:rFonts w:ascii="Times New Roman" w:hAnsi="Times New Roman"/>
                <w:color w:val="000000" w:themeColor="text1"/>
                <w:spacing w:val="-2"/>
                <w:w w:val="95"/>
                <w:sz w:val="20"/>
              </w:rPr>
              <w:t xml:space="preserve"> finanšu iestādēm, iekļaujot sistēmas operatoru, ko izmanto reģistrācijas, </w:t>
            </w:r>
            <w:proofErr w:type="spellStart"/>
            <w:r>
              <w:rPr>
                <w:rFonts w:ascii="Times New Roman" w:hAnsi="Times New Roman"/>
                <w:color w:val="000000" w:themeColor="text1"/>
                <w:spacing w:val="-2"/>
                <w:w w:val="95"/>
                <w:sz w:val="20"/>
              </w:rPr>
              <w:t>tīrvērtes</w:t>
            </w:r>
            <w:proofErr w:type="spellEnd"/>
            <w:r>
              <w:rPr>
                <w:rFonts w:ascii="Times New Roman" w:hAnsi="Times New Roman"/>
                <w:color w:val="000000" w:themeColor="text1"/>
                <w:spacing w:val="-2"/>
                <w:w w:val="95"/>
                <w:sz w:val="20"/>
              </w:rPr>
              <w:t xml:space="preserve"> vai maksājumu, vērtspapīru un atvasināto instrumentu norēķiniem vai citiem finanšu darījumiem.</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Sistēmas veids</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Norādīt vienu no šādām vērtībām:</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“MS”</w:t>
            </w:r>
            <w:r>
              <w:tab/>
            </w:r>
            <w:r>
              <w:rPr>
                <w:rFonts w:ascii="Times New Roman" w:hAnsi="Times New Roman"/>
                <w:color w:val="000000" w:themeColor="text1"/>
                <w:spacing w:val="-2"/>
                <w:w w:val="95"/>
                <w:sz w:val="20"/>
              </w:rPr>
              <w:t>Maksājumu sistēma</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“(S) CVD” — (starptautiskais) centrālais vērtspapīru depozitārijs, tostarp (S)CVD, kas sniedz norēķinu pakalpojumus (iekšēji vai ārpakalpojumā)</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“VNS”</w:t>
            </w:r>
            <w:r>
              <w:tab/>
            </w:r>
            <w:r>
              <w:rPr>
                <w:rFonts w:ascii="Times New Roman" w:hAnsi="Times New Roman"/>
                <w:color w:val="000000" w:themeColor="text1"/>
                <w:spacing w:val="-2"/>
                <w:w w:val="95"/>
                <w:sz w:val="20"/>
              </w:rPr>
              <w:t>Vērtspapīru norēķinu sistēma bez kontu turēšanas</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“CDP–vērtspapīri” centrālais darījumu partneris vērtspapīru </w:t>
            </w:r>
            <w:proofErr w:type="spellStart"/>
            <w:r>
              <w:rPr>
                <w:rFonts w:ascii="Times New Roman" w:hAnsi="Times New Roman"/>
                <w:color w:val="000000" w:themeColor="text1"/>
                <w:spacing w:val="-2"/>
                <w:w w:val="95"/>
                <w:sz w:val="20"/>
              </w:rPr>
              <w:t>tīrvērtei</w:t>
            </w:r>
            <w:proofErr w:type="spellEnd"/>
            <w:r>
              <w:rPr>
                <w:rFonts w:ascii="Times New Roman" w:hAnsi="Times New Roman"/>
                <w:color w:val="000000" w:themeColor="text1"/>
                <w:spacing w:val="-2"/>
                <w:w w:val="95"/>
                <w:sz w:val="20"/>
              </w:rPr>
              <w:t xml:space="preserve">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“CDP–atvasinātie instrumenti”</w:t>
            </w:r>
            <w:r>
              <w:tab/>
            </w:r>
            <w:r>
              <w:rPr>
                <w:rFonts w:ascii="Times New Roman" w:hAnsi="Times New Roman"/>
                <w:color w:val="000000" w:themeColor="text1"/>
                <w:spacing w:val="-2"/>
                <w:w w:val="95"/>
                <w:sz w:val="20"/>
              </w:rPr>
              <w:t xml:space="preserve">centrālais darījumu partneris atvasināto instrumentu </w:t>
            </w:r>
            <w:proofErr w:type="spellStart"/>
            <w:r>
              <w:rPr>
                <w:rFonts w:ascii="Times New Roman" w:hAnsi="Times New Roman"/>
                <w:color w:val="000000" w:themeColor="text1"/>
                <w:spacing w:val="-2"/>
                <w:w w:val="95"/>
                <w:sz w:val="20"/>
              </w:rPr>
              <w:t>tīrvērtei</w:t>
            </w:r>
            <w:proofErr w:type="spellEnd"/>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w:t>
            </w:r>
            <w:r>
              <w:tab/>
            </w:r>
            <w:r>
              <w:rPr>
                <w:rFonts w:ascii="Times New Roman" w:hAnsi="Times New Roman"/>
                <w:color w:val="000000" w:themeColor="text1"/>
                <w:spacing w:val="-2"/>
                <w:w w:val="95"/>
                <w:sz w:val="20"/>
              </w:rPr>
              <w:t>Darījumu reģistrs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“Cits variants”</w:t>
            </w:r>
            <w:r>
              <w:tab/>
            </w:r>
            <w:r>
              <w:rPr>
                <w:rFonts w:ascii="Times New Roman" w:hAnsi="Times New Roman"/>
                <w:color w:val="000000" w:themeColor="text1"/>
                <w:spacing w:val="-2"/>
                <w:w w:val="95"/>
                <w:sz w:val="20"/>
              </w:rPr>
              <w:t>ja finanšu tirgus infrastruktūras sistēmas veids neatbilst nevienam no iepriekš minētajiem veidiem</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w:t>
            </w:r>
            <w:r>
              <w:tab/>
            </w:r>
            <w:r>
              <w:rPr>
                <w:rFonts w:ascii="Times New Roman" w:hAnsi="Times New Roman"/>
                <w:color w:val="000000" w:themeColor="text1"/>
                <w:spacing w:val="-2"/>
                <w:w w:val="95"/>
                <w:sz w:val="20"/>
              </w:rPr>
              <w:t xml:space="preserve">ja kritiski svarīgus maksājumu, </w:t>
            </w:r>
            <w:proofErr w:type="spellStart"/>
            <w:r>
              <w:rPr>
                <w:rFonts w:ascii="Times New Roman" w:hAnsi="Times New Roman"/>
                <w:color w:val="000000" w:themeColor="text1"/>
                <w:spacing w:val="-2"/>
                <w:w w:val="95"/>
                <w:sz w:val="20"/>
              </w:rPr>
              <w:t>tīrvērtes</w:t>
            </w:r>
            <w:proofErr w:type="spellEnd"/>
            <w:r>
              <w:rPr>
                <w:rFonts w:ascii="Times New Roman" w:hAnsi="Times New Roman"/>
                <w:color w:val="000000" w:themeColor="text1"/>
                <w:spacing w:val="-2"/>
                <w:w w:val="95"/>
                <w:sz w:val="20"/>
              </w:rPr>
              <w:t>, norēķinu vai kontu turēšanas pakalpojumus sniedz vienība, kas nav iepriekš minēta finanšu tirgus infrastruktūra, piemēram, turētājbankas.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Nosaukums</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Finanšu tirgus infrastruktūras komerciālais nosaukums</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Ja 0050. slejā ir norādīta atbilde “NA”, šo sleju atstāj tukšu</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i/>
                <w:color w:val="000000" w:themeColor="text1"/>
                <w:sz w:val="20"/>
              </w:rPr>
              <w:t>FMI</w:t>
            </w:r>
            <w:r>
              <w:rPr>
                <w:rFonts w:ascii="Times New Roman" w:hAnsi="Times New Roman"/>
                <w:b/>
                <w:color w:val="000000" w:themeColor="text1"/>
                <w:sz w:val="20"/>
              </w:rPr>
              <w:t xml:space="preserve"> kods</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i/>
                <w:color w:val="000000" w:themeColor="text1"/>
                <w:spacing w:val="-2"/>
                <w:w w:val="95"/>
                <w:sz w:val="20"/>
              </w:rPr>
              <w:t>FMI</w:t>
            </w:r>
            <w:r>
              <w:rPr>
                <w:rFonts w:ascii="Times New Roman" w:hAnsi="Times New Roman"/>
                <w:color w:val="000000" w:themeColor="text1"/>
                <w:spacing w:val="-2"/>
                <w:w w:val="95"/>
                <w:sz w:val="20"/>
              </w:rPr>
              <w:t xml:space="preserve"> kods. Ja pieejams, kods ir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 Ja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nav pieejams, Savienībā piemērojamai vienotai kodifikācijai atbilstošs kods vai, ja tas nav pieejams, valsts kods.</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Ja 0050. slejā ir norādīta atbilde “NA”, šo sleju atstāj tukšu.</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Līdzdalības veids</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Norādīt vienu no šādām vērtībām:</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“Tieša”</w:t>
            </w:r>
            <w:r>
              <w:tab/>
            </w:r>
            <w:r>
              <w:rPr>
                <w:rFonts w:ascii="Times New Roman" w:hAnsi="Times New Roman"/>
                <w:color w:val="000000" w:themeColor="text1"/>
                <w:spacing w:val="-2"/>
                <w:w w:val="95"/>
                <w:sz w:val="20"/>
              </w:rPr>
              <w:t>tiešas piederības vai tiešas līdzdalības gadījumā</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“Netieša”</w:t>
            </w:r>
            <w:r>
              <w:tab/>
            </w:r>
            <w:r>
              <w:rPr>
                <w:rFonts w:ascii="Times New Roman" w:hAnsi="Times New Roman"/>
                <w:color w:val="000000" w:themeColor="text1"/>
                <w:spacing w:val="-2"/>
                <w:w w:val="95"/>
                <w:sz w:val="20"/>
              </w:rPr>
              <w:t>netiešas piederības vai netiešas līdzdalības gadījumā</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w:t>
            </w:r>
            <w:r>
              <w:tab/>
            </w:r>
            <w:r>
              <w:rPr>
                <w:rFonts w:ascii="Times New Roman" w:hAnsi="Times New Roman"/>
                <w:color w:val="000000" w:themeColor="text1"/>
                <w:spacing w:val="-2"/>
                <w:w w:val="95"/>
                <w:sz w:val="20"/>
              </w:rPr>
              <w:t>Ja 0050. slejā norādīta atbilde “NA”.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Nosaukums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Starpnieka komerciālais nosaukums, ja 0080. slejā norādīta atbilde “Netieša” vai “NA”.</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Ja 0080. slejā norādīta atbilde “Tieša”, pārskatā norāda “NA” (“nepiemēro”).</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Starpnieks var būt vai nu daļa no grupas, kurai pieder pārskatu sniedzošā vienība, vai cita kredītiestāde, kas nav saistīta ar attiecīgo grupu.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Starpnieks var būt uzņēmums, kas sniedz </w:t>
            </w:r>
            <w:proofErr w:type="spellStart"/>
            <w:r>
              <w:rPr>
                <w:rFonts w:ascii="Times New Roman" w:hAnsi="Times New Roman"/>
                <w:color w:val="000000" w:themeColor="text1"/>
                <w:spacing w:val="-2"/>
                <w:w w:val="95"/>
                <w:sz w:val="20"/>
              </w:rPr>
              <w:t>tīrvērtes</w:t>
            </w:r>
            <w:proofErr w:type="spellEnd"/>
            <w:r>
              <w:rPr>
                <w:rFonts w:ascii="Times New Roman" w:hAnsi="Times New Roman"/>
                <w:color w:val="000000" w:themeColor="text1"/>
                <w:spacing w:val="-2"/>
                <w:w w:val="95"/>
                <w:sz w:val="20"/>
              </w:rPr>
              <w:t xml:space="preserve">, maksājumu, vērtspapīru norēķinu un/vai kontu turēšanas pakalpojumus citiem uzņēmumiem (jo īpaši gadījumā, ja 0050. slejā norādīta atbilde “NA”); tas var būt tiešs loceklis vienā vai vairākās </w:t>
            </w:r>
            <w:r>
              <w:rPr>
                <w:rFonts w:ascii="Times New Roman" w:hAnsi="Times New Roman"/>
                <w:i/>
                <w:color w:val="000000" w:themeColor="text1"/>
                <w:spacing w:val="-2"/>
                <w:w w:val="95"/>
                <w:sz w:val="20"/>
              </w:rPr>
              <w:t>FMI</w:t>
            </w:r>
            <w:r>
              <w:rPr>
                <w:rFonts w:ascii="Times New Roman" w:hAnsi="Times New Roman"/>
                <w:color w:val="000000" w:themeColor="text1"/>
                <w:spacing w:val="-2"/>
                <w:w w:val="95"/>
                <w:sz w:val="20"/>
              </w:rPr>
              <w:t xml:space="preserve"> un sniedz netiešu piekļuvi šādas </w:t>
            </w:r>
            <w:r>
              <w:rPr>
                <w:rFonts w:ascii="Times New Roman" w:hAnsi="Times New Roman"/>
                <w:i/>
                <w:color w:val="000000" w:themeColor="text1"/>
                <w:spacing w:val="-2"/>
                <w:w w:val="95"/>
                <w:sz w:val="20"/>
              </w:rPr>
              <w:t>FMI</w:t>
            </w:r>
            <w:r>
              <w:rPr>
                <w:rFonts w:ascii="Times New Roman" w:hAnsi="Times New Roman"/>
                <w:color w:val="000000" w:themeColor="text1"/>
                <w:spacing w:val="-2"/>
                <w:w w:val="95"/>
                <w:sz w:val="20"/>
              </w:rPr>
              <w:t xml:space="preserve"> piedāvātajiem pakalpojumiem (jo īpaši gadījumā, ja 0080. slejā norādīta atbilde “Netieša”).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Kods</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 xml:space="preserve">Starpnieka kods. Ja pieejams, kods ir burtciparu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kurā ir 20 zīmes. Ja </w:t>
            </w:r>
            <w:r>
              <w:rPr>
                <w:rFonts w:ascii="Times New Roman" w:hAnsi="Times New Roman"/>
                <w:i/>
                <w:color w:val="000000" w:themeColor="text1"/>
                <w:spacing w:val="-2"/>
                <w:w w:val="95"/>
                <w:sz w:val="20"/>
              </w:rPr>
              <w:t>LEI</w:t>
            </w:r>
            <w:r>
              <w:rPr>
                <w:rFonts w:ascii="Times New Roman" w:hAnsi="Times New Roman"/>
                <w:color w:val="000000" w:themeColor="text1"/>
                <w:spacing w:val="-2"/>
                <w:w w:val="95"/>
                <w:sz w:val="20"/>
              </w:rPr>
              <w:t xml:space="preserve"> kods nav pieejams, Savienībā piemērojamai vienotai kodifikācijai atbilstošs kods vai, ja tas nav pieejams, valsts kods.</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Ja 0090. slejā norādīta atbilde “Tieša”, pārskatā norāda “NA” (“nepiemēro”).</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Pakalpojuma apraksts</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Pakalpojuma apraksts, ja sistēmas veids, kas norādīts 050. slejā, ir “Cits” vai “NA”.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Piemērojamie tiesību akti</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Tās valsts </w:t>
            </w:r>
            <w:r>
              <w:rPr>
                <w:rFonts w:ascii="Times New Roman" w:hAnsi="Times New Roman"/>
                <w:i/>
                <w:color w:val="000000" w:themeColor="text1"/>
                <w:spacing w:val="-2"/>
                <w:w w:val="95"/>
                <w:sz w:val="20"/>
              </w:rPr>
              <w:t>ISO</w:t>
            </w:r>
            <w:r>
              <w:rPr>
                <w:rFonts w:ascii="Times New Roman" w:hAnsi="Times New Roman"/>
                <w:color w:val="000000" w:themeColor="text1"/>
                <w:spacing w:val="-2"/>
                <w:w w:val="95"/>
                <w:sz w:val="20"/>
              </w:rPr>
              <w:t xml:space="preserve"> 3166-1 alfa 2 identifikācija, kuras tiesību aktus piemēro piekļuvei </w:t>
            </w:r>
            <w:r>
              <w:rPr>
                <w:rFonts w:ascii="Times New Roman" w:hAnsi="Times New Roman"/>
                <w:i/>
                <w:color w:val="000000" w:themeColor="text1"/>
                <w:spacing w:val="-2"/>
                <w:w w:val="95"/>
                <w:sz w:val="20"/>
              </w:rPr>
              <w:t>FMI</w:t>
            </w:r>
            <w:r>
              <w:rPr>
                <w:rFonts w:ascii="Times New Roman" w:hAnsi="Times New Roman"/>
                <w:color w:val="000000" w:themeColor="text1"/>
                <w:spacing w:val="-2"/>
                <w:w w:val="95"/>
                <w:sz w:val="20"/>
              </w:rPr>
              <w:t xml:space="preserve">.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Tiešas piederības vai tiešas līdzdalības gadījumā jānorāda tiesību akti, kas piemērojami līgumam starp finanšu tirgus infrastruktūru un lietotāju. Netiešas piederības vai netiešas līdzdalības gadījumā jānorāda tiesību akti, kas piemērojami līgumam starp pārstāvošo iestādi un lietotāju.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051154"/>
      <w:r>
        <w:rPr>
          <w:rFonts w:ascii="Times New Roman" w:hAnsi="Times New Roman"/>
          <w:color w:val="000000" w:themeColor="text1"/>
        </w:rPr>
        <w:lastRenderedPageBreak/>
        <w:t>Kritiski svarīgas informācijas sistēmas</w:t>
      </w:r>
      <w:bookmarkEnd w:id="43"/>
      <w:bookmarkEnd w:id="44"/>
      <w:bookmarkEnd w:id="45"/>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Pr>
          <w:rFonts w:ascii="Times New Roman" w:hAnsi="Times New Roman"/>
          <w:b w:val="0"/>
          <w:color w:val="000000" w:themeColor="text1"/>
          <w:sz w:val="20"/>
          <w:u w:val="single"/>
        </w:rPr>
        <w:t>Vispārīgas piezīmes</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Šī sadaļa ietver šādas veidnes:</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10.01 — kritiski svarīgas informācijas sistēmas (vispārīga informācija) (</w:t>
      </w:r>
      <w:r>
        <w:rPr>
          <w:rFonts w:ascii="Times New Roman" w:hAnsi="Times New Roman"/>
          <w:i/>
          <w:sz w:val="20"/>
        </w:rPr>
        <w:t>CIS</w:t>
      </w:r>
      <w:r>
        <w:rPr>
          <w:rFonts w:ascii="Times New Roman" w:hAnsi="Times New Roman"/>
          <w:sz w:val="20"/>
        </w:rPr>
        <w:t xml:space="preserve"> 1), kurā nosauktas visas kritiski svarīgās informācijas sistēmas grupā;</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10.02 — informācijas sistēmu sasaistīšana (</w:t>
      </w:r>
      <w:r>
        <w:rPr>
          <w:rFonts w:ascii="Times New Roman" w:hAnsi="Times New Roman"/>
          <w:i/>
          <w:sz w:val="20"/>
        </w:rPr>
        <w:t>CIS</w:t>
      </w:r>
      <w:r>
        <w:rPr>
          <w:rFonts w:ascii="Times New Roman" w:hAnsi="Times New Roman"/>
          <w:sz w:val="20"/>
        </w:rPr>
        <w:t xml:space="preserve"> 2), kurā kritiski svarīgas informācijas sistēmas sasaistītas ar lietotāju vienībām grupā un kritiski svarīgām funkcijām.</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rPr>
        <w:t>Kritiski svarīga informācijas sistēma ir IT lietojumprogramma vai programmatūra, kas atbalsta kritiski svarīgu pakalpojumu un kuras traucējumi ievērojami sarežģītu vai apturētu kritiski svarīgas funkcijas veikšanu.</w:t>
      </w:r>
      <w:bookmarkEnd w:id="46"/>
      <w:bookmarkEnd w:id="47"/>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rPr>
        <w:t>Šajās veidnēs sniedz pārskatu par visu grupu.</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10.01 — kritiski svarīgas informācijas sistēmas (vispārīga informācija) (</w:t>
      </w:r>
      <w:r>
        <w:rPr>
          <w:rFonts w:ascii="Times New Roman" w:hAnsi="Times New Roman"/>
          <w:b w:val="0"/>
          <w:i/>
          <w:color w:val="000000" w:themeColor="text1"/>
          <w:sz w:val="20"/>
          <w:u w:val="single"/>
        </w:rPr>
        <w:t xml:space="preserve">CIS </w:t>
      </w:r>
      <w:r>
        <w:rPr>
          <w:rFonts w:ascii="Times New Roman" w:hAnsi="Times New Roman"/>
          <w:b w:val="0"/>
          <w:color w:val="000000" w:themeColor="text1"/>
          <w:sz w:val="20"/>
          <w:u w:val="single"/>
        </w:rPr>
        <w:t>1): norādījumi attiecībā uz konkrētām pozīcijām</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Šīs veidnes 0010. slejā norādītā vērtība veido primāru atslēgu, kurai jābūt unikālai katrā veidnes rindā.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Norādījumi</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Kritiski svarīgas informācijas sistēma</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Sistēmas identifikācijas kods</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Sistēmas identifikācijas kods ir iestādes noteikts akronīms, kas nepārprotami identificē kritiski svarīgās informācijas sistēmu.</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Šis kods ir rindas identifikators, un tas ir unikāls katrai veidnes rindai.</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Sistēmas nosaukums</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Sistēmas komerciālais vai iekšējais nosaukums.</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Sistēmas veids</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Norādīt vienu no šādām vērtībām:</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“Pielāgota programmatūra uzņēmējdarbības atbalstam”</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Lietojumprogrammas, kas ir izstrādātas saskaņā ar detalizētām uzņēmējdarbības specifikācijām. Tā var būt izstrādāta iekšēji vai izmantojot ārējus darbuzņēmējus, taču vienmēr uzņēmējdarbības atbalsta nolūkā.</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“Programmatūra iegādāta tāda, kāda tā ir”</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Tirgū iegādātas lietojumprogrammas, ko parasti pārdod vai licencē pārdevējs un kas nav mainītas attiecībā uz īpašiem pielāgojumiem organizācijas darbībai. Šajā kategorijā ir iekļautas lietojumprogrammas, kam piemēroti standarta konfigurācijas mehānismi.</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“Programmatūra iegādāta ar pielāgotām izmaiņām”</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Lietojumprogrammas iegādātas tirgū, taču pārdevējs (vai viņa pārstāvis) ir radījis īpašu versiju attiecīgās instalēšanas situācijai. Šādu konkrēto versiju raksturo izmaiņas lietojumprogrammas darbībā, jaunas funkcijas vai nestandarta spraudņu iekļaušana, kas izstrādāti atbilstoši organizācijas darbībai.</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“Lietojumprogramma / ārējs portāls”</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Trešo personu — parasti partneru — nodrošināti ārējie portāli vai lietojumprogrammas, lai piekļūtu viņu piedāvātajiem pakalpojumiem. Parasti tie ir ārpus organizācijas informācijas sistēmu pārvaldības tvēruma un tos instalē, uztur un pārvalda pats partneris. Šādas lietojumprogrammas bieži ir portālu formā (kas pieejami, izmantojot internetu vai privātus tīklus) un, lai arī tās ir ārpus organizācijas informācijas sistēmu pārvaldības tvēruma, ir nozīmīgas (vai kritiski svarīgas) dažām darbības funkcijām.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Apraksts</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Informācijas sistēmas galvenā mērķa apraksts uzņēmējdarbības kontekstā.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0050 - 0060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Par sistēmu atbildīgā grupas vienība</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Vienības nosaukums</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Juridiskās personas, kas grupā atbildīga par sistēmu, nosaukums.</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Tā ir vienība, kas atbildīga par informācijas sistēmas kopējo iepirkumu, attīstību, integrāciju, modificēšanu, darbību, uzturēšanu un norakstīšanu un ir būtiski noteicoša sistēmas dizaina specifikāciju izstrādē, lai nodrošinātu drošību un lietotāja darbības vajadzību dokumentēšanu, testēšanu un īstenošanu.</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Kods</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Juridiskās personas, kas grupā atbildīga par sistēmu, kods, kā norādīts veidnē Z 01.00 — organizatoriskā struktūra (</w:t>
            </w:r>
            <w:r>
              <w:rPr>
                <w:rFonts w:ascii="Times New Roman" w:hAnsi="Times New Roman"/>
                <w:i/>
                <w:color w:val="000000" w:themeColor="text1"/>
                <w:spacing w:val="-2"/>
                <w:w w:val="95"/>
                <w:sz w:val="20"/>
              </w:rPr>
              <w:t>ORG</w:t>
            </w:r>
            <w:r>
              <w:rPr>
                <w:rFonts w:ascii="Times New Roman" w:hAnsi="Times New Roman"/>
                <w:color w:val="000000" w:themeColor="text1"/>
                <w:spacing w:val="-2"/>
                <w:w w:val="95"/>
                <w:sz w:val="20"/>
              </w:rPr>
              <w:t>).</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48"/>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10-02 — informācijas sistēmu sasaistīšana (</w:t>
      </w:r>
      <w:r>
        <w:rPr>
          <w:rFonts w:ascii="Times New Roman" w:hAnsi="Times New Roman"/>
          <w:b w:val="0"/>
          <w:i/>
          <w:color w:val="000000" w:themeColor="text1"/>
          <w:sz w:val="20"/>
          <w:u w:val="single"/>
        </w:rPr>
        <w:t>CIS</w:t>
      </w:r>
      <w:r>
        <w:rPr>
          <w:rFonts w:ascii="Times New Roman" w:hAnsi="Times New Roman"/>
          <w:b w:val="0"/>
          <w:color w:val="000000" w:themeColor="text1"/>
          <w:sz w:val="20"/>
          <w:u w:val="single"/>
        </w:rPr>
        <w:t xml:space="preserve"> 2): norādījumi attiecībā uz konkrētām pozīcijām</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Šīs veidnes 0010., 0030., 0040. un 0050. slejā norādīto vērtību kombinācija veido primāru atslēgu, kurai jābūt unikālai katrā veidnes rindā.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Norādījumi</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Sistēmas identifikācijas kods</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Informācijas sistēmas identifikācijas kods, kā norādīts veidnes Z 10.01 (</w:t>
            </w:r>
            <w:r>
              <w:rPr>
                <w:rFonts w:ascii="Times New Roman" w:hAnsi="Times New Roman"/>
                <w:i/>
                <w:color w:val="000000" w:themeColor="text1"/>
                <w:spacing w:val="-2"/>
                <w:w w:val="95"/>
                <w:sz w:val="20"/>
              </w:rPr>
              <w:t>CIS</w:t>
            </w:r>
            <w:r>
              <w:rPr>
                <w:rFonts w:ascii="Times New Roman" w:hAnsi="Times New Roman"/>
                <w:color w:val="000000" w:themeColor="text1"/>
                <w:spacing w:val="-2"/>
                <w:w w:val="95"/>
                <w:sz w:val="20"/>
              </w:rPr>
              <w:t xml:space="preserve"> 1) 010. slejā.</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Sistēmu lietojošā grupas vienība</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Vienība, kas grupā izmanto sistēmu (“lietotājs”). Vairāku lietotāju gadījumā tai pašai informācijas sistēmai pārskatu iesniedz vairākās rindās.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Vienības nosaukums</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Lietotāja vienības nosaukums, kā norādīts veidnē Z 01.00 (</w:t>
            </w:r>
            <w:r>
              <w:rPr>
                <w:rFonts w:ascii="Times New Roman" w:hAnsi="Times New Roman"/>
                <w:i/>
                <w:color w:val="000000" w:themeColor="text1"/>
                <w:spacing w:val="-2"/>
                <w:w w:val="95"/>
                <w:sz w:val="20"/>
              </w:rPr>
              <w:t>ORG</w:t>
            </w:r>
            <w:r>
              <w:rPr>
                <w:rFonts w:ascii="Times New Roman" w:hAnsi="Times New Roman"/>
                <w:color w:val="000000" w:themeColor="text1"/>
                <w:spacing w:val="-2"/>
                <w:w w:val="95"/>
                <w:sz w:val="20"/>
              </w:rPr>
              <w:t>).</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Kods</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Lietotāja vienības kods, kā norādīts veidnē Z 01.00 (</w:t>
            </w:r>
            <w:r>
              <w:rPr>
                <w:rFonts w:ascii="Times New Roman" w:hAnsi="Times New Roman"/>
                <w:i/>
                <w:color w:val="000000" w:themeColor="text1"/>
                <w:spacing w:val="-2"/>
                <w:w w:val="95"/>
                <w:sz w:val="20"/>
              </w:rPr>
              <w:t>ORG</w:t>
            </w:r>
            <w:r>
              <w:rPr>
                <w:rFonts w:ascii="Times New Roman" w:hAnsi="Times New Roman"/>
                <w:color w:val="000000" w:themeColor="text1"/>
                <w:spacing w:val="-2"/>
                <w:w w:val="95"/>
                <w:sz w:val="20"/>
              </w:rPr>
              <w:t>).</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Kritiski svarīgs pakalpojums</w:t>
            </w:r>
          </w:p>
          <w:p w:rsidR="009F7D69" w:rsidRPr="00236F31" w:rsidRDefault="00CD44BD" w:rsidP="00236F31">
            <w:pPr>
              <w:pStyle w:val="TableParagraph"/>
              <w:spacing w:before="108"/>
              <w:ind w:left="85"/>
              <w:rPr>
                <w:rFonts w:ascii="Times New Roman" w:hAnsi="Times New Roman" w:cs="Times New Roman"/>
                <w:bCs/>
                <w:color w:val="000000" w:themeColor="text1"/>
                <w:spacing w:val="-2"/>
                <w:w w:val="95"/>
                <w:sz w:val="20"/>
                <w:szCs w:val="20"/>
              </w:rPr>
            </w:pPr>
            <w:r w:rsidRPr="00236F31">
              <w:rPr>
                <w:rFonts w:ascii="Times New Roman" w:hAnsi="Times New Roman"/>
                <w:color w:val="000000" w:themeColor="text1"/>
                <w:spacing w:val="-2"/>
                <w:w w:val="95"/>
                <w:sz w:val="20"/>
              </w:rPr>
              <w:t>Kritiski svarīga pakalpojuma, ko sistēma atbalsta, identifikators, kā norādīts veidnē Z 08.00 (0005. sleja). Kritiski svarīgais pakalpojums pats par sevi var būt IT pakalpojums vai cita veida pakalpojums, ko informācijas sistēma atbalsta (piemēram, darījumu apstrāde).</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Kritiski svarīga funkcija</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Kritiski svarīga funkcija, kas tiktu ievērojami sarežģīta vai pilnībā apturēta informācijas sistēmas atbalstīto pakalpojumu traucējumu gadījumā. Vairāku kritiski svarīgu funkciju gadījumā tai pašai informācijas sistēmai pārskatu iesniedz vairākās rindās.</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Valsts</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Valsts, kurā funkcija ir būtiski svarīga, kā norādīts veidnē Z 07.01 (</w:t>
            </w:r>
            <w:r>
              <w:rPr>
                <w:rFonts w:ascii="Times New Roman" w:hAnsi="Times New Roman"/>
                <w:i/>
                <w:color w:val="000000" w:themeColor="text1"/>
                <w:spacing w:val="-2"/>
                <w:w w:val="95"/>
                <w:sz w:val="20"/>
              </w:rPr>
              <w:t>FUNC</w:t>
            </w:r>
            <w:r>
              <w:rPr>
                <w:rFonts w:ascii="Times New Roman" w:hAnsi="Times New Roman"/>
                <w:color w:val="000000" w:themeColor="text1"/>
                <w:spacing w:val="-2"/>
                <w:w w:val="95"/>
                <w:sz w:val="20"/>
              </w:rPr>
              <w:t xml:space="preserve"> 1).</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Kritiski svarīgu funkciju ID, kā noteikts iepriekš 2.7.1.4. nodaļā un minēts veidnē Z 07.01 (</w:t>
            </w:r>
            <w:r>
              <w:rPr>
                <w:rFonts w:ascii="Times New Roman" w:hAnsi="Times New Roman"/>
                <w:i/>
                <w:color w:val="000000" w:themeColor="text1"/>
                <w:spacing w:val="-2"/>
                <w:w w:val="95"/>
                <w:sz w:val="20"/>
              </w:rPr>
              <w:t>FUNC</w:t>
            </w:r>
            <w:r>
              <w:rPr>
                <w:rFonts w:ascii="Times New Roman" w:hAnsi="Times New Roman"/>
                <w:color w:val="000000" w:themeColor="text1"/>
                <w:spacing w:val="-2"/>
                <w:w w:val="95"/>
                <w:sz w:val="20"/>
              </w:rPr>
              <w:t xml:space="preserve"> 1).</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86" w:rsidRDefault="003C3186" w:rsidP="001E5EDF">
      <w:r>
        <w:separator/>
      </w:r>
    </w:p>
  </w:endnote>
  <w:endnote w:type="continuationSeparator" w:id="0">
    <w:p w:rsidR="003C3186" w:rsidRDefault="003C3186"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3C3186" w:rsidRDefault="003C3186" w:rsidP="000E60D6">
        <w:pPr>
          <w:pStyle w:val="Footer"/>
          <w:jc w:val="center"/>
        </w:pPr>
        <w:r>
          <w:rPr>
            <w:noProof/>
          </w:rPr>
          <w:fldChar w:fldCharType="begin"/>
        </w:r>
        <w:r>
          <w:rPr>
            <w:noProof/>
          </w:rPr>
          <w:instrText xml:space="preserve"> PAGE   \* MERGEFORMAT </w:instrText>
        </w:r>
        <w:r>
          <w:rPr>
            <w:noProof/>
          </w:rPr>
          <w:fldChar w:fldCharType="separate"/>
        </w:r>
        <w:r w:rsidR="00236F31">
          <w:rPr>
            <w:noProof/>
          </w:rPr>
          <w:t>1</w:t>
        </w:r>
        <w:r>
          <w:rPr>
            <w:noProof/>
          </w:rPr>
          <w:fldChar w:fldCharType="end"/>
        </w:r>
      </w:p>
    </w:sdtContent>
  </w:sdt>
  <w:p w:rsidR="003C3186" w:rsidRDefault="003C31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86" w:rsidRDefault="003C3186" w:rsidP="001E5EDF">
      <w:r>
        <w:separator/>
      </w:r>
    </w:p>
  </w:footnote>
  <w:footnote w:type="continuationSeparator" w:id="0">
    <w:p w:rsidR="003C3186" w:rsidRDefault="003C3186" w:rsidP="001E5EDF">
      <w:r>
        <w:continuationSeparator/>
      </w:r>
    </w:p>
  </w:footnote>
  <w:footnote w:id="1">
    <w:p w:rsidR="003C3186" w:rsidRPr="008E5458" w:rsidRDefault="003C3186" w:rsidP="008E5458">
      <w:pPr>
        <w:pStyle w:val="FootnoteText"/>
        <w:rPr>
          <w:lang w:val="en-GB"/>
        </w:rPr>
      </w:pPr>
      <w:r>
        <w:rPr>
          <w:rStyle w:val="FootnoteReference"/>
          <w:rFonts w:ascii="Times New Roman" w:hAnsi="Times New Roman"/>
        </w:rPr>
        <w:footnoteRef/>
      </w:r>
      <w:r>
        <w:t xml:space="preserve"> </w:t>
      </w:r>
      <w:r>
        <w:rPr>
          <w:sz w:val="20"/>
        </w:rPr>
        <w:t>Komisijas Īstenošanas Regula (ES) Nr. 680/2014</w:t>
      </w:r>
      <w:r>
        <w:t xml:space="preserve"> (2014. gada 16. aprīlis), ar ko nosaka īstenošanas tehniskos standartus attiecībā uz iestāžu sniegtajiem uzraudzības pārskatiem saskaņā ar Eiropas Parlamenta un Padomes Regulu (ES) Nr. 575/2013 (OV L 191, 28.6.2014., 1. lpp.).</w:t>
      </w:r>
    </w:p>
  </w:footnote>
  <w:footnote w:id="2">
    <w:p w:rsidR="003C3186" w:rsidRPr="00E17940" w:rsidRDefault="003C3186" w:rsidP="008E5458">
      <w:pPr>
        <w:pStyle w:val="FootnoteText"/>
      </w:pPr>
      <w:r>
        <w:rPr>
          <w:rStyle w:val="FootnoteReference"/>
          <w:rFonts w:ascii="Times New Roman" w:hAnsi="Times New Roman"/>
        </w:rPr>
        <w:footnoteRef/>
      </w:r>
      <w:r>
        <w:t xml:space="preserve"> Eiropas Parlamenta un Padomes 2002. gada 19. jūlija Regula (EK) Nr. 1606/2002 par starptautisko grāmatvedības standartu piemērošanu (OV L 243, 11.9.2002., 1. lpp.).</w:t>
      </w:r>
    </w:p>
  </w:footnote>
  <w:footnote w:id="3">
    <w:p w:rsidR="003C3186" w:rsidRPr="008E5458" w:rsidRDefault="003C3186" w:rsidP="00543060">
      <w:pPr>
        <w:pStyle w:val="FootnoteText"/>
      </w:pPr>
      <w:r>
        <w:rPr>
          <w:rStyle w:val="FootnoteReference"/>
          <w:rFonts w:ascii="Times New Roman" w:hAnsi="Times New Roman"/>
        </w:rPr>
        <w:footnoteRef/>
      </w:r>
      <w:r>
        <w:t xml:space="preserve"> Eiropas Parlamenta un Padomes 2002. gada 19. jūlija Regula (EK) Nr. 1606/2002 par starptautisko grāmatvedības standartu piemērošanu (OV L 243, 11.9.2002., 1. lpp.).</w:t>
      </w:r>
    </w:p>
  </w:footnote>
  <w:footnote w:id="4">
    <w:p w:rsidR="003C3186" w:rsidRPr="00D41CE6" w:rsidRDefault="003C3186" w:rsidP="00543060">
      <w:pPr>
        <w:pStyle w:val="FootnoteText"/>
      </w:pPr>
      <w:r>
        <w:rPr>
          <w:rStyle w:val="FootnoteReference"/>
          <w:rFonts w:ascii="Times New Roman" w:hAnsi="Times New Roman"/>
        </w:rPr>
        <w:footnoteRef/>
      </w:r>
      <w:r>
        <w:t xml:space="preserve"> Padomes Direktīva 86/635/EEK (1986. gada 8. decembris) par banku un citu finanšu iestāžu gada pārskatiem un konsolidētajiem pārskatiem (OV L 372, 31.12.1986., 1. lpp.).</w:t>
      </w:r>
    </w:p>
  </w:footnote>
  <w:footnote w:id="5">
    <w:p w:rsidR="003C3186" w:rsidRPr="00E17940" w:rsidRDefault="003C3186" w:rsidP="00543060">
      <w:pPr>
        <w:pStyle w:val="FootnoteText"/>
      </w:pPr>
      <w:r>
        <w:rPr>
          <w:rStyle w:val="FootnoteReference"/>
          <w:rFonts w:ascii="Times New Roman" w:hAnsi="Times New Roman"/>
        </w:rPr>
        <w:footnoteRef/>
      </w:r>
      <w:r>
        <w:t xml:space="preserve"> Eiropas Parlamenta un Padomes Regula (ES) Nr. 575/2013 (2013. gada 26. jūnijs) par </w:t>
      </w:r>
      <w:proofErr w:type="spellStart"/>
      <w:r>
        <w:t>prudenciālajām</w:t>
      </w:r>
      <w:proofErr w:type="spellEnd"/>
      <w:r>
        <w:t xml:space="preserve"> prasībām attiecībā uz kredītiestādēm un ieguldījumu brokeru sabiedrībām un ar ko groza Regulu (ES) Nr. 648/2012 (OV L 176, 27.6.2013., 1. lpp.).</w:t>
      </w:r>
    </w:p>
  </w:footnote>
  <w:footnote w:id="6">
    <w:p w:rsidR="003C3186" w:rsidRPr="00E17940" w:rsidRDefault="003C3186" w:rsidP="00543060">
      <w:pPr>
        <w:pStyle w:val="FootnoteText"/>
      </w:pPr>
      <w:r>
        <w:rPr>
          <w:rStyle w:val="FootnoteReference"/>
        </w:rPr>
        <w:footnoteRef/>
      </w:r>
      <w:r>
        <w:t xml:space="preserve"> Eiropas Parlamenta un Padomes 2013. gada 26. jūnija Direktīva 2013/36/ES par piekļuvi kredītiestāžu darbībai un kredītiestāžu un ieguldījumu brokeru sabiedrību </w:t>
      </w:r>
      <w:proofErr w:type="spellStart"/>
      <w:r>
        <w:t>prudenciālo</w:t>
      </w:r>
      <w:proofErr w:type="spellEnd"/>
      <w:r>
        <w:t xml:space="preserve"> uzraudzību, ar ko groza Direktīvu 2002/87/EK un atceļ Direktīvas 2006/48/EK un 2006/49/EK (OV L 176, 27.6.2013., 338. lpp.).</w:t>
      </w:r>
    </w:p>
  </w:footnote>
  <w:footnote w:id="7">
    <w:p w:rsidR="003C3186" w:rsidRPr="00CF3EBF" w:rsidRDefault="003C3186" w:rsidP="008B1EBD">
      <w:pPr>
        <w:pStyle w:val="FootnoteText"/>
      </w:pPr>
      <w:r>
        <w:rPr>
          <w:rStyle w:val="FootnoteReference"/>
          <w:rFonts w:ascii="Times New Roman" w:hAnsi="Times New Roman"/>
        </w:rPr>
        <w:footnoteRef/>
      </w:r>
      <w:r>
        <w:t xml:space="preserve"> Eiropas Parlamenta un Padomes 2009. gada 25. novembra Direktīva 2009/138/EK par uzņēmējdarbības uzsākšanu un veikšanu apdrošināšanas un pārapdrošināšanas jomā (Maksātspēja II) (OV L 335, 17.12.2009., 1. lpp.).</w:t>
      </w:r>
    </w:p>
  </w:footnote>
  <w:footnote w:id="8">
    <w:p w:rsidR="003C3186" w:rsidRPr="00113543" w:rsidRDefault="003C3186" w:rsidP="008B1EBD">
      <w:pPr>
        <w:pStyle w:val="FootnoteText"/>
      </w:pPr>
      <w:r>
        <w:rPr>
          <w:rStyle w:val="FootnoteReference"/>
          <w:rFonts w:ascii="Times New Roman" w:hAnsi="Times New Roman"/>
        </w:rPr>
        <w:footnoteRef/>
      </w:r>
      <w:r>
        <w:t xml:space="preserve"> Komisijas 2003. gada 6. maija Ieteikums par </w:t>
      </w:r>
      <w:proofErr w:type="spellStart"/>
      <w:r>
        <w:t>mikrouzņēmumu</w:t>
      </w:r>
      <w:proofErr w:type="spellEnd"/>
      <w:r>
        <w:t>, mazo un vidējo uzņēmumu definīciju (paziņots ar dokumenta numuru C(2003) 1422) (OV L 124, 20.5.2003., 36. lpp.).</w:t>
      </w:r>
    </w:p>
  </w:footnote>
  <w:footnote w:id="9">
    <w:p w:rsidR="003C3186" w:rsidRPr="00D41CE6" w:rsidRDefault="003C3186" w:rsidP="008B1EBD">
      <w:pPr>
        <w:pStyle w:val="FootnoteText"/>
      </w:pPr>
      <w:r>
        <w:rPr>
          <w:rStyle w:val="FootnoteReference"/>
          <w:rFonts w:ascii="Times New Roman" w:hAnsi="Times New Roman"/>
        </w:rPr>
        <w:footnoteRef/>
      </w:r>
      <w:r>
        <w:t xml:space="preserve"> Eiropas Centrālās bankas Regula (ES) Nr. 1071/2013 par monetāro finanšu iestāžu sektora bilanci (OV L 297 7.11.2013., 1. lpp.).</w:t>
      </w:r>
    </w:p>
  </w:footnote>
  <w:footnote w:id="10">
    <w:p w:rsidR="003C3186" w:rsidRPr="00B77FC7" w:rsidRDefault="003C3186" w:rsidP="008E5458">
      <w:pPr>
        <w:pStyle w:val="FootnoteText"/>
      </w:pPr>
      <w:r>
        <w:rPr>
          <w:rStyle w:val="FootnoteReference"/>
        </w:rPr>
        <w:footnoteRef/>
      </w:r>
      <w:r>
        <w:t xml:space="preserve"> Eiropas Parlamenta un Padomes Direktīva 2014/59/ES (2014. gada 15. maijs), ar ko izveido kredītiestāžu un ieguldījumu brokeru sabiedrību atveseļošanas un noregulējuma režīmu un groza Padomes Direktīvu 82/891/EEK un Eiropas Parlamenta un Padomes Direktīvas 2001/24/EK, 2002/47/EK, 2004/25/EK, 2005/56/EK, 2007/36/EK, 2011/35/ES, 2012/30/ES un 2013/36/ES, un Eiropas Parlamenta un Padomes Regulas (ES) Nr. 1093/2010 un (ES) Nr. 648/2012 (OV L 173, 12.6.2014., 190. lpp.).</w:t>
      </w:r>
    </w:p>
  </w:footnote>
  <w:footnote w:id="11">
    <w:p w:rsidR="003C3186" w:rsidRPr="001D3665" w:rsidRDefault="003C3186" w:rsidP="008E5458">
      <w:pPr>
        <w:pStyle w:val="FootnoteText"/>
      </w:pPr>
      <w:r>
        <w:rPr>
          <w:rStyle w:val="FootnoteReference"/>
        </w:rPr>
        <w:footnoteRef/>
      </w:r>
      <w:r>
        <w:t xml:space="preserve"> Eiropas Parlamenta un Padomes Direktīva 2014/49/ES (2014. gada 16. aprīlis) par noguldījumu garantiju sistēmām (OV L 173, 12.6.2014., 149. lpp.).</w:t>
      </w:r>
    </w:p>
  </w:footnote>
  <w:footnote w:id="12">
    <w:p w:rsidR="003C3186" w:rsidRPr="00EB1AD3" w:rsidRDefault="003C3186" w:rsidP="00365E39">
      <w:pPr>
        <w:pStyle w:val="FootnoteText"/>
      </w:pPr>
      <w:r>
        <w:rPr>
          <w:rStyle w:val="FootnoteReference"/>
        </w:rPr>
        <w:footnoteRef/>
      </w:r>
      <w:r>
        <w:t xml:space="preserve"> Eiropas Parlamenta un Padomes Direktīva 2009/65/EK (2009. gada 13. jūlijs) par normatīvo un administratīvo aktu koordināciju attiecībā uz pārvedamu vērtspapīru kolektīvo ieguldījumu uzņēmumiem (PVKIU) (OV L 302, 17.11.2009., 32. lpp.).</w:t>
      </w:r>
    </w:p>
  </w:footnote>
  <w:footnote w:id="13">
    <w:p w:rsidR="003C3186" w:rsidRPr="00EB1AD3" w:rsidRDefault="003C3186" w:rsidP="00365E39">
      <w:pPr>
        <w:pStyle w:val="FootnoteText"/>
      </w:pPr>
      <w:r>
        <w:rPr>
          <w:rStyle w:val="FootnoteReference"/>
        </w:rPr>
        <w:footnoteRef/>
      </w:r>
      <w:r>
        <w:t xml:space="preserve"> Eiropas Parlamenta un Padomes Direktīva 2011/61/ES (2011. gada 8. jūnijs) par alternatīvo ieguldījumu fondu pārvaldniekiem un par grozījumiem Direktīvā 2003/41/EK, Direktīvā 2009/65/EK, Regulā (EK) Nr. 1060/2009 un Regulā (ES) Nr. 1095/2010 (OV L 174, 1.7.2011., 1. lpp.).</w:t>
      </w:r>
    </w:p>
  </w:footnote>
  <w:footnote w:id="14">
    <w:p w:rsidR="003C3186" w:rsidRPr="004002B3" w:rsidRDefault="003C3186" w:rsidP="00365E39">
      <w:pPr>
        <w:pStyle w:val="FootnoteText"/>
      </w:pPr>
      <w:r>
        <w:rPr>
          <w:rStyle w:val="FootnoteReference"/>
        </w:rPr>
        <w:footnoteRef/>
      </w:r>
      <w:r>
        <w:t xml:space="preserve"> Eiropas Parlamenta un Padomes Direktīva 98/26/EK (1998. gada 19. maijs) par norēķinu galīgumu maksājumu un vērtspapīru norēķinu sistēmās (OV L 166, 11.6.1998., 45. lpp.).</w:t>
      </w:r>
    </w:p>
  </w:footnote>
  <w:footnote w:id="15">
    <w:p w:rsidR="003C3186" w:rsidRPr="00D41CE6" w:rsidRDefault="003C3186" w:rsidP="00767F1B">
      <w:pPr>
        <w:pStyle w:val="FootnoteText"/>
      </w:pPr>
      <w:r>
        <w:rPr>
          <w:rStyle w:val="FootnoteReference"/>
        </w:rPr>
        <w:footnoteRef/>
      </w:r>
      <w:r>
        <w:t xml:space="preserve"> Komisijas Deleģētā regula (ES) 2016/1401 (2016. gada 23. maijs), ar ko attiecībā uz regulatīviem tehniskiem standartiem par metodēm un principiem tādu saistību vērtēšanai, kas izriet no atvasinātajiem instrumentiem, papildina Eiropas Parlamenta un Padomes Direktīvu 2014/59/ES, ar ko izveido kredītiestāžu un ieguldījumu brokeru sabiedrību atveseļošanas un noregulējuma režīmu (OV L 228, 23.8.2016., 7. lpp.).</w:t>
      </w:r>
    </w:p>
  </w:footnote>
  <w:footnote w:id="16">
    <w:p w:rsidR="003C3186" w:rsidRPr="00D41CE6" w:rsidRDefault="003C3186" w:rsidP="00767F1B">
      <w:pPr>
        <w:pStyle w:val="FootnoteText"/>
      </w:pPr>
      <w:r>
        <w:rPr>
          <w:rStyle w:val="FootnoteReference"/>
        </w:rPr>
        <w:footnoteRef/>
      </w:r>
      <w:r>
        <w:t xml:space="preserve"> Komisijas 2016. gada 2. februāra Deleģētā regula (ES) 2016/778, ar ko papildina Eiropas Parlamenta un Padomes Direktīvu 2014/59/ES attiecībā uz apstākļiem un nosacījumiem, saskaņā ar kuriem pilnībā vai daļēji var atlikt ārkārtas </w:t>
      </w:r>
      <w:proofErr w:type="spellStart"/>
      <w:r>
        <w:rPr>
          <w:i/>
        </w:rPr>
        <w:t>ex</w:t>
      </w:r>
      <w:proofErr w:type="spellEnd"/>
      <w:r>
        <w:rPr>
          <w:i/>
        </w:rPr>
        <w:t xml:space="preserve"> post</w:t>
      </w:r>
      <w:r>
        <w:t xml:space="preserve"> maksājumus, un par kritērijiem darbību, pakalpojumu un operāciju noteikšanai attiecībā uz kritiski svarīgajām funkcijām un darbības jomu un saistīto pakalpojumu noteikšanu attiecībā uz galvenajām darbības jomām (OV L 131, 20.5.2016., 41. lpp.).</w:t>
      </w:r>
    </w:p>
  </w:footnote>
  <w:footnote w:id="17">
    <w:p w:rsidR="003C3186" w:rsidRPr="00D41CE6" w:rsidRDefault="003C3186" w:rsidP="00543060">
      <w:pPr>
        <w:pStyle w:val="FootnoteText"/>
      </w:pPr>
      <w:r>
        <w:rPr>
          <w:rStyle w:val="FootnoteReference"/>
        </w:rPr>
        <w:footnoteRef/>
      </w:r>
      <w:r>
        <w:t xml:space="preserve"> Eiropas Parlamenta un Padomes Direktīva (ES) 2015/2366 (2015. gada 25. novembris) par maksājumu pakalpojumiem iekšējā tirgū, ar ko groza Direktīvas 2002/65/EK, 2009/110/EK un 2013/36/ES un Regulu (ES) Nr. 1093/2010 un atceļ Direktīvu 2007/64/EK (OV L 337, 23.12.2015., 35. lpp.).</w:t>
      </w:r>
    </w:p>
  </w:footnote>
  <w:footnote w:id="18">
    <w:p w:rsidR="003C3186" w:rsidRPr="00D41CE6" w:rsidRDefault="003C3186" w:rsidP="00543060">
      <w:pPr>
        <w:pStyle w:val="FootnoteText"/>
      </w:pPr>
      <w:r>
        <w:rPr>
          <w:rStyle w:val="FootnoteReference"/>
        </w:rPr>
        <w:footnoteRef/>
      </w:r>
      <w:r>
        <w:t xml:space="preserve"> Eiropas Parlamenta un Padomes 2012. gada 4. jūlija Regula (ES) Nr. 648/2012 par ārpusbiržas atvasinātajiem instrumentiem, centrālajiem darījumu partneriem un darījumu reģistriem (OV L 201, 27.7.2012., 1. lpp.).</w:t>
      </w:r>
    </w:p>
  </w:footnote>
  <w:footnote w:id="19">
    <w:p w:rsidR="003C3186" w:rsidRPr="00D41CE6" w:rsidRDefault="003C3186" w:rsidP="00543060">
      <w:pPr>
        <w:pStyle w:val="FootnoteText"/>
      </w:pPr>
      <w:r>
        <w:rPr>
          <w:rStyle w:val="FootnoteReference"/>
        </w:rPr>
        <w:footnoteRef/>
      </w:r>
      <w:r>
        <w:t xml:space="preserve"> Eiropas Parlamenta un Padomes Direktīvu 2014/65/ES (2014. gada 15. maijs) par finanšu instrumentu tirgiem un ar kuru groza Direktīvu 2002/92/EK un Direktīvu 2011/61/ES (OV L 173, 12.6.2014., 349. lpp.).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186" w:rsidRPr="000E60D6" w:rsidRDefault="003C3186" w:rsidP="000E60D6">
    <w:pPr>
      <w:pStyle w:val="Header"/>
      <w:jc w:val="center"/>
      <w:rPr>
        <w:rFonts w:ascii="Times New Roman" w:hAnsi="Times New Roman" w:cs="Times New Roman"/>
      </w:rPr>
    </w:pPr>
    <w:r>
      <w:rPr>
        <w:rFonts w:ascii="Times New Roman" w:hAnsi="Times New Roman"/>
      </w:rPr>
      <w:t>LV</w:t>
    </w:r>
  </w:p>
  <w:p w:rsidR="003C3186" w:rsidRPr="000E60D6" w:rsidRDefault="003C3186" w:rsidP="000E60D6">
    <w:pPr>
      <w:pStyle w:val="Header"/>
      <w:jc w:val="center"/>
      <w:rPr>
        <w:rFonts w:ascii="Times New Roman" w:hAnsi="Times New Roman" w:cs="Times New Roman"/>
      </w:rPr>
    </w:pPr>
    <w:r>
      <w:rPr>
        <w:rFonts w:ascii="Times New Roman" w:hAnsi="Times New Roman"/>
      </w:rPr>
      <w:t>II PIELIKUMS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36F31"/>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000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1B3"/>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1CE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lv-LV" w:bidi="lv-LV"/>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lv-LV"/>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lv-LV"/>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lv-LV"/>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lv-LV"/>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lv-LV"/>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lv-LV"/>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lv-LV"/>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lv-LV"/>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lv-LV"/>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lv-LV"/>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lv-LV"/>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lv-LV"/>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lv-LV"/>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lv-LV"/>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lv-LV"/>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lv-LV"/>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lv-LV"/>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lv-LV" w:eastAsia="lv-LV"/>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lv-LV"/>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82E3A-C727-43B7-8C0B-33364A47E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41</Pages>
  <Words>14912</Words>
  <Characters>85000</Characters>
  <Application>Microsoft Office Word</Application>
  <DocSecurity>0</DocSecurity>
  <Lines>708</Lines>
  <Paragraphs>199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99713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SPROGE Valerija (DGT)</cp:lastModifiedBy>
  <cp:revision>6</cp:revision>
  <cp:lastPrinted>2017-10-06T17:28:00Z</cp:lastPrinted>
  <dcterms:created xsi:type="dcterms:W3CDTF">2018-09-18T08:30:00Z</dcterms:created>
  <dcterms:modified xsi:type="dcterms:W3CDTF">2018-09-19T09:14:00Z</dcterms:modified>
</cp:coreProperties>
</file>