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Prilog IV.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Pravila validacije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Podaci iz Priloga I. podliježu pravilima validacije kojima se osigurava kvaliteta i dosljednost podataka. </w:t>
      </w:r>
      <w:r>
        <w:rPr>
          <w:color w:val="000000" w:themeColor="text1"/>
        </w:rPr>
        <w:t>Pravila validacije ispunjavaju sljedeće kriterije: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definiraju logičke odnose među relevantnim točkama podataka;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sadržavaju filtre i preduvjete kojima se definira set podataka na koji se primjenjuje pravilo validacije;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omogućuju provjeru dosljednosti dostavljenih podataka;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omogućuju provjeru točnosti dostavljenih podataka;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određuju standardne vrijednosti koje se primjenjuju ako nisu dostavljene relevantne informacije.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  <w:bookmarkStart w:id="0" w:name="_GoBack"/>
      <w:bookmarkEnd w:id="0"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HR </w:t>
    </w:r>
    <w:r>
      <w:br/>
    </w:r>
    <w:r>
      <w:t>PRILOG IV.</w:t>
    </w: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hr-HR" w:eastAsia="hr-HR" w:bidi="hr-HR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