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CE3" w:rsidRPr="000E60D6" w:rsidRDefault="0088603C" w:rsidP="00E13CE3">
      <w:pPr>
        <w:pStyle w:val="ListParagraph"/>
        <w:jc w:val="center"/>
        <w:rPr>
          <w:rFonts w:ascii="Times New Roman" w:hAnsi="Times New Roman"/>
          <w:b/>
          <w:color w:val="000000" w:themeColor="text1"/>
          <w:sz w:val="20"/>
          <w:szCs w:val="20"/>
        </w:rPr>
      </w:pPr>
      <w:r>
        <w:rPr>
          <w:rFonts w:ascii="Times New Roman" w:hAnsi="Times New Roman"/>
          <w:b/>
          <w:color w:val="000000" w:themeColor="text1"/>
          <w:sz w:val="20"/>
        </w:rPr>
        <w:t>Bilaga II: Anvisningar</w:t>
      </w:r>
    </w:p>
    <w:p w:rsidR="001E5EDF" w:rsidRPr="00D92B3C" w:rsidRDefault="001E5EDF" w:rsidP="001E5EDF">
      <w:pPr>
        <w:rPr>
          <w:rFonts w:ascii="Times New Roman" w:hAnsi="Times New Roman" w:cs="Times New Roman"/>
          <w:b/>
          <w:color w:val="000000" w:themeColor="text1"/>
          <w:sz w:val="20"/>
          <w:szCs w:val="20"/>
        </w:rPr>
      </w:pPr>
    </w:p>
    <w:p w:rsidR="001E5EDF" w:rsidRPr="00D92B3C" w:rsidRDefault="001E5EDF" w:rsidP="00385C06">
      <w:pPr>
        <w:rPr>
          <w:rFonts w:ascii="Times New Roman" w:hAnsi="Times New Roman" w:cs="Times New Roman"/>
          <w:b/>
          <w:color w:val="000000" w:themeColor="text1"/>
          <w:sz w:val="20"/>
          <w:szCs w:val="20"/>
        </w:rPr>
      </w:pPr>
    </w:p>
    <w:bookmarkStart w:id="0" w:name="_GoBack"/>
    <w:bookmarkEnd w:id="0"/>
    <w:p w:rsidR="00D8163F" w:rsidRDefault="001D258F">
      <w:pPr>
        <w:pStyle w:val="TOC2"/>
        <w:rPr>
          <w:lang w:val="en-GB" w:eastAsia="en-GB" w:bidi="ar-SA"/>
        </w:rPr>
      </w:pPr>
      <w:r>
        <w:rPr>
          <w:rFonts w:ascii="Times New Roman" w:hAnsi="Times New Roman" w:cs="Times New Roman"/>
          <w:bCs/>
          <w:color w:val="000000" w:themeColor="text1"/>
          <w:sz w:val="20"/>
          <w:szCs w:val="20"/>
        </w:rPr>
        <w:fldChar w:fldCharType="begin"/>
      </w:r>
      <w:r>
        <w:rPr>
          <w:rFonts w:ascii="Times New Roman" w:hAnsi="Times New Roman" w:cs="Times New Roman"/>
          <w:bCs/>
          <w:color w:val="000000" w:themeColor="text1"/>
          <w:sz w:val="20"/>
          <w:szCs w:val="20"/>
        </w:rPr>
        <w:instrText xml:space="preserve"> TOC \o "1-3" \h \z \t "Numbered tile level 1,1,Numbered title level 2,2" </w:instrText>
      </w:r>
      <w:r>
        <w:rPr>
          <w:rFonts w:ascii="Times New Roman" w:hAnsi="Times New Roman" w:cs="Times New Roman"/>
          <w:bCs/>
          <w:color w:val="000000" w:themeColor="text1"/>
          <w:sz w:val="20"/>
          <w:szCs w:val="20"/>
        </w:rPr>
        <w:fldChar w:fldCharType="separate"/>
      </w:r>
      <w:hyperlink w:anchor="_Toc525215481" w:history="1">
        <w:r w:rsidR="00D8163F" w:rsidRPr="00944A8B">
          <w:rPr>
            <w:rStyle w:val="Hyperlink"/>
            <w:rFonts w:ascii="Times New Roman" w:hAnsi="Times New Roman" w:cs="Times New Roman"/>
          </w:rPr>
          <w:t>I.</w:t>
        </w:r>
        <w:r w:rsidR="00D8163F">
          <w:rPr>
            <w:lang w:val="en-GB" w:eastAsia="en-GB" w:bidi="ar-SA"/>
          </w:rPr>
          <w:tab/>
        </w:r>
        <w:r w:rsidR="00D8163F" w:rsidRPr="00944A8B">
          <w:rPr>
            <w:rStyle w:val="Hyperlink"/>
            <w:rFonts w:ascii="Times New Roman" w:hAnsi="Times New Roman"/>
          </w:rPr>
          <w:t>Allmänna instruktioner</w:t>
        </w:r>
        <w:r w:rsidR="00D8163F">
          <w:rPr>
            <w:webHidden/>
          </w:rPr>
          <w:tab/>
        </w:r>
        <w:r w:rsidR="00D8163F">
          <w:rPr>
            <w:webHidden/>
          </w:rPr>
          <w:fldChar w:fldCharType="begin"/>
        </w:r>
        <w:r w:rsidR="00D8163F">
          <w:rPr>
            <w:webHidden/>
          </w:rPr>
          <w:instrText xml:space="preserve"> PAGEREF _Toc525215481 \h </w:instrText>
        </w:r>
        <w:r w:rsidR="00D8163F">
          <w:rPr>
            <w:webHidden/>
          </w:rPr>
        </w:r>
        <w:r w:rsidR="00D8163F">
          <w:rPr>
            <w:webHidden/>
          </w:rPr>
          <w:fldChar w:fldCharType="separate"/>
        </w:r>
        <w:r w:rsidR="00D8163F">
          <w:rPr>
            <w:webHidden/>
          </w:rPr>
          <w:t>2</w:t>
        </w:r>
        <w:r w:rsidR="00D8163F">
          <w:rPr>
            <w:webHidden/>
          </w:rPr>
          <w:fldChar w:fldCharType="end"/>
        </w:r>
      </w:hyperlink>
    </w:p>
    <w:p w:rsidR="00D8163F" w:rsidRDefault="00D8163F">
      <w:pPr>
        <w:pStyle w:val="TOC2"/>
        <w:rPr>
          <w:lang w:val="en-GB" w:eastAsia="en-GB" w:bidi="ar-SA"/>
        </w:rPr>
      </w:pPr>
      <w:hyperlink w:anchor="_Toc525215482" w:history="1">
        <w:r w:rsidRPr="00944A8B">
          <w:rPr>
            <w:rStyle w:val="Hyperlink"/>
            <w:rFonts w:ascii="Times New Roman" w:hAnsi="Times New Roman" w:cs="Times New Roman"/>
          </w:rPr>
          <w:t>I.1</w:t>
        </w:r>
        <w:r>
          <w:rPr>
            <w:lang w:val="en-GB" w:eastAsia="en-GB" w:bidi="ar-SA"/>
          </w:rPr>
          <w:tab/>
        </w:r>
        <w:r w:rsidRPr="00944A8B">
          <w:rPr>
            <w:rStyle w:val="Hyperlink"/>
            <w:rFonts w:ascii="Times New Roman" w:hAnsi="Times New Roman"/>
          </w:rPr>
          <w:t>Struktur</w:t>
        </w:r>
        <w:r>
          <w:rPr>
            <w:webHidden/>
          </w:rPr>
          <w:tab/>
        </w:r>
        <w:r>
          <w:rPr>
            <w:webHidden/>
          </w:rPr>
          <w:fldChar w:fldCharType="begin"/>
        </w:r>
        <w:r>
          <w:rPr>
            <w:webHidden/>
          </w:rPr>
          <w:instrText xml:space="preserve"> PAGEREF _Toc525215482 \h </w:instrText>
        </w:r>
        <w:r>
          <w:rPr>
            <w:webHidden/>
          </w:rPr>
        </w:r>
        <w:r>
          <w:rPr>
            <w:webHidden/>
          </w:rPr>
          <w:fldChar w:fldCharType="separate"/>
        </w:r>
        <w:r>
          <w:rPr>
            <w:webHidden/>
          </w:rPr>
          <w:t>2</w:t>
        </w:r>
        <w:r>
          <w:rPr>
            <w:webHidden/>
          </w:rPr>
          <w:fldChar w:fldCharType="end"/>
        </w:r>
      </w:hyperlink>
    </w:p>
    <w:p w:rsidR="00D8163F" w:rsidRDefault="00D8163F">
      <w:pPr>
        <w:pStyle w:val="TOC2"/>
        <w:rPr>
          <w:lang w:val="en-GB" w:eastAsia="en-GB" w:bidi="ar-SA"/>
        </w:rPr>
      </w:pPr>
      <w:hyperlink w:anchor="_Toc525215483" w:history="1">
        <w:r w:rsidRPr="00944A8B">
          <w:rPr>
            <w:rStyle w:val="Hyperlink"/>
            <w:rFonts w:ascii="Times New Roman" w:hAnsi="Times New Roman" w:cs="Times New Roman"/>
          </w:rPr>
          <w:t>I.2</w:t>
        </w:r>
        <w:r>
          <w:rPr>
            <w:lang w:val="en-GB" w:eastAsia="en-GB" w:bidi="ar-SA"/>
          </w:rPr>
          <w:tab/>
        </w:r>
        <w:r w:rsidRPr="00944A8B">
          <w:rPr>
            <w:rStyle w:val="Hyperlink"/>
            <w:rFonts w:ascii="Times New Roman" w:hAnsi="Times New Roman"/>
          </w:rPr>
          <w:t>Hänvisningar</w:t>
        </w:r>
        <w:r>
          <w:rPr>
            <w:webHidden/>
          </w:rPr>
          <w:tab/>
        </w:r>
        <w:r>
          <w:rPr>
            <w:webHidden/>
          </w:rPr>
          <w:fldChar w:fldCharType="begin"/>
        </w:r>
        <w:r>
          <w:rPr>
            <w:webHidden/>
          </w:rPr>
          <w:instrText xml:space="preserve"> PAGEREF _Toc525215483 \h </w:instrText>
        </w:r>
        <w:r>
          <w:rPr>
            <w:webHidden/>
          </w:rPr>
        </w:r>
        <w:r>
          <w:rPr>
            <w:webHidden/>
          </w:rPr>
          <w:fldChar w:fldCharType="separate"/>
        </w:r>
        <w:r>
          <w:rPr>
            <w:webHidden/>
          </w:rPr>
          <w:t>2</w:t>
        </w:r>
        <w:r>
          <w:rPr>
            <w:webHidden/>
          </w:rPr>
          <w:fldChar w:fldCharType="end"/>
        </w:r>
      </w:hyperlink>
    </w:p>
    <w:p w:rsidR="00D8163F" w:rsidRDefault="00D8163F">
      <w:pPr>
        <w:pStyle w:val="TOC2"/>
        <w:rPr>
          <w:lang w:val="en-GB" w:eastAsia="en-GB" w:bidi="ar-SA"/>
        </w:rPr>
      </w:pPr>
      <w:hyperlink w:anchor="_Toc525215484" w:history="1">
        <w:r w:rsidRPr="00944A8B">
          <w:rPr>
            <w:rStyle w:val="Hyperlink"/>
            <w:rFonts w:ascii="Times New Roman" w:hAnsi="Times New Roman" w:cs="Times New Roman"/>
          </w:rPr>
          <w:t>I.3</w:t>
        </w:r>
        <w:r>
          <w:rPr>
            <w:lang w:val="en-GB" w:eastAsia="en-GB" w:bidi="ar-SA"/>
          </w:rPr>
          <w:tab/>
        </w:r>
        <w:r w:rsidRPr="00944A8B">
          <w:rPr>
            <w:rStyle w:val="Hyperlink"/>
            <w:rFonts w:ascii="Times New Roman" w:hAnsi="Times New Roman"/>
          </w:rPr>
          <w:t>Redovisningsstandarder</w:t>
        </w:r>
        <w:r>
          <w:rPr>
            <w:webHidden/>
          </w:rPr>
          <w:tab/>
        </w:r>
        <w:r>
          <w:rPr>
            <w:webHidden/>
          </w:rPr>
          <w:fldChar w:fldCharType="begin"/>
        </w:r>
        <w:r>
          <w:rPr>
            <w:webHidden/>
          </w:rPr>
          <w:instrText xml:space="preserve"> PAGEREF _Toc525215484 \h </w:instrText>
        </w:r>
        <w:r>
          <w:rPr>
            <w:webHidden/>
          </w:rPr>
        </w:r>
        <w:r>
          <w:rPr>
            <w:webHidden/>
          </w:rPr>
          <w:fldChar w:fldCharType="separate"/>
        </w:r>
        <w:r>
          <w:rPr>
            <w:webHidden/>
          </w:rPr>
          <w:t>3</w:t>
        </w:r>
        <w:r>
          <w:rPr>
            <w:webHidden/>
          </w:rPr>
          <w:fldChar w:fldCharType="end"/>
        </w:r>
      </w:hyperlink>
    </w:p>
    <w:p w:rsidR="00D8163F" w:rsidRDefault="00D8163F">
      <w:pPr>
        <w:pStyle w:val="TOC2"/>
        <w:rPr>
          <w:lang w:val="en-GB" w:eastAsia="en-GB" w:bidi="ar-SA"/>
        </w:rPr>
      </w:pPr>
      <w:hyperlink w:anchor="_Toc525215485" w:history="1">
        <w:r w:rsidRPr="00944A8B">
          <w:rPr>
            <w:rStyle w:val="Hyperlink"/>
            <w:rFonts w:ascii="Times New Roman" w:hAnsi="Times New Roman" w:cs="Times New Roman"/>
          </w:rPr>
          <w:t>I.4</w:t>
        </w:r>
        <w:r>
          <w:rPr>
            <w:lang w:val="en-GB" w:eastAsia="en-GB" w:bidi="ar-SA"/>
          </w:rPr>
          <w:tab/>
        </w:r>
        <w:r w:rsidRPr="00944A8B">
          <w:rPr>
            <w:rStyle w:val="Hyperlink"/>
            <w:rFonts w:ascii="Times New Roman" w:hAnsi="Times New Roman"/>
          </w:rPr>
          <w:t>Omfattning av konsolidering</w:t>
        </w:r>
        <w:r>
          <w:rPr>
            <w:webHidden/>
          </w:rPr>
          <w:tab/>
        </w:r>
        <w:r>
          <w:rPr>
            <w:webHidden/>
          </w:rPr>
          <w:fldChar w:fldCharType="begin"/>
        </w:r>
        <w:r>
          <w:rPr>
            <w:webHidden/>
          </w:rPr>
          <w:instrText xml:space="preserve"> PAGEREF _Toc525215485 \h </w:instrText>
        </w:r>
        <w:r>
          <w:rPr>
            <w:webHidden/>
          </w:rPr>
        </w:r>
        <w:r>
          <w:rPr>
            <w:webHidden/>
          </w:rPr>
          <w:fldChar w:fldCharType="separate"/>
        </w:r>
        <w:r>
          <w:rPr>
            <w:webHidden/>
          </w:rPr>
          <w:t>3</w:t>
        </w:r>
        <w:r>
          <w:rPr>
            <w:webHidden/>
          </w:rPr>
          <w:fldChar w:fldCharType="end"/>
        </w:r>
      </w:hyperlink>
    </w:p>
    <w:p w:rsidR="00D8163F" w:rsidRDefault="00D8163F">
      <w:pPr>
        <w:pStyle w:val="TOC2"/>
        <w:rPr>
          <w:lang w:val="en-GB" w:eastAsia="en-GB" w:bidi="ar-SA"/>
        </w:rPr>
      </w:pPr>
      <w:hyperlink w:anchor="_Toc525215486" w:history="1">
        <w:r w:rsidRPr="00944A8B">
          <w:rPr>
            <w:rStyle w:val="Hyperlink"/>
            <w:rFonts w:ascii="Times New Roman" w:hAnsi="Times New Roman" w:cs="Times New Roman"/>
          </w:rPr>
          <w:t>I.5</w:t>
        </w:r>
        <w:r>
          <w:rPr>
            <w:lang w:val="en-GB" w:eastAsia="en-GB" w:bidi="ar-SA"/>
          </w:rPr>
          <w:tab/>
        </w:r>
        <w:r w:rsidRPr="00944A8B">
          <w:rPr>
            <w:rStyle w:val="Hyperlink"/>
            <w:rFonts w:ascii="Times New Roman" w:hAnsi="Times New Roman"/>
          </w:rPr>
          <w:t>Numrering och övriga konventioner</w:t>
        </w:r>
        <w:r>
          <w:rPr>
            <w:webHidden/>
          </w:rPr>
          <w:tab/>
        </w:r>
        <w:r>
          <w:rPr>
            <w:webHidden/>
          </w:rPr>
          <w:fldChar w:fldCharType="begin"/>
        </w:r>
        <w:r>
          <w:rPr>
            <w:webHidden/>
          </w:rPr>
          <w:instrText xml:space="preserve"> PAGEREF _Toc525215486 \h </w:instrText>
        </w:r>
        <w:r>
          <w:rPr>
            <w:webHidden/>
          </w:rPr>
        </w:r>
        <w:r>
          <w:rPr>
            <w:webHidden/>
          </w:rPr>
          <w:fldChar w:fldCharType="separate"/>
        </w:r>
        <w:r>
          <w:rPr>
            <w:webHidden/>
          </w:rPr>
          <w:t>4</w:t>
        </w:r>
        <w:r>
          <w:rPr>
            <w:webHidden/>
          </w:rPr>
          <w:fldChar w:fldCharType="end"/>
        </w:r>
      </w:hyperlink>
    </w:p>
    <w:p w:rsidR="00D8163F" w:rsidRDefault="00D8163F">
      <w:pPr>
        <w:pStyle w:val="TOC2"/>
        <w:rPr>
          <w:lang w:val="en-GB" w:eastAsia="en-GB" w:bidi="ar-SA"/>
        </w:rPr>
      </w:pPr>
      <w:hyperlink w:anchor="_Toc525215487" w:history="1">
        <w:r w:rsidRPr="00944A8B">
          <w:rPr>
            <w:rStyle w:val="Hyperlink"/>
            <w:rFonts w:ascii="Times New Roman" w:hAnsi="Times New Roman" w:cs="Times New Roman"/>
          </w:rPr>
          <w:t>II.</w:t>
        </w:r>
        <w:r>
          <w:rPr>
            <w:lang w:val="en-GB" w:eastAsia="en-GB" w:bidi="ar-SA"/>
          </w:rPr>
          <w:tab/>
        </w:r>
        <w:r w:rsidRPr="00944A8B">
          <w:rPr>
            <w:rStyle w:val="Hyperlink"/>
            <w:rFonts w:ascii="Times New Roman" w:hAnsi="Times New Roman"/>
          </w:rPr>
          <w:t>Mallrelaterade instruktioner</w:t>
        </w:r>
        <w:r>
          <w:rPr>
            <w:webHidden/>
          </w:rPr>
          <w:tab/>
        </w:r>
        <w:r>
          <w:rPr>
            <w:webHidden/>
          </w:rPr>
          <w:fldChar w:fldCharType="begin"/>
        </w:r>
        <w:r>
          <w:rPr>
            <w:webHidden/>
          </w:rPr>
          <w:instrText xml:space="preserve"> PAGEREF _Toc525215487 \h </w:instrText>
        </w:r>
        <w:r>
          <w:rPr>
            <w:webHidden/>
          </w:rPr>
        </w:r>
        <w:r>
          <w:rPr>
            <w:webHidden/>
          </w:rPr>
          <w:fldChar w:fldCharType="separate"/>
        </w:r>
        <w:r>
          <w:rPr>
            <w:webHidden/>
          </w:rPr>
          <w:t>4</w:t>
        </w:r>
        <w:r>
          <w:rPr>
            <w:webHidden/>
          </w:rPr>
          <w:fldChar w:fldCharType="end"/>
        </w:r>
      </w:hyperlink>
    </w:p>
    <w:p w:rsidR="00D8163F" w:rsidRDefault="00D8163F">
      <w:pPr>
        <w:pStyle w:val="TOC2"/>
        <w:rPr>
          <w:lang w:val="en-GB" w:eastAsia="en-GB" w:bidi="ar-SA"/>
        </w:rPr>
      </w:pPr>
      <w:hyperlink w:anchor="_Toc525215488" w:history="1">
        <w:r w:rsidRPr="00944A8B">
          <w:rPr>
            <w:rStyle w:val="Hyperlink"/>
            <w:rFonts w:ascii="Times New Roman" w:hAnsi="Times New Roman" w:cs="Times New Roman"/>
          </w:rPr>
          <w:t>II.1</w:t>
        </w:r>
        <w:r>
          <w:rPr>
            <w:lang w:val="en-GB" w:eastAsia="en-GB" w:bidi="ar-SA"/>
          </w:rPr>
          <w:tab/>
        </w:r>
        <w:r w:rsidRPr="00944A8B">
          <w:rPr>
            <w:rStyle w:val="Hyperlink"/>
            <w:rFonts w:ascii="Times New Roman" w:hAnsi="Times New Roman"/>
          </w:rPr>
          <w:t>Z 01.00 - Organisationsstruktur (ORG)</w:t>
        </w:r>
        <w:r>
          <w:rPr>
            <w:webHidden/>
          </w:rPr>
          <w:tab/>
        </w:r>
        <w:r>
          <w:rPr>
            <w:webHidden/>
          </w:rPr>
          <w:fldChar w:fldCharType="begin"/>
        </w:r>
        <w:r>
          <w:rPr>
            <w:webHidden/>
          </w:rPr>
          <w:instrText xml:space="preserve"> PAGEREF _Toc525215488 \h </w:instrText>
        </w:r>
        <w:r>
          <w:rPr>
            <w:webHidden/>
          </w:rPr>
        </w:r>
        <w:r>
          <w:rPr>
            <w:webHidden/>
          </w:rPr>
          <w:fldChar w:fldCharType="separate"/>
        </w:r>
        <w:r>
          <w:rPr>
            <w:webHidden/>
          </w:rPr>
          <w:t>4</w:t>
        </w:r>
        <w:r>
          <w:rPr>
            <w:webHidden/>
          </w:rPr>
          <w:fldChar w:fldCharType="end"/>
        </w:r>
      </w:hyperlink>
    </w:p>
    <w:p w:rsidR="00D8163F" w:rsidRDefault="00D8163F">
      <w:pPr>
        <w:pStyle w:val="TOC2"/>
        <w:rPr>
          <w:lang w:val="en-GB" w:eastAsia="en-GB" w:bidi="ar-SA"/>
        </w:rPr>
      </w:pPr>
      <w:hyperlink w:anchor="_Toc525215489" w:history="1">
        <w:r w:rsidRPr="00944A8B">
          <w:rPr>
            <w:rStyle w:val="Hyperlink"/>
            <w:rFonts w:ascii="Times New Roman" w:hAnsi="Times New Roman" w:cs="Times New Roman"/>
          </w:rPr>
          <w:t>II.2</w:t>
        </w:r>
        <w:r>
          <w:rPr>
            <w:lang w:val="en-GB" w:eastAsia="en-GB" w:bidi="ar-SA"/>
          </w:rPr>
          <w:tab/>
        </w:r>
        <w:r w:rsidRPr="00944A8B">
          <w:rPr>
            <w:rStyle w:val="Hyperlink"/>
            <w:rFonts w:ascii="Times New Roman" w:hAnsi="Times New Roman"/>
          </w:rPr>
          <w:t>Z 02.00 - Skuldstruktur (LIAB)</w:t>
        </w:r>
        <w:r>
          <w:rPr>
            <w:webHidden/>
          </w:rPr>
          <w:tab/>
        </w:r>
        <w:r>
          <w:rPr>
            <w:webHidden/>
          </w:rPr>
          <w:fldChar w:fldCharType="begin"/>
        </w:r>
        <w:r>
          <w:rPr>
            <w:webHidden/>
          </w:rPr>
          <w:instrText xml:space="preserve"> PAGEREF _Toc525215489 \h </w:instrText>
        </w:r>
        <w:r>
          <w:rPr>
            <w:webHidden/>
          </w:rPr>
        </w:r>
        <w:r>
          <w:rPr>
            <w:webHidden/>
          </w:rPr>
          <w:fldChar w:fldCharType="separate"/>
        </w:r>
        <w:r>
          <w:rPr>
            <w:webHidden/>
          </w:rPr>
          <w:t>7</w:t>
        </w:r>
        <w:r>
          <w:rPr>
            <w:webHidden/>
          </w:rPr>
          <w:fldChar w:fldCharType="end"/>
        </w:r>
      </w:hyperlink>
    </w:p>
    <w:p w:rsidR="00D8163F" w:rsidRDefault="00D8163F">
      <w:pPr>
        <w:pStyle w:val="TOC2"/>
        <w:rPr>
          <w:lang w:val="en-GB" w:eastAsia="en-GB" w:bidi="ar-SA"/>
        </w:rPr>
      </w:pPr>
      <w:hyperlink w:anchor="_Toc525215490" w:history="1">
        <w:r w:rsidRPr="00944A8B">
          <w:rPr>
            <w:rStyle w:val="Hyperlink"/>
            <w:rFonts w:ascii="Times New Roman" w:hAnsi="Times New Roman" w:cs="Times New Roman"/>
          </w:rPr>
          <w:t>II.3</w:t>
        </w:r>
        <w:r>
          <w:rPr>
            <w:lang w:val="en-GB" w:eastAsia="en-GB" w:bidi="ar-SA"/>
          </w:rPr>
          <w:tab/>
        </w:r>
        <w:r w:rsidRPr="00944A8B">
          <w:rPr>
            <w:rStyle w:val="Hyperlink"/>
            <w:rFonts w:ascii="Times New Roman" w:hAnsi="Times New Roman"/>
          </w:rPr>
          <w:t>Z 03.00 - Kapitalbaskrav (OWN)</w:t>
        </w:r>
        <w:r>
          <w:rPr>
            <w:webHidden/>
          </w:rPr>
          <w:tab/>
        </w:r>
        <w:r>
          <w:rPr>
            <w:webHidden/>
          </w:rPr>
          <w:fldChar w:fldCharType="begin"/>
        </w:r>
        <w:r>
          <w:rPr>
            <w:webHidden/>
          </w:rPr>
          <w:instrText xml:space="preserve"> PAGEREF _Toc525215490 \h </w:instrText>
        </w:r>
        <w:r>
          <w:rPr>
            <w:webHidden/>
          </w:rPr>
        </w:r>
        <w:r>
          <w:rPr>
            <w:webHidden/>
          </w:rPr>
          <w:fldChar w:fldCharType="separate"/>
        </w:r>
        <w:r>
          <w:rPr>
            <w:webHidden/>
          </w:rPr>
          <w:t>13</w:t>
        </w:r>
        <w:r>
          <w:rPr>
            <w:webHidden/>
          </w:rPr>
          <w:fldChar w:fldCharType="end"/>
        </w:r>
      </w:hyperlink>
    </w:p>
    <w:p w:rsidR="00D8163F" w:rsidRDefault="00D8163F">
      <w:pPr>
        <w:pStyle w:val="TOC2"/>
        <w:rPr>
          <w:lang w:val="en-GB" w:eastAsia="en-GB" w:bidi="ar-SA"/>
        </w:rPr>
      </w:pPr>
      <w:hyperlink w:anchor="_Toc525215491" w:history="1">
        <w:r w:rsidRPr="00944A8B">
          <w:rPr>
            <w:rStyle w:val="Hyperlink"/>
            <w:rFonts w:ascii="Times New Roman" w:hAnsi="Times New Roman" w:cs="Times New Roman"/>
          </w:rPr>
          <w:t>II.4</w:t>
        </w:r>
        <w:r>
          <w:rPr>
            <w:lang w:val="en-GB" w:eastAsia="en-GB" w:bidi="ar-SA"/>
          </w:rPr>
          <w:tab/>
        </w:r>
        <w:r w:rsidRPr="00944A8B">
          <w:rPr>
            <w:rStyle w:val="Hyperlink"/>
            <w:rFonts w:ascii="Times New Roman" w:hAnsi="Times New Roman"/>
          </w:rPr>
          <w:t>Z 04.00 - Finansiell sammanlänkning inom koncernen (IFC)</w:t>
        </w:r>
        <w:r>
          <w:rPr>
            <w:webHidden/>
          </w:rPr>
          <w:tab/>
        </w:r>
        <w:r>
          <w:rPr>
            <w:webHidden/>
          </w:rPr>
          <w:fldChar w:fldCharType="begin"/>
        </w:r>
        <w:r>
          <w:rPr>
            <w:webHidden/>
          </w:rPr>
          <w:instrText xml:space="preserve"> PAGEREF _Toc525215491 \h </w:instrText>
        </w:r>
        <w:r>
          <w:rPr>
            <w:webHidden/>
          </w:rPr>
        </w:r>
        <w:r>
          <w:rPr>
            <w:webHidden/>
          </w:rPr>
          <w:fldChar w:fldCharType="separate"/>
        </w:r>
        <w:r>
          <w:rPr>
            <w:webHidden/>
          </w:rPr>
          <w:t>17</w:t>
        </w:r>
        <w:r>
          <w:rPr>
            <w:webHidden/>
          </w:rPr>
          <w:fldChar w:fldCharType="end"/>
        </w:r>
      </w:hyperlink>
    </w:p>
    <w:p w:rsidR="00D8163F" w:rsidRDefault="00D8163F">
      <w:pPr>
        <w:pStyle w:val="TOC2"/>
        <w:rPr>
          <w:lang w:val="en-GB" w:eastAsia="en-GB" w:bidi="ar-SA"/>
        </w:rPr>
      </w:pPr>
      <w:hyperlink w:anchor="_Toc525215492" w:history="1">
        <w:r w:rsidRPr="00944A8B">
          <w:rPr>
            <w:rStyle w:val="Hyperlink"/>
            <w:rFonts w:ascii="Times New Roman" w:hAnsi="Times New Roman" w:cs="Times New Roman"/>
          </w:rPr>
          <w:t>II.5</w:t>
        </w:r>
        <w:r>
          <w:rPr>
            <w:lang w:val="en-GB" w:eastAsia="en-GB" w:bidi="ar-SA"/>
          </w:rPr>
          <w:tab/>
        </w:r>
        <w:r w:rsidRPr="00944A8B">
          <w:rPr>
            <w:rStyle w:val="Hyperlink"/>
            <w:rFonts w:ascii="Times New Roman" w:hAnsi="Times New Roman"/>
          </w:rPr>
          <w:t>Z 05.01 och Z 05.02 - Större motparter (MCP)</w:t>
        </w:r>
        <w:r>
          <w:rPr>
            <w:webHidden/>
          </w:rPr>
          <w:tab/>
        </w:r>
        <w:r>
          <w:rPr>
            <w:webHidden/>
          </w:rPr>
          <w:fldChar w:fldCharType="begin"/>
        </w:r>
        <w:r>
          <w:rPr>
            <w:webHidden/>
          </w:rPr>
          <w:instrText xml:space="preserve"> PAGEREF _Toc525215492 \h </w:instrText>
        </w:r>
        <w:r>
          <w:rPr>
            <w:webHidden/>
          </w:rPr>
        </w:r>
        <w:r>
          <w:rPr>
            <w:webHidden/>
          </w:rPr>
          <w:fldChar w:fldCharType="separate"/>
        </w:r>
        <w:r>
          <w:rPr>
            <w:webHidden/>
          </w:rPr>
          <w:t>19</w:t>
        </w:r>
        <w:r>
          <w:rPr>
            <w:webHidden/>
          </w:rPr>
          <w:fldChar w:fldCharType="end"/>
        </w:r>
      </w:hyperlink>
    </w:p>
    <w:p w:rsidR="00D8163F" w:rsidRDefault="00D8163F">
      <w:pPr>
        <w:pStyle w:val="TOC2"/>
        <w:rPr>
          <w:lang w:val="en-GB" w:eastAsia="en-GB" w:bidi="ar-SA"/>
        </w:rPr>
      </w:pPr>
      <w:hyperlink w:anchor="_Toc525215493" w:history="1">
        <w:r w:rsidRPr="00944A8B">
          <w:rPr>
            <w:rStyle w:val="Hyperlink"/>
            <w:rFonts w:ascii="Times New Roman" w:hAnsi="Times New Roman" w:cs="Times New Roman"/>
          </w:rPr>
          <w:t>II.6</w:t>
        </w:r>
        <w:r>
          <w:rPr>
            <w:lang w:val="en-GB" w:eastAsia="en-GB" w:bidi="ar-SA"/>
          </w:rPr>
          <w:tab/>
        </w:r>
        <w:r w:rsidRPr="00944A8B">
          <w:rPr>
            <w:rStyle w:val="Hyperlink"/>
            <w:rFonts w:ascii="Times New Roman" w:hAnsi="Times New Roman"/>
          </w:rPr>
          <w:t>Z 06.00 - Insättningsgaranti (DIS)</w:t>
        </w:r>
        <w:r>
          <w:rPr>
            <w:webHidden/>
          </w:rPr>
          <w:tab/>
        </w:r>
        <w:r>
          <w:rPr>
            <w:webHidden/>
          </w:rPr>
          <w:fldChar w:fldCharType="begin"/>
        </w:r>
        <w:r>
          <w:rPr>
            <w:webHidden/>
          </w:rPr>
          <w:instrText xml:space="preserve"> PAGEREF _Toc525215493 \h </w:instrText>
        </w:r>
        <w:r>
          <w:rPr>
            <w:webHidden/>
          </w:rPr>
        </w:r>
        <w:r>
          <w:rPr>
            <w:webHidden/>
          </w:rPr>
          <w:fldChar w:fldCharType="separate"/>
        </w:r>
        <w:r>
          <w:rPr>
            <w:webHidden/>
          </w:rPr>
          <w:t>22</w:t>
        </w:r>
        <w:r>
          <w:rPr>
            <w:webHidden/>
          </w:rPr>
          <w:fldChar w:fldCharType="end"/>
        </w:r>
      </w:hyperlink>
    </w:p>
    <w:p w:rsidR="00D8163F" w:rsidRDefault="00D8163F">
      <w:pPr>
        <w:pStyle w:val="TOC2"/>
        <w:rPr>
          <w:lang w:val="en-GB" w:eastAsia="en-GB" w:bidi="ar-SA"/>
        </w:rPr>
      </w:pPr>
      <w:hyperlink w:anchor="_Toc525215494" w:history="1">
        <w:r w:rsidRPr="00944A8B">
          <w:rPr>
            <w:rStyle w:val="Hyperlink"/>
            <w:rFonts w:ascii="Times New Roman" w:hAnsi="Times New Roman" w:cs="Times New Roman"/>
          </w:rPr>
          <w:t>II.7</w:t>
        </w:r>
        <w:r>
          <w:rPr>
            <w:lang w:val="en-GB" w:eastAsia="en-GB" w:bidi="ar-SA"/>
          </w:rPr>
          <w:tab/>
        </w:r>
        <w:r w:rsidRPr="00944A8B">
          <w:rPr>
            <w:rStyle w:val="Hyperlink"/>
            <w:rFonts w:ascii="Times New Roman" w:hAnsi="Times New Roman"/>
          </w:rPr>
          <w:t>Kritiska funktioner och kärnaffärsområden</w:t>
        </w:r>
        <w:r>
          <w:rPr>
            <w:webHidden/>
          </w:rPr>
          <w:tab/>
        </w:r>
        <w:r>
          <w:rPr>
            <w:webHidden/>
          </w:rPr>
          <w:fldChar w:fldCharType="begin"/>
        </w:r>
        <w:r>
          <w:rPr>
            <w:webHidden/>
          </w:rPr>
          <w:instrText xml:space="preserve"> PAGEREF _Toc525215494 \h </w:instrText>
        </w:r>
        <w:r>
          <w:rPr>
            <w:webHidden/>
          </w:rPr>
        </w:r>
        <w:r>
          <w:rPr>
            <w:webHidden/>
          </w:rPr>
          <w:fldChar w:fldCharType="separate"/>
        </w:r>
        <w:r>
          <w:rPr>
            <w:webHidden/>
          </w:rPr>
          <w:t>25</w:t>
        </w:r>
        <w:r>
          <w:rPr>
            <w:webHidden/>
          </w:rPr>
          <w:fldChar w:fldCharType="end"/>
        </w:r>
      </w:hyperlink>
    </w:p>
    <w:p w:rsidR="00D8163F" w:rsidRDefault="00D8163F">
      <w:pPr>
        <w:pStyle w:val="TOC2"/>
        <w:rPr>
          <w:lang w:val="en-GB" w:eastAsia="en-GB" w:bidi="ar-SA"/>
        </w:rPr>
      </w:pPr>
      <w:hyperlink w:anchor="_Toc525215495" w:history="1">
        <w:r w:rsidRPr="00944A8B">
          <w:rPr>
            <w:rStyle w:val="Hyperlink"/>
            <w:rFonts w:ascii="Times New Roman" w:hAnsi="Times New Roman" w:cs="Times New Roman"/>
          </w:rPr>
          <w:t>II.8</w:t>
        </w:r>
        <w:r>
          <w:rPr>
            <w:lang w:val="en-GB" w:eastAsia="en-GB" w:bidi="ar-SA"/>
          </w:rPr>
          <w:tab/>
        </w:r>
        <w:r w:rsidRPr="00944A8B">
          <w:rPr>
            <w:rStyle w:val="Hyperlink"/>
            <w:rFonts w:ascii="Times New Roman" w:hAnsi="Times New Roman"/>
          </w:rPr>
          <w:t>Z 08.00 - Kritiska tjänster (SERV)</w:t>
        </w:r>
        <w:r>
          <w:rPr>
            <w:webHidden/>
          </w:rPr>
          <w:tab/>
        </w:r>
        <w:r>
          <w:rPr>
            <w:webHidden/>
          </w:rPr>
          <w:fldChar w:fldCharType="begin"/>
        </w:r>
        <w:r>
          <w:rPr>
            <w:webHidden/>
          </w:rPr>
          <w:instrText xml:space="preserve"> PAGEREF _Toc525215495 \h </w:instrText>
        </w:r>
        <w:r>
          <w:rPr>
            <w:webHidden/>
          </w:rPr>
        </w:r>
        <w:r>
          <w:rPr>
            <w:webHidden/>
          </w:rPr>
          <w:fldChar w:fldCharType="separate"/>
        </w:r>
        <w:r>
          <w:rPr>
            <w:webHidden/>
          </w:rPr>
          <w:t>33</w:t>
        </w:r>
        <w:r>
          <w:rPr>
            <w:webHidden/>
          </w:rPr>
          <w:fldChar w:fldCharType="end"/>
        </w:r>
      </w:hyperlink>
    </w:p>
    <w:p w:rsidR="00D8163F" w:rsidRDefault="00D8163F">
      <w:pPr>
        <w:pStyle w:val="TOC2"/>
        <w:rPr>
          <w:lang w:val="en-GB" w:eastAsia="en-GB" w:bidi="ar-SA"/>
        </w:rPr>
      </w:pPr>
      <w:hyperlink w:anchor="_Toc525215496" w:history="1">
        <w:r w:rsidRPr="00944A8B">
          <w:rPr>
            <w:rStyle w:val="Hyperlink"/>
            <w:rFonts w:ascii="Times New Roman" w:hAnsi="Times New Roman" w:cs="Times New Roman"/>
          </w:rPr>
          <w:t>II.9</w:t>
        </w:r>
        <w:r>
          <w:rPr>
            <w:lang w:val="en-GB" w:eastAsia="en-GB" w:bidi="ar-SA"/>
          </w:rPr>
          <w:tab/>
        </w:r>
        <w:r w:rsidRPr="00944A8B">
          <w:rPr>
            <w:rStyle w:val="Hyperlink"/>
            <w:rFonts w:ascii="Times New Roman" w:hAnsi="Times New Roman"/>
          </w:rPr>
          <w:t>Z 09.00 -FMI-tjänster - leverantörer och användare - kartläggning enligt kritiska funktioner.</w:t>
        </w:r>
        <w:r>
          <w:rPr>
            <w:webHidden/>
          </w:rPr>
          <w:tab/>
        </w:r>
        <w:r>
          <w:rPr>
            <w:webHidden/>
          </w:rPr>
          <w:fldChar w:fldCharType="begin"/>
        </w:r>
        <w:r>
          <w:rPr>
            <w:webHidden/>
          </w:rPr>
          <w:instrText xml:space="preserve"> PAGEREF _Toc525215496 \h </w:instrText>
        </w:r>
        <w:r>
          <w:rPr>
            <w:webHidden/>
          </w:rPr>
        </w:r>
        <w:r>
          <w:rPr>
            <w:webHidden/>
          </w:rPr>
          <w:fldChar w:fldCharType="separate"/>
        </w:r>
        <w:r>
          <w:rPr>
            <w:webHidden/>
          </w:rPr>
          <w:t>37</w:t>
        </w:r>
        <w:r>
          <w:rPr>
            <w:webHidden/>
          </w:rPr>
          <w:fldChar w:fldCharType="end"/>
        </w:r>
      </w:hyperlink>
    </w:p>
    <w:p w:rsidR="00D8163F" w:rsidRDefault="00D8163F">
      <w:pPr>
        <w:pStyle w:val="TOC2"/>
        <w:rPr>
          <w:lang w:val="en-GB" w:eastAsia="en-GB" w:bidi="ar-SA"/>
        </w:rPr>
      </w:pPr>
      <w:hyperlink w:anchor="_Toc525215497" w:history="1">
        <w:r w:rsidRPr="00944A8B">
          <w:rPr>
            <w:rStyle w:val="Hyperlink"/>
            <w:rFonts w:ascii="Times New Roman" w:hAnsi="Times New Roman" w:cs="Times New Roman"/>
          </w:rPr>
          <w:t>II.10</w:t>
        </w:r>
        <w:r>
          <w:rPr>
            <w:lang w:val="en-GB" w:eastAsia="en-GB" w:bidi="ar-SA"/>
          </w:rPr>
          <w:tab/>
        </w:r>
        <w:r w:rsidRPr="00944A8B">
          <w:rPr>
            <w:rStyle w:val="Hyperlink"/>
            <w:rFonts w:ascii="Times New Roman" w:hAnsi="Times New Roman"/>
          </w:rPr>
          <w:t>Kritiska informationssystem</w:t>
        </w:r>
        <w:r>
          <w:rPr>
            <w:webHidden/>
          </w:rPr>
          <w:tab/>
        </w:r>
        <w:r>
          <w:rPr>
            <w:webHidden/>
          </w:rPr>
          <w:fldChar w:fldCharType="begin"/>
        </w:r>
        <w:r>
          <w:rPr>
            <w:webHidden/>
          </w:rPr>
          <w:instrText xml:space="preserve"> PAGEREF _Toc525215497 \h </w:instrText>
        </w:r>
        <w:r>
          <w:rPr>
            <w:webHidden/>
          </w:rPr>
        </w:r>
        <w:r>
          <w:rPr>
            <w:webHidden/>
          </w:rPr>
          <w:fldChar w:fldCharType="separate"/>
        </w:r>
        <w:r>
          <w:rPr>
            <w:webHidden/>
          </w:rPr>
          <w:t>39</w:t>
        </w:r>
        <w:r>
          <w:rPr>
            <w:webHidden/>
          </w:rPr>
          <w:fldChar w:fldCharType="end"/>
        </w:r>
      </w:hyperlink>
    </w:p>
    <w:p w:rsidR="00421CDC" w:rsidRPr="00D92B3C" w:rsidRDefault="001D258F">
      <w:pPr>
        <w:pStyle w:val="TOC2"/>
      </w:pPr>
      <w:r>
        <w:rPr>
          <w:rFonts w:ascii="Times New Roman" w:hAnsi="Times New Roman" w:cs="Times New Roman"/>
          <w:bCs/>
          <w:color w:val="000000" w:themeColor="text1"/>
          <w:sz w:val="20"/>
          <w:szCs w:val="20"/>
        </w:rPr>
        <w:fldChar w:fldCharType="end"/>
      </w:r>
    </w:p>
    <w:p w:rsidR="00385C06" w:rsidRPr="00D92B3C" w:rsidRDefault="00385C06" w:rsidP="00385C06">
      <w:pPr>
        <w:rPr>
          <w:rFonts w:ascii="Times New Roman" w:hAnsi="Times New Roman" w:cs="Times New Roman"/>
          <w:b/>
          <w:color w:val="000000" w:themeColor="text1"/>
          <w:sz w:val="20"/>
          <w:szCs w:val="20"/>
        </w:rPr>
      </w:pPr>
    </w:p>
    <w:p w:rsidR="00E13CE3" w:rsidRPr="00D92B3C" w:rsidRDefault="00E13CE3" w:rsidP="00585A96">
      <w:pPr>
        <w:pStyle w:val="ListParagraph"/>
        <w:rPr>
          <w:rFonts w:ascii="Times New Roman" w:hAnsi="Times New Roman"/>
          <w:b/>
          <w:color w:val="000000" w:themeColor="text1"/>
          <w:sz w:val="20"/>
          <w:szCs w:val="20"/>
        </w:rPr>
      </w:pPr>
    </w:p>
    <w:p w:rsidR="000D0650" w:rsidRPr="00D92B3C" w:rsidRDefault="000D0650">
      <w:pPr>
        <w:spacing w:after="200" w:line="276" w:lineRule="auto"/>
        <w:rPr>
          <w:rFonts w:ascii="Times New Roman" w:eastAsiaTheme="majorEastAsia" w:hAnsi="Times New Roman" w:cs="Times New Roman"/>
          <w:color w:val="000000" w:themeColor="text1"/>
          <w:spacing w:val="5"/>
          <w:kern w:val="28"/>
          <w:sz w:val="20"/>
          <w:szCs w:val="20"/>
        </w:rPr>
      </w:pPr>
      <w:bookmarkStart w:id="1" w:name="_Toc492542318"/>
      <w:r>
        <w:br w:type="page"/>
      </w:r>
    </w:p>
    <w:p w:rsidR="00E13CE3" w:rsidRPr="00D92B3C" w:rsidRDefault="001E5EDF" w:rsidP="004524FA">
      <w:pPr>
        <w:pStyle w:val="Instructionsberschrift2"/>
        <w:numPr>
          <w:ilvl w:val="0"/>
          <w:numId w:val="7"/>
        </w:numPr>
        <w:ind w:left="357" w:hanging="357"/>
        <w:rPr>
          <w:rFonts w:ascii="Times New Roman" w:hAnsi="Times New Roman" w:cs="Times New Roman"/>
          <w:szCs w:val="20"/>
        </w:rPr>
      </w:pPr>
      <w:bookmarkStart w:id="2" w:name="_Toc509909032"/>
      <w:bookmarkStart w:id="3" w:name="_Toc525215481"/>
      <w:r>
        <w:rPr>
          <w:rFonts w:ascii="Times New Roman" w:hAnsi="Times New Roman"/>
        </w:rPr>
        <w:lastRenderedPageBreak/>
        <w:t>Allmänna instruktioner</w:t>
      </w:r>
      <w:bookmarkEnd w:id="1"/>
      <w:bookmarkEnd w:id="2"/>
      <w:bookmarkEnd w:id="3"/>
    </w:p>
    <w:p w:rsidR="002B2A61" w:rsidRPr="00D92B3C" w:rsidRDefault="002B2A61" w:rsidP="004524FA">
      <w:pPr>
        <w:pStyle w:val="Instructionsberschrift2"/>
        <w:numPr>
          <w:ilvl w:val="1"/>
          <w:numId w:val="7"/>
        </w:numPr>
        <w:ind w:left="357" w:hanging="357"/>
        <w:rPr>
          <w:rFonts w:ascii="Times New Roman" w:hAnsi="Times New Roman" w:cs="Times New Roman"/>
          <w:szCs w:val="20"/>
        </w:rPr>
      </w:pPr>
      <w:bookmarkStart w:id="4" w:name="_Toc509909033"/>
      <w:bookmarkStart w:id="5" w:name="_Toc525215482"/>
      <w:r>
        <w:rPr>
          <w:rFonts w:ascii="Times New Roman" w:hAnsi="Times New Roman"/>
        </w:rPr>
        <w:t>Struktur</w:t>
      </w:r>
      <w:bookmarkEnd w:id="4"/>
      <w:bookmarkEnd w:id="5"/>
    </w:p>
    <w:p w:rsidR="002B2A61" w:rsidRPr="00D92B3C" w:rsidRDefault="002B2A61"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Ramverket består av 15 mallar organiserade i tre sektioner:</w:t>
      </w:r>
    </w:p>
    <w:p w:rsidR="002B2A61" w:rsidRPr="00D92B3C" w:rsidRDefault="00170788" w:rsidP="00715DAB">
      <w:pPr>
        <w:pStyle w:val="body"/>
        <w:numPr>
          <w:ilvl w:val="0"/>
          <w:numId w:val="19"/>
        </w:numPr>
        <w:rPr>
          <w:rFonts w:ascii="Times New Roman" w:hAnsi="Times New Roman" w:cs="Times New Roman"/>
          <w:color w:val="000000" w:themeColor="text1"/>
          <w:sz w:val="20"/>
          <w:szCs w:val="20"/>
        </w:rPr>
      </w:pPr>
      <w:r>
        <w:rPr>
          <w:rFonts w:ascii="Times New Roman" w:hAnsi="Times New Roman"/>
          <w:color w:val="000000" w:themeColor="text1"/>
          <w:sz w:val="20"/>
        </w:rPr>
        <w:t>”Allmän information”, som ger en överblick över organisationsstrukturen hos en koncern och dess enheter, fördelningen av tillgångar och riskexponeringsbeloppen. Denna sektion består av mall ”Z 01.00 - Organisationsstruktur (ORG)”.</w:t>
      </w:r>
    </w:p>
    <w:p w:rsidR="00170788" w:rsidRPr="00D92B3C" w:rsidRDefault="00170788" w:rsidP="00715DAB">
      <w:pPr>
        <w:pStyle w:val="body"/>
        <w:numPr>
          <w:ilvl w:val="0"/>
          <w:numId w:val="19"/>
        </w:numPr>
        <w:rPr>
          <w:rFonts w:ascii="Times New Roman" w:hAnsi="Times New Roman" w:cs="Times New Roman"/>
          <w:color w:val="000000" w:themeColor="text1"/>
          <w:sz w:val="20"/>
          <w:szCs w:val="20"/>
        </w:rPr>
      </w:pPr>
      <w:r>
        <w:rPr>
          <w:rFonts w:ascii="Times New Roman" w:hAnsi="Times New Roman"/>
          <w:color w:val="000000" w:themeColor="text1"/>
          <w:sz w:val="20"/>
        </w:rPr>
        <w:t>”Information om poster på och utanför balansräkningen” som ger finansiell information om skulder, kapitalbas, finansiella relationer mellan koncernenheter, skulder gentemot större motparter och poster utanför balansräkningen som mottagits av större motparter samt insättningsgaranti. Denna sektion består av sex mallar:</w:t>
      </w:r>
    </w:p>
    <w:p w:rsidR="00D44790" w:rsidRPr="00D92B3C" w:rsidRDefault="00A040CC" w:rsidP="00C87003">
      <w:pPr>
        <w:pStyle w:val="body"/>
        <w:numPr>
          <w:ilvl w:val="0"/>
          <w:numId w:val="47"/>
        </w:numPr>
        <w:rPr>
          <w:rFonts w:ascii="Times New Roman" w:hAnsi="Times New Roman" w:cs="Times New Roman"/>
          <w:color w:val="000000" w:themeColor="text1"/>
          <w:sz w:val="20"/>
          <w:szCs w:val="20"/>
        </w:rPr>
      </w:pPr>
      <w:r>
        <w:rPr>
          <w:rFonts w:ascii="Times New Roman" w:hAnsi="Times New Roman"/>
          <w:color w:val="000000" w:themeColor="text1"/>
          <w:sz w:val="20"/>
        </w:rPr>
        <w:t>”Z 02.00 - Skuldstruktur (LIAB)”.</w:t>
      </w:r>
    </w:p>
    <w:p w:rsidR="00D44790" w:rsidRPr="00D92B3C" w:rsidRDefault="00A040CC" w:rsidP="00C87003">
      <w:pPr>
        <w:pStyle w:val="body"/>
        <w:numPr>
          <w:ilvl w:val="0"/>
          <w:numId w:val="47"/>
        </w:numPr>
        <w:rPr>
          <w:rFonts w:ascii="Times New Roman" w:hAnsi="Times New Roman" w:cs="Times New Roman"/>
          <w:color w:val="000000" w:themeColor="text1"/>
          <w:sz w:val="20"/>
          <w:szCs w:val="20"/>
        </w:rPr>
      </w:pPr>
      <w:r>
        <w:rPr>
          <w:rFonts w:ascii="Times New Roman" w:hAnsi="Times New Roman"/>
          <w:color w:val="000000" w:themeColor="text1"/>
          <w:sz w:val="20"/>
        </w:rPr>
        <w:t>”Z 03.00 - Kapitalbaskrav (OWN)”.</w:t>
      </w:r>
    </w:p>
    <w:p w:rsidR="00D44790" w:rsidRPr="00D92B3C" w:rsidRDefault="00A040CC" w:rsidP="00C87003">
      <w:pPr>
        <w:pStyle w:val="body"/>
        <w:numPr>
          <w:ilvl w:val="0"/>
          <w:numId w:val="47"/>
        </w:numPr>
        <w:rPr>
          <w:rFonts w:ascii="Times New Roman" w:hAnsi="Times New Roman" w:cs="Times New Roman"/>
          <w:color w:val="000000" w:themeColor="text1"/>
          <w:sz w:val="20"/>
          <w:szCs w:val="20"/>
        </w:rPr>
      </w:pPr>
      <w:r>
        <w:rPr>
          <w:rFonts w:ascii="Times New Roman" w:hAnsi="Times New Roman"/>
          <w:color w:val="000000" w:themeColor="text1"/>
          <w:sz w:val="20"/>
        </w:rPr>
        <w:t>”Z 04.00 - Finansiell sammanlänkning inom koncernen (IFC)”.</w:t>
      </w:r>
    </w:p>
    <w:p w:rsidR="001F072D" w:rsidRPr="00D92B3C" w:rsidRDefault="00C87003" w:rsidP="00C87003">
      <w:pPr>
        <w:pStyle w:val="body"/>
        <w:numPr>
          <w:ilvl w:val="0"/>
          <w:numId w:val="47"/>
        </w:numPr>
        <w:rPr>
          <w:rFonts w:ascii="Times New Roman" w:hAnsi="Times New Roman" w:cs="Times New Roman"/>
          <w:color w:val="000000" w:themeColor="text1"/>
          <w:sz w:val="20"/>
          <w:szCs w:val="20"/>
        </w:rPr>
      </w:pPr>
      <w:r>
        <w:rPr>
          <w:rFonts w:ascii="Times New Roman" w:hAnsi="Times New Roman"/>
          <w:color w:val="000000" w:themeColor="text1"/>
          <w:sz w:val="20"/>
        </w:rPr>
        <w:t>Två mallar för större motparter, ”Z 05.01 - Större skuldmotparter (Z-MCP 1)” och ”Z 05.02 - Större motparter utanför balansräkningen (Z-MCP 2)”.</w:t>
      </w:r>
    </w:p>
    <w:p w:rsidR="00A040CC" w:rsidRPr="00274771" w:rsidRDefault="00A040CC" w:rsidP="00C87003">
      <w:pPr>
        <w:pStyle w:val="body"/>
        <w:numPr>
          <w:ilvl w:val="0"/>
          <w:numId w:val="47"/>
        </w:numPr>
        <w:rPr>
          <w:rFonts w:ascii="Times New Roman" w:hAnsi="Times New Roman" w:cs="Times New Roman"/>
          <w:color w:val="000000" w:themeColor="text1"/>
          <w:sz w:val="20"/>
          <w:szCs w:val="20"/>
        </w:rPr>
      </w:pPr>
      <w:r>
        <w:rPr>
          <w:rFonts w:ascii="Times New Roman" w:hAnsi="Times New Roman"/>
          <w:color w:val="000000" w:themeColor="text1"/>
          <w:sz w:val="20"/>
        </w:rPr>
        <w:t>”Z 06.00 - Insättningsgaranti (Z-DIS)”</w:t>
      </w:r>
    </w:p>
    <w:p w:rsidR="00BB5812" w:rsidRPr="00D92B3C" w:rsidRDefault="00BB5812" w:rsidP="00715DAB">
      <w:pPr>
        <w:pStyle w:val="body"/>
        <w:numPr>
          <w:ilvl w:val="0"/>
          <w:numId w:val="19"/>
        </w:numPr>
        <w:rPr>
          <w:rFonts w:ascii="Times New Roman" w:hAnsi="Times New Roman" w:cs="Times New Roman"/>
          <w:color w:val="000000" w:themeColor="text1"/>
          <w:sz w:val="20"/>
          <w:szCs w:val="20"/>
        </w:rPr>
      </w:pPr>
      <w:r>
        <w:rPr>
          <w:rFonts w:ascii="Times New Roman" w:hAnsi="Times New Roman"/>
          <w:color w:val="000000" w:themeColor="text1"/>
          <w:sz w:val="20"/>
        </w:rPr>
        <w:t>”Kritiska funktioner” som ger en överblick över kritiska funktioner och kopplar dem till juridiska personer, kärnaffärsområden, kritiska tjänster, finansmarknadsinfrastrukturer och informationssystem. Denna sektion består av sju mallar:</w:t>
      </w:r>
    </w:p>
    <w:p w:rsidR="002B2A61" w:rsidRPr="00D92B3C" w:rsidRDefault="001E6258" w:rsidP="00715DAB">
      <w:pPr>
        <w:pStyle w:val="body"/>
        <w:numPr>
          <w:ilvl w:val="0"/>
          <w:numId w:val="20"/>
        </w:numPr>
        <w:rPr>
          <w:rFonts w:ascii="Times New Roman" w:hAnsi="Times New Roman" w:cs="Times New Roman"/>
          <w:color w:val="000000" w:themeColor="text1"/>
          <w:sz w:val="20"/>
          <w:szCs w:val="20"/>
        </w:rPr>
      </w:pPr>
      <w:r>
        <w:rPr>
          <w:rFonts w:ascii="Times New Roman" w:hAnsi="Times New Roman"/>
          <w:color w:val="000000" w:themeColor="text1"/>
          <w:sz w:val="20"/>
        </w:rPr>
        <w:t>Fyra mallar för att identifiera kritiska funktioner och koppla dem till kärnaffärsområden och koncernenheter, ”Z 07.01 - Kriticitetsbedömning av ekonomiska funktioner (Z-FUNC 1)”, ”Z 07.02 - Kartläggning av kritiska funktioner enligt juridisk person (Z-FUNC 2)”, ”Z 07.03 - Kartläggning av kärnaffärsområden enligt juridisk person (Z-FUNC 3)” och ”Z 07.04 - Kartläggning av kritiska funktioner enligt kärnaffärsområden (Z-FUNC 4)”.</w:t>
      </w:r>
    </w:p>
    <w:p w:rsidR="001E6258" w:rsidRPr="00D92B3C" w:rsidRDefault="00B24A26" w:rsidP="00715DAB">
      <w:pPr>
        <w:pStyle w:val="body"/>
        <w:numPr>
          <w:ilvl w:val="0"/>
          <w:numId w:val="20"/>
        </w:numPr>
        <w:rPr>
          <w:rFonts w:ascii="Times New Roman" w:hAnsi="Times New Roman" w:cs="Times New Roman"/>
          <w:color w:val="000000" w:themeColor="text1"/>
          <w:sz w:val="20"/>
          <w:szCs w:val="20"/>
        </w:rPr>
      </w:pPr>
      <w:r>
        <w:rPr>
          <w:rFonts w:ascii="Times New Roman" w:hAnsi="Times New Roman"/>
          <w:color w:val="000000" w:themeColor="text1"/>
          <w:sz w:val="20"/>
        </w:rPr>
        <w:t>”Z 08.00 - Kritiska tjänster (Z-SERV)”.</w:t>
      </w:r>
    </w:p>
    <w:p w:rsidR="00B24A26" w:rsidRPr="00D92B3C" w:rsidRDefault="00B24A26" w:rsidP="006F50B4">
      <w:pPr>
        <w:pStyle w:val="body"/>
        <w:numPr>
          <w:ilvl w:val="0"/>
          <w:numId w:val="20"/>
        </w:numPr>
        <w:rPr>
          <w:rFonts w:ascii="Times New Roman" w:hAnsi="Times New Roman" w:cs="Times New Roman"/>
          <w:color w:val="000000" w:themeColor="text1"/>
          <w:sz w:val="20"/>
          <w:szCs w:val="20"/>
        </w:rPr>
      </w:pPr>
      <w:r>
        <w:rPr>
          <w:rFonts w:ascii="Times New Roman" w:hAnsi="Times New Roman"/>
          <w:color w:val="000000" w:themeColor="text1"/>
          <w:sz w:val="20"/>
        </w:rPr>
        <w:t xml:space="preserve"> Z 09.00 - FMI-tjänster - leverantörer och användare - kartläggning enligt kritiska funktioner (FMI).</w:t>
      </w:r>
    </w:p>
    <w:p w:rsidR="00D91F52" w:rsidRPr="00D92B3C" w:rsidRDefault="00D62530" w:rsidP="00715DAB">
      <w:pPr>
        <w:pStyle w:val="body"/>
        <w:numPr>
          <w:ilvl w:val="0"/>
          <w:numId w:val="20"/>
        </w:numPr>
        <w:rPr>
          <w:rFonts w:ascii="Times New Roman" w:hAnsi="Times New Roman" w:cs="Times New Roman"/>
          <w:color w:val="000000" w:themeColor="text1"/>
          <w:sz w:val="20"/>
          <w:szCs w:val="20"/>
        </w:rPr>
      </w:pPr>
      <w:r>
        <w:rPr>
          <w:rFonts w:ascii="Times New Roman" w:hAnsi="Times New Roman"/>
          <w:color w:val="000000" w:themeColor="text1"/>
          <w:sz w:val="20"/>
        </w:rPr>
        <w:t>2 mallar för kritiska informationssystem, ”Z 10.01 - Kritiska informationssystem (allmän information) (Z-CIS 1)” och ”Z 10.02 - Kartläggning av informationssystem (Z-CIS 2)”.</w:t>
      </w:r>
    </w:p>
    <w:p w:rsidR="00C93D9F" w:rsidRPr="00D92B3C" w:rsidRDefault="00C93D9F" w:rsidP="008854E4">
      <w:pPr>
        <w:pStyle w:val="Instructionsberschrift2"/>
        <w:numPr>
          <w:ilvl w:val="1"/>
          <w:numId w:val="7"/>
        </w:numPr>
        <w:ind w:left="357" w:hanging="357"/>
        <w:rPr>
          <w:rFonts w:ascii="Times New Roman" w:hAnsi="Times New Roman" w:cs="Times New Roman"/>
          <w:szCs w:val="20"/>
        </w:rPr>
      </w:pPr>
      <w:bookmarkStart w:id="6" w:name="_Toc509909034"/>
      <w:bookmarkStart w:id="7" w:name="_Toc525215483"/>
      <w:r>
        <w:rPr>
          <w:rFonts w:ascii="Times New Roman" w:hAnsi="Times New Roman"/>
        </w:rPr>
        <w:t>Hänvisningar</w:t>
      </w:r>
      <w:bookmarkEnd w:id="6"/>
      <w:bookmarkEnd w:id="7"/>
    </w:p>
    <w:p w:rsidR="00C93D9F" w:rsidRPr="00D92B3C" w:rsidRDefault="00C93D9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I denna bilaga används följande förkortningar:</w:t>
      </w:r>
    </w:p>
    <w:p w:rsidR="00CF3051" w:rsidRPr="00D92B3C" w:rsidRDefault="00CF3051" w:rsidP="00715DA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Med ”BCBS” avses Baselkommittén för banktillsyn vid Banken för internationell betalningsutjämning.</w:t>
      </w:r>
    </w:p>
    <w:p w:rsidR="00B466DD" w:rsidRPr="00D92B3C" w:rsidRDefault="00B466DD" w:rsidP="00715DA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Med ”CPMI” avses kommittén för betalningar och marknadsinfrastruktur vid Banken för internationell betalningsutjämning.</w:t>
      </w:r>
    </w:p>
    <w:p w:rsidR="00E52C33" w:rsidRPr="00D92B3C" w:rsidRDefault="00E52C33" w:rsidP="007C4DB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lastRenderedPageBreak/>
        <w:t>Med ”Finrep” avses mallarna för finansiell information i bilaga III och IV, samt tilläggsinstruktionerna i bilaga V i kommissionens genomförandeförordning (EU) nr 680/2014</w:t>
      </w:r>
      <w:r>
        <w:rPr>
          <w:rStyle w:val="FootnoteReference"/>
          <w:rFonts w:ascii="Times New Roman" w:hAnsi="Times New Roman"/>
          <w:sz w:val="20"/>
        </w:rPr>
        <w:footnoteReference w:id="1"/>
      </w:r>
      <w:r>
        <w:rPr>
          <w:rFonts w:ascii="Times New Roman" w:hAnsi="Times New Roman"/>
          <w:color w:val="000000" w:themeColor="text1"/>
          <w:sz w:val="20"/>
        </w:rPr>
        <w:t>.</w:t>
      </w:r>
    </w:p>
    <w:p w:rsidR="00D920E5" w:rsidRPr="007C4DBB" w:rsidRDefault="00D920E5" w:rsidP="007C4DB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Med ”Corep (OF)” avses bilagorna I (mallar) och II (instruktioner) till kommissionens genomförandeförordning (EU) nr 680/2014.</w:t>
      </w:r>
    </w:p>
    <w:p w:rsidR="00D920E5" w:rsidRPr="007C4DBB" w:rsidRDefault="00D920E5" w:rsidP="007C4DB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Med ”Corep (LR)” avses bilagorna X (mallar) och XI (instruktioner) i kommissionens genomförandeförordning (EU) nr 680/2014.</w:t>
      </w:r>
    </w:p>
    <w:p w:rsidR="00B466DD" w:rsidRPr="00D92B3C" w:rsidRDefault="00B466DD" w:rsidP="00715DA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Med ”FSB” avses rådet för finansiell stabilitet.</w:t>
      </w:r>
    </w:p>
    <w:p w:rsidR="00E52C33" w:rsidRPr="00BB34DC" w:rsidRDefault="00E52C33" w:rsidP="0072422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Med ”IAS-standard” avses internationell redovisningsstandard enligt definitionen i artikel 2 i Europaparlamentets och rådets förordning (EG) nr 1606/2002</w:t>
      </w:r>
      <w:r>
        <w:rPr>
          <w:vertAlign w:val="superscript"/>
        </w:rPr>
        <w:footnoteReference w:id="2"/>
      </w:r>
      <w:r>
        <w:rPr>
          <w:rFonts w:ascii="Times New Roman" w:hAnsi="Times New Roman"/>
          <w:color w:val="000000" w:themeColor="text1"/>
          <w:sz w:val="20"/>
        </w:rPr>
        <w:t>.</w:t>
      </w:r>
    </w:p>
    <w:p w:rsidR="0036168C" w:rsidRPr="00D92B3C" w:rsidRDefault="0036168C" w:rsidP="00715DA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Med ”IFRS-standard” avses internationell redovisningsstandard (International Financial Reporting Standard) enligt definitionen i artikel 2 i Europaparlamentets och rådets förordning (EG) nr 1606/2002</w:t>
      </w:r>
      <w:r>
        <w:rPr>
          <w:rStyle w:val="FootnoteReference"/>
          <w:rFonts w:ascii="Times New Roman" w:hAnsi="Times New Roman"/>
          <w:color w:val="000000" w:themeColor="text1"/>
          <w:sz w:val="20"/>
        </w:rPr>
        <w:footnoteReference w:id="3"/>
      </w:r>
      <w:r>
        <w:rPr>
          <w:rFonts w:ascii="Times New Roman" w:hAnsi="Times New Roman"/>
          <w:color w:val="000000" w:themeColor="text1"/>
          <w:sz w:val="20"/>
        </w:rPr>
        <w:t>.</w:t>
      </w:r>
    </w:p>
    <w:p w:rsidR="007D568C" w:rsidRPr="00D92B3C" w:rsidRDefault="00CC130F" w:rsidP="00715DA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 xml:space="preserve">  Med ”LEI-kod” avses identifieringskod för juridiska personer, en referenskod som föreslagits av rådet för finansiell stabilitet (FSB) och godkänts av G20 och som syftar till att skapa en unik och världsomspännande identifikation av parter i finansiella transaktioner. Till dess att LEI-systemet fungerar fullt ut tilldelas motparter koder som föregår LEI-koderna av en lokal operativ enhet som godkänts av den föreskrivande tillsynskommittén för det globala systemet med identifieringskod för juridiska personer (ROC, närmare upplysningar finns på följande webbplats: </w:t>
      </w:r>
      <w:hyperlink r:id="rId9">
        <w:r>
          <w:rPr>
            <w:rStyle w:val="Hyperlink"/>
            <w:rFonts w:ascii="Times New Roman" w:hAnsi="Times New Roman"/>
            <w:color w:val="000000" w:themeColor="text1"/>
            <w:sz w:val="20"/>
          </w:rPr>
          <w:t>www.leiroc.org</w:t>
        </w:r>
      </w:hyperlink>
      <w:r>
        <w:rPr>
          <w:rFonts w:ascii="Times New Roman" w:hAnsi="Times New Roman"/>
          <w:color w:val="000000" w:themeColor="text1"/>
          <w:sz w:val="20"/>
        </w:rPr>
        <w:t>). Om en identifieringskod för juridiska personer (LEI-kod) finns för en given motpart ska den användas för att identifiera motparten.</w:t>
      </w:r>
    </w:p>
    <w:p w:rsidR="00B466DD" w:rsidRPr="00D92B3C" w:rsidRDefault="00B466DD" w:rsidP="007C4DB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Med ”NGAAP” eller ”nationella allmänt accepterade redovisningsprinciper” avses nationella redovisningsregler som har utvecklats enligt Europaparlamentets och rådets direktiv 86/635/EEC</w:t>
      </w:r>
      <w:r>
        <w:rPr>
          <w:rStyle w:val="FootnoteReference"/>
          <w:color w:val="000000" w:themeColor="text1"/>
        </w:rPr>
        <w:footnoteReference w:id="4"/>
      </w:r>
      <w:r>
        <w:rPr>
          <w:rFonts w:ascii="Times New Roman" w:hAnsi="Times New Roman"/>
          <w:color w:val="000000" w:themeColor="text1"/>
          <w:sz w:val="20"/>
        </w:rPr>
        <w:t>.</w:t>
      </w:r>
    </w:p>
    <w:p w:rsidR="005E66E5" w:rsidRPr="00D92B3C" w:rsidRDefault="005E66E5" w:rsidP="00FA2A1A">
      <w:pPr>
        <w:pStyle w:val="ListParagraph"/>
        <w:ind w:left="1074"/>
        <w:rPr>
          <w:rFonts w:ascii="Times New Roman" w:hAnsi="Times New Roman"/>
          <w:color w:val="000000" w:themeColor="text1"/>
          <w:sz w:val="20"/>
          <w:szCs w:val="20"/>
        </w:rPr>
      </w:pPr>
    </w:p>
    <w:p w:rsidR="002B2A61" w:rsidRPr="00D92B3C" w:rsidRDefault="002B2A61" w:rsidP="008854E4">
      <w:pPr>
        <w:pStyle w:val="Instructionsberschrift2"/>
        <w:numPr>
          <w:ilvl w:val="1"/>
          <w:numId w:val="7"/>
        </w:numPr>
        <w:ind w:left="357" w:hanging="357"/>
        <w:rPr>
          <w:rFonts w:ascii="Times New Roman" w:hAnsi="Times New Roman" w:cs="Times New Roman"/>
          <w:szCs w:val="20"/>
        </w:rPr>
      </w:pPr>
      <w:bookmarkStart w:id="8" w:name="_Toc509909035"/>
      <w:bookmarkStart w:id="9" w:name="_Toc525215484"/>
      <w:r>
        <w:rPr>
          <w:rFonts w:ascii="Times New Roman" w:hAnsi="Times New Roman"/>
        </w:rPr>
        <w:t>Redovisningsstandarder</w:t>
      </w:r>
      <w:bookmarkEnd w:id="8"/>
      <w:bookmarkEnd w:id="9"/>
    </w:p>
    <w:p w:rsidR="002B2A61" w:rsidRPr="00D52306" w:rsidRDefault="00A75967" w:rsidP="00D52306">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Ifall inget annat har angivits i dessa instruktioner ska instituten rapportera samtliga summor baserat på det redovisningsregler som de använder för att rapportera finansiell information, i enlighet med artiklarna 9 till 11 i kommissionens genomförandeförordning (EU) nr 680/2014. De institut som inte är skyldiga att rapportera finansiell information i enlighet med kommissionens genomförandeförordning (EU) nr 680/2014 ska följa reglerna i sina respektive redovisningsregler. </w:t>
      </w:r>
    </w:p>
    <w:p w:rsidR="002B2A61" w:rsidRPr="00D92B3C" w:rsidRDefault="002B2A61"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För institut som rapporterar enligt IFRS-standarder har hänvisningar infogats till berörda IFRS-standarder.</w:t>
      </w:r>
    </w:p>
    <w:p w:rsidR="00D2262D" w:rsidRPr="00D92B3C" w:rsidRDefault="0015524E" w:rsidP="008854E4">
      <w:pPr>
        <w:pStyle w:val="Instructionsberschrift2"/>
        <w:numPr>
          <w:ilvl w:val="1"/>
          <w:numId w:val="7"/>
        </w:numPr>
        <w:ind w:left="357" w:hanging="357"/>
        <w:rPr>
          <w:rFonts w:ascii="Times New Roman" w:hAnsi="Times New Roman" w:cs="Times New Roman"/>
          <w:szCs w:val="20"/>
        </w:rPr>
      </w:pPr>
      <w:bookmarkStart w:id="10" w:name="_Toc509909036"/>
      <w:bookmarkStart w:id="11" w:name="_Toc525215485"/>
      <w:r>
        <w:rPr>
          <w:rFonts w:ascii="Times New Roman" w:hAnsi="Times New Roman"/>
        </w:rPr>
        <w:t>Omfattning av konsolidering</w:t>
      </w:r>
      <w:bookmarkEnd w:id="10"/>
      <w:bookmarkEnd w:id="11"/>
    </w:p>
    <w:p w:rsidR="00CF3051" w:rsidRPr="00D92B3C" w:rsidRDefault="00883A6B"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Detta ramverk gäller, beroende på mall</w:t>
      </w:r>
    </w:p>
    <w:p w:rsidR="00CF3051" w:rsidRPr="00D92B3C" w:rsidRDefault="00883A6B" w:rsidP="00715DAB">
      <w:pPr>
        <w:pStyle w:val="numberedparagraph"/>
        <w:numPr>
          <w:ilvl w:val="0"/>
          <w:numId w:val="39"/>
        </w:numPr>
        <w:ind w:left="717"/>
        <w:rPr>
          <w:rFonts w:ascii="Times New Roman" w:hAnsi="Times New Roman" w:cs="Times New Roman"/>
          <w:sz w:val="20"/>
          <w:szCs w:val="20"/>
        </w:rPr>
      </w:pPr>
      <w:r>
        <w:rPr>
          <w:rFonts w:ascii="Times New Roman" w:hAnsi="Times New Roman"/>
          <w:sz w:val="20"/>
        </w:rPr>
        <w:t>konsolidering som grundar sig på redovisningskonsolidering (enheter som är inkluderade i konsoliderade finansiella rapporter i enlighet med tillämpliga redovisningsregler),</w:t>
      </w:r>
    </w:p>
    <w:p w:rsidR="00CF3051" w:rsidRPr="00D92B3C" w:rsidRDefault="00883A6B" w:rsidP="00715DAB">
      <w:pPr>
        <w:pStyle w:val="numberedparagraph"/>
        <w:numPr>
          <w:ilvl w:val="0"/>
          <w:numId w:val="39"/>
        </w:numPr>
        <w:ind w:left="717"/>
        <w:rPr>
          <w:rFonts w:ascii="Times New Roman" w:hAnsi="Times New Roman" w:cs="Times New Roman"/>
          <w:sz w:val="20"/>
          <w:szCs w:val="20"/>
        </w:rPr>
      </w:pPr>
      <w:r>
        <w:rPr>
          <w:rFonts w:ascii="Times New Roman" w:hAnsi="Times New Roman"/>
          <w:sz w:val="20"/>
        </w:rPr>
        <w:t xml:space="preserve">konsoliderad tillsyn (enheter som omfattas av konsolideringen i enlighet med avsnitt II kapitel 2 i del ett av Europaparlamentets och rådets förordning (EU) nr 575/2013 </w:t>
      </w:r>
      <w:r>
        <w:rPr>
          <w:rStyle w:val="FootnoteReference"/>
        </w:rPr>
        <w:footnoteReference w:id="5"/>
      </w:r>
      <w:r>
        <w:rPr>
          <w:rFonts w:ascii="Times New Roman" w:hAnsi="Times New Roman"/>
          <w:sz w:val="20"/>
        </w:rPr>
        <w:t xml:space="preserve">) på nivån för moderföretaget inom unionen, </w:t>
      </w:r>
    </w:p>
    <w:p w:rsidR="00CF3051" w:rsidRPr="00D92B3C" w:rsidRDefault="00883A6B" w:rsidP="00715DAB">
      <w:pPr>
        <w:pStyle w:val="numberedparagraph"/>
        <w:numPr>
          <w:ilvl w:val="0"/>
          <w:numId w:val="39"/>
        </w:numPr>
        <w:ind w:left="717"/>
        <w:rPr>
          <w:rFonts w:ascii="Times New Roman" w:hAnsi="Times New Roman" w:cs="Times New Roman"/>
          <w:sz w:val="20"/>
          <w:szCs w:val="20"/>
        </w:rPr>
      </w:pPr>
      <w:r>
        <w:rPr>
          <w:rFonts w:ascii="Times New Roman" w:hAnsi="Times New Roman"/>
          <w:sz w:val="20"/>
        </w:rPr>
        <w:lastRenderedPageBreak/>
        <w:t>konsolidering på nivån för resolutionsenheten för resolutionskoncernen.</w:t>
      </w:r>
    </w:p>
    <w:p w:rsidR="00883A6B" w:rsidRPr="00D92B3C" w:rsidRDefault="009E43E8" w:rsidP="003E2EE0">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För vare mall ska institutet följa den grund eller de grunder för konsolidering som är tillämpliga i enlighet med artikel 4 i denna förordning.</w:t>
      </w:r>
    </w:p>
    <w:p w:rsidR="0028403B" w:rsidRPr="00D92B3C" w:rsidRDefault="00863EFA" w:rsidP="008854E4">
      <w:pPr>
        <w:pStyle w:val="Instructionsberschrift2"/>
        <w:numPr>
          <w:ilvl w:val="1"/>
          <w:numId w:val="7"/>
        </w:numPr>
        <w:ind w:left="357" w:hanging="357"/>
        <w:rPr>
          <w:rFonts w:ascii="Times New Roman" w:hAnsi="Times New Roman" w:cs="Times New Roman"/>
          <w:szCs w:val="20"/>
        </w:rPr>
      </w:pPr>
      <w:bookmarkStart w:id="12" w:name="_Toc509909037"/>
      <w:bookmarkStart w:id="13" w:name="_Toc525215486"/>
      <w:r>
        <w:rPr>
          <w:rFonts w:ascii="Times New Roman" w:hAnsi="Times New Roman"/>
        </w:rPr>
        <w:t>Numrering och övriga konventioner</w:t>
      </w:r>
      <w:bookmarkEnd w:id="12"/>
      <w:bookmarkEnd w:id="13"/>
    </w:p>
    <w:p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Dessa instruktioner följer den benämningssed som anges i punkterna nedan vid hänvisning till mallars kolumner, rader och celler. I valideringsbestämmelserna hänvisas ofta till dessa sifferkoder.</w:t>
      </w:r>
    </w:p>
    <w:p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Följande allmänna beteckningssystem används i dessa instruktioner för att hänvisa till kolumner, rader och celler i en mall: {Mall;Rad;Kolumn}.</w:t>
      </w:r>
    </w:p>
    <w:p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Vid validering inom en mall där man endast använder uppgiftsposter från den mallen anges inte mallen i beteckningen: {Rad;Kolumn}.</w:t>
      </w:r>
    </w:p>
    <w:p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Om mallen bara har en kolumn, anges endast rader: {Mall;Rad}.</w:t>
      </w:r>
    </w:p>
    <w:p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En asterisk betyder att valideringen avser tidigare angivna rader eller kolumner.</w:t>
      </w:r>
    </w:p>
    <w:p w:rsidR="00E857A0" w:rsidRPr="00D92B3C" w:rsidRDefault="00B343C7"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Om en uppgiftspost inte är tillämplig för de enheter som rapporten lämnas in för ska motsvarande fält lämnas tomt.</w:t>
      </w:r>
    </w:p>
    <w:p w:rsidR="00E108B3" w:rsidRPr="00D92B3C" w:rsidRDefault="00E108B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I det fall dessa instruktioner hänvisar till en primärnyckel innebär detta att en kolumn eller en kombination av kolumner är avsedda för att identifiera samtliga rader i mallen unikt. En primärnyckel ska innehålla ett unikt värde för varje rad i mallen. Den får inte innehålla ett nollvärde.</w:t>
      </w:r>
    </w:p>
    <w:p w:rsidR="001E5EDF" w:rsidRPr="00D92B3C" w:rsidRDefault="001E5EDF" w:rsidP="008854E4">
      <w:pPr>
        <w:pStyle w:val="Instructionsberschrift2"/>
        <w:numPr>
          <w:ilvl w:val="0"/>
          <w:numId w:val="7"/>
        </w:numPr>
        <w:ind w:left="357" w:hanging="357"/>
        <w:rPr>
          <w:rFonts w:ascii="Times New Roman" w:hAnsi="Times New Roman" w:cs="Times New Roman"/>
          <w:szCs w:val="20"/>
        </w:rPr>
      </w:pPr>
      <w:bookmarkStart w:id="14" w:name="_Toc492542319"/>
      <w:bookmarkStart w:id="15" w:name="_Toc509909038"/>
      <w:bookmarkStart w:id="16" w:name="_Toc525215487"/>
      <w:r>
        <w:rPr>
          <w:rFonts w:ascii="Times New Roman" w:hAnsi="Times New Roman"/>
        </w:rPr>
        <w:t>Mallrelaterade instruktioner</w:t>
      </w:r>
      <w:bookmarkEnd w:id="14"/>
      <w:bookmarkEnd w:id="15"/>
      <w:bookmarkEnd w:id="16"/>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17" w:name="_Toc493236007"/>
      <w:bookmarkStart w:id="18" w:name="_Toc509909039"/>
      <w:bookmarkStart w:id="19" w:name="_Toc525215488"/>
      <w:bookmarkEnd w:id="17"/>
      <w:r>
        <w:rPr>
          <w:rFonts w:ascii="Times New Roman" w:hAnsi="Times New Roman"/>
        </w:rPr>
        <w:t>Z 01.00 - Organisationsstruktur (ORG)</w:t>
      </w:r>
      <w:bookmarkEnd w:id="18"/>
      <w:bookmarkEnd w:id="19"/>
    </w:p>
    <w:p w:rsidR="00E13CE3" w:rsidRPr="00D92B3C" w:rsidRDefault="00E13CE3" w:rsidP="00EC261B">
      <w:pPr>
        <w:pStyle w:val="Instructionsberschrift3"/>
      </w:pPr>
      <w:r>
        <w:t>Allmänna anmärkningar</w:t>
      </w:r>
    </w:p>
    <w:p w:rsidR="00273F69" w:rsidRPr="00D92B3C" w:rsidRDefault="00E13CE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Denna mall ger en överblick över koncernens legala struktur och ägarstruktur. En enda mall ska lämnas in för varje koncernenhet som uppfyller minimitröskeln i artikel 4.2 a i denna förordning. Endast juridiska personer ska anges i denna mall. </w:t>
      </w:r>
    </w:p>
    <w:p w:rsidR="00E13CE3" w:rsidRPr="00D92B3C" w:rsidRDefault="00AF189E" w:rsidP="00EC261B">
      <w:pPr>
        <w:pStyle w:val="Instructionsberschrift3"/>
      </w:pPr>
      <w:r>
        <w:t>Instruktioner för specifika positioner</w:t>
      </w:r>
    </w:p>
    <w:p w:rsidR="00E13CE3" w:rsidRPr="00D92B3C" w:rsidRDefault="00E13CE3" w:rsidP="00E13CE3">
      <w:pPr>
        <w:spacing w:before="8"/>
        <w:rPr>
          <w:rFonts w:ascii="Times New Roman" w:eastAsia="Cambria"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879"/>
        <w:gridCol w:w="8204"/>
      </w:tblGrid>
      <w:tr w:rsidR="00D22EB0" w:rsidRPr="00D92B3C" w:rsidTr="0036322A">
        <w:tc>
          <w:tcPr>
            <w:tcW w:w="0" w:type="auto"/>
            <w:tcBorders>
              <w:top w:val="single" w:sz="4" w:space="0" w:color="1A171C"/>
              <w:left w:val="nil"/>
              <w:bottom w:val="single" w:sz="4" w:space="0" w:color="1A171C"/>
              <w:right w:val="single" w:sz="4" w:space="0" w:color="1A171C"/>
            </w:tcBorders>
            <w:shd w:val="clear" w:color="auto" w:fill="E4E5E5"/>
          </w:tcPr>
          <w:p w:rsidR="00E13CE3" w:rsidRPr="00D92B3C" w:rsidRDefault="00E13CE3" w:rsidP="008017B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Kolumner</w:t>
            </w:r>
          </w:p>
        </w:tc>
        <w:tc>
          <w:tcPr>
            <w:tcW w:w="0" w:type="auto"/>
            <w:tcBorders>
              <w:top w:val="single" w:sz="4" w:space="0" w:color="1A171C"/>
              <w:left w:val="single" w:sz="4" w:space="0" w:color="1A171C"/>
              <w:bottom w:val="single" w:sz="4" w:space="0" w:color="1A171C"/>
              <w:right w:val="nil"/>
            </w:tcBorders>
            <w:shd w:val="clear" w:color="auto" w:fill="E4E5E5"/>
          </w:tcPr>
          <w:p w:rsidR="00E13CE3" w:rsidRPr="00D92B3C" w:rsidRDefault="00E13CE3" w:rsidP="001E5EDF">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Anvisningar</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63623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b/>
                <w:color w:val="000000" w:themeColor="text1"/>
                <w:spacing w:val="-2"/>
                <w:sz w:val="20"/>
              </w:rPr>
              <w:t>0010-0160</w:t>
            </w:r>
          </w:p>
        </w:tc>
        <w:tc>
          <w:tcPr>
            <w:tcW w:w="0" w:type="auto"/>
            <w:tcBorders>
              <w:top w:val="single" w:sz="4" w:space="0" w:color="1A171C"/>
              <w:left w:val="single" w:sz="4" w:space="0" w:color="1A171C"/>
              <w:bottom w:val="single" w:sz="4" w:space="0" w:color="1A171C"/>
              <w:right w:val="nil"/>
            </w:tcBorders>
          </w:tcPr>
          <w:p w:rsidR="007D6F7E" w:rsidRPr="00D92B3C" w:rsidRDefault="00834EF1" w:rsidP="00834EF1">
            <w:pPr>
              <w:pStyle w:val="TableParagraph"/>
              <w:spacing w:before="108"/>
              <w:ind w:left="85"/>
              <w:rPr>
                <w:rFonts w:ascii="Times New Roman" w:hAnsi="Times New Roman" w:cs="Times New Roman"/>
                <w:b/>
                <w:color w:val="000000" w:themeColor="text1"/>
                <w:spacing w:val="-1"/>
                <w:w w:val="95"/>
                <w:sz w:val="20"/>
                <w:szCs w:val="20"/>
              </w:rPr>
            </w:pPr>
            <w:r>
              <w:rPr>
                <w:rFonts w:ascii="Times New Roman" w:hAnsi="Times New Roman"/>
                <w:b/>
                <w:color w:val="000000" w:themeColor="text1"/>
                <w:spacing w:val="-1"/>
                <w:w w:val="95"/>
                <w:sz w:val="20"/>
              </w:rPr>
              <w:t>Enhet</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pacing w:val="-2"/>
                <w:sz w:val="20"/>
              </w:rPr>
              <w:t>0010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rPr>
                <w:rFonts w:ascii="Times New Roman" w:hAnsi="Times New Roman" w:cs="Times New Roman"/>
                <w:b/>
                <w:color w:val="000000" w:themeColor="text1"/>
                <w:w w:val="95"/>
                <w:sz w:val="20"/>
                <w:szCs w:val="20"/>
              </w:rPr>
            </w:pPr>
            <w:r>
              <w:rPr>
                <w:rFonts w:ascii="Times New Roman" w:hAnsi="Times New Roman"/>
                <w:b/>
                <w:color w:val="000000" w:themeColor="text1"/>
                <w:w w:val="95"/>
                <w:sz w:val="20"/>
              </w:rPr>
              <w:t>Namn</w:t>
            </w:r>
          </w:p>
          <w:p w:rsidR="007D6F7E" w:rsidRPr="00D92B3C" w:rsidRDefault="00420BE2" w:rsidP="007B56D0">
            <w:pPr>
              <w:pStyle w:val="TableParagraph"/>
              <w:spacing w:before="108"/>
              <w:ind w:left="85"/>
              <w:rPr>
                <w:rFonts w:ascii="Times New Roman" w:eastAsia="Book Antiqua" w:hAnsi="Times New Roman" w:cs="Times New Roman"/>
                <w:color w:val="000000" w:themeColor="text1"/>
                <w:sz w:val="20"/>
                <w:szCs w:val="20"/>
              </w:rPr>
            </w:pPr>
            <w:r>
              <w:rPr>
                <w:rFonts w:ascii="Times New Roman" w:hAnsi="Times New Roman"/>
                <w:color w:val="000000" w:themeColor="text1"/>
                <w:sz w:val="20"/>
              </w:rPr>
              <w:t>Enhetens namn. Officiellt namn så som detta anges i bolagshandlingar, med angivelse av dess juridiska form.</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0020</w:t>
            </w:r>
          </w:p>
        </w:tc>
        <w:tc>
          <w:tcPr>
            <w:tcW w:w="0" w:type="auto"/>
            <w:tcBorders>
              <w:top w:val="single" w:sz="4" w:space="0" w:color="1A171C"/>
              <w:left w:val="single" w:sz="4" w:space="0" w:color="1A171C"/>
              <w:bottom w:val="single" w:sz="4" w:space="0" w:color="1A171C"/>
              <w:right w:val="nil"/>
            </w:tcBorders>
          </w:tcPr>
          <w:p w:rsidR="00E13CE3" w:rsidRPr="00D92B3C" w:rsidRDefault="009651A7" w:rsidP="00AF189E">
            <w:pPr>
              <w:pStyle w:val="TableParagraph"/>
              <w:spacing w:before="108"/>
              <w:ind w:left="85"/>
              <w:rPr>
                <w:rFonts w:ascii="Times New Roman" w:hAnsi="Times New Roman" w:cs="Times New Roman"/>
                <w:b/>
                <w:color w:val="000000" w:themeColor="text1"/>
                <w:w w:val="95"/>
                <w:sz w:val="20"/>
                <w:szCs w:val="20"/>
              </w:rPr>
            </w:pPr>
            <w:r>
              <w:rPr>
                <w:rFonts w:ascii="Times New Roman" w:hAnsi="Times New Roman"/>
                <w:b/>
                <w:color w:val="000000" w:themeColor="text1"/>
                <w:w w:val="95"/>
                <w:sz w:val="20"/>
              </w:rPr>
              <w:t>Kod</w:t>
            </w:r>
          </w:p>
          <w:p w:rsidR="00C64A45" w:rsidRPr="00D92B3C" w:rsidRDefault="007B56D0" w:rsidP="008F14EB">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Enhetens kod. Institut ska ha den 20-siffriga alfanumeriska LEI-koden. Övriga enheter ska ha den 20-siffriga alfanumeriska LEI-koden eller, ifall denna inte är tillgänglig, en enhetlig kod som är tillämplig i unionen eller, ifall en sådan inte är tillgänglig, en nationell kod.</w:t>
            </w:r>
          </w:p>
          <w:p w:rsidR="004C0A59" w:rsidRPr="00D92B3C" w:rsidRDefault="008535D5" w:rsidP="00C64A45">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Koden ska vara unik och användas konsekvent i mallarna. Koden ska alltid ha ett värde.</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pacing w:val="-2"/>
                <w:sz w:val="20"/>
              </w:rPr>
              <w:t>0030</w:t>
            </w:r>
          </w:p>
        </w:tc>
        <w:tc>
          <w:tcPr>
            <w:tcW w:w="0" w:type="auto"/>
            <w:tcBorders>
              <w:top w:val="single" w:sz="4" w:space="0" w:color="1A171C"/>
              <w:left w:val="single" w:sz="4" w:space="0" w:color="1A171C"/>
              <w:bottom w:val="single" w:sz="4" w:space="0" w:color="1A171C"/>
              <w:right w:val="nil"/>
            </w:tcBorders>
          </w:tcPr>
          <w:p w:rsidR="00E13CE3" w:rsidRPr="00D92B3C" w:rsidRDefault="00FD163D" w:rsidP="001E5EDF">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b/>
                <w:color w:val="000000" w:themeColor="text1"/>
                <w:spacing w:val="-2"/>
                <w:w w:val="95"/>
                <w:sz w:val="20"/>
              </w:rPr>
              <w:t>LEI-kod</w:t>
            </w:r>
          </w:p>
          <w:p w:rsidR="00E13CE3" w:rsidRPr="00D92B3C" w:rsidRDefault="00E13CE3" w:rsidP="00473F4E">
            <w:pPr>
              <w:pStyle w:val="TableParagraph"/>
              <w:spacing w:before="98" w:line="214" w:lineRule="exact"/>
              <w:ind w:left="85"/>
              <w:jc w:val="both"/>
              <w:rPr>
                <w:rFonts w:ascii="Times New Roman" w:eastAsia="Cambria" w:hAnsi="Times New Roman" w:cs="Times New Roman"/>
                <w:color w:val="000000" w:themeColor="text1"/>
                <w:sz w:val="20"/>
                <w:szCs w:val="20"/>
              </w:rPr>
            </w:pPr>
            <w:r>
              <w:rPr>
                <w:rFonts w:ascii="Times New Roman" w:hAnsi="Times New Roman"/>
                <w:color w:val="000000" w:themeColor="text1"/>
                <w:spacing w:val="-2"/>
                <w:sz w:val="20"/>
              </w:rPr>
              <w:t>Enhetens 20-siffriga, alfanumeriska LEI-kod, när en sådan finns.</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lastRenderedPageBreak/>
              <w:t>0040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b/>
                <w:color w:val="000000" w:themeColor="text1"/>
                <w:spacing w:val="-1"/>
                <w:w w:val="90"/>
                <w:sz w:val="20"/>
              </w:rPr>
              <w:t>Enhetstyp</w:t>
            </w:r>
          </w:p>
          <w:p w:rsidR="00E13CE3" w:rsidRPr="00D92B3C" w:rsidRDefault="00E13CE3" w:rsidP="001E5EDF">
            <w:pPr>
              <w:pStyle w:val="TableParagraph"/>
              <w:spacing w:before="108"/>
              <w:ind w:left="85"/>
              <w:rPr>
                <w:rFonts w:ascii="Times New Roman" w:hAnsi="Times New Roman" w:cs="Times New Roman"/>
                <w:color w:val="000000" w:themeColor="text1"/>
                <w:spacing w:val="-1"/>
                <w:w w:val="90"/>
                <w:sz w:val="20"/>
                <w:szCs w:val="20"/>
              </w:rPr>
            </w:pPr>
            <w:r>
              <w:rPr>
                <w:rFonts w:ascii="Times New Roman" w:hAnsi="Times New Roman"/>
                <w:color w:val="000000" w:themeColor="text1"/>
                <w:spacing w:val="-1"/>
                <w:w w:val="90"/>
                <w:sz w:val="20"/>
              </w:rPr>
              <w:t>Typen av enhet, efter prioriteringsordning, ska vara en av följande:</w:t>
            </w:r>
          </w:p>
          <w:p w:rsidR="004E4AD0"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”Kreditinstitut”</w:t>
            </w:r>
          </w:p>
          <w:p w:rsidR="00EE1625" w:rsidRPr="00D92B3C" w:rsidRDefault="004E4AD0" w:rsidP="00FB1871">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rPr>
              <w:t>Denna kategori ska omfatta kreditinstitut enligt definitionen i artikel 4.1.1 i förordning (EU) nr 575/2013, med undantag för de enheter som avses i artikel 2.5 i Europaparlamentets och rådets direktiv 2013/36/EU</w:t>
            </w:r>
            <w:r>
              <w:rPr>
                <w:rStyle w:val="FootnoteReference"/>
                <w:color w:val="000000" w:themeColor="text1"/>
              </w:rPr>
              <w:footnoteReference w:id="6"/>
            </w:r>
            <w:r>
              <w:rPr>
                <w:rFonts w:ascii="Times New Roman" w:hAnsi="Times New Roman"/>
                <w:color w:val="000000" w:themeColor="text1"/>
                <w:sz w:val="20"/>
              </w:rPr>
              <w:t xml:space="preserve">. </w:t>
            </w:r>
          </w:p>
          <w:p w:rsidR="00761ED3"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”Värdepappersföretag som lyder under krav på startkapital som föreskrivs i artikel 28.2 i Europaparlamentets och rådets direktiv 2013/36/EU”</w:t>
            </w:r>
          </w:p>
          <w:p w:rsidR="00EE1625" w:rsidRPr="00D92B3C" w:rsidRDefault="004E4AD0"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rPr>
              <w:t>Denna kategori ska omfatta värdepappersföretag enligt definitionen i led 2 i artikel 4.1 i förordning (EU) nr 575/2013 som omfattas av de krav på startkapital som föreskrivs i artikel 28.2 i Europaparlamentets och rådets direktiv 2013/36/EU.</w:t>
            </w:r>
          </w:p>
          <w:p w:rsidR="009B13D7" w:rsidRPr="00D92B3C" w:rsidRDefault="000B669C"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”Värdepappersföretag som inte lyder under de krav på startkapital som föreskrivs i artikel 28.2 i Europaparlamentets och rådets direktiv 2013/36/EU”</w:t>
            </w:r>
          </w:p>
          <w:p w:rsidR="00761ED3"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”Finansiellt institut”</w:t>
            </w:r>
          </w:p>
          <w:p w:rsidR="002472D0" w:rsidRPr="00D92B3C" w:rsidRDefault="00377E0E"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rPr>
              <w:t>Denna kategori ska omfatta finansiella institut enligt definitionen i led 26 i artikel 4.1 i förordning (EU) nr 575/2013, med undantag för dem som klassas som ”holdingbolag” enligt beskrivningen i punkt e) nedan.</w:t>
            </w:r>
          </w:p>
          <w:p w:rsidR="00761ED3"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”Holdingbolag”</w:t>
            </w:r>
          </w:p>
          <w:p w:rsidR="00761ED3" w:rsidRPr="00D92B3C" w:rsidRDefault="00761ED3"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rPr>
              <w:t>Denna kategori ska omfatta samtliga följande:</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Finansiella holdingbolag enligt definitionen i led 20 i artikel 4.1 i förordning (EU) nr 575/2013.</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Blandade finansiella holdingbolag enligt definitionen i led 21 i artikel 4.1 i förordning (EU) nr 575/2013.</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Holdingbolag med blandad verksamhet enligt definitionen i led 22 i artikel 4.1 i förordning (EU) nr 575/2013.</w:t>
            </w:r>
          </w:p>
          <w:p w:rsidR="00EE1625" w:rsidRPr="00D92B3C" w:rsidRDefault="002472D0"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Finansiella moderholdingbolag enligt definitionen i led 30 i artikel 4.1 i förordning (EU) nr 575/2013.</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Finansiella moderholdingbolag inom unionen enligt definitionen i led 31 i artikel 4.1 i förordning (EU) nr 575/2013.</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Blandade finansiella moderholdingföretag i en medlemsstat enligt definitionen i led 32 i artikel 4.1 i förordning (EU) nr 575/2013.</w:t>
            </w:r>
          </w:p>
          <w:p w:rsidR="002472D0" w:rsidRPr="00D92B3C" w:rsidRDefault="002472D0"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Blandade finansiella moderholdingbolag inom unionen enligt definitionen i led 33 i artikel 4.1 i förordning (EU) nr 575/2013.</w:t>
            </w:r>
          </w:p>
          <w:p w:rsidR="0039173B"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”Försäkringsföretag”</w:t>
            </w:r>
          </w:p>
          <w:p w:rsidR="00EE1625" w:rsidRPr="00D92B3C" w:rsidRDefault="0039173B" w:rsidP="0039173B">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rPr>
              <w:t>Denna kategori ska omfatta försäkringsföretag enligt definitionen i artikel 13 i Europaparlamentets och rådets direktiv 2009/138/EG</w:t>
            </w:r>
            <w:r>
              <w:rPr>
                <w:rStyle w:val="FootnoteReference"/>
                <w:rFonts w:ascii="Times New Roman" w:hAnsi="Times New Roman"/>
                <w:color w:val="000000" w:themeColor="text1"/>
                <w:sz w:val="20"/>
              </w:rPr>
              <w:footnoteReference w:id="7"/>
            </w:r>
            <w:r>
              <w:rPr>
                <w:rFonts w:ascii="Times New Roman" w:hAnsi="Times New Roman"/>
                <w:color w:val="000000" w:themeColor="text1"/>
                <w:sz w:val="20"/>
              </w:rPr>
              <w:t>.</w:t>
            </w:r>
          </w:p>
          <w:p w:rsidR="00EE1625" w:rsidRPr="00D92B3C" w:rsidRDefault="00E737DB"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”Annan typ av enhet”, för enheter som inte omfattas av någon av ovan nämnda kategorier.</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027265" w:rsidRPr="00D92B3C" w:rsidRDefault="00B43F4E" w:rsidP="00DF47E6">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0050</w:t>
            </w:r>
          </w:p>
        </w:tc>
        <w:tc>
          <w:tcPr>
            <w:tcW w:w="0" w:type="auto"/>
            <w:tcBorders>
              <w:top w:val="single" w:sz="4" w:space="0" w:color="1A171C"/>
              <w:left w:val="single" w:sz="4" w:space="0" w:color="1A171C"/>
              <w:bottom w:val="single" w:sz="4" w:space="0" w:color="1A171C"/>
              <w:right w:val="nil"/>
            </w:tcBorders>
          </w:tcPr>
          <w:p w:rsidR="00027265" w:rsidRPr="00D92B3C" w:rsidRDefault="00027265" w:rsidP="00DF47E6">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b/>
                <w:color w:val="000000" w:themeColor="text1"/>
                <w:spacing w:val="-1"/>
                <w:w w:val="90"/>
                <w:sz w:val="20"/>
              </w:rPr>
              <w:t>Land</w:t>
            </w:r>
          </w:p>
          <w:p w:rsidR="00027265" w:rsidRPr="00D92B3C" w:rsidRDefault="00027265" w:rsidP="00ED6757">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ISO-koden 3166-1-alfa-2-kod för enhetens bolagsbildningsland, det kan röra sig om en medlemsstat eller ett tredjeland.</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0060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Ingår i tillsynsramen</w:t>
            </w:r>
          </w:p>
          <w:p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Följande förkortningar rapporteras:</w:t>
            </w:r>
          </w:p>
          <w:p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Y - Ja.</w:t>
            </w:r>
          </w:p>
          <w:p w:rsidR="00E13CE3" w:rsidRPr="00D92B3C" w:rsidRDefault="00C8615D" w:rsidP="00C8615D">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color w:val="000000" w:themeColor="text1"/>
                <w:spacing w:val="-2"/>
                <w:w w:val="95"/>
                <w:sz w:val="20"/>
              </w:rPr>
              <w:t>N - Nej.</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74F98" w:rsidRPr="00D92B3C" w:rsidRDefault="00CF6A09"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lastRenderedPageBreak/>
              <w:t>0070</w:t>
            </w:r>
          </w:p>
        </w:tc>
        <w:tc>
          <w:tcPr>
            <w:tcW w:w="0" w:type="auto"/>
            <w:tcBorders>
              <w:top w:val="single" w:sz="4" w:space="0" w:color="1A171C"/>
              <w:left w:val="single" w:sz="4" w:space="0" w:color="1A171C"/>
              <w:bottom w:val="single" w:sz="4" w:space="0" w:color="1A171C"/>
              <w:right w:val="nil"/>
            </w:tcBorders>
          </w:tcPr>
          <w:p w:rsidR="00E74F98" w:rsidRPr="00D92B3C" w:rsidRDefault="00E74F98"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Artikel 7 CRR-undantag</w:t>
            </w:r>
          </w:p>
          <w:p w:rsidR="00E74F98" w:rsidRPr="00D92B3C" w:rsidRDefault="00E74F98" w:rsidP="001E5EDF">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Följande förkortningar rapporteras:</w:t>
            </w:r>
          </w:p>
          <w:p w:rsidR="00E74F98" w:rsidRPr="00D92B3C" w:rsidRDefault="00E74F98" w:rsidP="00E74F98">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Y –om behörig myndighet har avstått från att tillämpa artikel 6.1 i förordning (EU) nr 575/2013 i enlighet med artikel 7 i förordning (EU) nr 575/2013.</w:t>
            </w:r>
          </w:p>
          <w:p w:rsidR="00E74F98" w:rsidRPr="00D92B3C" w:rsidRDefault="00E74F98" w:rsidP="00D444D0">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N - i övriga fall</w:t>
            </w:r>
          </w:p>
        </w:tc>
      </w:tr>
      <w:tr w:rsidR="00D22EB0" w:rsidRPr="00D92B3C" w:rsidTr="004842F3">
        <w:tc>
          <w:tcPr>
            <w:tcW w:w="0" w:type="auto"/>
            <w:tcBorders>
              <w:top w:val="single" w:sz="4" w:space="0" w:color="1A171C"/>
              <w:left w:val="nil"/>
              <w:bottom w:val="single" w:sz="4" w:space="0" w:color="1A171C"/>
              <w:right w:val="single" w:sz="4" w:space="0" w:color="1A171C"/>
            </w:tcBorders>
          </w:tcPr>
          <w:p w:rsidR="00EA468E" w:rsidRPr="00D92B3C" w:rsidRDefault="00EA468E" w:rsidP="00EA468E">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0080</w:t>
            </w:r>
          </w:p>
        </w:tc>
        <w:tc>
          <w:tcPr>
            <w:tcW w:w="0" w:type="auto"/>
            <w:tcBorders>
              <w:top w:val="single" w:sz="4" w:space="0" w:color="1A171C"/>
              <w:left w:val="single" w:sz="4" w:space="0" w:color="1A171C"/>
              <w:bottom w:val="single" w:sz="4" w:space="0" w:color="1A171C"/>
              <w:right w:val="nil"/>
            </w:tcBorders>
          </w:tcPr>
          <w:p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Artikel 10 CRR-undantag</w:t>
            </w:r>
          </w:p>
          <w:p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Följande förkortningar rapporteras:</w:t>
            </w:r>
          </w:p>
          <w:p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Y – om behörig myndighet har tillämpat ett undantag i enlighet med artikel 10 i förordning (EU) nr 575/2013.</w:t>
            </w:r>
          </w:p>
          <w:p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N - i övriga fall</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064140" w:rsidP="00064140">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0090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Summa tillgångar</w:t>
            </w:r>
          </w:p>
          <w:p w:rsidR="00E13CE3" w:rsidRPr="00D92B3C" w:rsidRDefault="00064140" w:rsidP="00064140">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Summa tillgångar enligt definitionen för Finrep {F 01.01;380,010}</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B43F4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0100</w:t>
            </w:r>
          </w:p>
        </w:tc>
        <w:tc>
          <w:tcPr>
            <w:tcW w:w="0" w:type="auto"/>
            <w:tcBorders>
              <w:top w:val="single" w:sz="4" w:space="0" w:color="1A171C"/>
              <w:left w:val="single" w:sz="4" w:space="0" w:color="1A171C"/>
              <w:bottom w:val="single" w:sz="4" w:space="0" w:color="1A171C"/>
              <w:right w:val="nil"/>
            </w:tcBorders>
          </w:tcPr>
          <w:p w:rsidR="00E13CE3" w:rsidRPr="00D92B3C" w:rsidRDefault="00213AEA" w:rsidP="00C8615D">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Totalt riskexponeringsbelopp</w:t>
            </w:r>
          </w:p>
          <w:p w:rsidR="00E13CE3" w:rsidRPr="00D92B3C" w:rsidRDefault="00310A05" w:rsidP="00310A05">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Totalt riskexponeringsbelopp enligt definitionen för Corep (OF): {C 02.00;010;010}</w:t>
            </w:r>
          </w:p>
          <w:p w:rsidR="00310A05" w:rsidRPr="00D92B3C" w:rsidRDefault="00310A05" w:rsidP="003B2C87">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Denna post ska inte rapporteras för enheter som inte är institut eller för enheter som omfattas av ett undantag i enlighet med artikel 7 eller artikel 10 i förordning (EU) nr 575/2013.</w:t>
            </w:r>
          </w:p>
        </w:tc>
      </w:tr>
      <w:tr w:rsidR="00D22EB0" w:rsidRPr="00D92B3C" w:rsidTr="00367C1E">
        <w:tc>
          <w:tcPr>
            <w:tcW w:w="0" w:type="auto"/>
            <w:tcBorders>
              <w:top w:val="single" w:sz="4" w:space="0" w:color="1A171C"/>
              <w:left w:val="nil"/>
              <w:bottom w:val="single" w:sz="4" w:space="0" w:color="1A171C"/>
              <w:right w:val="single" w:sz="4" w:space="0" w:color="1A171C"/>
            </w:tcBorders>
          </w:tcPr>
          <w:p w:rsidR="00CF6A09" w:rsidRPr="00D92B3C" w:rsidRDefault="00B43F4E" w:rsidP="00835CC3">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0110</w:t>
            </w:r>
          </w:p>
        </w:tc>
        <w:tc>
          <w:tcPr>
            <w:tcW w:w="0" w:type="auto"/>
            <w:tcBorders>
              <w:top w:val="single" w:sz="4" w:space="0" w:color="1A171C"/>
              <w:left w:val="single" w:sz="4" w:space="0" w:color="1A171C"/>
              <w:bottom w:val="single" w:sz="4" w:space="0" w:color="1A171C"/>
              <w:right w:val="nil"/>
            </w:tcBorders>
          </w:tcPr>
          <w:p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Bruttosoliditetsgradens exponeringsvärde </w:t>
            </w:r>
          </w:p>
          <w:p w:rsidR="00CF6A09" w:rsidRPr="00D92B3C" w:rsidRDefault="00CF6A09" w:rsidP="00367C1E">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Summa bruttosoliditetsexponering enligt definitionen för Corep (LR): {C 47.00;290;010}</w:t>
            </w:r>
          </w:p>
          <w:p w:rsidR="00DD5DC2" w:rsidRPr="00D92B3C" w:rsidRDefault="00DD5DC2" w:rsidP="001D5221">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Denna post ska inte rapporteras för enheter som inte är institut eller för enheter som omfattas av ett undantag i enlighet med artikel 7 eller artikel 10 i förordning (EU) nr 575/2013.</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9A061B" w:rsidRPr="00D92B3C" w:rsidDel="00835CC3" w:rsidRDefault="00B43F4E" w:rsidP="00835CC3">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0120</w:t>
            </w:r>
          </w:p>
        </w:tc>
        <w:tc>
          <w:tcPr>
            <w:tcW w:w="0" w:type="auto"/>
            <w:tcBorders>
              <w:top w:val="single" w:sz="4" w:space="0" w:color="1A171C"/>
              <w:left w:val="single" w:sz="4" w:space="0" w:color="1A171C"/>
              <w:bottom w:val="single" w:sz="4" w:space="0" w:color="1A171C"/>
              <w:right w:val="nil"/>
            </w:tcBorders>
          </w:tcPr>
          <w:p w:rsidR="009A061B" w:rsidRPr="00D92B3C" w:rsidRDefault="00B43F4E" w:rsidP="00C8615D">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Redovisningsstandard</w:t>
            </w:r>
          </w:p>
          <w:p w:rsidR="009A061B" w:rsidRPr="00D92B3C" w:rsidRDefault="009A061B" w:rsidP="00C8615D">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Enhetens tillämpade redovisningsstandarder. Följande förkortningar rapporteras:</w:t>
            </w:r>
          </w:p>
          <w:p w:rsidR="009A061B" w:rsidRPr="00D92B3C" w:rsidRDefault="009A061B" w:rsidP="00715DAB">
            <w:pPr>
              <w:pStyle w:val="TableParagraph"/>
              <w:numPr>
                <w:ilvl w:val="0"/>
                <w:numId w:val="26"/>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IFRS</w:t>
            </w:r>
          </w:p>
          <w:p w:rsidR="009A061B" w:rsidRPr="00D92B3C" w:rsidRDefault="009A061B" w:rsidP="00715DAB">
            <w:pPr>
              <w:pStyle w:val="TableParagraph"/>
              <w:numPr>
                <w:ilvl w:val="0"/>
                <w:numId w:val="26"/>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nGAAP</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0130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C8615D">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Bidrag till de totala sammanställda tillgångarna</w:t>
            </w:r>
          </w:p>
          <w:p w:rsidR="00E13CE3" w:rsidRPr="00D92B3C" w:rsidRDefault="00E13CE3" w:rsidP="00C8615D">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Det belopp som enheten bidrar med till koncernens totala sammanställda tillgångar som redovisas i rapporten.</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0140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36322A">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Bidrag till det totala sammanställda riskexponeringsbeloppet </w:t>
            </w:r>
          </w:p>
          <w:p w:rsidR="00E13CE3" w:rsidRPr="00D92B3C" w:rsidRDefault="00E13CE3" w:rsidP="00213AEA">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 xml:space="preserve">Det belopp som enheten bidrar med till koncernens totala sammanställda riskexponeringsbelopp som redovisas i rapporten. </w:t>
            </w:r>
          </w:p>
        </w:tc>
      </w:tr>
      <w:tr w:rsidR="00D22EB0" w:rsidRPr="00D92B3C" w:rsidTr="003848DE">
        <w:trPr>
          <w:trHeight w:val="749"/>
        </w:trPr>
        <w:tc>
          <w:tcPr>
            <w:tcW w:w="0" w:type="auto"/>
            <w:tcBorders>
              <w:top w:val="single" w:sz="4" w:space="0" w:color="1A171C"/>
              <w:left w:val="nil"/>
              <w:bottom w:val="single" w:sz="4" w:space="0" w:color="1A171C"/>
              <w:right w:val="single" w:sz="4" w:space="0" w:color="1A171C"/>
            </w:tcBorders>
          </w:tcPr>
          <w:p w:rsidR="00CF6A09"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0150</w:t>
            </w:r>
          </w:p>
        </w:tc>
        <w:tc>
          <w:tcPr>
            <w:tcW w:w="0" w:type="auto"/>
            <w:tcBorders>
              <w:top w:val="single" w:sz="4" w:space="0" w:color="1A171C"/>
              <w:left w:val="single" w:sz="4" w:space="0" w:color="1A171C"/>
              <w:bottom w:val="single" w:sz="4" w:space="0" w:color="1A171C"/>
              <w:right w:val="nil"/>
            </w:tcBorders>
          </w:tcPr>
          <w:p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Bidrag till konsoliderad bruttosoliditetsexponering</w:t>
            </w:r>
          </w:p>
          <w:p w:rsidR="00CF6A09" w:rsidRPr="00D92B3C" w:rsidRDefault="00CF6A09" w:rsidP="00644AC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Det belopp som enheten bidrar med till koncernens konsoliderade bruttosoliditetsexponering som redovisas i rapporten.</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255C59" w:rsidRPr="00D92B3C" w:rsidDel="00DA31D1" w:rsidRDefault="00245A9E" w:rsidP="00DA31D1">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0160</w:t>
            </w:r>
          </w:p>
        </w:tc>
        <w:tc>
          <w:tcPr>
            <w:tcW w:w="0" w:type="auto"/>
            <w:tcBorders>
              <w:top w:val="single" w:sz="4" w:space="0" w:color="1A171C"/>
              <w:left w:val="single" w:sz="4" w:space="0" w:color="1A171C"/>
              <w:bottom w:val="single" w:sz="4" w:space="0" w:color="1A171C"/>
              <w:right w:val="nil"/>
            </w:tcBorders>
          </w:tcPr>
          <w:p w:rsidR="00255C59" w:rsidRPr="00D92B3C" w:rsidRDefault="00255C59" w:rsidP="00FE1AB9">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Relevant juridisk person</w:t>
            </w:r>
          </w:p>
          <w:p w:rsidR="00255C59" w:rsidRPr="00D92B3C" w:rsidRDefault="00255C59" w:rsidP="002670F6">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Ifall enheten utgör en relevant juridisk person enligt definitionen i artikel 2 i denna förordning.</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DA31D1">
            <w:pPr>
              <w:pStyle w:val="TableParagraph"/>
              <w:spacing w:before="106"/>
              <w:ind w:left="-1"/>
              <w:rPr>
                <w:rFonts w:ascii="Times New Roman" w:hAnsi="Times New Roman" w:cs="Times New Roman"/>
                <w:b/>
                <w:color w:val="000000" w:themeColor="text1"/>
                <w:spacing w:val="-2"/>
                <w:sz w:val="20"/>
                <w:szCs w:val="20"/>
              </w:rPr>
            </w:pPr>
            <w:r>
              <w:rPr>
                <w:rFonts w:ascii="Times New Roman" w:hAnsi="Times New Roman"/>
                <w:b/>
                <w:color w:val="000000" w:themeColor="text1"/>
                <w:spacing w:val="-2"/>
                <w:sz w:val="20"/>
              </w:rPr>
              <w:t>0170-0210</w:t>
            </w:r>
          </w:p>
        </w:tc>
        <w:tc>
          <w:tcPr>
            <w:tcW w:w="0" w:type="auto"/>
            <w:tcBorders>
              <w:top w:val="single" w:sz="4" w:space="0" w:color="1A171C"/>
              <w:left w:val="single" w:sz="4" w:space="0" w:color="1A171C"/>
              <w:bottom w:val="single" w:sz="4" w:space="0" w:color="1A171C"/>
              <w:right w:val="nil"/>
            </w:tcBorders>
          </w:tcPr>
          <w:p w:rsidR="00E13CE3" w:rsidRPr="00D92B3C" w:rsidRDefault="00FE1AB9" w:rsidP="00FE1AB9">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Direkt moderföretag</w:t>
            </w:r>
          </w:p>
          <w:p w:rsidR="00E74F98" w:rsidRPr="00D92B3C" w:rsidRDefault="006F6492" w:rsidP="00E74F98">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Enhetens direkta moderföretag. Endast direkta moderföretag med mer än 5 % rösträtt inom enheten ska rapporteras.</w:t>
            </w:r>
          </w:p>
          <w:p w:rsidR="00CF6A09" w:rsidRPr="00D92B3C" w:rsidRDefault="00CF6A09" w:rsidP="00B92E97">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Ifall en enhet har mer än ett direkt moderföretag ska endast det direkta moderföretaget som har det högsta aktieinnehavet eller, om det är relevant, den högsta andelen röster rapporteras.</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lastRenderedPageBreak/>
              <w:t>0140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Namn </w:t>
            </w:r>
          </w:p>
          <w:p w:rsidR="00E13CE3" w:rsidRPr="00D92B3C" w:rsidRDefault="006F6492" w:rsidP="004C641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rPr>
              <w:t>Namnet på enhetens direkta moderföretag.</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0150</w:t>
            </w:r>
          </w:p>
        </w:tc>
        <w:tc>
          <w:tcPr>
            <w:tcW w:w="0" w:type="auto"/>
            <w:tcBorders>
              <w:top w:val="single" w:sz="4" w:space="0" w:color="1A171C"/>
              <w:left w:val="single" w:sz="4" w:space="0" w:color="1A171C"/>
              <w:bottom w:val="single" w:sz="4" w:space="0" w:color="1A171C"/>
              <w:right w:val="nil"/>
            </w:tcBorders>
          </w:tcPr>
          <w:p w:rsidR="00AD3866"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Kod</w:t>
            </w:r>
          </w:p>
          <w:p w:rsidR="00FC3DBA" w:rsidRPr="00D92B3C" w:rsidRDefault="00FC3DBA" w:rsidP="00FC3DBA">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Det direkta moderföretagets kod. Institut ska ha den 20-siffriga alfanumeriska LEI-koden. Övriga enheter ska ha den 20-siffriga alfanumeriska LEI-koden eller, ifall denna inte är tillgänglig, en enhetlig kod som är tillämplig i unionen eller, ifall en sådan inte är tillgänglig, en nationell kod.</w:t>
            </w:r>
          </w:p>
          <w:p w:rsidR="00E13CE3" w:rsidRPr="00D92B3C" w:rsidRDefault="00FC3DBA" w:rsidP="00FC3DBA">
            <w:pPr>
              <w:pStyle w:val="TableParagraph"/>
              <w:spacing w:before="108"/>
              <w:ind w:left="85"/>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Koden ska vara unik och användas konsekvent i mallarna. Koden ska alltid ha ett värde.</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0160</w:t>
            </w:r>
          </w:p>
        </w:tc>
        <w:tc>
          <w:tcPr>
            <w:tcW w:w="0" w:type="auto"/>
            <w:tcBorders>
              <w:top w:val="single" w:sz="4" w:space="0" w:color="1A171C"/>
              <w:left w:val="single" w:sz="4" w:space="0" w:color="1A171C"/>
              <w:bottom w:val="single" w:sz="4" w:space="0" w:color="1A171C"/>
              <w:right w:val="nil"/>
            </w:tcBorders>
          </w:tcPr>
          <w:p w:rsidR="00E13CE3" w:rsidRPr="00D92B3C" w:rsidRDefault="00245A9E" w:rsidP="001E5EDF">
            <w:pPr>
              <w:pStyle w:val="TableParagraph"/>
              <w:spacing w:before="108"/>
              <w:ind w:left="85"/>
              <w:jc w:val="both"/>
              <w:rPr>
                <w:rFonts w:ascii="Times New Roman" w:eastAsia="Book Antiqua" w:hAnsi="Times New Roman" w:cs="Times New Roman"/>
                <w:b/>
                <w:color w:val="000000" w:themeColor="text1"/>
                <w:sz w:val="20"/>
                <w:szCs w:val="20"/>
              </w:rPr>
            </w:pPr>
            <w:r>
              <w:rPr>
                <w:rFonts w:ascii="Times New Roman" w:hAnsi="Times New Roman"/>
                <w:b/>
                <w:color w:val="000000" w:themeColor="text1"/>
                <w:sz w:val="20"/>
              </w:rPr>
              <w:t>LEI-kod</w:t>
            </w:r>
          </w:p>
          <w:p w:rsidR="00E13CE3" w:rsidRPr="00D92B3C" w:rsidRDefault="00FC3DBA" w:rsidP="00FC3DBA">
            <w:pPr>
              <w:pStyle w:val="TableParagraph"/>
              <w:spacing w:before="98" w:line="214" w:lineRule="exact"/>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sz w:val="20"/>
              </w:rPr>
              <w:t>Enhetens 20-siffriga, alfanumeriska LEI-kod, när en sådan finns.</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0170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Aktiekapital</w:t>
            </w:r>
          </w:p>
          <w:p w:rsidR="00E13CE3" w:rsidRPr="00D92B3C" w:rsidRDefault="00E13CE3" w:rsidP="00644AC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Det direkta moderföretagets aktieinnehav i enheten, exklusive reserver.</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0180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rPr>
                <w:rFonts w:ascii="Times New Roman" w:eastAsia="Book Antiqua" w:hAnsi="Times New Roman" w:cs="Times New Roman"/>
                <w:color w:val="000000" w:themeColor="text1"/>
                <w:sz w:val="20"/>
                <w:szCs w:val="20"/>
              </w:rPr>
            </w:pPr>
            <w:r>
              <w:rPr>
                <w:rFonts w:ascii="Times New Roman" w:hAnsi="Times New Roman"/>
                <w:b/>
                <w:color w:val="000000" w:themeColor="text1"/>
                <w:spacing w:val="-2"/>
                <w:w w:val="95"/>
                <w:sz w:val="20"/>
              </w:rPr>
              <w:t>Rösträtt i enheten</w:t>
            </w:r>
          </w:p>
          <w:p w:rsidR="00E13CE3" w:rsidRPr="00D92B3C" w:rsidRDefault="00E13CE3" w:rsidP="001E5EDF">
            <w:pPr>
              <w:pStyle w:val="TableParagraph"/>
              <w:spacing w:before="108"/>
              <w:ind w:left="85"/>
              <w:jc w:val="both"/>
              <w:rPr>
                <w:rFonts w:ascii="Times New Roman" w:eastAsia="Cambria" w:hAnsi="Times New Roman" w:cs="Times New Roman"/>
                <w:color w:val="000000" w:themeColor="text1"/>
                <w:spacing w:val="-1"/>
                <w:w w:val="95"/>
                <w:sz w:val="20"/>
                <w:szCs w:val="20"/>
              </w:rPr>
            </w:pPr>
            <w:r>
              <w:rPr>
                <w:rFonts w:ascii="Times New Roman" w:hAnsi="Times New Roman"/>
                <w:color w:val="000000" w:themeColor="text1"/>
                <w:spacing w:val="-1"/>
                <w:w w:val="95"/>
                <w:sz w:val="20"/>
              </w:rPr>
              <w:t>Det direkta moderföretagets procentandel av rösterna i enheten.</w:t>
            </w:r>
          </w:p>
          <w:p w:rsidR="00E13CE3" w:rsidRPr="00D92B3C" w:rsidRDefault="00E13CE3" w:rsidP="00F71364">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1"/>
                <w:w w:val="95"/>
                <w:sz w:val="20"/>
              </w:rPr>
              <w:t>Denna information krävs endast ifall en aktie inte motsvaras av en röst (eftersom rösträtterna då inte motsvaras av aktiekapitalet).</w:t>
            </w:r>
          </w:p>
        </w:tc>
      </w:tr>
    </w:tbl>
    <w:p w:rsidR="00E13CE3" w:rsidRPr="00D92B3C" w:rsidRDefault="00E13CE3" w:rsidP="00E13CE3">
      <w:pPr>
        <w:rPr>
          <w:rFonts w:ascii="Times New Roman" w:hAnsi="Times New Roman" w:cs="Times New Roman"/>
          <w:color w:val="000000" w:themeColor="text1"/>
          <w:sz w:val="20"/>
          <w:szCs w:val="20"/>
        </w:rPr>
      </w:pPr>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20" w:name="_Toc492542322"/>
      <w:bookmarkStart w:id="21" w:name="_Toc509909040"/>
      <w:bookmarkStart w:id="22" w:name="_Toc525215489"/>
      <w:r>
        <w:rPr>
          <w:rFonts w:ascii="Times New Roman" w:hAnsi="Times New Roman"/>
        </w:rPr>
        <w:t>Z 02.00 - Skuldstruktur (LIAB)</w:t>
      </w:r>
      <w:bookmarkEnd w:id="20"/>
      <w:bookmarkEnd w:id="21"/>
      <w:bookmarkEnd w:id="22"/>
    </w:p>
    <w:p w:rsidR="005B4526" w:rsidRPr="00D92B3C" w:rsidRDefault="005B4526" w:rsidP="00EC261B">
      <w:pPr>
        <w:pStyle w:val="Instructionsberschrift3"/>
      </w:pPr>
      <w:r>
        <w:t>Allmänna anmärkningar</w:t>
      </w:r>
    </w:p>
    <w:p w:rsidR="00E13CE3" w:rsidRPr="00D92B3C" w:rsidRDefault="00E13CE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Denna mall innehåller detaljerad information om enhetens eller koncernens skuldstruktur. Skulder delas in i skulder som är exkluderade från skuldnedskrivning och skulder som inte är exkluderade från skuldnedskrivning. Vidare indelning efter skuldklass, motpartsklass och löptid anges.</w:t>
      </w:r>
    </w:p>
    <w:p w:rsidR="00E13CE3" w:rsidRPr="00D92B3C" w:rsidRDefault="00BD69D5"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När uppdelning efter löptid anges i denna mall ska den återstående löptiden utgöra tiden fram till den avtalsenliga löptidens utgång eller, när innehavaren av ett instrument enligt avtalet eller gällande lagstiftning har en explicit eller implicit rätt till tidig återbetalning, fram till det första datum när sådan rätt uppstår. Mellanliggande betalningar av kapitalbeloppet ska delas upp i motsvarande löptidsintervall. I förekommande fall ska löptiden beaktas separat för både kapitalbeloppet och den upplupna räntan.</w:t>
      </w:r>
    </w:p>
    <w:p w:rsidR="00E13CE3" w:rsidRPr="00D92B3C" w:rsidRDefault="00296A07"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Som standard ska de belopp som redovisas i denna mall vara utestående belopp. Det utestående beloppet av en fordran eller ett instrument utgörs av fordrans eller instrumentets kapitalbelopp plus upplupen ränta. Det utestående skuldbeloppet motsvarar värdet på den fordran som borgenären skulle kunna registrera under insolvensförfaranden. </w:t>
      </w:r>
    </w:p>
    <w:p w:rsidR="00E13CE3" w:rsidRPr="00D92B3C" w:rsidRDefault="009927F0"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Genom undantag från föregående punkt ska balansräkningsskulder som härrör från derivat (rapporterade på rad 0330) rapporteras som redovisade värden. Det redovisade värdet ska vara redovisat värde enligt definitionen för Finrep, antingen enligt IFRS eller nGAAP, beroende på vad som är tillämpligt. För övriga fall ska siffror enligt nGAAP-rapportering användas. </w:t>
      </w:r>
    </w:p>
    <w:p w:rsidR="00E13CE3" w:rsidRPr="00D92B3C" w:rsidRDefault="00E13CE3" w:rsidP="00EC261B">
      <w:pPr>
        <w:pStyle w:val="Instructionsberschrift3"/>
      </w:pPr>
      <w:r>
        <w:t>Instruktioner för specifika positioner</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D22EB0" w:rsidRPr="00D92B3C" w:rsidTr="00FF209B">
        <w:tc>
          <w:tcPr>
            <w:tcW w:w="908" w:type="dxa"/>
            <w:tcBorders>
              <w:top w:val="single" w:sz="4" w:space="0" w:color="1A171C"/>
              <w:left w:val="nil"/>
              <w:bottom w:val="single" w:sz="4" w:space="0" w:color="1A171C"/>
              <w:right w:val="single" w:sz="4" w:space="0" w:color="1A171C"/>
            </w:tcBorders>
            <w:shd w:val="clear" w:color="auto" w:fill="E4E5E5"/>
          </w:tcPr>
          <w:p w:rsidR="0081175C" w:rsidRPr="00D92B3C" w:rsidRDefault="0081175C" w:rsidP="00367C1E">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Kolumner</w:t>
            </w:r>
          </w:p>
        </w:tc>
        <w:tc>
          <w:tcPr>
            <w:tcW w:w="8118" w:type="dxa"/>
            <w:tcBorders>
              <w:top w:val="single" w:sz="4" w:space="0" w:color="1A171C"/>
              <w:left w:val="single" w:sz="4" w:space="0" w:color="1A171C"/>
              <w:bottom w:val="single" w:sz="4" w:space="0" w:color="1A171C"/>
              <w:right w:val="nil"/>
            </w:tcBorders>
            <w:shd w:val="clear" w:color="auto" w:fill="E4E5E5"/>
          </w:tcPr>
          <w:p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Anvisningar</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rPr>
              <w:lastRenderedPageBreak/>
              <w:t xml:space="preserve">0010 </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Hushåll</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Finrep, bilaga V, del 1, punkt 42 (f) </w:t>
            </w:r>
          </w:p>
          <w:p w:rsidR="0081175C" w:rsidRPr="00D92B3C" w:rsidRDefault="0081175C" w:rsidP="00F97BC8">
            <w:pPr>
              <w:pStyle w:val="TableParagraph"/>
              <w:spacing w:before="108"/>
              <w:ind w:left="85"/>
              <w:jc w:val="both"/>
              <w:rPr>
                <w:rFonts w:ascii="Times New Roman" w:hAnsi="Times New Roman" w:cs="Times New Roman"/>
                <w:b/>
                <w:color w:val="000000" w:themeColor="text1"/>
                <w:spacing w:val="-1"/>
                <w:w w:val="95"/>
                <w:sz w:val="20"/>
                <w:szCs w:val="20"/>
              </w:rPr>
            </w:pPr>
            <w:r>
              <w:rPr>
                <w:rFonts w:ascii="Times New Roman" w:hAnsi="Times New Roman"/>
                <w:color w:val="000000" w:themeColor="text1"/>
                <w:spacing w:val="-2"/>
                <w:w w:val="95"/>
                <w:sz w:val="20"/>
              </w:rPr>
              <w:t>Individer eller grupper av individer i egenskap av konsumenter och producenter av varor och icke-finansiella tjänster uteslutande för egen slutlig användning, och som producenter av marknadsförda varor och icke-finansiella och finansiella tjänster, förutsatt att dessa aktiviteter inte utförs av kvasibolag. Här ingår hushållens ideella organisationer som betjänar hushåll och som främst ägnar sig åt produktion av varor och tjänster avsedda för specifika grupper av hushåll utanför marknaden.</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rPr>
              <w:t>0020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Icke-finansiella företag (SMF)</w:t>
            </w:r>
          </w:p>
          <w:p w:rsidR="0081175C" w:rsidRPr="00D92B3C" w:rsidRDefault="00CF4CE8"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Avdelning I artikel 2.1 i bilagan till kommissionens rekommendation av den 6 maj 2003</w:t>
            </w:r>
            <w:r>
              <w:rPr>
                <w:rStyle w:val="FootnoteReference"/>
                <w:color w:val="1A171C"/>
                <w:spacing w:val="-2"/>
                <w:w w:val="95"/>
              </w:rPr>
              <w:footnoteReference w:id="8"/>
            </w:r>
            <w:r>
              <w:rPr>
                <w:rFonts w:ascii="Times New Roman" w:hAnsi="Times New Roman"/>
                <w:color w:val="000000" w:themeColor="text1"/>
                <w:spacing w:val="-2"/>
                <w:w w:val="95"/>
                <w:sz w:val="20"/>
              </w:rPr>
              <w:t>. Finrep, bilaga V, del 1, punkt 5 (i).</w:t>
            </w:r>
          </w:p>
          <w:p w:rsidR="0081175C" w:rsidRPr="00D92B3C" w:rsidRDefault="0081175C" w:rsidP="0081175C">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pacing w:val="-2"/>
                <w:w w:val="95"/>
                <w:sz w:val="20"/>
              </w:rPr>
              <w:t>Företag som sysselsätter färre än 250 personer och vars årsomsättning inte överskrider 50 miljoner euro och/eller vars årliga totala balansomslutning inte överskrider 43 miljoner euro.</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0030</w:t>
            </w:r>
          </w:p>
        </w:tc>
        <w:tc>
          <w:tcPr>
            <w:tcW w:w="8118" w:type="dxa"/>
            <w:tcBorders>
              <w:top w:val="single" w:sz="4" w:space="0" w:color="1A171C"/>
              <w:left w:val="single" w:sz="4" w:space="0" w:color="1A171C"/>
              <w:bottom w:val="single" w:sz="4" w:space="0" w:color="1A171C"/>
              <w:right w:val="nil"/>
            </w:tcBorders>
            <w:vAlign w:val="center"/>
          </w:tcPr>
          <w:p w:rsidR="0081175C" w:rsidRPr="00BB34D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Icke-finansiella företag (icke-SMF)</w:t>
            </w:r>
          </w:p>
          <w:p w:rsidR="0081175C" w:rsidRPr="00D8163F"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lang w:val="it-IT"/>
              </w:rPr>
            </w:pPr>
            <w:r w:rsidRPr="00D8163F">
              <w:rPr>
                <w:rFonts w:ascii="Times New Roman" w:hAnsi="Times New Roman"/>
                <w:color w:val="000000" w:themeColor="text1"/>
                <w:spacing w:val="-2"/>
                <w:w w:val="95"/>
                <w:sz w:val="20"/>
                <w:lang w:val="it-IT"/>
              </w:rPr>
              <w:t>Finrep, bilaga V, del 1, punkt 42 (e).</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Företag och kvasibolag som inte ägnar sig åt finansförmedling utan främst åt produktion av handelsvaror och icke-finansiella tjänster i enlighet med Europeiska centralbankens förordning (EU) nr 1071/2013</w:t>
            </w:r>
            <w:r>
              <w:rPr>
                <w:rFonts w:ascii="Times New Roman" w:hAnsi="Times New Roman"/>
                <w:color w:val="000000" w:themeColor="text1"/>
                <w:sz w:val="20"/>
                <w:vertAlign w:val="superscript"/>
              </w:rPr>
              <w:footnoteReference w:id="9"/>
            </w:r>
            <w:r>
              <w:rPr>
                <w:rFonts w:ascii="Times New Roman" w:hAnsi="Times New Roman"/>
                <w:color w:val="000000" w:themeColor="text1"/>
                <w:spacing w:val="-2"/>
                <w:w w:val="95"/>
                <w:sz w:val="20"/>
              </w:rPr>
              <w:t>.</w:t>
            </w:r>
          </w:p>
          <w:p w:rsidR="0081175C" w:rsidRPr="00D92B3C" w:rsidRDefault="0081175C" w:rsidP="00CF4CE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Exklusive de ”SMF” som redovisas i kolumn 0020. </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0040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CF4CE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Kreditinstitut</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Finrep, bilaga V, del 1, punkt 42 (c).</w:t>
            </w:r>
          </w:p>
          <w:p w:rsidR="0081175C" w:rsidRPr="00D92B3C" w:rsidRDefault="00F97BC8" w:rsidP="0057384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Kreditinstitut enligt betydelsen i artikel 4.1 led 1 i förordning (EU) nr 575/2013 samt multilaterala utvecklingsbanker.</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0050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Andra finansiella företag</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Finrep, bilaga V, del 1, punkt 42 (d).</w:t>
            </w:r>
          </w:p>
          <w:p w:rsidR="0081175C" w:rsidRPr="00D92B3C" w:rsidRDefault="0081175C" w:rsidP="00F97BC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Alla finansiella företag och kvasibolag som inte är kreditinstitut, såsom värdepappersföretag, värdepappersfonder, försäkringsbolag, pensionsfonder, fondbolag och clearingorganisationer liksom återstående finansiella mellanhänder, finansiella serviceföretag och interna finansinstitut och utlåningsföretag.</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0060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Nationella regeringar &amp; centralbanker</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Finrep, bilaga V, del 1, punkt 42 (a) och (b).</w:t>
            </w:r>
          </w:p>
          <w:p w:rsidR="0081175C" w:rsidRPr="00D92B3C" w:rsidRDefault="0081175C" w:rsidP="00AA2A9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Centralbanker och nationella regeringar, statliga eller regionala myndigheter samt lokala myndigheter, däribland administrativa organ och icke-kommersiella företag, dock undantaget offentliga företag och privata företag som ägs av dessa administrativa organ och har kommersiell verksamhet (dessa ska rapporteras under ”kreditinstitut”, ”övriga finansiella företag” eller ”icke-finansiella företag” beroende på deras verksamhet), socialförsäkringsfonder och internationella organisationer såsom Europeiska gemenskapen, Internationella valutafonden och Banken för internationell betalningsutjämning.</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0070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5174D3"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Oidentifierade, listade på en handelsplats</w:t>
            </w:r>
          </w:p>
          <w:p w:rsidR="0081175C" w:rsidRPr="00D92B3C" w:rsidRDefault="00FF209B" w:rsidP="00F8230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När en innehavares identitet är okänd på grund av att instrumentet har listats på en handelsplats, enligt definitionen i Europaparlamentets och rådets direktiv 2014/65/EU av den 15 maj 2014 om marknader för finansiella instrument, ska beloppen redovisas i denna kolumn.</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0080</w:t>
            </w: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Oidentifierade, ej listade på en handelsplats</w:t>
            </w:r>
          </w:p>
          <w:p w:rsidR="00FF209B" w:rsidRPr="00D92B3C" w:rsidRDefault="00FF209B" w:rsidP="000A3045">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När en innehavares identitet är okänd utan att instrumentet har listats på en handelsplats, ska beloppen redovisas i denna kolumn och ingen vidare uppdelning av motparterna krävs. Enheter ska göra sitt bästa för att identifiera motparter och begränsa användandet av denna kolumn till ett minimum.</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0090</w:t>
            </w: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Totalt</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0100</w:t>
            </w: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Varav: inom koncernen</w:t>
            </w:r>
          </w:p>
          <w:p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Skulder till enheter som inkluderas i det yttersta moderföretagets konsoliderade finansiella rapporter (till skillnad från konsolideringens omfattning för tillsynsändamål). </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9B423F"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0110</w:t>
            </w: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Varav: skulder som regleras av lagstiftning i ett tredjeland, med undantag för skulder inom koncernen</w:t>
            </w:r>
          </w:p>
          <w:p w:rsidR="00FF209B" w:rsidRPr="00D92B3C" w:rsidRDefault="00FF209B" w:rsidP="00FF209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 dessa ska bruttovärdet på skulderna som regleras av lagen i ett tredjeland och/eller som har utfärdats av koncernenheter som är etablerade i ett tredjeland redovisas. Skulder inom koncernen ska uteslutas.</w:t>
            </w:r>
          </w:p>
          <w:p w:rsidR="00FF209B" w:rsidRPr="00D92B3C" w:rsidRDefault="0028783E" w:rsidP="00B77FC7">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I det fall resolutionsmyndigheten, i enlighet med artikel 45.5 i Europaparlamentets och rådets direktiv 2014/59/EU</w:t>
            </w:r>
            <w:r>
              <w:rPr>
                <w:rStyle w:val="FootnoteReference"/>
                <w:color w:val="000000" w:themeColor="text1"/>
                <w:spacing w:val="-2"/>
                <w:w w:val="95"/>
              </w:rPr>
              <w:footnoteReference w:id="10"/>
            </w:r>
            <w:r>
              <w:rPr>
                <w:rFonts w:ascii="Times New Roman" w:hAnsi="Times New Roman"/>
                <w:color w:val="000000" w:themeColor="text1"/>
                <w:spacing w:val="-2"/>
                <w:w w:val="95"/>
                <w:sz w:val="20"/>
              </w:rPr>
              <w:t>, har bekräftat att samtliga beslut från en resolutionsmyndighet gällande nedskrivning eller omvandling av en skuld är giltiga enligt lagen i detta tredjeland ska skulden ifråga inte redovisas under denna rubrik.</w:t>
            </w:r>
          </w:p>
        </w:tc>
      </w:tr>
      <w:tr w:rsidR="00FF209B"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p>
        </w:tc>
      </w:tr>
    </w:tbl>
    <w:p w:rsidR="0081175C" w:rsidRPr="00D92B3C" w:rsidRDefault="0081175C" w:rsidP="00E13CE3">
      <w:pPr>
        <w:rPr>
          <w:rFonts w:ascii="Times New Roman"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908"/>
        <w:gridCol w:w="8175"/>
      </w:tblGrid>
      <w:tr w:rsidR="00D22EB0" w:rsidRPr="00D92B3C" w:rsidTr="00367C1E">
        <w:tc>
          <w:tcPr>
            <w:tcW w:w="908" w:type="dxa"/>
            <w:tcBorders>
              <w:top w:val="single" w:sz="4" w:space="0" w:color="1A171C"/>
              <w:left w:val="nil"/>
              <w:bottom w:val="single" w:sz="4" w:space="0" w:color="1A171C"/>
              <w:right w:val="single" w:sz="4" w:space="0" w:color="1A171C"/>
            </w:tcBorders>
            <w:shd w:val="clear" w:color="auto" w:fill="E4E5E5"/>
          </w:tcPr>
          <w:p w:rsidR="0081175C" w:rsidRPr="00D92B3C" w:rsidRDefault="0081175C" w:rsidP="00367C1E">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Rader</w:t>
            </w:r>
          </w:p>
        </w:tc>
        <w:tc>
          <w:tcPr>
            <w:tcW w:w="8175" w:type="dxa"/>
            <w:tcBorders>
              <w:top w:val="single" w:sz="4" w:space="0" w:color="1A171C"/>
              <w:left w:val="single" w:sz="4" w:space="0" w:color="1A171C"/>
              <w:bottom w:val="single" w:sz="4" w:space="0" w:color="1A171C"/>
              <w:right w:val="nil"/>
            </w:tcBorders>
            <w:shd w:val="clear" w:color="auto" w:fill="E4E5E5"/>
          </w:tcPr>
          <w:p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Anvisningar</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rPr>
              <w:t>0100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Skulder exkluderade från skuldnedskrivning</w:t>
            </w:r>
          </w:p>
          <w:p w:rsidR="0081175C" w:rsidRPr="00D92B3C" w:rsidRDefault="0081175C" w:rsidP="00367C1E">
            <w:pPr>
              <w:pStyle w:val="TableParagraph"/>
              <w:spacing w:before="108"/>
              <w:ind w:left="85"/>
              <w:jc w:val="both"/>
              <w:rPr>
                <w:rFonts w:ascii="Times New Roman" w:hAnsi="Times New Roman" w:cs="Times New Roman"/>
                <w:b/>
                <w:color w:val="000000" w:themeColor="text1"/>
                <w:spacing w:val="-1"/>
                <w:w w:val="95"/>
                <w:sz w:val="20"/>
                <w:szCs w:val="20"/>
              </w:rPr>
            </w:pPr>
            <w:r>
              <w:rPr>
                <w:rFonts w:ascii="Times New Roman" w:hAnsi="Times New Roman"/>
                <w:color w:val="000000" w:themeColor="text1"/>
                <w:spacing w:val="-2"/>
                <w:w w:val="95"/>
                <w:sz w:val="20"/>
              </w:rPr>
              <w:t>I artikel 44.2 i direktiv 2014/59/EU fastslås att ”[r]esolutionsmyndigheter [inte] får [...] använda skuldnedskrivnings- eller konverteringsbefogenheter avseende följande skulder när de regleras i en medlemsstats eller ett tredjelands rätt”.</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rPr>
              <w:t>0110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Garanterade insättningar</w:t>
            </w:r>
          </w:p>
          <w:p w:rsidR="0081175C" w:rsidRPr="00D92B3C" w:rsidRDefault="0081175C" w:rsidP="00D6309A">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pacing w:val="-2"/>
                <w:w w:val="95"/>
                <w:sz w:val="20"/>
              </w:rPr>
              <w:t>Summan av garanterade insättningar enligt definitionen i led 5 i artikel 2.1 i Europaparlamentets och rådets direktiv 2014/49/EU</w:t>
            </w:r>
            <w:r>
              <w:rPr>
                <w:rStyle w:val="FootnoteReference"/>
                <w:color w:val="000000" w:themeColor="text1"/>
              </w:rPr>
              <w:footnoteReference w:id="11"/>
            </w:r>
            <w:r>
              <w:rPr>
                <w:rFonts w:ascii="Times New Roman" w:hAnsi="Times New Roman"/>
                <w:color w:val="000000" w:themeColor="text1"/>
                <w:spacing w:val="-2"/>
                <w:w w:val="95"/>
                <w:sz w:val="20"/>
              </w:rPr>
              <w:t>, med undantag för tillfälligt höga restbelopp enligt definitionen i artikel 6.2 i samma direktiv.</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rPr>
              <w:t>0120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Skulder med säkerhet - garanterad del</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Artikel 44.2 led b i direktiv 2014/59/EU</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Skulder med säkerhet inbegripet återköpsavtal (repor), säkerställda obligationer och skulder i form av finansiella instrument som ingår som en integrerad del av säkerhetspoolen och som enligt nationell rätt är säkrade på ett liknande sätt som säkerställda obligationer.</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Varken kravet på att alla säkrade tillgångar som hänför sig till säkerställda obligationer i en täckt säkerhetspool inte påverkas och förblir separerade med tillräcklig finansiering, eller exkludering enligt artikel 44.2 b i direktiv 2014/59/EU, ska hindra resolutionsmyndigheter från att, när så är lämpligt, utöva sina befogenheter gällande delar av skulder med säkerhet eller skulder för vilka säkerhet har ställts som överstiger värdet av de tillgångar, den panträtt, den företagsinteckning eller annan säkerhet som ställts för fordran. Ett sådant osäkrat belopp av dessa skulder med säkerhet ska inte redovisas på denna rad, utan på rad 0340, och delas in ytterligare.</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Centralbanksskulder som täcks av en säkerhetspool (</w:t>
            </w:r>
            <w:r>
              <w:rPr>
                <w:rFonts w:ascii="Times New Roman" w:hAnsi="Times New Roman"/>
                <w:color w:val="1A171C"/>
                <w:spacing w:val="-2"/>
                <w:w w:val="95"/>
                <w:sz w:val="20"/>
              </w:rPr>
              <w:t xml:space="preserve">till exempel huvudsakliga refinansieringstransaktioner, </w:t>
            </w:r>
            <w:r>
              <w:rPr>
                <w:rFonts w:ascii="Times New Roman" w:hAnsi="Times New Roman"/>
                <w:color w:val="1A171C"/>
                <w:spacing w:val="-2"/>
                <w:w w:val="95"/>
                <w:sz w:val="20"/>
              </w:rPr>
              <w:lastRenderedPageBreak/>
              <w:t>långfristiga refinansieringstransaktioner, riktade långfristiga refinansieringstransaktioner etc.</w:t>
            </w:r>
            <w:r>
              <w:rPr>
                <w:rFonts w:ascii="Times New Roman" w:hAnsi="Times New Roman"/>
                <w:color w:val="000000" w:themeColor="text1"/>
                <w:spacing w:val="-2"/>
                <w:w w:val="95"/>
                <w:sz w:val="20"/>
              </w:rPr>
              <w:t xml:space="preserve">) ska räknas som skulder med säkerhet. </w:t>
            </w:r>
          </w:p>
          <w:p w:rsidR="0081175C" w:rsidRPr="00D92B3C" w:rsidRDefault="0081175C" w:rsidP="00367C1E">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pacing w:val="-2"/>
                <w:w w:val="95"/>
                <w:sz w:val="20"/>
              </w:rPr>
              <w:t>En särskild typ av skulder är säkerheter (t.ex. kontantsäkerheter) som tas emot och redovisas på balansräkningen. När sådana säkerheter är juridiskt bundna till tillgångar ska de hanteras som skulder med säkerhet för denna rapportering.</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0130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Kundrelaterade skulder, om dessa skyddas vid insolvens</w:t>
            </w:r>
          </w:p>
          <w:p w:rsidR="0081175C" w:rsidRPr="00D8163F"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da-DK"/>
              </w:rPr>
            </w:pPr>
            <w:r w:rsidRPr="00D8163F">
              <w:rPr>
                <w:rFonts w:ascii="Times New Roman" w:hAnsi="Times New Roman"/>
                <w:color w:val="000000" w:themeColor="text1"/>
                <w:spacing w:val="-2"/>
                <w:w w:val="95"/>
                <w:sz w:val="20"/>
                <w:lang w:val="da-DK"/>
              </w:rPr>
              <w:t>Artikel 44.2 led c i direktiv 2014/59/EU</w:t>
            </w:r>
          </w:p>
          <w:p w:rsidR="0081175C" w:rsidRPr="00D92B3C" w:rsidRDefault="0081175C" w:rsidP="00A824E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Skulder som kan hänföras till kundtillgångar eller kundmedel hos institutet eller den enhet som avses i led b, c eller d i artikel 1.1 i direktiv 2014/59/EU om kundtillgångar eller kundmedel inbegripet kundtillgångar eller kundmedel som innehas på uppdrag av fondföretag enligt definitionen i artikel 1.2 i Europaparlamentets och rådets direktiv 2009/65/EG</w:t>
            </w:r>
            <w:r>
              <w:rPr>
                <w:rStyle w:val="FootnoteReference"/>
                <w:color w:val="000000" w:themeColor="text1"/>
                <w:spacing w:val="-2"/>
                <w:w w:val="95"/>
              </w:rPr>
              <w:footnoteReference w:id="12"/>
            </w:r>
            <w:r>
              <w:rPr>
                <w:rFonts w:ascii="Times New Roman" w:hAnsi="Times New Roman"/>
                <w:color w:val="000000" w:themeColor="text1"/>
                <w:spacing w:val="-2"/>
                <w:w w:val="95"/>
                <w:sz w:val="20"/>
              </w:rPr>
              <w:t>, eller på uppdrag av alternativa investeringsfonder enligt definitionen i led a i artikel 4.1 i Europaparlamentets och rådets direktiv 2011/61/EU</w:t>
            </w:r>
            <w:r>
              <w:rPr>
                <w:rStyle w:val="FootnoteReference"/>
                <w:color w:val="000000" w:themeColor="text1"/>
                <w:spacing w:val="-2"/>
                <w:w w:val="95"/>
              </w:rPr>
              <w:footnoteReference w:id="13"/>
            </w:r>
            <w:r>
              <w:rPr>
                <w:rFonts w:ascii="Times New Roman" w:hAnsi="Times New Roman"/>
                <w:color w:val="000000" w:themeColor="text1"/>
                <w:spacing w:val="-2"/>
                <w:w w:val="95"/>
                <w:sz w:val="20"/>
              </w:rPr>
              <w:t>, under förutsättning att en sådan kund är skyddad enligt tillämplig insolvensrätt.</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0140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Förvaltningsskulder, om dessa skyddas vid insolvens</w:t>
            </w:r>
          </w:p>
          <w:p w:rsidR="0081175C" w:rsidRPr="00D8163F"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da-DK"/>
              </w:rPr>
            </w:pPr>
            <w:r w:rsidRPr="00D8163F">
              <w:rPr>
                <w:rFonts w:ascii="Times New Roman" w:hAnsi="Times New Roman"/>
                <w:color w:val="000000" w:themeColor="text1"/>
                <w:spacing w:val="-2"/>
                <w:w w:val="95"/>
                <w:sz w:val="20"/>
                <w:lang w:val="da-DK"/>
              </w:rPr>
              <w:t>Artikel 44.2 led d i direktiv 2014/59/EU</w:t>
            </w:r>
          </w:p>
          <w:p w:rsidR="0081175C" w:rsidRPr="00D92B3C" w:rsidRDefault="0081175C" w:rsidP="00AB621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Skulder som kan hänföras till en förtroenderelation mellan institutet eller den enhet som avses i led b, c eller d i artikel 1.1 i direktiv 2014/59/EU (som förvaltare) och en annan person (som mottagare), under förutsättning att en sådan mottagare åtnjuter skydd enligt tillämplig insolvensrätt eller civilrätt.</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0150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Skulder till kreditinstitut &lt; 7 dagar </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Artikel 44.2 led e i direktiv 2014/59/EU</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Skulder till kreditinstitut, med undantag för enheter inom samma redovisningskoncern, med en ursprunglig löptid på mindre än sju dagar.</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0160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System(operatörs-)skulder &lt; 7 dagar</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Artikel 44.2 led f i direktiv 2014/59/EU</w:t>
            </w:r>
          </w:p>
          <w:p w:rsidR="0081175C" w:rsidRPr="00D92B3C" w:rsidRDefault="0081175C" w:rsidP="00CC130F">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Skulder med en återstående löptid på mindre än sju dagar, till system eller systemoperatörer som har utsetts i enlighet med Europaparlamentets och rådets direktiv 98/26/EC</w:t>
            </w:r>
            <w:r>
              <w:rPr>
                <w:rStyle w:val="FootnoteReference"/>
                <w:color w:val="000000" w:themeColor="text1"/>
                <w:spacing w:val="-2"/>
                <w:w w:val="95"/>
              </w:rPr>
              <w:footnoteReference w:id="14"/>
            </w:r>
            <w:r>
              <w:rPr>
                <w:rFonts w:ascii="Times New Roman" w:hAnsi="Times New Roman"/>
                <w:color w:val="000000" w:themeColor="text1"/>
                <w:spacing w:val="-2"/>
                <w:w w:val="95"/>
                <w:sz w:val="20"/>
              </w:rPr>
              <w:t xml:space="preserve"> eller till dess deltagare och som kan hänföras till deltagande i ett sådant system.</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0170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Anställdas skulder</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Artikel 44.2 led g i i direktiv 2014/59/EU</w:t>
            </w:r>
          </w:p>
          <w:p w:rsidR="0081175C" w:rsidRPr="00D92B3C" w:rsidRDefault="0081175C" w:rsidP="00AB621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Skulder till en anställd, relaterade till inarbetad lön, pensionsförmåner eller annan fast ersättning, med undantag för den rörliga delen av ersättning som inte regleras av kollektivavtal. Ovan ska dock inte tillämpas på den rörliga delen av en ersättning i det fall den anställde är en väsentlig risktagare, enligt definitionen i artikel 92.2 i direktiv 2013/36/EU.</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0180</w:t>
            </w:r>
          </w:p>
        </w:tc>
        <w:tc>
          <w:tcPr>
            <w:tcW w:w="8175" w:type="dxa"/>
            <w:tcBorders>
              <w:top w:val="single" w:sz="4" w:space="0" w:color="1A171C"/>
              <w:left w:val="single" w:sz="4" w:space="0" w:color="1A171C"/>
              <w:bottom w:val="single" w:sz="4" w:space="0" w:color="1A171C"/>
              <w:right w:val="nil"/>
            </w:tcBorders>
            <w:vAlign w:val="center"/>
          </w:tcPr>
          <w:p w:rsidR="001971EB" w:rsidRPr="00D92B3C" w:rsidRDefault="00BC1A85"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Skulder som är kritiska för den dagliga driften</w:t>
            </w:r>
          </w:p>
          <w:p w:rsidR="0081175C" w:rsidRPr="00D8163F"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da-DK"/>
              </w:rPr>
            </w:pPr>
            <w:r w:rsidRPr="00D8163F">
              <w:rPr>
                <w:rFonts w:ascii="Times New Roman" w:hAnsi="Times New Roman"/>
                <w:color w:val="000000" w:themeColor="text1"/>
                <w:spacing w:val="-2"/>
                <w:w w:val="95"/>
                <w:sz w:val="20"/>
                <w:lang w:val="da-DK"/>
              </w:rPr>
              <w:t>Artikel 44.2 led g ii i direktiv 2014/59/EU</w:t>
            </w:r>
          </w:p>
          <w:p w:rsidR="0081175C" w:rsidRPr="00D92B3C" w:rsidRDefault="0081175C" w:rsidP="00AB621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Skulder till en borgenär inom affärs- eller handelssektorn som förser institutet, eller den enhet som avses i led b, c eller d i artikel 1.1 i direktiv 2014/59/EU, med varor eller tjänster som är kritiska för den löpande verksamheten, däribland it-tjänster, försörjningstjänster och hyra, förvaltning och underhåll av lokaler.</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0190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Skulder till skatte- och socialförsäkringsmyndigheter, om prioriterade</w:t>
            </w:r>
          </w:p>
          <w:p w:rsidR="0081175C" w:rsidRPr="00D8163F"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da-DK"/>
              </w:rPr>
            </w:pPr>
            <w:r w:rsidRPr="00D8163F">
              <w:rPr>
                <w:rFonts w:ascii="Times New Roman" w:hAnsi="Times New Roman"/>
                <w:color w:val="000000" w:themeColor="text1"/>
                <w:spacing w:val="-2"/>
                <w:w w:val="95"/>
                <w:sz w:val="20"/>
                <w:lang w:val="da-DK"/>
              </w:rPr>
              <w:t>Artikel 44.2 led g iii i direktiv 2014/59/EU</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Skulder till skatte- och socialförsäkringsmyndigheter, förutsatt att skulderna är prioriterade enligt tillämplig rätt.</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0200</w:t>
            </w:r>
          </w:p>
        </w:tc>
        <w:tc>
          <w:tcPr>
            <w:tcW w:w="8175" w:type="dxa"/>
            <w:tcBorders>
              <w:top w:val="single" w:sz="4" w:space="0" w:color="1A171C"/>
              <w:left w:val="single" w:sz="4" w:space="0" w:color="1A171C"/>
              <w:bottom w:val="single" w:sz="4" w:space="0" w:color="1A171C"/>
              <w:right w:val="nil"/>
            </w:tcBorders>
            <w:vAlign w:val="center"/>
          </w:tcPr>
          <w:p w:rsidR="0081175C" w:rsidRPr="00EA4FA1"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Skulder till insättningsgarantisystem</w:t>
            </w:r>
          </w:p>
          <w:p w:rsidR="0081175C" w:rsidRPr="00EA4FA1"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Artikel 44.2 led g iv i direktiv 2014/59/EU</w:t>
            </w:r>
          </w:p>
          <w:p w:rsidR="0081175C" w:rsidRPr="00D92B3C" w:rsidRDefault="0081175C" w:rsidP="002E714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Skulder till insättningsgarantisystem till följd av bidrag som ska betalas i enlighet med direktiv 2014/49/EU.</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C8201D"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0300</w:t>
            </w:r>
          </w:p>
        </w:tc>
        <w:tc>
          <w:tcPr>
            <w:tcW w:w="8175" w:type="dxa"/>
            <w:tcBorders>
              <w:top w:val="single" w:sz="4" w:space="0" w:color="1A171C"/>
              <w:left w:val="single" w:sz="4" w:space="0" w:color="1A171C"/>
              <w:bottom w:val="single" w:sz="4" w:space="0" w:color="1A171C"/>
              <w:right w:val="nil"/>
            </w:tcBorders>
            <w:vAlign w:val="center"/>
          </w:tcPr>
          <w:p w:rsidR="0081175C" w:rsidRPr="00C8201D" w:rsidRDefault="0081175C" w:rsidP="00D840C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Skulder som inte är exkluderade från skuldnedskrivning</w:t>
            </w:r>
          </w:p>
          <w:p w:rsidR="00431BCA" w:rsidRPr="00C8201D" w:rsidRDefault="00431BCA" w:rsidP="00D840C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Detta är summan av raderna 0310, 0320, 0334, 0340, 0350, 0360, 0365, 0370, 0380, 0390 och 0400.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0310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Insättningar, inte garanterade men prioriterade</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Artikel 108 i direktiv 2014/59/EU</w:t>
            </w:r>
          </w:p>
          <w:p w:rsidR="0081175C" w:rsidRPr="00D92B3C" w:rsidRDefault="0081175C" w:rsidP="004B7EC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Insättningar enligt definitionen i artikel 2.1 led 3 i direktiv 2014/49/EU som inte uppfyller kraven för att exkluderas från skuldnedskrivning (artikel 44.2 led a i direktiv 2014/59/EU), men som bör ges förmånsbehandling i enlighet med artikel 108 i direktiv 2014/59/EU. </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0320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Insättningar, inte garanterade och inte prioriterade</w:t>
            </w:r>
          </w:p>
          <w:p w:rsidR="0081175C" w:rsidRPr="00D92B3C" w:rsidRDefault="0081175C" w:rsidP="001654C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Insättningar enligt definitionen i artikel 2.1 led 3 i direktiv 2014/49/EU som inte uppfyller kraven för att exkluderas från skuldnedskrivning eller förmånsbehandling genom tillämpning av artiklarna 44.2 led a eller 108 i direktiv 2014/59/EU.</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274771"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0330</w:t>
            </w:r>
          </w:p>
        </w:tc>
        <w:tc>
          <w:tcPr>
            <w:tcW w:w="8175" w:type="dxa"/>
            <w:tcBorders>
              <w:top w:val="single" w:sz="4" w:space="0" w:color="1A171C"/>
              <w:left w:val="single" w:sz="4" w:space="0" w:color="1A171C"/>
              <w:bottom w:val="single" w:sz="4" w:space="0" w:color="1A171C"/>
              <w:right w:val="nil"/>
            </w:tcBorders>
            <w:vAlign w:val="center"/>
          </w:tcPr>
          <w:p w:rsidR="0081175C" w:rsidRPr="00274771"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Skulder på balansräkningen som kan hänföras till derivat</w:t>
            </w:r>
          </w:p>
          <w:p w:rsidR="0081175C" w:rsidRPr="00D92B3C" w:rsidRDefault="0081175C" w:rsidP="0013115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Det bokförda värdet av skulder som kan hänföras till derivat, för totalt belopp motsvarande Finrep: {F 01.02;020;010) + {F 01.02;150;010}.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0331</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Sammanlagd nettoskuldposition med beaktande av avtalsenliga nettningsmängder, efter marknadsprisjustering, före kvittning av säkerhet</w:t>
            </w:r>
          </w:p>
          <w:p w:rsidR="0081175C" w:rsidRPr="00D92B3C" w:rsidRDefault="0081175C" w:rsidP="0013115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Summan av alla nettomarknadsvärden av derivatskulderna i varje avtalsenlig nettningsmängd. Nettomarknadsvärdet för en nettningsmängd ska endast redovisas om det utgör en skuld. För detta ändamål ska derivat för vilka inga nettningsavtal gjorts hanteras som enskilda avtal, dvs. som om det vore en nettningsmängd med endast ett derivat.</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0332</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Sammanlagd nettoskuldposition med beaktande av avtalsenliga nettningsmänger, efter marknadsprisjustering, efter kvittning av säkerhet</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Uppskattningen på rad 0331 justeras för säkerhet som ställts för att säkra exponeringen, vilket leder till summan av dessa nettomarknadsvärden efter kvittning av säkerhet till marknadsvärde.</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0333</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Sammanlagd nettoskuldposition med beaktande av avtalsenliga nettningsmängder, efter marknadsprisjustering, efter kvittning av säkerhet, inräknat förväntat avräkningsbelopp</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 enlighet med kommissionens delegerade förordning 2016/1401</w:t>
            </w:r>
            <w:r>
              <w:rPr>
                <w:rStyle w:val="FootnoteReference"/>
                <w:color w:val="1A171C"/>
                <w:spacing w:val="-2"/>
                <w:w w:val="95"/>
              </w:rPr>
              <w:footnoteReference w:id="15"/>
            </w:r>
            <w:r>
              <w:rPr>
                <w:rFonts w:ascii="Times New Roman" w:hAnsi="Times New Roman"/>
                <w:color w:val="000000" w:themeColor="text1"/>
                <w:spacing w:val="-2"/>
                <w:w w:val="95"/>
                <w:sz w:val="20"/>
              </w:rPr>
              <w:t xml:space="preserve"> om värdering av skulder som hänför sig till derivat, ett ytterligare avräkningsbelopp som täcker de förluster eller kostnader som derivatmotparter ådrar sig, eller de vinster som de gör, genom att ersätta eller att erhålla den ekonomiska motsvarigheten av de materiella villkoren i de uppsagda avtalen och parternas optionsrättigheter för dessa avtal.</w:t>
            </w:r>
          </w:p>
          <w:p w:rsidR="0081175C" w:rsidRPr="00D92B3C" w:rsidRDefault="0081175C" w:rsidP="00C4316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Det kan vara svårt att göra de uppskattningar som behövs för att fastställa avräkningsbeloppet i enlighet med ovan nämnda förordning för enheten på individuell nivå. Därför kan proxy-värden användas istället, och dessa kan baseras på tillgänglig data så som tillsynskraven för marknadsrisker. Om det visar sig </w:t>
            </w:r>
            <w:r>
              <w:rPr>
                <w:rFonts w:ascii="Times New Roman" w:hAnsi="Times New Roman"/>
                <w:color w:val="000000" w:themeColor="text1"/>
                <w:spacing w:val="-2"/>
                <w:w w:val="95"/>
                <w:sz w:val="20"/>
              </w:rPr>
              <w:lastRenderedPageBreak/>
              <w:t>omöjligt att beräkna avräkningsbeloppet för derivatskulderna ska den redovisade summan vara densamma som den summa som redovisas på rad 0332.</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0334</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Sammanlagd nettoskuldposition med beaktande av tillsynsregler för nettning</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Nettoskuldpositionen för derivat ska redovisas med beaktande av tillsynsreglerna för nettning i artikel 429 i förordning (EU) nr 575/2013 (gällande beräkning av bruttosoliditetsgradens totala riskmått).</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0340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Icke-garanterade skulder med säkerhet</w:t>
            </w:r>
          </w:p>
          <w:p w:rsidR="0081175C" w:rsidRPr="00D92B3C" w:rsidRDefault="0081175C" w:rsidP="00504E9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Summan av skulder med säkerhet eller skulder för vilka säkerhet har ställts som överstiger värdet av de tillgångar, den panträtt, den företagsinteckning eller annan säkerhet som ställts för fordran. Detta ska omfatta den ”osäkrade” delen av varje skuld med säkerhet, t.ex. den osäkrade delen av säkerställda obligationer eller återköpstransaktioner.</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0350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Strukturerade produkter</w:t>
            </w:r>
          </w:p>
          <w:p w:rsidR="0081175C" w:rsidRPr="00D92B3C" w:rsidRDefault="0081175C" w:rsidP="00077AF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Strukturerade produkter definieras för detta syfte som skuldförbindelser med inbäddade derivatkomponenter, vars vinster är kopplade till en underliggande säkerhet eller ett index (offentligt eller anpassat, så som obligationer, fasta inkomstbelopp eller krediter, FX, varor etc.). Strukturerade produkter inkluderar inte skuldinstrument som endast innehåller köp- och säljoptioner, dvs. instrument vars värde är oberoende av inbäddade derivatkomponenter.</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0360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Seniora skulder utan säkerhet</w:t>
            </w:r>
          </w:p>
          <w:p w:rsidR="0081175C" w:rsidRPr="00D92B3C" w:rsidRDefault="00EF01C1"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Detta omfattar alla osäkrade seniora instrument som inte ingår i kategorin strukturerade produkter.</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0B7DC6"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0365</w:t>
            </w:r>
          </w:p>
        </w:tc>
        <w:tc>
          <w:tcPr>
            <w:tcW w:w="8175" w:type="dxa"/>
            <w:tcBorders>
              <w:top w:val="single" w:sz="4" w:space="0" w:color="1A171C"/>
              <w:left w:val="single" w:sz="4" w:space="0" w:color="1A171C"/>
              <w:bottom w:val="single" w:sz="4" w:space="0" w:color="1A171C"/>
              <w:right w:val="nil"/>
            </w:tcBorders>
            <w:vAlign w:val="center"/>
          </w:tcPr>
          <w:p w:rsidR="000B7DC6" w:rsidRPr="00D92B3C" w:rsidRDefault="000B7DC6"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Icke-prioriterade seniora skulder</w:t>
            </w:r>
          </w:p>
          <w:p w:rsidR="00C92D66" w:rsidRPr="00D92B3C" w:rsidRDefault="00C92D66" w:rsidP="00C92D66">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Summa av någon av följande skulder:</w:t>
            </w:r>
          </w:p>
          <w:p w:rsidR="00C92D66" w:rsidRPr="00D92B3C" w:rsidRDefault="00C92D66" w:rsidP="00715DAB">
            <w:pPr>
              <w:pStyle w:val="TableParagraph"/>
              <w:numPr>
                <w:ilvl w:val="0"/>
                <w:numId w:val="27"/>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Osäkrade fordringar från skuldinstrument som uppfyller villkoren i led a, b och c i punkterna 2 och 3 i artikel 108 i direktiv 2014/59/EU, </w:t>
            </w:r>
          </w:p>
          <w:p w:rsidR="00C92D66" w:rsidRPr="00D92B3C" w:rsidRDefault="00C92D66" w:rsidP="00715DAB">
            <w:pPr>
              <w:pStyle w:val="TableParagraph"/>
              <w:numPr>
                <w:ilvl w:val="0"/>
                <w:numId w:val="27"/>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osäkrade fordringar som är ett resultat av de skuldinstrument som avses i punkt b i första stycket i artikel 108.5 i direktiv 2014/59/EU, eller</w:t>
            </w:r>
          </w:p>
          <w:p w:rsidR="000B7DC6" w:rsidRPr="00D92B3C" w:rsidRDefault="00C92D66" w:rsidP="00715DAB">
            <w:pPr>
              <w:pStyle w:val="TableParagraph"/>
              <w:numPr>
                <w:ilvl w:val="0"/>
                <w:numId w:val="27"/>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de lägst rankade skuldinstrumenten bland vanliga osäkrade fordringar som är ett resultat av de skuldinstrument som avses i artikel 108.7 i direktiv 2014/59/EU, och för vilka en medlemsstat, i enlighet med nämnda stycke, har sett till att de har samma rangordning som fordringar som uppfyller kraven i led a, b och c i punkt 2 och 3 i artikel 108 i direktiv 2014/59/EU.</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0370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Efterställda skulder</w:t>
            </w:r>
          </w:p>
          <w:p w:rsidR="0081175C" w:rsidRPr="00D92B3C" w:rsidRDefault="00BF709A"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Skulder som enligt nationell insolvensrätt endast ska återbetalas efter det att samtliga klasser av vanliga borgenärer och icke-prioriterade seniora borgenärer har återbetalats till fullo. Detta inkluderar både avtalsenliga skulder och lagenligt efterställda skulder. När det gäller holdingbolag kan även icke efterställda skuldsäkerheter redovisas i denna kategori (dvs. strukturerad efterställdhet).</w:t>
            </w:r>
          </w:p>
          <w:p w:rsidR="00EF01C1" w:rsidRPr="00D92B3C" w:rsidRDefault="008A77ED" w:rsidP="00EF01C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Endast efterställda instrument som inte är erkända som kapitalbas ska inkluderas i denna kategori. </w:t>
            </w:r>
          </w:p>
          <w:p w:rsidR="0081175C" w:rsidRPr="00D92B3C" w:rsidRDefault="00EF01C1" w:rsidP="00EF01C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Denna rad ska också inkludera den del av de efterställda skulderna som i princip kan räknas som kapitalbas men som inte ingår i kapitalbasen på grund av utfasningsbestämmelserna i t.ex. artikel 64 i förordning (EU) nr 575/2013 (återstående löptid) eller del 10 i förordning (EU) nr 575/2013 (övergångsbestämmelser). </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0380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Övriga MREL-kvalificerade skulder</w:t>
            </w:r>
          </w:p>
          <w:p w:rsidR="0081175C" w:rsidRPr="00D92B3C" w:rsidRDefault="0081175C" w:rsidP="00CF2F2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Samtliga instrument som uppfyller MREL-kraven men som inte står med på rad 0320 eller på rad 0340 till 0370.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0390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Icke-finansiella skulder</w:t>
            </w:r>
          </w:p>
          <w:p w:rsidR="0081175C" w:rsidRPr="00D92B3C" w:rsidRDefault="0081175C" w:rsidP="00CF2F2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Denna rad är för icke-finansiella skulder som inte är kopplade till skuldinstrument där innehavaren kan få skulden nedskriven av praktiska skäl, så som avsättningar kopplade till tvister som enheten är inblandad i. </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0400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Skulder, restposter</w:t>
            </w:r>
          </w:p>
          <w:p w:rsidR="0081175C" w:rsidRPr="00D92B3C" w:rsidRDefault="0081175C" w:rsidP="00C3490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lastRenderedPageBreak/>
              <w:t xml:space="preserve">Alla skulder som inte har redovisats på rad 0100 till 0390. </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0500</w:t>
            </w:r>
          </w:p>
        </w:tc>
        <w:tc>
          <w:tcPr>
            <w:tcW w:w="8175" w:type="dxa"/>
            <w:tcBorders>
              <w:top w:val="single" w:sz="4" w:space="0" w:color="1A171C"/>
              <w:left w:val="single" w:sz="4" w:space="0" w:color="1A171C"/>
              <w:bottom w:val="single" w:sz="4" w:space="0" w:color="1A171C"/>
              <w:right w:val="nil"/>
            </w:tcBorders>
            <w:vAlign w:val="center"/>
          </w:tcPr>
          <w:p w:rsidR="00C3490B" w:rsidRPr="00D92B3C" w:rsidRDefault="0081175C" w:rsidP="00FE3E9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rPr>
              <w:t>Kapitalbas</w:t>
            </w:r>
          </w:p>
          <w:p w:rsidR="0081175C" w:rsidRPr="00D92B3C" w:rsidRDefault="00C3490B"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Artiklarna 4.1.118 och 72 i förordning (EU) nr 575/2013</w:t>
            </w:r>
          </w:p>
          <w:p w:rsidR="00C62EEE" w:rsidRPr="00D92B3C" w:rsidRDefault="00C62EEE"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Samma definition som Corep (OF): {C 01.00;010;010}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0510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Kärnprimärkapital</w:t>
            </w:r>
          </w:p>
          <w:p w:rsidR="00C62EEE" w:rsidRPr="00D92B3C" w:rsidRDefault="00C3490B" w:rsidP="00C3490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Artikel 50 i förordning (EU) nr 575/2013</w:t>
            </w:r>
          </w:p>
          <w:p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Samma definition som Corep (OF): {C 01.00;020;010}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0511</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Varav: kapitalinstrument/aktiekapital</w:t>
            </w:r>
          </w:p>
          <w:p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Rättsliga instrument som utgör (en del av) kärnprimärkapital i form av kapitalinstrument/aktiekapital</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0512</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Varav: instrument som är likställda med vanliga aktier</w:t>
            </w:r>
          </w:p>
          <w:p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Rättsliga instrument som utgör (en del av) kärnprimärkapitalbas i form av instrument som inte är kapitalinstrument/aktiekapital men som rankas likadant som denna kategori</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0520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Övrigt primärkapital för kapitaltäckningsändamål</w:t>
            </w:r>
          </w:p>
          <w:p w:rsidR="00C62EEE" w:rsidRPr="00D92B3C" w:rsidRDefault="00C62EE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Artikel 61 i förordning (EU) nr 575/2013</w:t>
            </w:r>
          </w:p>
          <w:p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Samma definition som Corep (OF): {C 01.00;530;010}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0521</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Varav: (delar av) efterställda skulder erkända som kapitalbas</w:t>
            </w:r>
          </w:p>
          <w:p w:rsidR="0081175C" w:rsidRPr="00D92B3C" w:rsidRDefault="00FA24AE" w:rsidP="00FA24A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Rättsliga instrument som utgör (en del av) övrigt primärkapital.</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0530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Supplementärkapital</w:t>
            </w:r>
          </w:p>
          <w:p w:rsidR="00C62EEE" w:rsidRPr="00D92B3C" w:rsidRDefault="00FA24A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Artikel 71 i förordning (EU) nr 575/2013</w:t>
            </w:r>
          </w:p>
          <w:p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Samma definition som Corep (OF): {C 01.00;750;010}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0531</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Varav: (delar av) efterställda skulder erkända som kapitalbas</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Denna indelning identifierar de rättsliga instrument som utgör (en del av) supplementärkapitalbasen.</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0600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Summa skulder och kapitalbas inklusive derivatskulder</w:t>
            </w:r>
          </w:p>
          <w:p w:rsidR="0081175C" w:rsidRPr="00D92B3C" w:rsidRDefault="0081175C" w:rsidP="00100FC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Summan av samtliga skulder som redovisas i denna mall och beloppet för den lagstadgade kapitalbasen. För detta ändamål ska alla belopp på ovanstående rader adderas. När det gäller derivat ska värdet på rad 0334 ”sammanlagd nettoskuldposition med beaktande av tillsynsregler för nettning” användas.</w:t>
            </w:r>
          </w:p>
        </w:tc>
      </w:tr>
    </w:tbl>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23" w:name="_Toc492542323"/>
      <w:bookmarkStart w:id="24" w:name="_Toc509909041"/>
      <w:bookmarkStart w:id="25" w:name="_Toc525215490"/>
      <w:r>
        <w:rPr>
          <w:rFonts w:ascii="Times New Roman" w:hAnsi="Times New Roman"/>
        </w:rPr>
        <w:t>Z 03.00 - Kapitalbaskrav (OWN)</w:t>
      </w:r>
      <w:bookmarkEnd w:id="23"/>
      <w:bookmarkEnd w:id="24"/>
      <w:bookmarkEnd w:id="25"/>
    </w:p>
    <w:p w:rsidR="00F73F97" w:rsidRPr="00D92B3C" w:rsidRDefault="00F73F97" w:rsidP="00EC261B">
      <w:pPr>
        <w:pStyle w:val="Instructionsberschrift3"/>
      </w:pPr>
      <w:r>
        <w:t>Allmänna anmärkningar</w:t>
      </w:r>
    </w:p>
    <w:p w:rsidR="002449CC" w:rsidRPr="00D92B3C" w:rsidRDefault="002449CC"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Denna mall innehåller information om enhetens eller koncernens kapitalbaskrav.</w:t>
      </w:r>
    </w:p>
    <w:p w:rsidR="00B93E39" w:rsidRPr="00D92B3C" w:rsidRDefault="00B93E39"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All redovisad information ska återspegla de kapitalbaskrav som är tillämpliga på rapporteringsreferensdagen.</w:t>
      </w:r>
    </w:p>
    <w:p w:rsidR="00B93E39" w:rsidRPr="00D92B3C" w:rsidRDefault="000447AD"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Den information om ytterligare kapitalbaskrav enligt andra pelaren som redovisas i denna mall ska baseras på det senast tillgängliga officiella ÖUP-brevet från behörig myndighet.</w:t>
      </w:r>
    </w:p>
    <w:p w:rsidR="00066E8E" w:rsidRPr="00D92B3C" w:rsidRDefault="00066E8E"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Ifall kapitalkraven inte är tillämpliga på individuell nivå för den enhet som rapporten gäller ska denna endast redovisa rad 0110.</w:t>
      </w:r>
    </w:p>
    <w:p w:rsidR="00E13CE3" w:rsidRPr="00D92B3C" w:rsidRDefault="00E13CE3" w:rsidP="00EC261B">
      <w:pPr>
        <w:pStyle w:val="Instructionsberschrift3"/>
      </w:pPr>
      <w:r>
        <w:t>Instruktioner för specifika positioner</w:t>
      </w:r>
    </w:p>
    <w:tbl>
      <w:tblPr>
        <w:tblW w:w="0" w:type="auto"/>
        <w:tblCellMar>
          <w:top w:w="57" w:type="dxa"/>
          <w:left w:w="57" w:type="dxa"/>
          <w:bottom w:w="57" w:type="dxa"/>
          <w:right w:w="0" w:type="dxa"/>
        </w:tblCellMar>
        <w:tblLook w:val="01E0" w:firstRow="1" w:lastRow="1" w:firstColumn="1" w:lastColumn="1" w:noHBand="0" w:noVBand="0"/>
      </w:tblPr>
      <w:tblGrid>
        <w:gridCol w:w="749"/>
        <w:gridCol w:w="8277"/>
      </w:tblGrid>
      <w:tr w:rsidR="00D22EB0" w:rsidRPr="00D92B3C" w:rsidTr="00E54104">
        <w:tc>
          <w:tcPr>
            <w:tcW w:w="749" w:type="dxa"/>
            <w:tcBorders>
              <w:top w:val="single" w:sz="4" w:space="0" w:color="1A171C"/>
              <w:left w:val="nil"/>
              <w:bottom w:val="single" w:sz="4" w:space="0" w:color="1A171C"/>
              <w:right w:val="single" w:sz="4" w:space="0" w:color="1A171C"/>
            </w:tcBorders>
            <w:shd w:val="clear" w:color="auto" w:fill="E4E5E5"/>
          </w:tcPr>
          <w:p w:rsidR="00FE3E96" w:rsidRPr="00D92B3C" w:rsidRDefault="00FE3E96" w:rsidP="001C68A5">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lastRenderedPageBreak/>
              <w:t>Rader</w:t>
            </w:r>
          </w:p>
        </w:tc>
        <w:tc>
          <w:tcPr>
            <w:tcW w:w="8277" w:type="dxa"/>
            <w:tcBorders>
              <w:top w:val="single" w:sz="4" w:space="0" w:color="1A171C"/>
              <w:left w:val="single" w:sz="4" w:space="0" w:color="1A171C"/>
              <w:bottom w:val="single" w:sz="4" w:space="0" w:color="1A171C"/>
              <w:right w:val="nil"/>
            </w:tcBorders>
            <w:shd w:val="clear" w:color="auto" w:fill="E4E5E5"/>
          </w:tcPr>
          <w:p w:rsidR="00FE3E96" w:rsidRPr="00D92B3C" w:rsidRDefault="00FE3E96" w:rsidP="00B525EC">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Anvisningar</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7F33DF" w:rsidP="001C68A5">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rPr>
              <w:t>0100</w:t>
            </w:r>
          </w:p>
        </w:tc>
        <w:tc>
          <w:tcPr>
            <w:tcW w:w="8277" w:type="dxa"/>
            <w:tcBorders>
              <w:top w:val="single" w:sz="4" w:space="0" w:color="1A171C"/>
              <w:left w:val="single" w:sz="4" w:space="0" w:color="1A171C"/>
              <w:bottom w:val="single" w:sz="4" w:space="0" w:color="1A171C"/>
              <w:right w:val="nil"/>
            </w:tcBorders>
            <w:vAlign w:val="center"/>
          </w:tcPr>
          <w:p w:rsidR="00FE3E96" w:rsidRPr="00D92B3C" w:rsidRDefault="00FE3E96" w:rsidP="00B525EC">
            <w:pPr>
              <w:pStyle w:val="TableParagraph"/>
              <w:spacing w:before="108"/>
              <w:rPr>
                <w:rFonts w:ascii="Times New Roman" w:hAnsi="Times New Roman" w:cs="Times New Roman"/>
                <w:b/>
                <w:bCs/>
                <w:color w:val="000000" w:themeColor="text1"/>
                <w:sz w:val="20"/>
                <w:szCs w:val="20"/>
              </w:rPr>
            </w:pPr>
            <w:r>
              <w:rPr>
                <w:rFonts w:ascii="Times New Roman" w:hAnsi="Times New Roman"/>
                <w:b/>
                <w:color w:val="000000" w:themeColor="text1"/>
                <w:sz w:val="20"/>
              </w:rPr>
              <w:t>Totalt riskexponeringsbelopp</w:t>
            </w:r>
          </w:p>
          <w:p w:rsidR="00FE3E96" w:rsidRPr="00D92B3C" w:rsidRDefault="00F55BB5" w:rsidP="00B525EC">
            <w:pPr>
              <w:pStyle w:val="TableParagraph"/>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Artikel 92.3 i förordning (EU) nr 575/2013</w:t>
            </w:r>
          </w:p>
          <w:p w:rsidR="00271815" w:rsidRPr="00D92B3C" w:rsidRDefault="009F5277" w:rsidP="00B525EC">
            <w:pPr>
              <w:pStyle w:val="TableParagraph"/>
              <w:spacing w:before="108"/>
              <w:rPr>
                <w:rFonts w:ascii="Times New Roman" w:hAnsi="Times New Roman" w:cs="Times New Roman"/>
                <w:color w:val="000000" w:themeColor="text1"/>
                <w:spacing w:val="-2"/>
                <w:sz w:val="20"/>
                <w:szCs w:val="20"/>
              </w:rPr>
            </w:pPr>
            <w:r>
              <w:rPr>
                <w:rFonts w:ascii="Times New Roman" w:hAnsi="Times New Roman"/>
                <w:color w:val="000000" w:themeColor="text1"/>
                <w:spacing w:val="-1"/>
                <w:w w:val="95"/>
                <w:sz w:val="20"/>
              </w:rPr>
              <w:t>Se Z 01.00, kolumn 0100</w:t>
            </w:r>
          </w:p>
          <w:p w:rsidR="00255A8C" w:rsidRPr="00D92B3C" w:rsidRDefault="00271815" w:rsidP="00B525EC">
            <w:pPr>
              <w:pStyle w:val="TableParagraph"/>
              <w:spacing w:before="108"/>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Totalt riskexponeringsbelopp enligt definitionen för Corep (OF): {C 02.00;010;010}</w:t>
            </w:r>
          </w:p>
        </w:tc>
      </w:tr>
      <w:tr w:rsidR="00D22EB0" w:rsidRPr="00D92B3C" w:rsidTr="007D4291">
        <w:trPr>
          <w:trHeight w:val="1152"/>
        </w:trPr>
        <w:tc>
          <w:tcPr>
            <w:tcW w:w="0" w:type="auto"/>
            <w:tcBorders>
              <w:top w:val="single" w:sz="4" w:space="0" w:color="1A171C"/>
              <w:left w:val="nil"/>
              <w:bottom w:val="single" w:sz="4" w:space="0" w:color="1A171C"/>
              <w:right w:val="single" w:sz="4" w:space="0" w:color="1A171C"/>
            </w:tcBorders>
          </w:tcPr>
          <w:p w:rsidR="00271815" w:rsidRPr="00D92B3C" w:rsidRDefault="00271815" w:rsidP="00D66D58">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0110</w:t>
            </w:r>
          </w:p>
        </w:tc>
        <w:tc>
          <w:tcPr>
            <w:tcW w:w="0" w:type="auto"/>
            <w:tcBorders>
              <w:top w:val="single" w:sz="4" w:space="0" w:color="1A171C"/>
              <w:left w:val="single" w:sz="4" w:space="0" w:color="1A171C"/>
              <w:bottom w:val="single" w:sz="4" w:space="0" w:color="1A171C"/>
              <w:right w:val="nil"/>
            </w:tcBorders>
          </w:tcPr>
          <w:p w:rsidR="00271815" w:rsidRPr="00D92B3C" w:rsidRDefault="00271815" w:rsidP="00B525EC">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Bidrag till det totala sammanställda riskexponeringsbeloppet </w:t>
            </w:r>
          </w:p>
          <w:p w:rsidR="00D66D58" w:rsidRPr="00D92B3C" w:rsidRDefault="00D66D58" w:rsidP="00B525EC">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Se Z 01.00, kolumn 0140</w:t>
            </w:r>
          </w:p>
          <w:p w:rsidR="00D66D58" w:rsidRPr="00D92B3C" w:rsidRDefault="00D66D58" w:rsidP="00B525EC">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Summa bruttosoliditetsexponering enligt definitionen för Corep (LR): {C 47.00;290;010}</w:t>
            </w:r>
          </w:p>
          <w:p w:rsidR="00271815" w:rsidRPr="00D92B3C" w:rsidRDefault="007D4291" w:rsidP="00B525EC">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Denna post ska endast redovisas för enheter som inte omfattas av kapitalkrav på individuell nivå.</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7E7CB4" w:rsidRPr="00D92B3C" w:rsidRDefault="007F33DF"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0210 - 0250</w:t>
            </w:r>
          </w:p>
        </w:tc>
        <w:tc>
          <w:tcPr>
            <w:tcW w:w="8277" w:type="dxa"/>
            <w:tcBorders>
              <w:top w:val="single" w:sz="4" w:space="0" w:color="1A171C"/>
              <w:left w:val="single" w:sz="4" w:space="0" w:color="1A171C"/>
              <w:bottom w:val="single" w:sz="4" w:space="0" w:color="1A171C"/>
              <w:right w:val="nil"/>
            </w:tcBorders>
            <w:vAlign w:val="center"/>
          </w:tcPr>
          <w:p w:rsidR="007E7CB4" w:rsidRPr="00D92B3C" w:rsidRDefault="009C3899"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Startkapital och bruttosoliditetskrav</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7F33DF" w:rsidP="00BA3A8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0210</w:t>
            </w:r>
          </w:p>
        </w:tc>
        <w:tc>
          <w:tcPr>
            <w:tcW w:w="8277" w:type="dxa"/>
            <w:tcBorders>
              <w:top w:val="single" w:sz="4" w:space="0" w:color="1A171C"/>
              <w:left w:val="single" w:sz="4" w:space="0" w:color="1A171C"/>
              <w:bottom w:val="single" w:sz="4" w:space="0" w:color="1A171C"/>
              <w:right w:val="nil"/>
            </w:tcBorders>
            <w:vAlign w:val="center"/>
          </w:tcPr>
          <w:p w:rsidR="00B52DAF" w:rsidRPr="00D92B3C" w:rsidRDefault="00B52DA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Startkapital</w:t>
            </w:r>
          </w:p>
          <w:p w:rsidR="00FE3E96" w:rsidRPr="00D92B3C" w:rsidRDefault="001F2E31"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Artiklarna 12 samt 28 till 31 i direktiv 2013/36/EU och artikel 93 i förordning (EU) nr 575/2013</w:t>
            </w:r>
          </w:p>
          <w:p w:rsidR="00FE3E96" w:rsidRPr="00D92B3C" w:rsidRDefault="00FE3E96"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Det startkapital som krävs för att ett institut ska få tillstånd att påbörja sin verksamhet.</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7F33DF" w:rsidP="00BA3A8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0220</w:t>
            </w:r>
          </w:p>
        </w:tc>
        <w:tc>
          <w:tcPr>
            <w:tcW w:w="8277" w:type="dxa"/>
            <w:tcBorders>
              <w:top w:val="single" w:sz="4" w:space="0" w:color="1A171C"/>
              <w:left w:val="single" w:sz="4" w:space="0" w:color="1A171C"/>
              <w:bottom w:val="single" w:sz="4" w:space="0" w:color="1A171C"/>
              <w:right w:val="nil"/>
            </w:tcBorders>
            <w:vAlign w:val="center"/>
          </w:tcPr>
          <w:p w:rsidR="00FE3E96" w:rsidRPr="00D92B3C" w:rsidRDefault="00FE3E96"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Bruttosoliditetskrav</w:t>
            </w:r>
          </w:p>
          <w:p w:rsidR="00FE3E96" w:rsidRPr="00D92B3C" w:rsidRDefault="007E7CB4"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Bruttosoliditetskravet för enheten eller koncernen, uttryckta som en procentandel av total bruttosoliditetsexponering. Ifall inga formella krav ställs ska enheterna lämna denna cell tom.</w:t>
            </w:r>
          </w:p>
          <w:p w:rsidR="00A20924" w:rsidRPr="00D92B3C" w:rsidRDefault="00A20924" w:rsidP="00B525EC">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Total bruttosoliditetsexponering ska definieras som för Corep (LR): {C 47.00;290;010}</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517EFA" w:rsidRPr="00D92B3C" w:rsidRDefault="009968AE"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0300</w:t>
            </w:r>
          </w:p>
        </w:tc>
        <w:tc>
          <w:tcPr>
            <w:tcW w:w="8277" w:type="dxa"/>
            <w:tcBorders>
              <w:top w:val="single" w:sz="4" w:space="0" w:color="1A171C"/>
              <w:left w:val="single" w:sz="4" w:space="0" w:color="1A171C"/>
              <w:bottom w:val="single" w:sz="4" w:space="0" w:color="1A171C"/>
              <w:right w:val="nil"/>
            </w:tcBorders>
            <w:vAlign w:val="center"/>
          </w:tcPr>
          <w:p w:rsidR="00517EFA" w:rsidRPr="00D92B3C" w:rsidRDefault="009968AE"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Total ÖUP-kapitalkravsrelation (TSCR) </w:t>
            </w:r>
          </w:p>
          <w:p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03.00;130;010}</w:t>
            </w:r>
          </w:p>
          <w:p w:rsidR="00517EFA" w:rsidRPr="00D92B3C" w:rsidRDefault="00517EFA" w:rsidP="0073582D">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Summan av i) och ii) enligt följande:</w:t>
            </w:r>
          </w:p>
          <w:p w:rsidR="00517EFA" w:rsidRPr="00D92B3C" w:rsidRDefault="00517EFA" w:rsidP="0073582D">
            <w:pPr>
              <w:pStyle w:val="InstructionsText"/>
              <w:ind w:left="789" w:hanging="567"/>
              <w:rPr>
                <w:rFonts w:ascii="Times New Roman" w:hAnsi="Times New Roman" w:cs="Times New Roman"/>
                <w:color w:val="000000" w:themeColor="text1"/>
                <w:sz w:val="20"/>
                <w:szCs w:val="20"/>
              </w:rPr>
            </w:pPr>
            <w:r>
              <w:rPr>
                <w:rFonts w:ascii="Times New Roman" w:hAnsi="Times New Roman"/>
                <w:color w:val="000000" w:themeColor="text1"/>
                <w:sz w:val="20"/>
              </w:rPr>
              <w:t xml:space="preserve">Den totala kapitalrelationen (8 %) enligt vad som anges i artikel 92.1 c i förordning (EU) nr 575/2013. </w:t>
            </w:r>
          </w:p>
          <w:p w:rsidR="00517EFA" w:rsidRPr="00D92B3C" w:rsidRDefault="00517EFA" w:rsidP="0073582D">
            <w:pPr>
              <w:pStyle w:val="InstructionsText"/>
              <w:ind w:left="789" w:hanging="567"/>
              <w:rPr>
                <w:rFonts w:ascii="Times New Roman" w:hAnsi="Times New Roman" w:cs="Times New Roman"/>
                <w:color w:val="000000" w:themeColor="text1"/>
                <w:sz w:val="20"/>
                <w:szCs w:val="20"/>
              </w:rPr>
            </w:pPr>
            <w:r>
              <w:rPr>
                <w:rFonts w:ascii="Times New Roman" w:hAnsi="Times New Roman"/>
                <w:color w:val="000000" w:themeColor="text1"/>
                <w:sz w:val="20"/>
              </w:rPr>
              <w:t xml:space="preserve">Relationstalet för ytterligare kapitalbaskrav (krav enligt andra pelaren – P2R) som har bestämts utifrån kriterierna i </w:t>
            </w:r>
            <w:r>
              <w:rPr>
                <w:rFonts w:ascii="Times New Roman" w:hAnsi="Times New Roman"/>
                <w:i/>
                <w:color w:val="000000" w:themeColor="text1"/>
                <w:sz w:val="20"/>
              </w:rPr>
              <w:t xml:space="preserve">EBA-riktlinjerna om vanliga procedurer och metoder för översyn och utvärdering och stresstestning för översyn </w:t>
            </w:r>
            <w:r>
              <w:rPr>
                <w:rFonts w:ascii="Times New Roman" w:hAnsi="Times New Roman"/>
                <w:color w:val="000000" w:themeColor="text1"/>
                <w:sz w:val="20"/>
              </w:rPr>
              <w:t>(EBA/ÖUP-riktlinjerna).</w:t>
            </w:r>
          </w:p>
          <w:p w:rsidR="00517EFA" w:rsidRPr="00D92B3C" w:rsidRDefault="00517EFA" w:rsidP="0073582D">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Denna post ska återspegla total ÖUP-kapitalkravsrelation (TSCR) enligt den information som institutet har erhållit av behörig myndighet. TSCR definieras i avsnitt 1.2 i EBA/ÖUP-riktlinjerna.</w:t>
            </w:r>
          </w:p>
          <w:p w:rsidR="00517EFA" w:rsidRPr="00D92B3C" w:rsidRDefault="00517EFA"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Ifall inga ytterligare kapitalbaskrav har kommunicerats av behörig myndighet ska endast punkt i) redovisas.</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122E1B" w:rsidRPr="00D92B3C" w:rsidRDefault="0060078E"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0310</w:t>
            </w:r>
          </w:p>
        </w:tc>
        <w:tc>
          <w:tcPr>
            <w:tcW w:w="8277" w:type="dxa"/>
            <w:tcBorders>
              <w:top w:val="single" w:sz="4" w:space="0" w:color="1A171C"/>
              <w:left w:val="single" w:sz="4" w:space="0" w:color="1A171C"/>
              <w:bottom w:val="single" w:sz="4" w:space="0" w:color="1A171C"/>
              <w:right w:val="nil"/>
            </w:tcBorders>
            <w:vAlign w:val="center"/>
          </w:tcPr>
          <w:p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TSCR: som ska utgöras av kärnprimärkapital </w:t>
            </w:r>
          </w:p>
          <w:p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03.00;140;010}</w:t>
            </w:r>
          </w:p>
          <w:p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color w:val="000000" w:themeColor="text1"/>
                <w:sz w:val="20"/>
              </w:rPr>
              <w:t>Summan av i) och ii) enligt följande:</w:t>
            </w:r>
          </w:p>
          <w:p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color w:val="000000" w:themeColor="text1"/>
                <w:sz w:val="20"/>
              </w:rPr>
              <w:t>i)</w:t>
            </w:r>
            <w:r>
              <w:tab/>
            </w:r>
            <w:r>
              <w:rPr>
                <w:rFonts w:ascii="Times New Roman" w:hAnsi="Times New Roman"/>
                <w:color w:val="000000" w:themeColor="text1"/>
                <w:sz w:val="20"/>
              </w:rPr>
              <w:t>Kärnprimärkapitalrelationen (4.5 %) enligt artikel 92.1 a i förordning (EU) nr 575/2013.</w:t>
            </w:r>
          </w:p>
          <w:p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color w:val="000000" w:themeColor="text1"/>
                <w:sz w:val="20"/>
              </w:rPr>
              <w:t>ii)</w:t>
            </w:r>
            <w:r>
              <w:tab/>
            </w:r>
            <w:r>
              <w:rPr>
                <w:rFonts w:ascii="Times New Roman" w:hAnsi="Times New Roman"/>
                <w:color w:val="000000" w:themeColor="text1"/>
                <w:sz w:val="20"/>
              </w:rPr>
              <w:t>Den del av relationstalet för ytterligare kapitalbaskrav (P2R), som avses i punkt ii) på rad 300, som behörig myndighet kräver ska hållas i form av kärnprimärkapital.</w:t>
            </w:r>
          </w:p>
          <w:p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Ifall inga krav på att ytterligare kapitalbas ska hållas i form av kärnprimärkapital har kommunicerats av behörig myndighet ska endast punkt i) redovisas.</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122E1B" w:rsidRPr="00D92B3C" w:rsidRDefault="0060078E"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0320</w:t>
            </w:r>
          </w:p>
        </w:tc>
        <w:tc>
          <w:tcPr>
            <w:tcW w:w="8277" w:type="dxa"/>
            <w:tcBorders>
              <w:top w:val="single" w:sz="4" w:space="0" w:color="1A171C"/>
              <w:left w:val="single" w:sz="4" w:space="0" w:color="1A171C"/>
              <w:bottom w:val="single" w:sz="4" w:space="0" w:color="1A171C"/>
              <w:right w:val="nil"/>
            </w:tcBorders>
            <w:vAlign w:val="center"/>
          </w:tcPr>
          <w:p w:rsidR="00122E1B" w:rsidRPr="00D92B3C" w:rsidRDefault="00122E1B" w:rsidP="0073582D">
            <w:pPr>
              <w:pStyle w:val="InstructionsText"/>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u w:val="none"/>
              </w:rPr>
              <w:t>TSCR: som ska utgöras av primärkapital</w:t>
            </w:r>
          </w:p>
          <w:p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03.00;150;010}</w:t>
            </w:r>
          </w:p>
          <w:p w:rsidR="00122E1B" w:rsidRPr="00D92B3C" w:rsidRDefault="00122E1B"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Summan av i) och ii) enligt följande:</w:t>
            </w:r>
          </w:p>
          <w:p w:rsidR="00122E1B" w:rsidRPr="00D92B3C" w:rsidRDefault="00122E1B" w:rsidP="00715DAB">
            <w:pPr>
              <w:pStyle w:val="InstructionsText"/>
              <w:numPr>
                <w:ilvl w:val="0"/>
                <w:numId w:val="31"/>
              </w:numPr>
              <w:rPr>
                <w:rFonts w:ascii="Times New Roman" w:hAnsi="Times New Roman" w:cs="Times New Roman"/>
                <w:color w:val="000000" w:themeColor="text1"/>
                <w:sz w:val="20"/>
                <w:szCs w:val="20"/>
              </w:rPr>
            </w:pPr>
            <w:r>
              <w:rPr>
                <w:rFonts w:ascii="Times New Roman" w:hAnsi="Times New Roman"/>
                <w:color w:val="000000" w:themeColor="text1"/>
                <w:sz w:val="20"/>
              </w:rPr>
              <w:t>Primärkapitalrelationen (6 %) enligt artikel 92.1 b i förordning(EU) nr 575/2013.</w:t>
            </w:r>
          </w:p>
          <w:p w:rsidR="00122E1B" w:rsidRPr="00D92B3C" w:rsidRDefault="00122E1B" w:rsidP="00715DAB">
            <w:pPr>
              <w:pStyle w:val="InstructionsText"/>
              <w:numPr>
                <w:ilvl w:val="0"/>
                <w:numId w:val="31"/>
              </w:numPr>
              <w:rPr>
                <w:rFonts w:ascii="Times New Roman" w:hAnsi="Times New Roman" w:cs="Times New Roman"/>
                <w:bCs/>
                <w:color w:val="000000" w:themeColor="text1"/>
                <w:sz w:val="20"/>
                <w:szCs w:val="20"/>
                <w:u w:val="single"/>
              </w:rPr>
            </w:pPr>
            <w:r>
              <w:rPr>
                <w:rFonts w:ascii="Times New Roman" w:hAnsi="Times New Roman"/>
                <w:color w:val="000000" w:themeColor="text1"/>
                <w:sz w:val="20"/>
              </w:rPr>
              <w:t>Den del av relationstalet för ytterligare kapitalbaskrav (P2R), som avses i punkt ii) på rad 300, som behörig myndighet kräver ska hållas i form av primärkapital.</w:t>
            </w:r>
          </w:p>
          <w:p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Ifall inga ytterligare krav på att kapitalbasen ska hållas i form av primärkapital har kommunicerats av behörig myndighet ska endast punkt i) redovisas.</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24B99" w:rsidRPr="00D92B3C" w:rsidRDefault="00F24B99"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0400</w:t>
            </w:r>
          </w:p>
        </w:tc>
        <w:tc>
          <w:tcPr>
            <w:tcW w:w="8277" w:type="dxa"/>
            <w:tcBorders>
              <w:top w:val="single" w:sz="4" w:space="0" w:color="1A171C"/>
              <w:left w:val="single" w:sz="4" w:space="0" w:color="1A171C"/>
              <w:bottom w:val="single" w:sz="4" w:space="0" w:color="1A171C"/>
              <w:right w:val="nil"/>
            </w:tcBorders>
            <w:vAlign w:val="center"/>
          </w:tcPr>
          <w:p w:rsidR="00F24B99" w:rsidRPr="00D92B3C" w:rsidRDefault="00F24B99"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Kombinerade buffertkrav</w:t>
            </w:r>
          </w:p>
          <w:p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Artikel 128.6 i direktiv 2013/36/EU</w:t>
            </w:r>
          </w:p>
          <w:p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04.00;740;010}</w:t>
            </w:r>
          </w:p>
          <w:p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rPr>
            </w:pP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046CD0" w:rsidRPr="00D92B3C" w:rsidRDefault="00046CD0"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0410</w:t>
            </w:r>
          </w:p>
        </w:tc>
        <w:tc>
          <w:tcPr>
            <w:tcW w:w="8277" w:type="dxa"/>
            <w:tcBorders>
              <w:top w:val="single" w:sz="4" w:space="0" w:color="1A171C"/>
              <w:left w:val="single" w:sz="4" w:space="0" w:color="1A171C"/>
              <w:bottom w:val="single" w:sz="4" w:space="0" w:color="1A171C"/>
              <w:right w:val="nil"/>
            </w:tcBorders>
            <w:vAlign w:val="center"/>
          </w:tcPr>
          <w:p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Kapitalkonserveringsbuffert</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Artiklarna 128.1 och 129 i direktiv 2013/36/EU</w:t>
            </w:r>
          </w:p>
          <w:p w:rsidR="005337DD" w:rsidRPr="00D92B3C" w:rsidRDefault="005337DD"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pacing w:val="-2"/>
                <w:w w:val="95"/>
                <w:sz w:val="20"/>
              </w:rPr>
              <w:t>Corep (OF): {C 04.00;750;010}).</w:t>
            </w:r>
          </w:p>
          <w:p w:rsidR="00413A0F" w:rsidRPr="00D92B3C" w:rsidRDefault="00413A0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I enlighet med artikel 129.1 är kapitalkonserveringsbufferten ett tillägg av primärkapital. Eftersom kapitalkonserveringsbufferten utgörs av en fast andel på 2,5 % ska ett belopp rapporteras i denna cell.</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5337DD" w:rsidRPr="00D92B3C" w:rsidRDefault="005337DD" w:rsidP="008C24D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0420</w:t>
            </w:r>
          </w:p>
        </w:tc>
        <w:tc>
          <w:tcPr>
            <w:tcW w:w="8277" w:type="dxa"/>
            <w:tcBorders>
              <w:top w:val="single" w:sz="4" w:space="0" w:color="1A171C"/>
              <w:left w:val="single" w:sz="4" w:space="0" w:color="1A171C"/>
              <w:bottom w:val="single" w:sz="4" w:space="0" w:color="1A171C"/>
              <w:right w:val="nil"/>
            </w:tcBorders>
            <w:vAlign w:val="center"/>
          </w:tcPr>
          <w:p w:rsidR="005337DD" w:rsidRPr="00D92B3C" w:rsidRDefault="005337DD" w:rsidP="00B525EC">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u w:val="none"/>
              </w:rPr>
              <w:t>Konserveringsbuffert på grund av makrotillsynsrisker eller systemrisker identifierade på medlemsstatsnivå</w:t>
            </w:r>
          </w:p>
          <w:p w:rsidR="005337DD" w:rsidRPr="00D92B3C" w:rsidRDefault="005337DD" w:rsidP="00B525EC">
            <w:pPr>
              <w:rPr>
                <w:rStyle w:val="InstructionsTabelleberschrift"/>
                <w:rFonts w:ascii="Times New Roman" w:hAnsi="Times New Roman"/>
                <w:color w:val="000000" w:themeColor="text1"/>
                <w:szCs w:val="20"/>
                <w:u w:val="none"/>
              </w:rPr>
            </w:pPr>
          </w:p>
          <w:p w:rsidR="005337DD" w:rsidRPr="00D92B3C" w:rsidRDefault="005337DD" w:rsidP="00B525EC">
            <w:pPr>
              <w:rPr>
                <w:rStyle w:val="InstructionsTabelleberschrift"/>
                <w:rFonts w:ascii="Times New Roman" w:hAnsi="Times New Roman"/>
                <w:b w:val="0"/>
                <w:color w:val="000000" w:themeColor="text1"/>
                <w:szCs w:val="20"/>
                <w:u w:val="none"/>
              </w:rPr>
            </w:pPr>
            <w:r>
              <w:rPr>
                <w:rStyle w:val="InstructionsTabelleberschrift"/>
                <w:rFonts w:ascii="Times New Roman" w:hAnsi="Times New Roman"/>
                <w:b w:val="0"/>
                <w:color w:val="000000" w:themeColor="text1"/>
                <w:u w:val="none"/>
              </w:rPr>
              <w:t>Artikel 458.2 led d iv i förordning (EU) nr 575/2013</w:t>
            </w:r>
          </w:p>
          <w:p w:rsidR="0039780B" w:rsidRPr="00D92B3C" w:rsidRDefault="0039780B" w:rsidP="00B525EC">
            <w:pPr>
              <w:pStyle w:val="TableParagraph"/>
              <w:spacing w:before="108"/>
              <w:jc w:val="both"/>
              <w:rPr>
                <w:rStyle w:val="InstructionsTabelleberschrift"/>
                <w:rFonts w:ascii="Times New Roman" w:hAnsi="Times New Roman"/>
                <w:b w:val="0"/>
                <w:bCs w:val="0"/>
                <w:color w:val="000000" w:themeColor="text1"/>
                <w:szCs w:val="20"/>
                <w:u w:val="none"/>
              </w:rPr>
            </w:pPr>
            <w:r>
              <w:rPr>
                <w:rFonts w:ascii="Times New Roman" w:hAnsi="Times New Roman"/>
                <w:color w:val="000000" w:themeColor="text1"/>
                <w:spacing w:val="-2"/>
                <w:w w:val="95"/>
                <w:sz w:val="20"/>
              </w:rPr>
              <w:t>Corep (OF): {C 04.00;760;010}).</w:t>
            </w:r>
          </w:p>
          <w:p w:rsidR="005337DD" w:rsidRPr="00D92B3C" w:rsidRDefault="005337DD"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rPr>
              <w:t>I denna cell ska den del av konserveringsbufferten för makrotillsynsrisker eller systemrisker identifierade på medlemsstatsnivå redovisas som kan krävas utöver kapitalkonserveringsbufferten, detta i enlighet med artikel 458 i förordning (EU) nr 575/2013.</w:t>
            </w:r>
          </w:p>
          <w:p w:rsidR="002F55A8" w:rsidRPr="00D92B3C" w:rsidRDefault="002F55A8"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rPr>
              <w:t>Det rapporterade beloppet ska representera det kapitalbasbelopp som behövs för att fylla respektive kapitalbuffertkrav på rapporteringsdatumet.</w:t>
            </w:r>
          </w:p>
          <w:p w:rsidR="005337DD" w:rsidRPr="00D92B3C" w:rsidRDefault="005337DD" w:rsidP="00B525EC">
            <w:pPr>
              <w:pStyle w:val="TableParagraph"/>
              <w:spacing w:before="108"/>
              <w:jc w:val="both"/>
              <w:rPr>
                <w:rFonts w:ascii="Times New Roman" w:hAnsi="Times New Roman" w:cs="Times New Roman"/>
                <w:b/>
                <w:bCs/>
                <w:color w:val="000000" w:themeColor="text1"/>
                <w:sz w:val="20"/>
                <w:szCs w:val="20"/>
              </w:rPr>
            </w:pP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1F7941" w:rsidRPr="00D92B3C" w:rsidRDefault="001F7941" w:rsidP="00A94CD3">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0430</w:t>
            </w:r>
          </w:p>
        </w:tc>
        <w:tc>
          <w:tcPr>
            <w:tcW w:w="8277" w:type="dxa"/>
            <w:tcBorders>
              <w:top w:val="single" w:sz="4" w:space="0" w:color="1A171C"/>
              <w:left w:val="single" w:sz="4" w:space="0" w:color="1A171C"/>
              <w:bottom w:val="single" w:sz="4" w:space="0" w:color="1A171C"/>
              <w:right w:val="nil"/>
            </w:tcBorders>
            <w:vAlign w:val="center"/>
          </w:tcPr>
          <w:p w:rsidR="001F7941" w:rsidRPr="00D92B3C" w:rsidRDefault="001F7941"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Institutspecifik kontracyklisk kapitalbuffert </w:t>
            </w:r>
          </w:p>
          <w:p w:rsidR="001F7941" w:rsidRPr="00D92B3C" w:rsidRDefault="001F7941"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Artiklarna 128.2, 130 och 135-140 i direktiv 2013/36/EU</w:t>
            </w:r>
          </w:p>
          <w:p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 Corep (OF): {C 04.00;770;010}).</w:t>
            </w:r>
          </w:p>
          <w:p w:rsidR="001F7941"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Det rapporterade beloppet ska representera det kapitalbasbelopp som behövs för att fylla respektive kapitalbuffertkrav på rapporteringsdatumet.</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046CD0" w:rsidRPr="00D92B3C" w:rsidRDefault="00046CD0" w:rsidP="00A94CD3">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0440</w:t>
            </w:r>
          </w:p>
        </w:tc>
        <w:tc>
          <w:tcPr>
            <w:tcW w:w="8277" w:type="dxa"/>
            <w:tcBorders>
              <w:top w:val="single" w:sz="4" w:space="0" w:color="1A171C"/>
              <w:left w:val="single" w:sz="4" w:space="0" w:color="1A171C"/>
              <w:bottom w:val="single" w:sz="4" w:space="0" w:color="1A171C"/>
              <w:right w:val="nil"/>
            </w:tcBorders>
            <w:vAlign w:val="center"/>
          </w:tcPr>
          <w:p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Systemriskbuffert</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Artiklarna 128.5, 133 och 134 i direktiv 2013/36/EU</w:t>
            </w:r>
          </w:p>
          <w:p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 Corep (OF): {C 04.00;780;010}).</w:t>
            </w:r>
          </w:p>
          <w:p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Det rapporterade beloppet ska representera det kapitalbasbelopp som behövs för att fylla respektive kapitalbuffertkrav på rapporteringsdatumet.</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046CD0" w:rsidRPr="00D92B3C" w:rsidRDefault="00046CD0" w:rsidP="0033156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0450</w:t>
            </w:r>
          </w:p>
        </w:tc>
        <w:tc>
          <w:tcPr>
            <w:tcW w:w="8277" w:type="dxa"/>
            <w:tcBorders>
              <w:top w:val="single" w:sz="4" w:space="0" w:color="1A171C"/>
              <w:left w:val="single" w:sz="4" w:space="0" w:color="1A171C"/>
              <w:bottom w:val="single" w:sz="4" w:space="0" w:color="1A171C"/>
              <w:right w:val="nil"/>
            </w:tcBorders>
            <w:vAlign w:val="center"/>
          </w:tcPr>
          <w:p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Buffert för globalt systemviktigt institut</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Artiklarna 128.3 och 131 i direktiv 2013/36/EU</w:t>
            </w:r>
          </w:p>
          <w:p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04.00;800;010}</w:t>
            </w:r>
          </w:p>
          <w:p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Det rapporterade beloppet ska representera det kapitalbasbelopp som behövs för att fylla respektive kapitalbuffertkrav på rapporteringsdatumet.</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046CD0" w:rsidRPr="00D92B3C" w:rsidRDefault="00046CD0" w:rsidP="0033156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0460</w:t>
            </w:r>
          </w:p>
        </w:tc>
        <w:tc>
          <w:tcPr>
            <w:tcW w:w="8277" w:type="dxa"/>
            <w:tcBorders>
              <w:top w:val="single" w:sz="4" w:space="0" w:color="1A171C"/>
              <w:left w:val="single" w:sz="4" w:space="0" w:color="1A171C"/>
              <w:bottom w:val="single" w:sz="4" w:space="0" w:color="1A171C"/>
              <w:right w:val="nil"/>
            </w:tcBorders>
            <w:vAlign w:val="center"/>
          </w:tcPr>
          <w:p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Övrig buffert för systemviktiga institut</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Artiklarna 128.4 och 131 i direktiv 2013/36/EU</w:t>
            </w:r>
          </w:p>
          <w:p w:rsidR="0039780B" w:rsidRPr="00D92B3C" w:rsidRDefault="0039780B"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04.00;810;010}</w:t>
            </w:r>
          </w:p>
          <w:p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Det rapporterade beloppet ska representera det kapitalbasbelopp som behövs för att fylla respektive kapitalbuffertkrav på rapporteringsdatumet.</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7E7CB4" w:rsidRPr="00D92B3C" w:rsidRDefault="005C514D"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0500</w:t>
            </w:r>
          </w:p>
        </w:tc>
        <w:tc>
          <w:tcPr>
            <w:tcW w:w="8277" w:type="dxa"/>
            <w:tcBorders>
              <w:top w:val="single" w:sz="4" w:space="0" w:color="1A171C"/>
              <w:left w:val="single" w:sz="4" w:space="0" w:color="1A171C"/>
              <w:bottom w:val="single" w:sz="4" w:space="0" w:color="1A171C"/>
              <w:right w:val="nil"/>
            </w:tcBorders>
            <w:vAlign w:val="center"/>
          </w:tcPr>
          <w:p w:rsidR="007E7CB4" w:rsidRPr="00D92B3C" w:rsidRDefault="005C514D"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Samlad kapitalkravsrelation (OCR)</w:t>
            </w:r>
          </w:p>
          <w:p w:rsidR="00B4561B" w:rsidRPr="00D92B3C" w:rsidRDefault="00B4561B"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03.00;160;010}</w:t>
            </w:r>
          </w:p>
          <w:p w:rsidR="00B77E4E" w:rsidRPr="00D92B3C" w:rsidRDefault="00B77E4E" w:rsidP="00C80BDE">
            <w:pPr>
              <w:pStyle w:val="InstructionsText"/>
              <w:numPr>
                <w:ilvl w:val="0"/>
                <w:numId w:val="0"/>
              </w:numPr>
              <w:ind w:firstLine="221"/>
              <w:rPr>
                <w:rFonts w:ascii="Times New Roman" w:hAnsi="Times New Roman" w:cs="Times New Roman"/>
                <w:color w:val="000000" w:themeColor="text1"/>
                <w:sz w:val="20"/>
                <w:szCs w:val="20"/>
              </w:rPr>
            </w:pPr>
            <w:r>
              <w:rPr>
                <w:rFonts w:ascii="Times New Roman" w:hAnsi="Times New Roman"/>
                <w:color w:val="000000" w:themeColor="text1"/>
                <w:sz w:val="20"/>
              </w:rPr>
              <w:t>Summan av i) och ii) enligt följande:</w:t>
            </w:r>
          </w:p>
          <w:p w:rsidR="00B77E4E" w:rsidRPr="00D92B3C" w:rsidRDefault="00B77E4E" w:rsidP="00715DAB">
            <w:pPr>
              <w:pStyle w:val="InstructionsText"/>
              <w:numPr>
                <w:ilvl w:val="0"/>
                <w:numId w:val="32"/>
              </w:numPr>
              <w:rPr>
                <w:rFonts w:ascii="Times New Roman" w:hAnsi="Times New Roman" w:cs="Times New Roman"/>
                <w:color w:val="000000" w:themeColor="text1"/>
                <w:sz w:val="20"/>
                <w:szCs w:val="20"/>
              </w:rPr>
            </w:pPr>
            <w:r>
              <w:rPr>
                <w:rFonts w:ascii="Times New Roman" w:hAnsi="Times New Roman"/>
                <w:color w:val="000000" w:themeColor="text1"/>
                <w:sz w:val="20"/>
              </w:rPr>
              <w:t>TSCR-relationstalet som avses på rad 0300,</w:t>
            </w:r>
          </w:p>
          <w:p w:rsidR="00B77E4E" w:rsidRPr="00D92B3C" w:rsidRDefault="00B77E4E" w:rsidP="00715DAB">
            <w:pPr>
              <w:pStyle w:val="InstructionsText"/>
              <w:numPr>
                <w:ilvl w:val="0"/>
                <w:numId w:val="32"/>
              </w:numPr>
              <w:rPr>
                <w:rFonts w:ascii="Times New Roman" w:hAnsi="Times New Roman" w:cs="Times New Roman"/>
                <w:color w:val="000000" w:themeColor="text1"/>
                <w:sz w:val="20"/>
                <w:szCs w:val="20"/>
              </w:rPr>
            </w:pPr>
            <w:r>
              <w:rPr>
                <w:rFonts w:ascii="Times New Roman" w:hAnsi="Times New Roman"/>
                <w:color w:val="000000" w:themeColor="text1"/>
                <w:sz w:val="20"/>
              </w:rPr>
              <w:t>ifall det är tillämpligt i gällande rätt, relationstalet för de kombinerade buffertkrav som avses i artikel 128.6 i direktiv 2013/36/EU.</w:t>
            </w:r>
          </w:p>
          <w:p w:rsidR="00B77E4E" w:rsidRPr="00D92B3C" w:rsidRDefault="00B77E4E"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Denna post ska återspegla den samlade kapitalkravsrelationen (OCR) enligt definitionen i stycke 1.2 i EBA/ÖUP-riktlinjerna.</w:t>
            </w:r>
          </w:p>
          <w:p w:rsidR="00B77E4E" w:rsidRPr="00D92B3C" w:rsidRDefault="00B77E4E"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Ifall inga buffertkrav är tillämpliga ska endast punkt i) redovisas.</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4E1838" w:rsidRPr="00D92B3C" w:rsidRDefault="004E1838"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0510</w:t>
            </w:r>
          </w:p>
        </w:tc>
        <w:tc>
          <w:tcPr>
            <w:tcW w:w="8277" w:type="dxa"/>
            <w:tcBorders>
              <w:top w:val="single" w:sz="4" w:space="0" w:color="1A171C"/>
              <w:left w:val="single" w:sz="4" w:space="0" w:color="1A171C"/>
              <w:bottom w:val="single" w:sz="4" w:space="0" w:color="1A171C"/>
              <w:right w:val="nil"/>
            </w:tcBorders>
            <w:vAlign w:val="center"/>
          </w:tcPr>
          <w:p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   OCR: som ska utgöras av kärnprimärkapital</w:t>
            </w:r>
          </w:p>
          <w:p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03.00;170;010}</w:t>
            </w:r>
          </w:p>
          <w:p w:rsidR="004E1838" w:rsidRPr="00D92B3C" w:rsidRDefault="004E1838"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Summan av i) och ii) enligt följande:</w:t>
            </w:r>
          </w:p>
          <w:p w:rsidR="004E1838" w:rsidRPr="00D92B3C" w:rsidRDefault="004E1838" w:rsidP="00715DAB">
            <w:pPr>
              <w:pStyle w:val="InstructionsText"/>
              <w:numPr>
                <w:ilvl w:val="0"/>
                <w:numId w:val="33"/>
              </w:numPr>
              <w:rPr>
                <w:rFonts w:ascii="Times New Roman" w:hAnsi="Times New Roman" w:cs="Times New Roman"/>
                <w:color w:val="000000" w:themeColor="text1"/>
                <w:sz w:val="20"/>
                <w:szCs w:val="20"/>
              </w:rPr>
            </w:pPr>
            <w:r>
              <w:rPr>
                <w:rFonts w:ascii="Times New Roman" w:hAnsi="Times New Roman"/>
                <w:color w:val="000000" w:themeColor="text1"/>
                <w:sz w:val="20"/>
              </w:rPr>
              <w:t>TSCR-relationstalet som ska bestå av det kärnprimärkapital som avses på rad 0310,</w:t>
            </w:r>
          </w:p>
          <w:p w:rsidR="004E1838" w:rsidRPr="00D92B3C" w:rsidRDefault="004E1838" w:rsidP="00715DAB">
            <w:pPr>
              <w:pStyle w:val="InstructionsText"/>
              <w:numPr>
                <w:ilvl w:val="0"/>
                <w:numId w:val="33"/>
              </w:numPr>
              <w:rPr>
                <w:rFonts w:ascii="Times New Roman" w:hAnsi="Times New Roman" w:cs="Times New Roman"/>
                <w:bCs/>
                <w:color w:val="000000" w:themeColor="text1"/>
                <w:sz w:val="20"/>
                <w:szCs w:val="20"/>
                <w:u w:val="single"/>
              </w:rPr>
            </w:pPr>
            <w:r>
              <w:rPr>
                <w:rFonts w:ascii="Times New Roman" w:hAnsi="Times New Roman"/>
                <w:color w:val="000000" w:themeColor="text1"/>
                <w:sz w:val="20"/>
              </w:rPr>
              <w:t>ifall det är tillämpligt i gällande rätt, relationstalet för de kombinerade buffertkrav som avses i artikel 128.6 i direktiv 2013/36/EU.</w:t>
            </w:r>
          </w:p>
          <w:p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Ifall inga buffertkrav är tillämpliga ska endast punkt i) redovisas.</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4E1838" w:rsidRPr="00D92B3C" w:rsidRDefault="004E1838"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0520</w:t>
            </w:r>
          </w:p>
        </w:tc>
        <w:tc>
          <w:tcPr>
            <w:tcW w:w="8277" w:type="dxa"/>
            <w:tcBorders>
              <w:top w:val="single" w:sz="4" w:space="0" w:color="1A171C"/>
              <w:left w:val="single" w:sz="4" w:space="0" w:color="1A171C"/>
              <w:bottom w:val="single" w:sz="4" w:space="0" w:color="1A171C"/>
              <w:right w:val="nil"/>
            </w:tcBorders>
            <w:vAlign w:val="center"/>
          </w:tcPr>
          <w:p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   OCR: som ska utgöras av primärkapital</w:t>
            </w:r>
          </w:p>
          <w:p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03.00;180;010}</w:t>
            </w:r>
          </w:p>
          <w:p w:rsidR="004E1838" w:rsidRPr="00D92B3C" w:rsidRDefault="004E1838" w:rsidP="00C80BDE">
            <w:pPr>
              <w:pStyle w:val="InstructionsText"/>
              <w:numPr>
                <w:ilvl w:val="0"/>
                <w:numId w:val="0"/>
              </w:numPr>
              <w:ind w:firstLine="221"/>
              <w:rPr>
                <w:rFonts w:ascii="Times New Roman" w:hAnsi="Times New Roman" w:cs="Times New Roman"/>
                <w:color w:val="000000" w:themeColor="text1"/>
                <w:sz w:val="20"/>
                <w:szCs w:val="20"/>
              </w:rPr>
            </w:pPr>
            <w:r>
              <w:rPr>
                <w:rFonts w:ascii="Times New Roman" w:hAnsi="Times New Roman"/>
                <w:color w:val="000000" w:themeColor="text1"/>
                <w:sz w:val="20"/>
              </w:rPr>
              <w:t>Summan av i) och ii) enligt följande:</w:t>
            </w:r>
          </w:p>
          <w:p w:rsidR="004E1838" w:rsidRPr="00D92B3C" w:rsidRDefault="004E1838" w:rsidP="00715DAB">
            <w:pPr>
              <w:pStyle w:val="InstructionsText"/>
              <w:numPr>
                <w:ilvl w:val="0"/>
                <w:numId w:val="34"/>
              </w:numPr>
              <w:rPr>
                <w:rFonts w:ascii="Times New Roman" w:hAnsi="Times New Roman" w:cs="Times New Roman"/>
                <w:color w:val="000000" w:themeColor="text1"/>
                <w:sz w:val="20"/>
                <w:szCs w:val="20"/>
              </w:rPr>
            </w:pPr>
            <w:r>
              <w:rPr>
                <w:rFonts w:ascii="Times New Roman" w:hAnsi="Times New Roman"/>
                <w:color w:val="000000" w:themeColor="text1"/>
                <w:sz w:val="20"/>
              </w:rPr>
              <w:t>TSCR-relationstalet som ska bestå av det primärkapital som avses på rad 0320,</w:t>
            </w:r>
          </w:p>
          <w:p w:rsidR="004E1838" w:rsidRPr="00D92B3C" w:rsidRDefault="004E1838" w:rsidP="00715DAB">
            <w:pPr>
              <w:pStyle w:val="InstructionsText"/>
              <w:numPr>
                <w:ilvl w:val="0"/>
                <w:numId w:val="34"/>
              </w:numPr>
              <w:rPr>
                <w:rFonts w:ascii="Times New Roman" w:hAnsi="Times New Roman" w:cs="Times New Roman"/>
                <w:bCs/>
                <w:color w:val="000000" w:themeColor="text1"/>
                <w:sz w:val="20"/>
                <w:szCs w:val="20"/>
                <w:u w:val="single"/>
              </w:rPr>
            </w:pPr>
            <w:r>
              <w:rPr>
                <w:rFonts w:ascii="Times New Roman" w:hAnsi="Times New Roman"/>
                <w:color w:val="000000" w:themeColor="text1"/>
                <w:sz w:val="20"/>
              </w:rPr>
              <w:t>ifall det är tillämpligt i gällande rätt, relationstalet för de kombinerade buffertkrav som avses i artikel 128.6 i direktiv 2013/36/EU.</w:t>
            </w:r>
          </w:p>
          <w:p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Ifall inga buffertkrav är tillämpliga ska endast punkt i) redovisas.</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B27F8F"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0600</w:t>
            </w:r>
          </w:p>
        </w:tc>
        <w:tc>
          <w:tcPr>
            <w:tcW w:w="8277" w:type="dxa"/>
            <w:tcBorders>
              <w:top w:val="single" w:sz="4" w:space="0" w:color="1A171C"/>
              <w:left w:val="single" w:sz="4" w:space="0" w:color="1A171C"/>
              <w:bottom w:val="single" w:sz="4" w:space="0" w:color="1A171C"/>
              <w:right w:val="nil"/>
            </w:tcBorders>
            <w:vAlign w:val="center"/>
          </w:tcPr>
          <w:p w:rsidR="00B27F8F"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OCR och riktlinje för ytterligare kapitalbas (andra pelaren, P2G)</w:t>
            </w:r>
          </w:p>
          <w:p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03.00;190;010}</w:t>
            </w:r>
          </w:p>
          <w:p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Summan av i) och ii) enligt följande:</w:t>
            </w:r>
          </w:p>
          <w:p w:rsidR="00B27F8F" w:rsidRPr="00D92B3C" w:rsidRDefault="00B27F8F" w:rsidP="00715DAB">
            <w:pPr>
              <w:pStyle w:val="InstructionsText"/>
              <w:numPr>
                <w:ilvl w:val="0"/>
                <w:numId w:val="35"/>
              </w:numPr>
              <w:rPr>
                <w:rFonts w:ascii="Times New Roman" w:hAnsi="Times New Roman" w:cs="Times New Roman"/>
                <w:color w:val="000000" w:themeColor="text1"/>
                <w:sz w:val="20"/>
                <w:szCs w:val="20"/>
              </w:rPr>
            </w:pPr>
            <w:r>
              <w:rPr>
                <w:rFonts w:ascii="Times New Roman" w:hAnsi="Times New Roman"/>
                <w:color w:val="000000" w:themeColor="text1"/>
                <w:sz w:val="20"/>
              </w:rPr>
              <w:t>OCR-relationstalet som avses på rad 0500.</w:t>
            </w:r>
          </w:p>
          <w:p w:rsidR="00B27F8F" w:rsidRPr="00D92B3C" w:rsidRDefault="00B27F8F" w:rsidP="00715DAB">
            <w:pPr>
              <w:pStyle w:val="InstructionsText"/>
              <w:numPr>
                <w:ilvl w:val="0"/>
                <w:numId w:val="35"/>
              </w:numPr>
              <w:rPr>
                <w:rFonts w:ascii="Times New Roman" w:hAnsi="Times New Roman" w:cs="Times New Roman"/>
                <w:bCs/>
                <w:color w:val="000000" w:themeColor="text1"/>
                <w:sz w:val="20"/>
                <w:szCs w:val="20"/>
                <w:u w:val="single"/>
              </w:rPr>
            </w:pPr>
            <w:r>
              <w:rPr>
                <w:rFonts w:ascii="Times New Roman" w:hAnsi="Times New Roman"/>
                <w:color w:val="000000" w:themeColor="text1"/>
                <w:sz w:val="20"/>
              </w:rPr>
              <w:t>I förekommande fall, riktlinjen för ytterligare kapitalbas (andra pelaren, P2G) enligt definitionen i EBA/ÖUP-riktlinjerna. Ytterligare kapitalbas (P2G) ska endast inkluderas ifall behörig myndighet har meddelat institutet detta.</w:t>
            </w:r>
          </w:p>
          <w:p w:rsidR="00FE3E96"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Ifall ingen ytterligare kapitalbas meddelas av behörig myndighet ska endast punkt i) redovisas.</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4B50C4"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0610</w:t>
            </w:r>
          </w:p>
        </w:tc>
        <w:tc>
          <w:tcPr>
            <w:tcW w:w="8277" w:type="dxa"/>
            <w:tcBorders>
              <w:top w:val="single" w:sz="4" w:space="0" w:color="1A171C"/>
              <w:left w:val="single" w:sz="4" w:space="0" w:color="1A171C"/>
              <w:bottom w:val="single" w:sz="4" w:space="0" w:color="1A171C"/>
              <w:right w:val="nil"/>
            </w:tcBorders>
            <w:vAlign w:val="center"/>
          </w:tcPr>
          <w:p w:rsidR="00FE3E96"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OCR och P2G: som ska utgöras av kärnprimärkapital</w:t>
            </w:r>
          </w:p>
          <w:p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03.00;200;010}</w:t>
            </w:r>
          </w:p>
          <w:p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Summan av i) och ii) enligt följande:</w:t>
            </w:r>
          </w:p>
          <w:p w:rsidR="00B27F8F" w:rsidRPr="00D92B3C" w:rsidRDefault="00B27F8F" w:rsidP="00715DAB">
            <w:pPr>
              <w:pStyle w:val="InstructionsText"/>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rPr>
              <w:t>OCR-relationstalet som ska bestå av det kärnprimärkapital som avses på rad 0520.</w:t>
            </w:r>
          </w:p>
          <w:p w:rsidR="00B27F8F" w:rsidRPr="00D92B3C" w:rsidRDefault="00B27F8F" w:rsidP="00715DAB">
            <w:pPr>
              <w:pStyle w:val="InstructionsText"/>
              <w:numPr>
                <w:ilvl w:val="0"/>
                <w:numId w:val="36"/>
              </w:numPr>
              <w:rPr>
                <w:rFonts w:ascii="Times New Roman" w:hAnsi="Times New Roman" w:cs="Times New Roman"/>
                <w:bCs/>
                <w:color w:val="000000" w:themeColor="text1"/>
                <w:sz w:val="20"/>
                <w:szCs w:val="20"/>
                <w:u w:val="single"/>
              </w:rPr>
            </w:pPr>
            <w:r>
              <w:rPr>
                <w:rFonts w:ascii="Times New Roman" w:hAnsi="Times New Roman"/>
                <w:color w:val="000000" w:themeColor="text1"/>
                <w:sz w:val="20"/>
              </w:rPr>
              <w:t xml:space="preserve">I förekommande fall, den del av den ytterligare kapitalbasen som avses i punkt ii) på rad </w:t>
            </w:r>
            <w:r>
              <w:rPr>
                <w:rFonts w:ascii="Times New Roman" w:hAnsi="Times New Roman"/>
                <w:color w:val="000000" w:themeColor="text1"/>
                <w:sz w:val="20"/>
              </w:rPr>
              <w:lastRenderedPageBreak/>
              <w:t>0600, som behörig myndighet kräver ska hållas i form av kärnprimärkapital. Ytterligare kapitalbas (P2G) ska endast inkluderas ifall behörig myndighet har meddelat institutet detta.</w:t>
            </w:r>
          </w:p>
          <w:p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Ifall ingen ytterligare kapitalbas meddelas av behörig myndighet ska endast punkt i) redovisas.</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4B50C4"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0620</w:t>
            </w:r>
          </w:p>
        </w:tc>
        <w:tc>
          <w:tcPr>
            <w:tcW w:w="8277" w:type="dxa"/>
            <w:tcBorders>
              <w:top w:val="single" w:sz="4" w:space="0" w:color="1A171C"/>
              <w:left w:val="single" w:sz="4" w:space="0" w:color="1A171C"/>
              <w:bottom w:val="single" w:sz="4" w:space="0" w:color="1A171C"/>
              <w:right w:val="nil"/>
            </w:tcBorders>
            <w:vAlign w:val="center"/>
          </w:tcPr>
          <w:p w:rsidR="00B27F8F"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OCR och P2G: som ska utgöras av primärkapital</w:t>
            </w:r>
          </w:p>
          <w:p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03.00;210;010}</w:t>
            </w:r>
          </w:p>
          <w:p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Summan av i) och ii) enligt följande:</w:t>
            </w:r>
          </w:p>
          <w:p w:rsidR="00B27F8F" w:rsidRPr="00D92B3C" w:rsidRDefault="00B27F8F" w:rsidP="00715DAB">
            <w:pPr>
              <w:pStyle w:val="InstructionsText"/>
              <w:numPr>
                <w:ilvl w:val="0"/>
                <w:numId w:val="37"/>
              </w:numPr>
              <w:rPr>
                <w:rFonts w:ascii="Times New Roman" w:hAnsi="Times New Roman" w:cs="Times New Roman"/>
                <w:color w:val="000000" w:themeColor="text1"/>
                <w:sz w:val="20"/>
                <w:szCs w:val="20"/>
              </w:rPr>
            </w:pPr>
            <w:r>
              <w:rPr>
                <w:rFonts w:ascii="Times New Roman" w:hAnsi="Times New Roman"/>
                <w:color w:val="000000" w:themeColor="text1"/>
                <w:sz w:val="20"/>
              </w:rPr>
              <w:t>OCR-relationstalet som ska bestå av det primärkapital som avses på rad 0520.</w:t>
            </w:r>
          </w:p>
          <w:p w:rsidR="00B27F8F" w:rsidRPr="00D92B3C" w:rsidRDefault="00B27F8F" w:rsidP="00715DAB">
            <w:pPr>
              <w:pStyle w:val="InstructionsText"/>
              <w:numPr>
                <w:ilvl w:val="0"/>
                <w:numId w:val="37"/>
              </w:numPr>
              <w:rPr>
                <w:rFonts w:ascii="Times New Roman" w:hAnsi="Times New Roman" w:cs="Times New Roman"/>
                <w:color w:val="000000" w:themeColor="text1"/>
                <w:sz w:val="20"/>
                <w:szCs w:val="20"/>
              </w:rPr>
            </w:pPr>
            <w:r>
              <w:rPr>
                <w:rFonts w:ascii="Times New Roman" w:hAnsi="Times New Roman"/>
                <w:color w:val="000000" w:themeColor="text1"/>
                <w:sz w:val="20"/>
              </w:rPr>
              <w:t>I förekommande fall, den del av den ytterligare kapitalbasen som avses i punkt ii) på rad 600, som behörig myndighet kräver ska hållas i form av primärkapital. Ytterligare kapitalbas (P2G) ska endast inkluderas ifall behörig myndighet har meddelat institutet detta.</w:t>
            </w:r>
          </w:p>
          <w:p w:rsidR="00E05E83"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Ifall ingen ytterligare kapitalbas meddelas av behörig myndighet ska endast punkt i) redovisas.</w:t>
            </w:r>
          </w:p>
        </w:tc>
      </w:tr>
    </w:tbl>
    <w:p w:rsidR="00FE3E96" w:rsidRPr="00D92B3C" w:rsidRDefault="00FE3E96" w:rsidP="00E13CE3">
      <w:pPr>
        <w:rPr>
          <w:rFonts w:ascii="Times New Roman" w:hAnsi="Times New Roman" w:cs="Times New Roman"/>
          <w:color w:val="000000" w:themeColor="text1"/>
          <w:sz w:val="20"/>
          <w:szCs w:val="20"/>
        </w:rPr>
      </w:pPr>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26" w:name="_Toc492542324"/>
      <w:bookmarkStart w:id="27" w:name="_Toc509909042"/>
      <w:bookmarkStart w:id="28" w:name="_Toc525215491"/>
      <w:r>
        <w:rPr>
          <w:rFonts w:ascii="Times New Roman" w:hAnsi="Times New Roman"/>
        </w:rPr>
        <w:t>Z 04.00 - Finansiell sammanlänkning inom koncernen (IFC)</w:t>
      </w:r>
      <w:bookmarkEnd w:id="26"/>
      <w:bookmarkEnd w:id="27"/>
      <w:bookmarkEnd w:id="28"/>
    </w:p>
    <w:p w:rsidR="00E13CE3" w:rsidRPr="00D92B3C" w:rsidRDefault="00AD2380" w:rsidP="00EC261B">
      <w:pPr>
        <w:pStyle w:val="Instructionsberschrift3"/>
      </w:pPr>
      <w:r>
        <w:t>Allmänna anmärkningar</w:t>
      </w:r>
    </w:p>
    <w:p w:rsidR="00E13CE3" w:rsidRPr="00D92B3C" w:rsidRDefault="00E13CE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Denna mall innehåller information om skulder inom koncernen som inte är exkluderade från skuldnedskrivning, kapitalinstrument samt garantier. </w:t>
      </w:r>
    </w:p>
    <w:p w:rsidR="00395330" w:rsidRPr="00D92B3C" w:rsidRDefault="00395330"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All finansiell sammanlänkning mellan relevanta juridiska personer som ingår i den konsoliderade finansiella rapporten ska redovisas. Redovisade belopp som avser samma motpart ska samlas ihop (både efter utfärdare och garanterad enhet samt borgenär, innehavare och garantigivare) och även ordnas efter skuldtyp, kapitalinstrument eller garanti.</w:t>
      </w:r>
    </w:p>
    <w:p w:rsidR="00E13CE3" w:rsidRPr="00D92B3C" w:rsidRDefault="00E13CE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Kombinationen av värden som redovisas i kolumnerna 0020, 0040 och 0050 i denna mall utgör en primärnyckel som måste vara unik för varje rad i mallen.</w:t>
      </w:r>
    </w:p>
    <w:p w:rsidR="00E13CE3" w:rsidRPr="00D92B3C" w:rsidRDefault="00E13CE3" w:rsidP="00715DAB">
      <w:pPr>
        <w:pStyle w:val="Instructionsberschrift3"/>
      </w:pPr>
      <w:r>
        <w:t>Instruktioner för specifika positioner</w:t>
      </w:r>
    </w:p>
    <w:tbl>
      <w:tblPr>
        <w:tblW w:w="0" w:type="auto"/>
        <w:tblCellMar>
          <w:top w:w="57" w:type="dxa"/>
          <w:left w:w="57" w:type="dxa"/>
          <w:bottom w:w="57" w:type="dxa"/>
          <w:right w:w="0" w:type="dxa"/>
        </w:tblCellMar>
        <w:tblLook w:val="01E0" w:firstRow="1" w:lastRow="1" w:firstColumn="1" w:lastColumn="1" w:noHBand="0" w:noVBand="0"/>
      </w:tblPr>
      <w:tblGrid>
        <w:gridCol w:w="908"/>
        <w:gridCol w:w="8175"/>
      </w:tblGrid>
      <w:tr w:rsidR="00D22EB0" w:rsidRPr="00D92B3C" w:rsidTr="00DF1EA4">
        <w:tc>
          <w:tcPr>
            <w:tcW w:w="908" w:type="dxa"/>
            <w:tcBorders>
              <w:top w:val="single" w:sz="4" w:space="0" w:color="1A171C"/>
              <w:left w:val="nil"/>
              <w:bottom w:val="single" w:sz="4" w:space="0" w:color="1A171C"/>
              <w:right w:val="single" w:sz="4" w:space="0" w:color="1A171C"/>
            </w:tcBorders>
            <w:shd w:val="clear" w:color="auto" w:fill="E4E5E5"/>
          </w:tcPr>
          <w:p w:rsidR="004D27A1" w:rsidRPr="00D92B3C" w:rsidRDefault="004D27A1" w:rsidP="00DF1EA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Kolumner</w:t>
            </w:r>
          </w:p>
        </w:tc>
        <w:tc>
          <w:tcPr>
            <w:tcW w:w="8175" w:type="dxa"/>
            <w:tcBorders>
              <w:top w:val="single" w:sz="4" w:space="0" w:color="1A171C"/>
              <w:left w:val="single" w:sz="4" w:space="0" w:color="1A171C"/>
              <w:bottom w:val="single" w:sz="4" w:space="0" w:color="1A171C"/>
              <w:right w:val="nil"/>
            </w:tcBorders>
            <w:shd w:val="clear" w:color="auto" w:fill="E4E5E5"/>
          </w:tcPr>
          <w:p w:rsidR="004D27A1" w:rsidRPr="00D92B3C" w:rsidRDefault="004D27A1" w:rsidP="00DF1EA4">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Anvisningar</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AF56D5"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0010-0020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Utfärdare eller garanterad enhet</w:t>
            </w:r>
          </w:p>
          <w:p w:rsidR="004D27A1" w:rsidRPr="00D92B3C" w:rsidRDefault="00D05A4B" w:rsidP="00650E7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Juridisk person som utfärdar skulderna eller kapitalinstrumenten, eller är en garanterad enhet.</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0010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Enhetens namn </w:t>
            </w:r>
          </w:p>
          <w:p w:rsidR="004D27A1" w:rsidRPr="00D92B3C" w:rsidRDefault="004D27A1" w:rsidP="00FD3807">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Måste vara en annan enhet än den som anges i kolumn 0030.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0020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Kod</w:t>
            </w:r>
          </w:p>
          <w:p w:rsidR="00F0371B" w:rsidRPr="00D92B3C"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Utfärdarens eller garantimottagarens kod. Institut ska ha den 20-siffriga alfanumeriska LEI-koden. Övriga enheter ska ha den 20-siffriga alfanumeriska LEI-koden eller, ifall denna inte är tillgänglig, en enhetlig kod som är tillämplig i unionen eller, ifall en sådan inte är tillgänglig, en nationell kod.</w:t>
            </w:r>
          </w:p>
          <w:p w:rsidR="00F0371B" w:rsidRPr="00D92B3C"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Koden ska vara unik och användas konsekvent i mallarna.</w:t>
            </w:r>
          </w:p>
          <w:p w:rsidR="004D27A1" w:rsidRPr="00D92B3C" w:rsidRDefault="009F1041"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Koden måste skilja sig från den kod som anges i kolumn 0040.</w:t>
            </w:r>
          </w:p>
          <w:p w:rsidR="00F0371B" w:rsidRPr="00D92B3C" w:rsidRDefault="00F0371B"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0030-0040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DA2347"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Kreditgivare, innehavare eller garantigivare</w:t>
            </w:r>
          </w:p>
          <w:p w:rsidR="004D27A1" w:rsidRPr="00D92B3C" w:rsidRDefault="004D27A1" w:rsidP="00790C3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Juridisk person som är skuldens borgenär, innehavare av kapitalinstrumentet eller tillhandahåller garantin.</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0030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Enhetens namn </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Måste skilja sig från enhetsnamnet som anges i kolumn 0010.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 xml:space="preserve">0040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Kod</w:t>
            </w:r>
          </w:p>
          <w:p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Koden för borgenären, innehavaren, emissionsgaranten eller garantigivaren. Institut ska ha den 20-siffriga alfanumeriska LEI-koden. Övriga enheter ska ha den 20-siffriga alfanumeriska LEI-koden eller, ifall denna inte är tillgänglig, en enhetlig kod som är tillämplig i unionen eller, ifall en sådan inte är tillgänglig, en nationell kod.</w:t>
            </w:r>
          </w:p>
          <w:p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Koden ska vara unik och användas konsekvent i mallarna.</w:t>
            </w:r>
          </w:p>
          <w:p w:rsidR="004D27A1" w:rsidRPr="00D92B3C" w:rsidRDefault="004D27A1"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Måste skilja sig från den som anges i kolumn 0020.</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0050- 0070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Finansiell sammanlänkning </w:t>
            </w:r>
          </w:p>
          <w:p w:rsidR="004D27A1" w:rsidRPr="00D92B3C" w:rsidRDefault="00C8777C" w:rsidP="00B4764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 detta fält beskrivs finansiell sammanlänkning mellan de relevanta juridiska personerna.</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0050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Typ</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Välj en ur följande lista:</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Pr>
                <w:rFonts w:ascii="Times New Roman" w:hAnsi="Times New Roman"/>
                <w:color w:val="000000" w:themeColor="text1"/>
                <w:spacing w:val="-2"/>
                <w:w w:val="95"/>
                <w:sz w:val="20"/>
                <w:u w:val="single"/>
              </w:rPr>
              <w:t>Skulder inom koncernen</w:t>
            </w:r>
          </w:p>
          <w:p w:rsidR="0005258C"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Insättningar, inte garanterade men prioriterade</w:t>
            </w:r>
          </w:p>
          <w:p w:rsidR="00967F9A" w:rsidRPr="00D92B3C" w:rsidRDefault="00967F9A" w:rsidP="00B854DF">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Samma definition som Z 02.00 (LIAB), rad 0310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Insättningar, inte garanterade och inte prioriterade</w:t>
            </w:r>
          </w:p>
          <w:p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Samma definition som Z 02.00 (LIAB), rad 0320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Skulder som kan hänföras till derivat (avräkningsbelopp)</w:t>
            </w:r>
          </w:p>
          <w:p w:rsidR="004D27A1" w:rsidRPr="00D92B3C" w:rsidRDefault="00967F9A"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Samma definition som Z 02.00 (LIAB), rad 0330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Icke-garanterade skulder med säkerhet</w:t>
            </w:r>
          </w:p>
          <w:p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Samma definition som Z 02.00 (LIAB), rad 0340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Strukturerade produkter</w:t>
            </w:r>
          </w:p>
          <w:p w:rsidR="004D27A1" w:rsidRPr="00D92B3C" w:rsidRDefault="00107E7E" w:rsidP="00107E7E">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Samma definition som Z 02.00 (LIAB), rad 0350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Seniora skulder utan säkerhet</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Samma definition som Z 02.00 (LIAB), rad 0360</w:t>
            </w:r>
          </w:p>
          <w:p w:rsidR="00863F05" w:rsidRPr="00D92B3C" w:rsidRDefault="00863F05" w:rsidP="004524FA">
            <w:pPr>
              <w:pStyle w:val="ListParagraph"/>
              <w:numPr>
                <w:ilvl w:val="0"/>
                <w:numId w:val="12"/>
              </w:numPr>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Icke-prioriterade seniora skulder</w:t>
            </w:r>
          </w:p>
          <w:p w:rsidR="00863F05" w:rsidRPr="00D92B3C" w:rsidRDefault="00863F05" w:rsidP="00521A22">
            <w:pPr>
              <w:pStyle w:val="ListParagraph"/>
              <w:autoSpaceDE w:val="0"/>
              <w:autoSpaceDN w:val="0"/>
              <w:adjustRightInd w:val="0"/>
              <w:ind w:left="539"/>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Samma definition som Z 02.00 (LIAB), rad 0365</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Efterställda skulder</w:t>
            </w:r>
          </w:p>
          <w:p w:rsidR="004D27A1" w:rsidRPr="00D92B3C" w:rsidRDefault="00107E7E"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Samma definition som Z 02.00 (LIAB), rad 0370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Övriga MREL-kvalificerade skulder</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Samma definition som Z 02.00 (LIAB), rad 0380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Icke-finansiella skulder</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Samma definition som Z 02.00 (LIAB), rad 0390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Skulder, restposter</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Samma definition som Z 02.00 (LIAB), rad 0400. Skulder som inte passar in på någon av ovanstående poster.</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Supplementärkapital</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Samma definition som Z 02.00 (LIAB), rad 0530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Primärkapitaltillskott</w:t>
            </w:r>
          </w:p>
          <w:p w:rsidR="004D27A1" w:rsidRPr="00D92B3C" w:rsidRDefault="0095115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Samma definition som Z 02.00 (LIAB), rad 0520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Kärnprimärkapital</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Samma definition som Z 02.00 (LIAB), rad 0510</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Pr>
                <w:rFonts w:ascii="Times New Roman" w:hAnsi="Times New Roman"/>
                <w:color w:val="000000" w:themeColor="text1"/>
                <w:spacing w:val="-2"/>
                <w:w w:val="95"/>
                <w:sz w:val="20"/>
                <w:u w:val="single"/>
              </w:rPr>
              <w:t>Garantier inom koncernen</w:t>
            </w:r>
          </w:p>
          <w:p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Utställande </w:t>
            </w:r>
          </w:p>
          <w:p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Garantier för specifika instrument/skulder som har utfärdats</w:t>
            </w:r>
          </w:p>
          <w:p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Motpart </w:t>
            </w:r>
          </w:p>
          <w:p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Garantier som har beviljats en specifik motpart bland institutets motparter</w:t>
            </w:r>
          </w:p>
          <w:p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Obegränsat</w:t>
            </w:r>
          </w:p>
          <w:p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Allmänna garantier som inte är begränsade till ett fast belopp </w:t>
            </w:r>
          </w:p>
          <w:p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Övrigt </w:t>
            </w:r>
          </w:p>
          <w:p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Samtliga garantier som inte kan räknas in bland ovanstående garantityper.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0060</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09740A"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Utestående belopp</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För skulder (kolumn 0050, typerna L.1, L.2 och L.4-L.14), det utestående beloppet av skulderna inom </w:t>
            </w:r>
            <w:r>
              <w:rPr>
                <w:rFonts w:ascii="Times New Roman" w:hAnsi="Times New Roman"/>
                <w:color w:val="000000" w:themeColor="text1"/>
                <w:spacing w:val="-2"/>
                <w:w w:val="95"/>
                <w:sz w:val="20"/>
              </w:rPr>
              <w:lastRenderedPageBreak/>
              <w:t>koncernen. För skulder som kan hänföras till derivat (typ L.3), avräkningsbelopp enligt definitionen för mall Z 02.00 (LIAB), rad 0333.</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För garantier (kolumn 0050, värden G.1 - G.4), den potentiellt högsta max-summan för framtida betalningar inom garantin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0526E3" w:rsidRPr="00D92B3C" w:rsidRDefault="000526E3"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0070</w:t>
            </w:r>
          </w:p>
        </w:tc>
        <w:tc>
          <w:tcPr>
            <w:tcW w:w="8175" w:type="dxa"/>
            <w:tcBorders>
              <w:top w:val="single" w:sz="4" w:space="0" w:color="1A171C"/>
              <w:left w:val="single" w:sz="4" w:space="0" w:color="1A171C"/>
              <w:bottom w:val="single" w:sz="4" w:space="0" w:color="1A171C"/>
              <w:right w:val="nil"/>
            </w:tcBorders>
            <w:vAlign w:val="center"/>
          </w:tcPr>
          <w:p w:rsidR="006560B6" w:rsidRPr="00D92B3C" w:rsidRDefault="006560B6"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varav: som har utfärdats enligt lagstiftning i tredjeland</w:t>
            </w:r>
          </w:p>
          <w:p w:rsidR="000526E3" w:rsidRPr="00D92B3C" w:rsidRDefault="000526E3" w:rsidP="001D706F">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Andelen, i monetärt belopp, av utestående belopp som regleras av lagstiftningen i ett tredjeland.</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AF56D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0080</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varav: MREL-kvalificerade</w:t>
            </w:r>
          </w:p>
          <w:p w:rsidR="004D27A1" w:rsidRPr="00D92B3C" w:rsidRDefault="0089272A" w:rsidP="00AE55D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Det utestående beloppet av MREL-kvalificerade skulder som har beräknats i enlighet med artikel 45.4 a och 45.4 c-f i direktiv 2014/59/EU. För detta ändamål får skulder inte exkluderas från beräkningen endast på grund av att de har utfärdats till eller innehas av en koncernenhet.</w:t>
            </w:r>
          </w:p>
        </w:tc>
      </w:tr>
    </w:tbl>
    <w:p w:rsidR="00E13CE3" w:rsidRPr="00D92B3C" w:rsidRDefault="00E13CE3" w:rsidP="00E13CE3">
      <w:pPr>
        <w:jc w:val="both"/>
        <w:rPr>
          <w:rFonts w:ascii="Times New Roman" w:hAnsi="Times New Roman" w:cs="Times New Roman"/>
          <w:color w:val="000000" w:themeColor="text1"/>
          <w:sz w:val="20"/>
          <w:szCs w:val="20"/>
        </w:rPr>
      </w:pPr>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29" w:name="_Toc509909043"/>
      <w:bookmarkStart w:id="30" w:name="_Toc525215492"/>
      <w:r>
        <w:rPr>
          <w:rFonts w:ascii="Times New Roman" w:hAnsi="Times New Roman"/>
        </w:rPr>
        <w:t xml:space="preserve">Z 05.01 och Z 05.02 - </w:t>
      </w:r>
      <w:bookmarkStart w:id="31" w:name="_Toc492542325"/>
      <w:r>
        <w:rPr>
          <w:rFonts w:ascii="Times New Roman" w:hAnsi="Times New Roman"/>
        </w:rPr>
        <w:t>Större motparter (MCP)</w:t>
      </w:r>
      <w:bookmarkEnd w:id="29"/>
      <w:bookmarkEnd w:id="31"/>
      <w:bookmarkEnd w:id="30"/>
    </w:p>
    <w:p w:rsidR="00BF5063" w:rsidRPr="00D92B3C" w:rsidRDefault="00BF5063" w:rsidP="00715DAB">
      <w:pPr>
        <w:pStyle w:val="Instructionsberschrift3"/>
      </w:pPr>
      <w:r>
        <w:t>Allmänna anmärkningar</w:t>
      </w:r>
    </w:p>
    <w:p w:rsidR="00747EE2" w:rsidRPr="00D92B3C" w:rsidRDefault="005B6B0C"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I dessa mallar anges information om skulder gentemot större motparter (Z 05.01) samt poster utanför balansräkningen som har tagits emot av större motparter (Z 05.02). Redovisade belopp ska aggregeras efter den motpart de tillhör och efter skuldtyp eller efter huruvida de utgör poster utanför balansräkningen.</w:t>
      </w:r>
    </w:p>
    <w:p w:rsidR="0056559D" w:rsidRPr="00D92B3C" w:rsidRDefault="007B491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Skulder samt poster utanför balansräkningen för vilka ingen motpart kan identifieras ska inte redovisas i dessa mallar. Skulder samt poster utanför balansräkningen vars motpart är en enhet som är inkluderad i den konsoliderade finansiella rapporten ska inte redovisas.</w:t>
      </w:r>
    </w:p>
    <w:p w:rsidR="00DF1EA4" w:rsidRPr="00D92B3C" w:rsidRDefault="00F7117F" w:rsidP="00715DAB">
      <w:pPr>
        <w:pStyle w:val="Instructionsberschrift3"/>
      </w:pPr>
      <w:r>
        <w:t>Z 05.01 – Större skuldmotparter - Instruktioner gällande specifika positioner</w:t>
      </w:r>
    </w:p>
    <w:p w:rsidR="00DF1EA4" w:rsidRPr="00D92B3C" w:rsidRDefault="00DF1EA4"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Kombinationen av värden som redovisas i kolumnerna 0020 och 0060 i denna mall utgör en primärnyckel som måste vara unik för varje rad i mallen.</w:t>
      </w:r>
    </w:p>
    <w:tbl>
      <w:tblPr>
        <w:tblW w:w="0" w:type="auto"/>
        <w:tblCellMar>
          <w:top w:w="57" w:type="dxa"/>
          <w:left w:w="57" w:type="dxa"/>
          <w:bottom w:w="57" w:type="dxa"/>
          <w:right w:w="0" w:type="dxa"/>
        </w:tblCellMar>
        <w:tblLook w:val="01E0" w:firstRow="1" w:lastRow="1" w:firstColumn="1" w:lastColumn="1" w:noHBand="0" w:noVBand="0"/>
      </w:tblPr>
      <w:tblGrid>
        <w:gridCol w:w="908"/>
        <w:gridCol w:w="8175"/>
      </w:tblGrid>
      <w:tr w:rsidR="00D22EB0" w:rsidRPr="00D92B3C" w:rsidTr="00DF1EA4">
        <w:tc>
          <w:tcPr>
            <w:tcW w:w="908" w:type="dxa"/>
            <w:tcBorders>
              <w:top w:val="single" w:sz="4" w:space="0" w:color="1A171C"/>
              <w:left w:val="nil"/>
              <w:bottom w:val="single" w:sz="4" w:space="0" w:color="1A171C"/>
              <w:right w:val="single" w:sz="4" w:space="0" w:color="1A171C"/>
            </w:tcBorders>
            <w:shd w:val="clear" w:color="auto" w:fill="E4E5E5"/>
          </w:tcPr>
          <w:p w:rsidR="007F5A56" w:rsidRPr="00D92B3C" w:rsidRDefault="007F5A56" w:rsidP="00DF1EA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Kolumner</w:t>
            </w:r>
          </w:p>
        </w:tc>
        <w:tc>
          <w:tcPr>
            <w:tcW w:w="8175" w:type="dxa"/>
            <w:tcBorders>
              <w:top w:val="single" w:sz="4" w:space="0" w:color="1A171C"/>
              <w:left w:val="single" w:sz="4" w:space="0" w:color="1A171C"/>
              <w:bottom w:val="single" w:sz="4" w:space="0" w:color="1A171C"/>
              <w:right w:val="nil"/>
            </w:tcBorders>
            <w:shd w:val="clear" w:color="auto" w:fill="E4E5E5"/>
          </w:tcPr>
          <w:p w:rsidR="007F5A56" w:rsidRPr="00D92B3C" w:rsidRDefault="007F5A56" w:rsidP="00DF1EA4">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Anvisningar</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9A37B7">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0010-0050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Motpart</w:t>
            </w:r>
          </w:p>
          <w:p w:rsidR="00550D93"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Information gällande större motpart gentemot vilken skuld har uppstått </w:t>
            </w:r>
          </w:p>
          <w:p w:rsidR="004571D1"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Större motparter identifieras genom en sammanräkning av den i mallen redovisade koncernens eller enhetens samtliga utestående skuldbelopp gentemot varje motpart eller grupp av kunder med inbördes anknytning, detta med undantag för skulder till enheter som är inkluderade i den konsoliderade finansiella rapporten.</w:t>
            </w:r>
          </w:p>
          <w:p w:rsidR="008744AF" w:rsidRPr="00D92B3C" w:rsidRDefault="00DF1EA4"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Motparterna och grupperna av kunder med inbördes anknytning ska sedan rangordnas efter det aggregerade utestående beloppet i syfte att identifiera de 10 största motparterna, och information om dessa ska presenteras i denna mall.</w:t>
            </w:r>
          </w:p>
          <w:p w:rsidR="00AD011A" w:rsidRPr="00D92B3C"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AD011A" w:rsidRPr="00D92B3C"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Definitionen ”grupp av motparter med inbördes anknytning” ska följa definitionen ”grupp av kunder med inbördes anknytning” i artikel 4.1 led 39 i förordning (EU) nr 575/2013. </w:t>
            </w:r>
          </w:p>
          <w:p w:rsidR="00AD011A" w:rsidRPr="00D92B3C" w:rsidRDefault="00AD011A"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7F5A56" w:rsidRPr="00D92B3C" w:rsidRDefault="007F5A56" w:rsidP="004571D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För ändamålet med denna mall får en motpart inte vara en enhet som är inkluderad i den konsoliderade finansiella rapporten.</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632490"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Enhetens namn</w:t>
            </w:r>
          </w:p>
          <w:p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Namnet på den största motparten eller, i förekommande fall, namnet på gruppen av kunder med inbördes anknytning.</w:t>
            </w:r>
          </w:p>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Namnet på en grupp av kunder med inbördes anknytning ska överensstämma med det namn som rapporteras för moderföretaget eller, när gruppen av kunder med inbördes anknytning inte har något moderföretag, med gruppens handelsnamn.</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0020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Kod</w:t>
            </w:r>
          </w:p>
          <w:p w:rsidR="005D56E3" w:rsidRPr="00D92B3C" w:rsidRDefault="005D56E3" w:rsidP="005D56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Koden för den största motparten eller gruppen av kunder med inbördes anknytning. Institut ska ha den 20-siffriga alfanumeriska LEI-koden. Övriga enheter ska ha den 20-siffriga alfanumeriska LEI-koden eller, ifall denna inte är tillgänglig, en enhetlig kod som är tillämplig i unionen eller, ifall en sådan inte är tillgänglig, en nationell kod.</w:t>
            </w:r>
          </w:p>
          <w:p w:rsidR="005D56E3" w:rsidRPr="00D92B3C" w:rsidRDefault="005D56E3" w:rsidP="005D56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Koden ska vara unik och användas konsekvent i mallarna.</w:t>
            </w:r>
          </w:p>
          <w:p w:rsidR="00BE2A9D" w:rsidRPr="00D92B3C" w:rsidRDefault="00BE2A9D" w:rsidP="00BE2A9D">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BE2A9D">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Koncern eller enskild</w:t>
            </w:r>
          </w:p>
          <w:p w:rsidR="007F5A56" w:rsidRPr="00D92B3C" w:rsidRDefault="00BE2A9D" w:rsidP="00774595">
            <w:pPr>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Institutet ska redovisa ”1” för enskilda större motparter och ”2” för grupper av kunder med inbördes anknytning.</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B65144"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Land</w:t>
            </w:r>
          </w:p>
          <w:p w:rsidR="007F5A56" w:rsidRPr="00D92B3C" w:rsidRDefault="007F5A56" w:rsidP="007F5A56">
            <w:pPr>
              <w:spacing w:before="108"/>
              <w:ind w:left="85"/>
              <w:contextualSpacing/>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ISO-koden 3166-1-alfa-2 för motpartens bolagsbildningsland. Detta inkluderar pseudo-ISO-koder för internationella organisationer, tillgängliga i den senaste versionen av Eurostats “Balance of Payments Vademecum”. </w:t>
            </w:r>
          </w:p>
          <w:p w:rsidR="007F5A56" w:rsidRPr="00D92B3C" w:rsidRDefault="007F5A56" w:rsidP="0014425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Landet bestäms utifrån var motparten har sitt säte. När det gäller grupper av kunder med inbördes anknytning ska moderföretagets bolagsbildningsland redovisas.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Sektor</w:t>
            </w:r>
          </w:p>
          <w:p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En sektor ska hänföras till varje motpart på grundval av Finreps näringsgrensklasser (Finrep, bilaga V, del 1, kapitel 6):</w:t>
            </w:r>
          </w:p>
          <w:p w:rsidR="00774595"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Centralbanker</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Offentlig sektor</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Kreditinstitut. </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Andra finansiella företag</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Icke-finansiella företag</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Hushåll</w:t>
            </w:r>
          </w:p>
          <w:p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För grupper av kunder med inbördes anknytning ska ingen sektor rapporteras.</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Typ</w:t>
            </w:r>
          </w:p>
          <w:p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Skuldtypen ska vara en av de skuldtyper som anges i mall Z 02.00 - skuldstruktur (LIAB), nämligen:</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L.0</w:t>
            </w:r>
            <w:r>
              <w:tab/>
            </w:r>
            <w:r>
              <w:rPr>
                <w:rFonts w:ascii="Times New Roman" w:hAnsi="Times New Roman"/>
                <w:color w:val="000000" w:themeColor="text1"/>
                <w:spacing w:val="-2"/>
                <w:w w:val="95"/>
                <w:sz w:val="20"/>
              </w:rPr>
              <w:t>Skulder exkluderade från skuldnedskrivning</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L.1</w:t>
            </w:r>
            <w:r>
              <w:tab/>
            </w:r>
            <w:r>
              <w:rPr>
                <w:rFonts w:ascii="Times New Roman" w:hAnsi="Times New Roman"/>
                <w:color w:val="000000" w:themeColor="text1"/>
                <w:spacing w:val="-2"/>
                <w:w w:val="95"/>
                <w:sz w:val="20"/>
              </w:rPr>
              <w:t>Insättningar, inte garanterade men prioriterade</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L.2.</w:t>
            </w:r>
            <w:r>
              <w:tab/>
            </w:r>
            <w:r>
              <w:rPr>
                <w:rFonts w:ascii="Times New Roman" w:hAnsi="Times New Roman"/>
                <w:color w:val="000000" w:themeColor="text1"/>
                <w:spacing w:val="-2"/>
                <w:w w:val="95"/>
                <w:sz w:val="20"/>
              </w:rPr>
              <w:t>Insättningar, inte garanterade och inte prioriterade</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L.3</w:t>
            </w:r>
            <w:r>
              <w:tab/>
            </w:r>
            <w:r>
              <w:rPr>
                <w:rFonts w:ascii="Times New Roman" w:hAnsi="Times New Roman"/>
                <w:color w:val="000000" w:themeColor="text1"/>
                <w:spacing w:val="-2"/>
                <w:w w:val="95"/>
                <w:sz w:val="20"/>
              </w:rPr>
              <w:t>Skulder som kan hänföras till derivat</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L.4</w:t>
            </w:r>
            <w:r>
              <w:tab/>
            </w:r>
            <w:r>
              <w:rPr>
                <w:rFonts w:ascii="Times New Roman" w:hAnsi="Times New Roman"/>
                <w:color w:val="000000" w:themeColor="text1"/>
                <w:spacing w:val="-2"/>
                <w:w w:val="95"/>
                <w:sz w:val="20"/>
              </w:rPr>
              <w:t>Icke-garanterade skulder med säkerhet</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L.5</w:t>
            </w:r>
            <w:r>
              <w:tab/>
            </w:r>
            <w:r>
              <w:rPr>
                <w:rFonts w:ascii="Times New Roman" w:hAnsi="Times New Roman"/>
                <w:color w:val="000000" w:themeColor="text1"/>
                <w:spacing w:val="-2"/>
                <w:w w:val="95"/>
                <w:sz w:val="20"/>
              </w:rPr>
              <w:t>Strukturerade produkter</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L.6</w:t>
            </w:r>
            <w:r>
              <w:tab/>
            </w:r>
            <w:r>
              <w:rPr>
                <w:rFonts w:ascii="Times New Roman" w:hAnsi="Times New Roman"/>
                <w:color w:val="000000" w:themeColor="text1"/>
                <w:spacing w:val="-2"/>
                <w:w w:val="95"/>
                <w:sz w:val="20"/>
              </w:rPr>
              <w:t>Seniora skulder utan säkerhet</w:t>
            </w:r>
          </w:p>
          <w:p w:rsidR="00306CCC" w:rsidRPr="00D92B3C" w:rsidRDefault="00306CCC"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L.7        Icke-prioriterade seniora skulder</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L.8</w:t>
            </w:r>
            <w:r>
              <w:tab/>
            </w:r>
            <w:r>
              <w:rPr>
                <w:rFonts w:ascii="Times New Roman" w:hAnsi="Times New Roman"/>
                <w:color w:val="000000" w:themeColor="text1"/>
                <w:spacing w:val="-2"/>
                <w:w w:val="95"/>
                <w:sz w:val="20"/>
              </w:rPr>
              <w:t>Efterställda skulder (inte erkända som kapitalbas)</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L.9</w:t>
            </w:r>
            <w:r>
              <w:tab/>
            </w:r>
            <w:r>
              <w:rPr>
                <w:rFonts w:ascii="Times New Roman" w:hAnsi="Times New Roman"/>
                <w:color w:val="000000" w:themeColor="text1"/>
                <w:spacing w:val="-2"/>
                <w:w w:val="95"/>
                <w:sz w:val="20"/>
              </w:rPr>
              <w:t>Övriga MREL-kvalificerade skulder</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L.10</w:t>
            </w:r>
            <w:r>
              <w:tab/>
            </w:r>
            <w:r>
              <w:rPr>
                <w:rFonts w:ascii="Times New Roman" w:hAnsi="Times New Roman"/>
                <w:color w:val="000000" w:themeColor="text1"/>
                <w:spacing w:val="-2"/>
                <w:w w:val="95"/>
                <w:sz w:val="20"/>
              </w:rPr>
              <w:t>Icke-finansiella skulder</w:t>
            </w:r>
          </w:p>
          <w:p w:rsidR="00C9331A" w:rsidRPr="00D92B3C" w:rsidRDefault="00D7497D" w:rsidP="005A6A04">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L.11</w:t>
            </w:r>
            <w:r>
              <w:tab/>
            </w:r>
            <w:r>
              <w:rPr>
                <w:rFonts w:ascii="Times New Roman" w:hAnsi="Times New Roman"/>
                <w:color w:val="000000" w:themeColor="text1"/>
                <w:spacing w:val="-2"/>
                <w:w w:val="95"/>
                <w:sz w:val="20"/>
              </w:rPr>
              <w:t>Skulder, restposter</w:t>
            </w:r>
          </w:p>
          <w:p w:rsidR="007F5A56" w:rsidRPr="00D92B3C" w:rsidRDefault="00C9331A" w:rsidP="009B516A">
            <w:pPr>
              <w:pStyle w:val="TableParagraph"/>
              <w:spacing w:before="108"/>
              <w:ind w:left="85"/>
              <w:jc w:val="both"/>
              <w:rPr>
                <w:rFonts w:ascii="Times New Roman" w:hAnsi="Times New Roman" w:cs="Times New Roman"/>
                <w:color w:val="000000" w:themeColor="text1"/>
                <w:w w:val="95"/>
                <w:sz w:val="20"/>
                <w:szCs w:val="20"/>
              </w:rPr>
            </w:pPr>
            <w:r>
              <w:rPr>
                <w:rFonts w:ascii="Times New Roman" w:hAnsi="Times New Roman"/>
                <w:color w:val="000000" w:themeColor="text1"/>
                <w:spacing w:val="-2"/>
                <w:w w:val="95"/>
                <w:sz w:val="20"/>
              </w:rPr>
              <w:t xml:space="preserve">Ifall skulderna till en större motpart består av mer än en av de skuldtyper som anges ovan ska varje skuldtyp </w:t>
            </w:r>
            <w:r>
              <w:rPr>
                <w:rFonts w:ascii="Times New Roman" w:hAnsi="Times New Roman"/>
                <w:color w:val="000000" w:themeColor="text1"/>
                <w:spacing w:val="-2"/>
                <w:w w:val="95"/>
                <w:sz w:val="20"/>
              </w:rPr>
              <w:lastRenderedPageBreak/>
              <w:t>redovisas på en separat rad.</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0070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Belopp</w:t>
            </w:r>
          </w:p>
          <w:p w:rsidR="007F5A56" w:rsidRPr="00D92B3C" w:rsidRDefault="007F5A56" w:rsidP="00F61BD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Beloppet ska motsvara definitionen av ”utestående belopp” enligt anvisningarna i mall Z 02.00 - skuldstruktur. När det gäller skulder som kan hänföras till derivat (typ L.3) ska avräkningsbeloppen redovisas enligt definitionen för rad 0333 i mall Z 02.00 .</w:t>
            </w:r>
          </w:p>
        </w:tc>
      </w:tr>
    </w:tbl>
    <w:p w:rsidR="00627D51" w:rsidRPr="00D92B3C" w:rsidRDefault="00627D51" w:rsidP="007F5A56">
      <w:pPr>
        <w:pStyle w:val="body"/>
        <w:rPr>
          <w:rFonts w:ascii="Times New Roman" w:hAnsi="Times New Roman" w:cs="Times New Roman"/>
          <w:color w:val="000000" w:themeColor="text1"/>
          <w:sz w:val="20"/>
          <w:szCs w:val="20"/>
        </w:rPr>
      </w:pPr>
    </w:p>
    <w:p w:rsidR="005A6A04" w:rsidRPr="00D92B3C" w:rsidRDefault="00F7117F" w:rsidP="00715DAB">
      <w:pPr>
        <w:pStyle w:val="Instructionsberschrift3"/>
      </w:pPr>
      <w:r>
        <w:t>Z 05.02 – Större motparter utanför balansräkningen: Instruktioner för specifika positioner</w:t>
      </w:r>
    </w:p>
    <w:p w:rsidR="0056559D" w:rsidRPr="00D92B3C" w:rsidRDefault="005A6A04"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Kombinationen av värden som redovisas i kolumnerna 0020 och 0060 i denna mall utgör en primärnyckel som måste vara unik för varje rad i mallen.</w:t>
      </w:r>
    </w:p>
    <w:tbl>
      <w:tblPr>
        <w:tblW w:w="0" w:type="auto"/>
        <w:tblCellMar>
          <w:top w:w="57" w:type="dxa"/>
          <w:left w:w="57" w:type="dxa"/>
          <w:bottom w:w="57" w:type="dxa"/>
          <w:right w:w="0" w:type="dxa"/>
        </w:tblCellMar>
        <w:tblLook w:val="01E0" w:firstRow="1" w:lastRow="1" w:firstColumn="1" w:lastColumn="1" w:noHBand="0" w:noVBand="0"/>
      </w:tblPr>
      <w:tblGrid>
        <w:gridCol w:w="909"/>
        <w:gridCol w:w="8174"/>
      </w:tblGrid>
      <w:tr w:rsidR="00D22EB0" w:rsidRPr="00D92B3C" w:rsidTr="005A6A04">
        <w:tc>
          <w:tcPr>
            <w:tcW w:w="909" w:type="dxa"/>
            <w:tcBorders>
              <w:top w:val="single" w:sz="4" w:space="0" w:color="1A171C"/>
              <w:left w:val="nil"/>
              <w:bottom w:val="single" w:sz="4" w:space="0" w:color="1A171C"/>
              <w:right w:val="single" w:sz="4" w:space="0" w:color="1A171C"/>
            </w:tcBorders>
            <w:shd w:val="clear" w:color="auto" w:fill="E4E5E5"/>
          </w:tcPr>
          <w:p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Kolumner</w:t>
            </w:r>
          </w:p>
        </w:tc>
        <w:tc>
          <w:tcPr>
            <w:tcW w:w="8174" w:type="dxa"/>
            <w:tcBorders>
              <w:top w:val="single" w:sz="4" w:space="0" w:color="1A171C"/>
              <w:left w:val="single" w:sz="4" w:space="0" w:color="1A171C"/>
              <w:bottom w:val="single" w:sz="4" w:space="0" w:color="1A171C"/>
              <w:right w:val="nil"/>
            </w:tcBorders>
            <w:shd w:val="clear" w:color="auto" w:fill="E4E5E5"/>
          </w:tcPr>
          <w:p w:rsidR="00627D51" w:rsidRPr="00D92B3C" w:rsidRDefault="00627D51" w:rsidP="00627D51">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Anvisningar</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0010-0050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Motparter</w:t>
            </w:r>
          </w:p>
          <w:p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Information gällande de största motparterna utanför balansräkningen.</w:t>
            </w:r>
          </w:p>
          <w:p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Större motparter utanför balansräkningen ska identifieras genom en sammanslagning av det totala nominella beloppet av låneåtaganden och erhållna finansiella garantier (enligt definition i Finrep, mall F 09) som den i mallen redovisade enheten eller koncernen har tagit emot av motparter eller grupper av kunder med inbördes anknytning. Enheter som är inkluderade i koncernens konsoliderade finansiella rapport ska exkluderas från de större motparterna utanför balansräkningen. Motparterna eller gruppen av kunder med inbördes anknytning ska sedan rangordnas efter sammanslaget belopp i syfte att identifiera de 10 största motparterna utanför balansräkningen, och information om dessa ska redovisas i denna mall.</w:t>
            </w:r>
          </w:p>
          <w:p w:rsidR="00627D51" w:rsidRPr="00D92B3C" w:rsidRDefault="00627D51" w:rsidP="0002624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För denna mall får endast motparter som inte är inkluderade i den konsoliderade finansiella rapporten redovisas.</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0A2026"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FB1FB9"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Enhetens namn</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 instruktionerna i kolumn 0010 i Z 05.01</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Kod</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 instruktionerna i kolumn 0020 i Z 05.01</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0A202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Koncern eller enskild</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 instruktionerna i kolumn 0030 i Z 05.01</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8174" w:type="dxa"/>
            <w:tcBorders>
              <w:top w:val="single" w:sz="4" w:space="0" w:color="1A171C"/>
              <w:left w:val="single" w:sz="4" w:space="0" w:color="1A171C"/>
              <w:bottom w:val="single" w:sz="4" w:space="0" w:color="1A171C"/>
              <w:right w:val="nil"/>
            </w:tcBorders>
            <w:vAlign w:val="center"/>
          </w:tcPr>
          <w:p w:rsidR="00C562FB" w:rsidRPr="00D92B3C" w:rsidRDefault="00FA6204"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Land</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 instruktionerna i kolumn 0040 i Z 05.01</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Sektor</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 instruktionerna i kolumn 0050 i Z 05.01</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Typ</w:t>
            </w:r>
          </w:p>
          <w:p w:rsidR="00627D51" w:rsidRPr="00D92B3C" w:rsidRDefault="00627D51"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Exponeringstypen på balansräkningen ska vara en av följande, enligt Finreps definition, mall F 09.02:</w:t>
            </w:r>
          </w:p>
          <w:p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OBS.1</w:t>
            </w:r>
            <w:r>
              <w:tab/>
            </w:r>
            <w:r>
              <w:rPr>
                <w:rFonts w:ascii="Times New Roman" w:hAnsi="Times New Roman"/>
                <w:color w:val="000000" w:themeColor="text1"/>
                <w:spacing w:val="-2"/>
                <w:w w:val="95"/>
                <w:sz w:val="20"/>
              </w:rPr>
              <w:t>Erhållna låneåtaganden</w:t>
            </w:r>
          </w:p>
          <w:p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OBS.2</w:t>
            </w:r>
            <w:r>
              <w:tab/>
            </w:r>
            <w:r>
              <w:rPr>
                <w:rFonts w:ascii="Times New Roman" w:hAnsi="Times New Roman"/>
                <w:color w:val="000000" w:themeColor="text1"/>
                <w:spacing w:val="-2"/>
                <w:w w:val="95"/>
                <w:sz w:val="20"/>
              </w:rPr>
              <w:t>Erhållna finansiella garantier</w:t>
            </w:r>
          </w:p>
          <w:p w:rsidR="00627D51"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OBS.3</w:t>
            </w:r>
            <w:r>
              <w:tab/>
            </w:r>
            <w:r>
              <w:rPr>
                <w:rFonts w:ascii="Times New Roman" w:hAnsi="Times New Roman"/>
                <w:color w:val="000000" w:themeColor="text1"/>
                <w:spacing w:val="-2"/>
                <w:w w:val="95"/>
                <w:sz w:val="20"/>
              </w:rPr>
              <w:t>Övriga erhållna åtaganden</w:t>
            </w:r>
          </w:p>
          <w:p w:rsidR="007514EE" w:rsidRPr="00D92B3C" w:rsidRDefault="007514EE" w:rsidP="001F760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Ifall posterna utanför balansräkningen från en större motpart består av mer än en av de typer som anges ovan ska varje post utanför balansräkningen redovisas på en separat rad.</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4672BA"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0070</w:t>
            </w:r>
          </w:p>
        </w:tc>
        <w:tc>
          <w:tcPr>
            <w:tcW w:w="8174" w:type="dxa"/>
            <w:tcBorders>
              <w:top w:val="single" w:sz="4" w:space="0" w:color="1A171C"/>
              <w:left w:val="single" w:sz="4" w:space="0" w:color="1A171C"/>
              <w:bottom w:val="single" w:sz="4" w:space="0" w:color="1A171C"/>
              <w:right w:val="nil"/>
            </w:tcBorders>
            <w:vAlign w:val="center"/>
          </w:tcPr>
          <w:p w:rsidR="00486C71" w:rsidRPr="00D92B3C" w:rsidRDefault="00627D51" w:rsidP="00486C71">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
                <w:color w:val="000000" w:themeColor="text1"/>
                <w:sz w:val="20"/>
              </w:rPr>
              <w:t xml:space="preserve">Belopp </w:t>
            </w:r>
          </w:p>
        </w:tc>
      </w:tr>
    </w:tbl>
    <w:p w:rsidR="00241763" w:rsidRPr="00D92B3C" w:rsidRDefault="00241763" w:rsidP="0056559D">
      <w:pPr>
        <w:rPr>
          <w:rFonts w:ascii="Times New Roman" w:hAnsi="Times New Roman" w:cs="Times New Roman"/>
          <w:color w:val="000000" w:themeColor="text1"/>
          <w:sz w:val="20"/>
          <w:szCs w:val="20"/>
        </w:rPr>
      </w:pPr>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32" w:name="_Toc492542326"/>
      <w:bookmarkStart w:id="33" w:name="_Toc509909044"/>
      <w:bookmarkStart w:id="34" w:name="_Toc525215493"/>
      <w:r>
        <w:rPr>
          <w:rFonts w:ascii="Times New Roman" w:hAnsi="Times New Roman"/>
        </w:rPr>
        <w:t>Z 06.00 - Insättningsgaranti (DIS)</w:t>
      </w:r>
      <w:bookmarkEnd w:id="32"/>
      <w:bookmarkEnd w:id="33"/>
      <w:bookmarkEnd w:id="34"/>
    </w:p>
    <w:p w:rsidR="008F7980" w:rsidRPr="00D92B3C" w:rsidRDefault="006A7DCF" w:rsidP="00715DAB">
      <w:pPr>
        <w:pStyle w:val="Instructionsberschrift3"/>
      </w:pPr>
      <w:r>
        <w:t>Allmänna anmärkningar</w:t>
      </w:r>
    </w:p>
    <w:p w:rsidR="0076289A" w:rsidRPr="00D92B3C" w:rsidRDefault="00DF64E1"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I denna mall ges en överblick över insättningsgarantier inom en koncern och de system för garanti av insättningar som de kreditinstitut som utgör relevanta juridiska personer deltar i.</w:t>
      </w:r>
    </w:p>
    <w:p w:rsidR="000C2D75" w:rsidRPr="00D92B3C" w:rsidRDefault="0057049E"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Varje kreditinstitut som tillhör koncernen ska redovisas på en separat rad.</w:t>
      </w:r>
    </w:p>
    <w:p w:rsidR="006A7DCF" w:rsidRPr="00D92B3C" w:rsidRDefault="006A7DCF" w:rsidP="00715DAB">
      <w:pPr>
        <w:pStyle w:val="Instructionsberschrift3"/>
      </w:pPr>
      <w:r>
        <w:t>Instruktioner för specifika positioner</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DD2B90">
        <w:tc>
          <w:tcPr>
            <w:tcW w:w="1191" w:type="dxa"/>
            <w:tcBorders>
              <w:top w:val="single" w:sz="4" w:space="0" w:color="1A171C"/>
              <w:left w:val="nil"/>
              <w:bottom w:val="single" w:sz="4" w:space="0" w:color="1A171C"/>
              <w:right w:val="single" w:sz="4" w:space="0" w:color="1A171C"/>
            </w:tcBorders>
            <w:shd w:val="clear" w:color="auto" w:fill="E4E5E5"/>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Kolumner</w:t>
            </w:r>
          </w:p>
        </w:tc>
        <w:tc>
          <w:tcPr>
            <w:tcW w:w="7892" w:type="dxa"/>
            <w:tcBorders>
              <w:top w:val="single" w:sz="4" w:space="0" w:color="1A171C"/>
              <w:left w:val="single" w:sz="4" w:space="0" w:color="1A171C"/>
              <w:bottom w:val="single" w:sz="4" w:space="0" w:color="1A171C"/>
              <w:right w:val="nil"/>
            </w:tcBorders>
            <w:shd w:val="clear" w:color="auto" w:fill="E4E5E5"/>
          </w:tcPr>
          <w:p w:rsidR="0057049E" w:rsidRPr="00D92B3C" w:rsidRDefault="0057049E" w:rsidP="00AE7D80">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Anvisningar</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57049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0010-0020</w:t>
            </w:r>
          </w:p>
        </w:tc>
        <w:tc>
          <w:tcPr>
            <w:tcW w:w="7892" w:type="dxa"/>
            <w:tcBorders>
              <w:top w:val="single" w:sz="4" w:space="0" w:color="1A171C"/>
              <w:left w:val="single" w:sz="4" w:space="0" w:color="1A171C"/>
              <w:bottom w:val="single" w:sz="4" w:space="0" w:color="1A171C"/>
              <w:right w:val="nil"/>
            </w:tcBorders>
          </w:tcPr>
          <w:p w:rsidR="0057049E" w:rsidRPr="00D92B3C" w:rsidRDefault="00BC7590" w:rsidP="00BC759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Enhet</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Enhetens namn</w:t>
            </w:r>
          </w:p>
          <w:p w:rsidR="0057049E" w:rsidRPr="00D92B3C" w:rsidRDefault="0057049E" w:rsidP="004F469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Namnet på enheten enligt vad som anges i Z 01.00 - organisationsstruktur (ORG). </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Kod </w:t>
            </w:r>
          </w:p>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Enhetens kod enligt vad som anges i Z 01.00 - organisationsstruktur (ORG).</w:t>
            </w:r>
          </w:p>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Koden identifierar raden och måste vara unik för varje rad i tabellen.</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Insättningsgarantisystem (DGS)</w:t>
            </w:r>
          </w:p>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Artikel 4.3 i direktiv 2014/49/EU</w:t>
            </w:r>
          </w:p>
          <w:p w:rsidR="0057049E" w:rsidRPr="00D92B3C" w:rsidRDefault="0057049E"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Namnet på det officiellt erkända insättningsgarantisystem som enheten är medlem i enligt tillämpning av direktiv 2014/49/EU. Detta ska vara insättningsgarantisystemet i den medlemsstat som utgör enhetens bolagsbildningsland, och övriga insättningsgarantisystem som i övriga medlemsstater kan ge ytterligare skydd (”tillägg”) till enhetens kunder i en filial i denna medlemsstat ska uteslutas. När ett institut är medlem i ett institutionellt skyddssystem som även är officiellt erkänt som ett insättningsgarantisystem, i enlighet med artikel 4.2 i direktiv 2014/49/EU, ska insättningsgarantisystemets namn vara identiskt med namnet på det institutionella skyddssystemet på rad 050.</w:t>
            </w:r>
          </w:p>
          <w:p w:rsidR="00607BC1" w:rsidRPr="00D92B3C" w:rsidRDefault="004842F3"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Insättningsgarantisystemet ska väljas för varje enhets bolagsbildningsland enligt följande:</w:t>
            </w:r>
          </w:p>
          <w:p w:rsidR="004842F3" w:rsidRPr="00D92B3C" w:rsidRDefault="008B4886"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Österrike</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”Einlagensicherung der Banken und Bankiers GmbH”</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”Sparkassen-Haftungs AG”</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”Österreichische Raiffeisen-Einlagensicherung eGen”</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”Volksbank Einlagensicherung eG”</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”Hypo Haftungs-Gesellschaft m.b.H.”</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Belgien</w:t>
            </w:r>
          </w:p>
          <w:p w:rsidR="004842F3" w:rsidRPr="002E41E5"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”Garantiefonds voor financiële diensten/Fonds de garantie pour les services financiers”</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Bulgarien</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”Фондът за гарантиране на влоговете в банките”</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Kroatien</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”Državna agencija za osiguranje štednih uloga i sanaciju banaka”</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Cypern</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”Σύστημα Εγγύησης των Καταθέσεων και Εξυγίανσης Πιστωτικών και Άλλων Ιδρυμάτων”</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lastRenderedPageBreak/>
              <w:t>Tjeckien</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”Garanční systém finančního trhu”</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Danmark</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”Garantiformuen”</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Estland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”Tagastisfond”</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Finland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”Talletussuojarahasto”</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Frankrike</w:t>
            </w:r>
          </w:p>
          <w:p w:rsidR="004842F3" w:rsidRPr="002E41E5"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”Fonds de Garantie des Dépôts et de Résolution”</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Tyskland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”Entschädigungseinrichtung deutscher Banken GmbH”</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”Entschädigungseinrichtung des Bundesverbandes Öffentlicher Banken Deutschlands GmbH”</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”Sicherungseinrichtung des Deutschen Sparkassen- und Giroverbandes (DSGV-Haftungsverbund)”</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”BVR Institutssicherung GmbH”</w:t>
            </w:r>
          </w:p>
          <w:p w:rsidR="00EE17EF" w:rsidRPr="00D92B3C" w:rsidRDefault="00EE17EF" w:rsidP="00EE17EF">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Gibraltar</w:t>
            </w:r>
          </w:p>
          <w:p w:rsidR="00EE17EF"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”Gibraltar Deposit Guarantee Scheme”</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Grekland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”Ταμείο Εγγύησης Καταθέσεων και Επενδύσεων”</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Ungern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”Országos Betétbiztosítási Alap”</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Island</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”Tryggingarsjóður innstæðueigenda og fjárfesta”</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Irland</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”Irish Deposit Protection Scheme”</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Italien </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”Fondo Interbancario di Tutela dei Depositi”</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”Fondo di Garanzia dei Depositanti del Credito Cooperativo”</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Lettland</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”Latvijas Noguldījumu garantiju fonds”</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Lichtenstein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”Einlagensicherungs- und Anlegerentschädigungs-Stiftung SV”</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Litauen</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”Indėlių ir investicijų draudimas”</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Luxemburg</w:t>
            </w:r>
          </w:p>
          <w:p w:rsidR="004842F3" w:rsidRPr="002E41E5"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”Fond de garantie des Dépôts Luxembourg”</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Malta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”Depositor Compensation Scheme”</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Nederländerna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”De Nederlandsche Bank, Depositogarantiestelsel”</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lastRenderedPageBreak/>
              <w:t>Norge</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”Bankenes sikringsfond”</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Polen</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”Bankowy Fundusz Gwarancyjny”</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Portugal</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”Fundo de Garantia de Depósitos”</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”Fundo de Garantia do Crédito Agrícola Mútuo”</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Rumänien</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”Fondul de Garantare a Depozitelor in Sistemul Bancar”</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Slovakien</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”Fond ochrany vkladov”</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Slovenien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”Banka Slovenije”</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Spanien</w:t>
            </w:r>
          </w:p>
          <w:p w:rsidR="004842F3" w:rsidRPr="002E41E5"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”Fondo de Garantía de Depósitos de Entidades de Crédito”</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Sverige</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”Riksgälden”</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Förenade kungariket</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”Financial Services Compensation Scheme”</w:t>
            </w:r>
          </w:p>
          <w:p w:rsidR="00EE17EF" w:rsidRPr="00D92B3C" w:rsidRDefault="00EE17EF" w:rsidP="00CF6E13">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F86BB3" w:rsidRPr="00D92B3C" w:rsidRDefault="00CF6E13" w:rsidP="00CF6E1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Ifall det officiellt erkända insättningsgarantisystem som enheten är medlem i inte anges ovan ska ”övriga” redovisas.</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0040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Summa garanterade insättningar</w:t>
            </w:r>
          </w:p>
          <w:p w:rsidR="0057049E" w:rsidRPr="00D92B3C" w:rsidRDefault="0057049E" w:rsidP="000B0CA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Artikel 2.1.5 och 6.2 i direktiv 2014/49/EU</w:t>
            </w:r>
          </w:p>
          <w:p w:rsidR="0057049E" w:rsidRPr="00D92B3C" w:rsidRDefault="0057049E" w:rsidP="0071320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Beloppet av garanterade insättningar enligt definitionen i led 5 i artikel 2.1 tillsammans med artikel 6 i direktiv 2014/49/EU, som omfattas av insättningsgarantisystemet enligt rad 00030, med undantag för tillfälligt höga restbelopp enligt definitionen i artikel 6.2 i samma direktiv.</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Institutionellt skyddssystem</w:t>
            </w:r>
          </w:p>
          <w:p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Artikel 113.7 i förordning (EU) nr 575/2013</w:t>
            </w:r>
          </w:p>
          <w:p w:rsidR="006550E5" w:rsidRPr="00D92B3C"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Namnet på det institutionella skyddssystem som avses i artikel 113.7 i förordning (EU) nr 575/2013, och som enheten är medlem i. Ifall enheten inte är medlem i ett institutionellt skyddssystem ska ingenting redovisas. När ett institut är medlem i ett institutionellt skyddssystem som även är officiellt erkänt som ett insättningsgarantisystem, i enlighet med artikel 4.2 i direktiv 2014/49/EU, ska insättningsgarantisystemets namn vara identiskt med namnet på det institutionella skyddssystemet på rad 030.</w:t>
            </w:r>
          </w:p>
          <w:p w:rsidR="0057049E" w:rsidRPr="00D92B3C"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57049E"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Ytterligare skydd enligt avtalsreglerad plan</w:t>
            </w:r>
          </w:p>
          <w:p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Artikel 1.3 a i direktiv 2014/49/EU</w:t>
            </w:r>
          </w:p>
          <w:p w:rsidR="0057049E" w:rsidRPr="00D92B3C" w:rsidRDefault="0057049E" w:rsidP="00D4315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Summan insättningar som omfattas av enhetens avtalsreglerade plan.</w:t>
            </w:r>
          </w:p>
        </w:tc>
      </w:tr>
    </w:tbl>
    <w:p w:rsidR="0057049E" w:rsidRPr="00D92B3C" w:rsidRDefault="0057049E" w:rsidP="008F7980">
      <w:pPr>
        <w:rPr>
          <w:rFonts w:ascii="Times New Roman" w:hAnsi="Times New Roman" w:cs="Times New Roman"/>
          <w:b/>
          <w:color w:val="000000" w:themeColor="text1"/>
          <w:sz w:val="20"/>
          <w:szCs w:val="20"/>
          <w:u w:val="single"/>
        </w:rPr>
      </w:pPr>
    </w:p>
    <w:p w:rsidR="00E13CE3" w:rsidRPr="00D92B3C" w:rsidRDefault="00E13CE3" w:rsidP="008854E4">
      <w:pPr>
        <w:pStyle w:val="Instructionsberschrift2"/>
        <w:numPr>
          <w:ilvl w:val="1"/>
          <w:numId w:val="7"/>
        </w:numPr>
        <w:ind w:left="357" w:hanging="357"/>
        <w:rPr>
          <w:rFonts w:ascii="Times New Roman" w:hAnsi="Times New Roman" w:cs="Times New Roman"/>
          <w:szCs w:val="20"/>
        </w:rPr>
      </w:pPr>
      <w:bookmarkStart w:id="35" w:name="_Toc492542327"/>
      <w:bookmarkStart w:id="36" w:name="_Toc509909045"/>
      <w:bookmarkStart w:id="37" w:name="_Toc525215494"/>
      <w:r>
        <w:rPr>
          <w:rFonts w:ascii="Times New Roman" w:hAnsi="Times New Roman"/>
        </w:rPr>
        <w:lastRenderedPageBreak/>
        <w:t>Kritiska funktioner och kärnaffärsområden</w:t>
      </w:r>
      <w:bookmarkEnd w:id="35"/>
      <w:bookmarkEnd w:id="36"/>
      <w:bookmarkEnd w:id="37"/>
    </w:p>
    <w:p w:rsidR="00AA4026" w:rsidRPr="00D92B3C" w:rsidRDefault="00AA4026" w:rsidP="00715DAB">
      <w:pPr>
        <w:pStyle w:val="Instructionsberschrift3"/>
      </w:pPr>
      <w:r>
        <w:t>Allmänna anmärkningar</w:t>
      </w:r>
    </w:p>
    <w:p w:rsidR="001D72E4" w:rsidRPr="00D92B3C" w:rsidRDefault="001D72E4"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I de fyra mallarna i detta stycke ges nyckeldata och en kvalitativ bedömning av koncernens ekonomiska funktioners verkningar, utbytbarhet samt kriticitet, och härtill en kartläggning av dessa kritiska funktioner enligt kärnaffärsområden och juridiska personer.</w:t>
      </w:r>
    </w:p>
    <w:p w:rsidR="005B5989" w:rsidRPr="00D92B3C" w:rsidRDefault="0001511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Närmare bestämt omfattar mallarna följande områden:</w:t>
      </w:r>
    </w:p>
    <w:p w:rsidR="004D12A4" w:rsidRPr="00D92B3C" w:rsidRDefault="0000307C"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Mall Z 07.01 - I kriticitetsbedömningen av de ekonomiska funktionerna (FUNC 1) identifieras, utifrån kvantitativa och kvalitativa indikatorer, koncernens icke-kritiska och kritiska funktioner för varje medlemsstat där enheten är aktiv.</w:t>
      </w:r>
    </w:p>
    <w:p w:rsidR="00DF4780" w:rsidRPr="00D92B3C" w:rsidRDefault="000103D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Mall Z 07.02 - I kartläggningen av kritiska funktioner enligt juridisk person (FUNC 2) kartläggs vilka kritiska funktioner som kan identifieras för varje juridisk person och det bedöms ifall den juridiska personen är väsentlig för den kritiska funktionens resultat eller inte.</w:t>
      </w:r>
    </w:p>
    <w:p w:rsidR="00DF4780" w:rsidRPr="00D92B3C" w:rsidRDefault="00F7117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Z 07.03 - Kartläggningen av kärnaffärsområden enligt juridisk person (FUNC 3) ger en fullständig lista på kärnaffärsområden och ordnar dem efter juridisk person.</w:t>
      </w:r>
    </w:p>
    <w:p w:rsidR="00DF4780" w:rsidRPr="00D92B3C" w:rsidRDefault="00AD488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Mall Z 07.04 - Kartläggningen av kritiska funktioner enligt kärnaffärsområden (FUNC 4) ordnar de identifierade kritiska funktionerna efter affärsområden.</w:t>
      </w:r>
    </w:p>
    <w:p w:rsidR="003A344F" w:rsidRPr="00D92B3C" w:rsidRDefault="006B4A6D"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I enlighet med artikel 2.1 led 35 i direktiv 2014/59/EU avses med kritiska funktioner aktiviteter, tjänster eller transaktioner som om de upphörde sannolikt skulle leda till störningar av tjänster som är avgörande för realekonomin eller störa den finansiella stabiliteten på grund av institutets eller koncernens storlek, marknadsandel, externa och interna sammanlänkning, komplexitet eller gränsöverskridande verksamhet, i en eller flera medlemsstater, särskilt med avseende på dessa aktiviteters, tjänsters eller transaktioners utbytbarhet. </w:t>
      </w:r>
    </w:p>
    <w:p w:rsidR="0056559D" w:rsidRPr="00D92B3C" w:rsidRDefault="003A344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I enlighet med artikel 6.1 i kommissionens förordning (EU) nr 2016/778</w:t>
      </w:r>
      <w:r>
        <w:rPr>
          <w:rFonts w:ascii="Times New Roman" w:hAnsi="Times New Roman"/>
          <w:vertAlign w:val="superscript"/>
        </w:rPr>
        <w:footnoteReference w:id="16"/>
      </w:r>
      <w:r>
        <w:rPr>
          <w:rFonts w:ascii="Times New Roman" w:hAnsi="Times New Roman"/>
          <w:sz w:val="20"/>
        </w:rPr>
        <w:t>, ska en funktion anses vara kritisk när den uppfyller båda av följande:</w:t>
      </w:r>
    </w:p>
    <w:p w:rsidR="0056559D" w:rsidRPr="00D92B3C" w:rsidRDefault="0056559D" w:rsidP="004524FA">
      <w:pPr>
        <w:numPr>
          <w:ilvl w:val="0"/>
          <w:numId w:val="14"/>
        </w:numPr>
        <w:spacing w:line="276" w:lineRule="auto"/>
        <w:contextualSpacing/>
        <w:jc w:val="both"/>
        <w:rPr>
          <w:rFonts w:ascii="Times New Roman" w:hAnsi="Times New Roman" w:cs="Times New Roman"/>
          <w:color w:val="000000" w:themeColor="text1"/>
          <w:sz w:val="20"/>
          <w:szCs w:val="20"/>
        </w:rPr>
      </w:pPr>
      <w:r>
        <w:rPr>
          <w:rFonts w:ascii="Times New Roman" w:hAnsi="Times New Roman"/>
          <w:color w:val="000000" w:themeColor="text1"/>
          <w:sz w:val="20"/>
        </w:rPr>
        <w:t>Funktionen tillhandahålls av ett institut till tredje parter som inte är anknutna till institutet eller koncernen, och</w:t>
      </w:r>
    </w:p>
    <w:p w:rsidR="0056559D" w:rsidRPr="00D92B3C" w:rsidRDefault="0056559D" w:rsidP="004524FA">
      <w:pPr>
        <w:numPr>
          <w:ilvl w:val="0"/>
          <w:numId w:val="14"/>
        </w:numPr>
        <w:spacing w:line="276" w:lineRule="auto"/>
        <w:contextualSpacing/>
        <w:jc w:val="both"/>
        <w:rPr>
          <w:rFonts w:ascii="Times New Roman" w:hAnsi="Times New Roman" w:cs="Times New Roman"/>
          <w:i/>
          <w:color w:val="000000" w:themeColor="text1"/>
          <w:sz w:val="20"/>
          <w:szCs w:val="20"/>
        </w:rPr>
      </w:pPr>
      <w:r>
        <w:rPr>
          <w:rFonts w:ascii="Times New Roman" w:hAnsi="Times New Roman"/>
          <w:color w:val="000000" w:themeColor="text1"/>
          <w:sz w:val="20"/>
        </w:rPr>
        <w:t>en plötslig störning i utförandet av den funktionen skulle sannolikt ha en väsentlig negativ påverkan på den tredje parten, ge spridningseffekter eller underminera marknadsaktörernas allmänna förtroende på grund av funktionens systembetydelse för tredje part, och betydelsen för systemet av att institutet eller koncernen tillhandahåller denna funktion.</w:t>
      </w:r>
    </w:p>
    <w:p w:rsidR="00291ADD" w:rsidRPr="00D92B3C" w:rsidRDefault="00AC1C52"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I enlighet med artikel 2.1 led 36 i direktiv 2014/59/EU avses med ”</w:t>
      </w:r>
      <w:r>
        <w:rPr>
          <w:rFonts w:ascii="Times New Roman" w:hAnsi="Times New Roman"/>
          <w:i/>
          <w:sz w:val="20"/>
        </w:rPr>
        <w:t>kärnaffärsområden</w:t>
      </w:r>
      <w:r>
        <w:rPr>
          <w:rFonts w:ascii="Times New Roman" w:hAnsi="Times New Roman"/>
          <w:sz w:val="20"/>
        </w:rPr>
        <w:t>: affärsområden och kringtjänster som utgör faktiska källor till inkomst, vinst eller har ett franchisevärde för ett institut eller en koncern som institutet tillhör”.</w:t>
      </w:r>
    </w:p>
    <w:p w:rsidR="007827E9" w:rsidRPr="00D92B3C" w:rsidRDefault="007827E9"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I denna mall avses med </w:t>
      </w:r>
      <w:r>
        <w:rPr>
          <w:rFonts w:ascii="Times New Roman" w:hAnsi="Times New Roman"/>
          <w:i/>
          <w:sz w:val="20"/>
        </w:rPr>
        <w:t>ekonomiska funktioner</w:t>
      </w:r>
      <w:r>
        <w:rPr>
          <w:rFonts w:ascii="Times New Roman" w:hAnsi="Times New Roman"/>
          <w:sz w:val="20"/>
        </w:rPr>
        <w:t xml:space="preserve"> de funktioner som listas i tabellen nedan.</w:t>
      </w:r>
    </w:p>
    <w:p w:rsidR="00881545" w:rsidRPr="00D92B3C" w:rsidRDefault="00905475"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För varje kategori av ekonomiska funktioner kan kategorin ”övriga” väljas ifall funktionen inte omfattas av de andra fördefinierade funktionerna.</w:t>
      </w:r>
    </w:p>
    <w:p w:rsidR="00AC1C52" w:rsidRPr="00D92B3C" w:rsidRDefault="005E0691"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De motparter som avses på rad 0010 till 0070 och rad 0080-0150 identifieras likadant som motpartssektorerna som presenteras i Finrep bilaga V del 1 kapitel 6. Med ”SMF” avses små och medelstora företag enligt definitionen i Finrep, bilaga V, del 1, punkt 5 (i).</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905475">
        <w:tc>
          <w:tcPr>
            <w:tcW w:w="1191" w:type="dxa"/>
            <w:tcBorders>
              <w:top w:val="single" w:sz="4" w:space="0" w:color="1A171C"/>
              <w:left w:val="nil"/>
              <w:bottom w:val="single" w:sz="4" w:space="0" w:color="1A171C"/>
              <w:right w:val="single" w:sz="4" w:space="0" w:color="1A171C"/>
            </w:tcBorders>
            <w:shd w:val="clear" w:color="auto" w:fill="E4E5E5"/>
          </w:tcPr>
          <w:p w:rsidR="007827E9" w:rsidRPr="00D92B3C" w:rsidRDefault="007827E9" w:rsidP="007827E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ID</w:t>
            </w:r>
          </w:p>
        </w:tc>
        <w:tc>
          <w:tcPr>
            <w:tcW w:w="7892" w:type="dxa"/>
            <w:tcBorders>
              <w:top w:val="single" w:sz="4" w:space="0" w:color="1A171C"/>
              <w:left w:val="single" w:sz="4" w:space="0" w:color="1A171C"/>
              <w:bottom w:val="single" w:sz="4" w:space="0" w:color="1A171C"/>
              <w:right w:val="nil"/>
            </w:tcBorders>
            <w:shd w:val="clear" w:color="auto" w:fill="E4E5E5"/>
          </w:tcPr>
          <w:p w:rsidR="007827E9" w:rsidRPr="00D92B3C" w:rsidRDefault="007827E9" w:rsidP="00A40402">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Ekonomisk funktion</w:t>
            </w:r>
          </w:p>
        </w:tc>
      </w:tr>
      <w:tr w:rsidR="00D22EB0" w:rsidRPr="00D92B3C" w:rsidTr="00905475">
        <w:tc>
          <w:tcPr>
            <w:tcW w:w="9083" w:type="dxa"/>
            <w:gridSpan w:val="2"/>
            <w:tcBorders>
              <w:top w:val="single" w:sz="4" w:space="0" w:color="1A171C"/>
              <w:left w:val="nil"/>
              <w:bottom w:val="single" w:sz="4" w:space="0" w:color="1A171C"/>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Insättningar</w:t>
            </w:r>
          </w:p>
          <w:p w:rsidR="00905475"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Inlåning ska avse mottagande av insättningar från icke-finansiella mellanhänder. Detta inkluderar inte lån från andra finansiella mellanhänder, vilka hanteras separat under ”kapitalmarknadsfinansiering”. </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Insättningar inkluderar: i) löpande räkningar/inlåning över natten, ii) insättningar med avtalad löptid och iii) aviserade insättningar, och återköpsavtal ingår inte.</w:t>
            </w:r>
          </w:p>
          <w:p w:rsidR="007827E9" w:rsidRPr="00D92B3C" w:rsidRDefault="007827E9" w:rsidP="00F80ED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Referenser: FSB-råd gällande identifiering av kritiska funktioner och kritiska delade tjänster (2013) s.14. Bilaga II del 2 posterna 9.1, 9.2 och 9.3 i förordning (EU) nr 1071/2013.</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1.1</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Hushåll</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1.2</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Icke-finansiella företag (SMF)</w:t>
            </w:r>
          </w:p>
        </w:tc>
      </w:tr>
      <w:tr w:rsidR="00D22EB0" w:rsidRPr="00BB34DC" w:rsidTr="00E95D75">
        <w:tc>
          <w:tcPr>
            <w:tcW w:w="1191" w:type="dxa"/>
            <w:tcBorders>
              <w:top w:val="single" w:sz="4" w:space="0" w:color="1A171C"/>
              <w:left w:val="nil"/>
              <w:bottom w:val="single" w:sz="4" w:space="0" w:color="1A171C"/>
              <w:right w:val="single" w:sz="4" w:space="0" w:color="1A171C"/>
            </w:tcBorders>
          </w:tcPr>
          <w:p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1.3</w:t>
            </w:r>
          </w:p>
        </w:tc>
        <w:tc>
          <w:tcPr>
            <w:tcW w:w="7892" w:type="dxa"/>
            <w:tcBorders>
              <w:top w:val="single" w:sz="4" w:space="0" w:color="1A171C"/>
              <w:left w:val="single" w:sz="4" w:space="0" w:color="1A171C"/>
              <w:bottom w:val="single" w:sz="4" w:space="0" w:color="1A171C"/>
              <w:right w:val="nil"/>
            </w:tcBorders>
          </w:tcPr>
          <w:p w:rsidR="007827E9" w:rsidRPr="00274771"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Icke-finansiella företag (icke-SMF)</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1.4</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Offentlig sektor</w:t>
            </w:r>
          </w:p>
        </w:tc>
      </w:tr>
      <w:tr w:rsidR="00D22EB0" w:rsidRPr="00D92B3C" w:rsidTr="0018458C">
        <w:tc>
          <w:tcPr>
            <w:tcW w:w="1191" w:type="dxa"/>
            <w:tcBorders>
              <w:top w:val="single" w:sz="4" w:space="0" w:color="1A171C"/>
              <w:left w:val="nil"/>
              <w:bottom w:val="single" w:sz="4" w:space="0" w:color="1A171C"/>
              <w:right w:val="single" w:sz="4" w:space="0" w:color="1A171C"/>
            </w:tcBorders>
          </w:tcPr>
          <w:p w:rsidR="008B292D" w:rsidRPr="00D92B3C" w:rsidRDefault="008B292D"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1.5, 1.6, 1.7</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Övriga sektorer/motparter (1), (2) och (3)</w:t>
            </w:r>
          </w:p>
        </w:tc>
      </w:tr>
      <w:tr w:rsidR="00D22EB0" w:rsidRPr="00D92B3C" w:rsidTr="0018458C">
        <w:tc>
          <w:tcPr>
            <w:tcW w:w="9083" w:type="dxa"/>
            <w:gridSpan w:val="2"/>
            <w:tcBorders>
              <w:top w:val="single" w:sz="4" w:space="0" w:color="1A171C"/>
              <w:left w:val="nil"/>
              <w:bottom w:val="single" w:sz="4" w:space="0" w:color="1A171C"/>
            </w:tcBorders>
          </w:tcPr>
          <w:p w:rsidR="007827E9" w:rsidRPr="00D92B3C" w:rsidRDefault="007827E9" w:rsidP="0088154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Utlåning</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Lån ska avse finansiering av icke-finansiella motparter, så som företagskunder eller detaljhandelskunder. Lån till finansiella motparter är en annorlunda aktivitet och bedöms under ”kapitalmarknadsfinansiering”. Lån inkluderar skuldinstrument som innehas av instituten men exkluderar skuldinstrument som utgör garantier, oavsett vilken bokföringsklassifikation dessa har (dvs. hålls till förfall eller som kan säljas).</w:t>
            </w:r>
          </w:p>
          <w:p w:rsidR="007827E9" w:rsidRPr="00D92B3C" w:rsidRDefault="007827E9" w:rsidP="005C25A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Referenser: FSB-råd gällande identifiering av kritiska funktioner och kritiska delade tjänster (2013) s.17. Bilaga II del 2 post 2 i förordning (EU) nr 1071/2013.</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2.1</w:t>
            </w:r>
          </w:p>
        </w:tc>
        <w:tc>
          <w:tcPr>
            <w:tcW w:w="7892" w:type="dxa"/>
            <w:tcBorders>
              <w:top w:val="single" w:sz="4" w:space="0" w:color="1A171C"/>
              <w:left w:val="single" w:sz="4" w:space="0" w:color="1A171C"/>
              <w:bottom w:val="single" w:sz="4" w:space="0" w:color="1A171C"/>
              <w:right w:val="nil"/>
            </w:tcBorders>
          </w:tcPr>
          <w:p w:rsidR="00261F96" w:rsidRPr="00D92B3C" w:rsidRDefault="007827E9"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Hushåll - bostadslån</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Med bostadslån avses lån till hushåll för inköp av bostad för eget bruk eller uthyrning, inklusive lån för byggnation och renovering.</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261F96"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2.2</w:t>
            </w:r>
          </w:p>
        </w:tc>
        <w:tc>
          <w:tcPr>
            <w:tcW w:w="7892" w:type="dxa"/>
            <w:tcBorders>
              <w:top w:val="single" w:sz="4" w:space="0" w:color="1A171C"/>
              <w:left w:val="single" w:sz="4" w:space="0" w:color="1A171C"/>
              <w:bottom w:val="single" w:sz="4" w:space="0" w:color="1A171C"/>
              <w:right w:val="nil"/>
            </w:tcBorders>
          </w:tcPr>
          <w:p w:rsidR="00261F96" w:rsidRPr="00D92B3C" w:rsidRDefault="00261F96"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Hushåll - övriga lån</w:t>
            </w:r>
          </w:p>
        </w:tc>
      </w:tr>
      <w:tr w:rsidR="00D22EB0" w:rsidRPr="00D92B3C" w:rsidTr="00336AC0">
        <w:tc>
          <w:tcPr>
            <w:tcW w:w="1191" w:type="dxa"/>
            <w:tcBorders>
              <w:top w:val="single" w:sz="4" w:space="0" w:color="1A171C"/>
              <w:left w:val="nil"/>
              <w:bottom w:val="single" w:sz="4" w:space="0" w:color="1A171C"/>
              <w:right w:val="single" w:sz="4" w:space="0" w:color="1A171C"/>
            </w:tcBorders>
            <w:vAlign w:val="bottom"/>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2.3</w:t>
            </w:r>
          </w:p>
        </w:tc>
        <w:tc>
          <w:tcPr>
            <w:tcW w:w="7892" w:type="dxa"/>
            <w:tcBorders>
              <w:top w:val="single" w:sz="4" w:space="0" w:color="1A171C"/>
              <w:left w:val="single" w:sz="4" w:space="0" w:color="1A171C"/>
              <w:bottom w:val="single" w:sz="4" w:space="0" w:color="1A171C"/>
              <w:right w:val="nil"/>
            </w:tcBorders>
            <w:vAlign w:val="bottom"/>
          </w:tcPr>
          <w:p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Icke-finansiella företag - SMF</w:t>
            </w:r>
          </w:p>
        </w:tc>
      </w:tr>
      <w:tr w:rsidR="00D22EB0" w:rsidRPr="00BB34DC" w:rsidTr="00336AC0">
        <w:tc>
          <w:tcPr>
            <w:tcW w:w="1191" w:type="dxa"/>
            <w:tcBorders>
              <w:top w:val="single" w:sz="4" w:space="0" w:color="1A171C"/>
              <w:left w:val="nil"/>
              <w:bottom w:val="single" w:sz="4" w:space="0" w:color="1A171C"/>
              <w:right w:val="single" w:sz="4" w:space="0" w:color="1A171C"/>
            </w:tcBorders>
            <w:vAlign w:val="bottom"/>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2.4</w:t>
            </w:r>
          </w:p>
        </w:tc>
        <w:tc>
          <w:tcPr>
            <w:tcW w:w="7892" w:type="dxa"/>
            <w:tcBorders>
              <w:top w:val="single" w:sz="4" w:space="0" w:color="1A171C"/>
              <w:left w:val="single" w:sz="4" w:space="0" w:color="1A171C"/>
              <w:bottom w:val="single" w:sz="4" w:space="0" w:color="1A171C"/>
              <w:right w:val="nil"/>
            </w:tcBorders>
            <w:vAlign w:val="bottom"/>
          </w:tcPr>
          <w:p w:rsidR="00336AC0" w:rsidRPr="00274771"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Icke-finansiella företag - icke-SMF</w:t>
            </w:r>
          </w:p>
        </w:tc>
      </w:tr>
      <w:tr w:rsidR="00D22EB0" w:rsidRPr="00D92B3C" w:rsidTr="00336AC0">
        <w:tc>
          <w:tcPr>
            <w:tcW w:w="1191" w:type="dxa"/>
            <w:tcBorders>
              <w:top w:val="single" w:sz="4" w:space="0" w:color="1A171C"/>
              <w:left w:val="nil"/>
              <w:bottom w:val="single" w:sz="4" w:space="0" w:color="1A171C"/>
              <w:right w:val="single" w:sz="4" w:space="0" w:color="1A171C"/>
            </w:tcBorders>
            <w:vAlign w:val="bottom"/>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2.5</w:t>
            </w:r>
          </w:p>
        </w:tc>
        <w:tc>
          <w:tcPr>
            <w:tcW w:w="7892" w:type="dxa"/>
            <w:tcBorders>
              <w:top w:val="single" w:sz="4" w:space="0" w:color="1A171C"/>
              <w:left w:val="single" w:sz="4" w:space="0" w:color="1A171C"/>
              <w:bottom w:val="single" w:sz="4" w:space="0" w:color="1A171C"/>
              <w:right w:val="nil"/>
            </w:tcBorders>
            <w:vAlign w:val="bottom"/>
          </w:tcPr>
          <w:p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Offentlig sektor</w:t>
            </w:r>
          </w:p>
        </w:tc>
      </w:tr>
      <w:tr w:rsidR="00D22EB0" w:rsidRPr="00D92B3C" w:rsidTr="0018458C">
        <w:tc>
          <w:tcPr>
            <w:tcW w:w="1191" w:type="dxa"/>
            <w:tcBorders>
              <w:top w:val="single" w:sz="4" w:space="0" w:color="1A171C"/>
              <w:left w:val="nil"/>
              <w:bottom w:val="single" w:sz="4" w:space="0" w:color="1A171C"/>
              <w:right w:val="single" w:sz="4" w:space="0" w:color="1A171C"/>
            </w:tcBorders>
          </w:tcPr>
          <w:p w:rsidR="007827E9" w:rsidRPr="00D92B3C" w:rsidRDefault="00336AC0"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2.6, 2.7, 2.8</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Övriga sektorer/motparter (1), (2) och (3)</w:t>
            </w:r>
          </w:p>
        </w:tc>
      </w:tr>
      <w:tr w:rsidR="00D22EB0" w:rsidRPr="00D92B3C" w:rsidTr="00955D42">
        <w:tc>
          <w:tcPr>
            <w:tcW w:w="9083" w:type="dxa"/>
            <w:gridSpan w:val="2"/>
            <w:tcBorders>
              <w:top w:val="single" w:sz="4" w:space="0" w:color="1A171C"/>
              <w:left w:val="nil"/>
              <w:bottom w:val="single" w:sz="4" w:space="0" w:color="1A171C"/>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Betal-, kontant-, avvecklings-, clearing- och depåtjänster</w:t>
            </w:r>
          </w:p>
          <w:p w:rsidR="00D71DD0" w:rsidRPr="00D92B3C" w:rsidRDefault="00D71DD0"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Referens: FSB-råd gällande identifiering av kritiska funktioner och kritiska delade tjänster (2013) s.20.</w:t>
            </w:r>
          </w:p>
          <w:p w:rsidR="007827E9" w:rsidRPr="00D92B3C"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De ekonomiska funktioner som ingår under denna rubrik ska bestå av tjänster för betalningar, kontanter, avveckling, clearing och depåer som tillhandahålls av ett kreditinstitut, i egenskap av mellanhand mellan två kunder eller som en mellanhand mellan en kund och en eller flera relevanta finansmarknadsinfrastrukturer (FMI), eller tillhandahållande av (indirekt) åtkomst till övriga bankers finansmarknadsinfrastrukturer. I enlighet med FSB-råden gällande identifiering av kritiska funktioner och kritiska delade tjänster ska funktionen för betalningar, clearing och avveckling begränsas till tjänster som bankerna tillhandahåller sina kunder. Denna kategori omfattar inte tjänster som tillhandahålls av (rena) finansmarknadsinfrastrukturleverantörer. För ändamålet med denna mall ska finansmarknadsinfrastrukturer inkludera betalningssystem, centrala värdepapperscentraler och centrala motparter (men inte transaktionsregister).</w:t>
            </w:r>
          </w:p>
          <w:p w:rsidR="008762AF" w:rsidRPr="00D92B3C" w:rsidRDefault="008762AF" w:rsidP="008762A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Definitionerna ”betaltjänster”, ”betalningstransaktioner” och ”betalningssystem” har samma innebörd som respektive definition i artiklarna 4.3, 4.5 och 4.7 i direktiv 2015/2366/EU om betaltjänster på den inre marknaden</w:t>
            </w:r>
            <w:r>
              <w:rPr>
                <w:rStyle w:val="FootnoteReference"/>
                <w:rFonts w:ascii="Times New Roman" w:hAnsi="Times New Roman"/>
                <w:color w:val="000000" w:themeColor="text1"/>
                <w:spacing w:val="-2"/>
                <w:w w:val="95"/>
                <w:sz w:val="20"/>
              </w:rPr>
              <w:footnoteReference w:id="17"/>
            </w:r>
            <w:r>
              <w:rPr>
                <w:rFonts w:ascii="Times New Roman" w:hAnsi="Times New Roman"/>
                <w:color w:val="000000" w:themeColor="text1"/>
                <w:spacing w:val="-2"/>
                <w:w w:val="95"/>
                <w:sz w:val="20"/>
              </w:rPr>
              <w:t>.</w:t>
            </w:r>
          </w:p>
          <w:p w:rsidR="007827E9" w:rsidRPr="00D92B3C"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3.1</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Betaltjänster till MFI</w:t>
            </w:r>
          </w:p>
          <w:p w:rsidR="007827E9" w:rsidRPr="00D92B3C" w:rsidRDefault="007827E9" w:rsidP="007C47D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På denna rad ska även betaltjänster till monetära finansinstitut (MFI) redovisas, med eller utan användning av externa betalningssystem. Här ska även (betalningar kopplade till) motsvarande banktjänster redovisas. MFI ska bestå av samtliga institutionella enheter som ingår i undersektorerna: i) en centralbank, ii) företag som tar emot inlåning, förutom centralbanken, och iii) penningmarknadsfonder.</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3.2</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Betaltjänster till icke-MFI</w:t>
            </w:r>
          </w:p>
          <w:p w:rsidR="007827E9" w:rsidRPr="00D92B3C" w:rsidRDefault="007827E9" w:rsidP="0010135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Betaltjänster som erbjuds till kunder med eller utan användning av externa betalningssystem. Här ska även fysiska och juridiska personer som inte tillhör MFI-sektorn inkluderas. Leverantörer av betaltjänster ska också exkluderas från ”icke-MFI-sektorn”.</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3.3</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Kontanttjänster</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Tillhandahållande av kontanttjänster till kunder (både privatkunder och företagskunder, endast icke-MFI). Dessa tjänster avser uttag i uttagsautomater samt över disk hos filialer och inkluderar inte övriga kontanttjänster (så som värdetransporttjänster till stora återförsäljare). Här ingår kontantuttag med checkar samt uttag över disk hos filialer genom användning av bankblanketter (där kort kan användas för identifiering).</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3.4</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Värdepappersavvecklingstjänster</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Tjänster till kunder för bestyrkande, clearing och avveckling av värdepapperstransaktioner, med eller utan användning av garantiavvecklingssystem. Med ”avveckling” avses avslutande av en värdepapperstransaktion när denna avslutas i syfte att reglera förpliktelserna mellan transaktionsparterna genom överföring av kontantmedel och/eller värdepapper.</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3.5</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CCP-clearingtjänster</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Värdepapperstjänster och derivatclearingtjänster till kunder. Här ingår även tillhandahållande av indirekt åtkomst till en central motpart (CCP).</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3.6</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Depåtjänster</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Förvaring och handhavande av finansiella instrument för kunders räkning samt depåtjänster, exempelvis handhavande av kontanta medel/finansiella säkerheter.</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3.7, 3.8, 3.9</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Övriga tjänster/aktiviteter/funktioner (1), (2) och (3)</w:t>
            </w:r>
          </w:p>
        </w:tc>
      </w:tr>
      <w:tr w:rsidR="00D22EB0" w:rsidRPr="00D92B3C" w:rsidTr="00336AC0">
        <w:tc>
          <w:tcPr>
            <w:tcW w:w="9083" w:type="dxa"/>
            <w:gridSpan w:val="2"/>
            <w:tcBorders>
              <w:top w:val="single" w:sz="4" w:space="0" w:color="1A171C"/>
              <w:left w:val="nil"/>
              <w:bottom w:val="single" w:sz="4" w:space="0" w:color="1A171C"/>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Kapitalmarknader</w:t>
            </w:r>
          </w:p>
          <w:p w:rsidR="007827E9" w:rsidRPr="00D92B3C" w:rsidRDefault="007827E9" w:rsidP="00CD657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Med kapitalmarknadsaktiviteter ska avses emission och handel med värdepapper, härtill hörande rådgivningstjänster samt tillhörande tjänster såsom prime brokerage och marknadsgarantering. </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4.1</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Derivat som innehas för handel (OTC)</w:t>
            </w:r>
          </w:p>
          <w:p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Artikel 2.5 och 2.7 i förordning (EU) nr 648/2012</w:t>
            </w:r>
            <w:r>
              <w:rPr>
                <w:rStyle w:val="FootnoteReference"/>
                <w:rFonts w:ascii="Times New Roman" w:hAnsi="Times New Roman"/>
                <w:color w:val="000000" w:themeColor="text1"/>
                <w:spacing w:val="-2"/>
                <w:w w:val="95"/>
                <w:sz w:val="20"/>
              </w:rPr>
              <w:footnoteReference w:id="18"/>
            </w:r>
            <w:r>
              <w:rPr>
                <w:rFonts w:ascii="Times New Roman" w:hAnsi="Times New Roman"/>
                <w:color w:val="000000" w:themeColor="text1"/>
                <w:spacing w:val="-2"/>
                <w:w w:val="95"/>
                <w:sz w:val="20"/>
              </w:rPr>
              <w:t>.</w:t>
            </w:r>
          </w:p>
          <w:p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Med derivat eller derivatkontrakt avses ett finansiellt instrument enligt avsnitt C punkterna 4-10 i bilaga I till direktiv 2014/65/EU</w:t>
            </w:r>
            <w:r>
              <w:rPr>
                <w:rStyle w:val="FootnoteReference"/>
                <w:rFonts w:ascii="Times New Roman" w:hAnsi="Times New Roman"/>
                <w:color w:val="000000" w:themeColor="text1"/>
                <w:spacing w:val="-2"/>
                <w:w w:val="95"/>
                <w:sz w:val="20"/>
              </w:rPr>
              <w:footnoteReference w:id="19"/>
            </w:r>
            <w:r>
              <w:rPr>
                <w:rFonts w:ascii="Times New Roman" w:hAnsi="Times New Roman"/>
                <w:color w:val="000000" w:themeColor="text1"/>
                <w:spacing w:val="-2"/>
                <w:w w:val="95"/>
                <w:sz w:val="20"/>
              </w:rPr>
              <w:t>, såsom genomfört genom artiklarna 38 och 39 i förordning (EG) nr 1287/2006.</w:t>
            </w:r>
          </w:p>
          <w:p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Med OTC-derivat eller OTC-derivatkontrakt avses ett derivatkontrakt vars handel inte genomförs på en reglerad marknad i den mening som avses i artikel 4.1.21 i direktiv 2014/65/EU eller på en marknad i ett tredjeland som anses vara likvärdig med en reglerad marknad i enlighet med artikel 2 a i förordning (EU) nr 648/2012.</w:t>
            </w:r>
          </w:p>
          <w:p w:rsidR="00336AC0"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Det redovisade beloppet ska endast inkludera derivat som köps och säljs på OTC-marknaden.</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4.2</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Derivat som innehas för handel (icke-OTC)</w:t>
            </w:r>
          </w:p>
          <w:p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Alla derivat som innehas för handel exklusive OTC-derivat som innehas för handel.</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4.3</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Andrahandsmarknader/handel:</w:t>
            </w:r>
          </w:p>
          <w:p w:rsidR="007F077B" w:rsidRPr="00D92B3C" w:rsidRDefault="00336AC0" w:rsidP="00D674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Det är på andrahandsmarknaden som investerare köper och säljer värdepapper. Denna funktion gäller hela handelsportföljen (dvs. eget kapital, företagskredit och statskredit).</w:t>
            </w:r>
          </w:p>
          <w:p w:rsidR="00E82CEB" w:rsidRPr="00D92B3C" w:rsidRDefault="007F077B" w:rsidP="00E82CE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Det redovisade beloppet ska inkludera värdet av värdepapperna beräknat efter den totala mängden värdepapper som innehas för handel (held-for-trading, HFT). Värdepapper ska redovisas till verkligt värde på rapporteringsdatumet.</w:t>
            </w:r>
          </w:p>
          <w:p w:rsidR="00336AC0" w:rsidRPr="00D92B3C" w:rsidRDefault="00E82CEB" w:rsidP="00E82CE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Lån, derivat och tillgångar som inte kan köpas och säljas (t.ex. fordringar) ska inte inkluderas i beloppet.</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4.4</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Primära marknader/emissionsgarantier</w:t>
            </w:r>
          </w:p>
          <w:p w:rsidR="00336AC0" w:rsidRPr="00D92B3C" w:rsidRDefault="008C58BC" w:rsidP="008C58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Med primära marknader avses när nya värdepapper utfärdas på en börs av företag, offentlig sektor eller andra grupper i syfte att få finansiering genom räntebärande eller egetkapitalbaserade värdepapper (såsom stamaktier och preferensaktier, företagsobligationer, sedlar och statsobligationer). Primära marknader understödjs av emissionsgarantigrupper.</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4.5, 4.6, 4.7</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Övriga tjänster/aktiviteter/funktioner (1), (2) och (3)</w:t>
            </w:r>
          </w:p>
        </w:tc>
      </w:tr>
      <w:tr w:rsidR="00D22EB0" w:rsidRPr="00D92B3C" w:rsidTr="00336AC0">
        <w:tc>
          <w:tcPr>
            <w:tcW w:w="9083" w:type="dxa"/>
            <w:gridSpan w:val="2"/>
            <w:tcBorders>
              <w:top w:val="single" w:sz="4" w:space="0" w:color="1A171C"/>
              <w:left w:val="nil"/>
              <w:bottom w:val="single" w:sz="4" w:space="0" w:color="1A171C"/>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Kapitalmarknadsfinansiering</w:t>
            </w:r>
          </w:p>
          <w:p w:rsidR="007827E9" w:rsidRPr="00D92B3C" w:rsidRDefault="00E9318F" w:rsidP="00D31CB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Utlåning och upplåning på kapitalmarknaden till eller av finansiella motparter (kreditinstitut och övriga finansiella företag).</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5.1</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Upplåning</w:t>
            </w:r>
          </w:p>
          <w:p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Upplåning på kapitalmarknaden från finansiella motparter (inklusive genom återköpsavtal, upplåning mellan banker, obligationer, bankcertifikat, penningmarknadsfonder, kreditlinjer, obligationer med bakomliggande tillgångar som säkerhet och förvaltarinsättningar).</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5.2</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Derivat (tillgångar)</w:t>
            </w:r>
          </w:p>
          <w:p w:rsidR="00336AC0" w:rsidRPr="00D92B3C" w:rsidRDefault="00336AC0" w:rsidP="00F61BD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Samtliga derivat med finansiella motparter som står med bland balansräkningens tillgångar. Till skillnad från ”kapitalmarknader” omfattar derivat under ”kapitalmarknadsfinansiering” samtliga derivatkontrakt med finansiella motparter (inte endast HFT).</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5.3</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Utlåning</w:t>
            </w:r>
          </w:p>
          <w:p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Utlåning på kapitalmarknaden till finansiella motparter (inklusive genom återköpsavtal, upplåning mellan banker, obligationer, bankcertifikat, penningmarknadsfonder, kreditlinjer, obligationer med bakomliggande tillgångar som säkerhet och förvaltarinsättningar).</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5.4</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Derivat (skulder)</w:t>
            </w:r>
          </w:p>
          <w:p w:rsidR="00336AC0" w:rsidRPr="00D92B3C" w:rsidRDefault="00336AC0" w:rsidP="00F61BD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Samtliga derivat med finansiella motparter som står med bland balansräkningens skulder. </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5.5, 5.6, 5.7</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Övriga produkttyper (1), (2) och (3)</w:t>
            </w:r>
          </w:p>
          <w:p w:rsidR="007827E9" w:rsidRPr="00D92B3C" w:rsidRDefault="007827E9" w:rsidP="00D674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Varje funktion inom ”kapitalmarknadsfinansiering” som inte inkluderas ovan.</w:t>
            </w:r>
          </w:p>
        </w:tc>
      </w:tr>
    </w:tbl>
    <w:p w:rsidR="00F06ABE" w:rsidRPr="00D92B3C" w:rsidRDefault="00F7117F" w:rsidP="00AC1C52">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Z 07.01 - Kriticitetsbedömning av ekonomiska funktioner (FUNC 1): Instruktioner avseende specifika</w:t>
      </w:r>
      <w:r>
        <w:rPr>
          <w:rFonts w:ascii="Times New Roman" w:hAnsi="Times New Roman"/>
          <w:color w:val="000000" w:themeColor="text1"/>
          <w:sz w:val="20"/>
        </w:rPr>
        <w:t xml:space="preserve"> </w:t>
      </w:r>
      <w:r>
        <w:rPr>
          <w:rFonts w:ascii="Times New Roman" w:hAnsi="Times New Roman"/>
          <w:b w:val="0"/>
          <w:color w:val="000000" w:themeColor="text1"/>
          <w:sz w:val="20"/>
          <w:u w:val="single"/>
        </w:rPr>
        <w:t>positioner</w:t>
      </w:r>
    </w:p>
    <w:p w:rsidR="00336AC0" w:rsidRPr="00D92B3C" w:rsidRDefault="00336AC0"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I denna mall ska varje medlemsstat där koncernen är aktiv (identifierad som ”land”) redovisas varsin gång.</w:t>
      </w:r>
    </w:p>
    <w:p w:rsidR="00AE7D80" w:rsidRPr="00D92B3C" w:rsidRDefault="00336AC0"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Här omfattas samtliga ekonomiska funktioner genomförda i denna medlemsstat av någon av koncernenheterna, oavsett ifall denna funktion är en kritisk funktion eller inte.</w:t>
      </w:r>
    </w:p>
    <w:p w:rsidR="005244DF" w:rsidRPr="00D92B3C" w:rsidRDefault="005244DF" w:rsidP="0056559D">
      <w:pPr>
        <w:rPr>
          <w:rFonts w:ascii="Times New Roman" w:hAnsi="Times New Roman" w:cs="Times New Roman"/>
          <w:b/>
          <w:bCs/>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E95D75">
        <w:tc>
          <w:tcPr>
            <w:tcW w:w="1191" w:type="dxa"/>
            <w:tcBorders>
              <w:top w:val="single" w:sz="4" w:space="0" w:color="1A171C"/>
              <w:left w:val="nil"/>
              <w:bottom w:val="single" w:sz="4" w:space="0" w:color="1A171C"/>
              <w:right w:val="single" w:sz="4" w:space="0" w:color="1A171C"/>
            </w:tcBorders>
            <w:shd w:val="clear" w:color="auto" w:fill="E4E5E5"/>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Rader</w:t>
            </w:r>
          </w:p>
        </w:tc>
        <w:tc>
          <w:tcPr>
            <w:tcW w:w="7892" w:type="dxa"/>
            <w:tcBorders>
              <w:top w:val="single" w:sz="4" w:space="0" w:color="1A171C"/>
              <w:left w:val="single" w:sz="4" w:space="0" w:color="1A171C"/>
              <w:bottom w:val="single" w:sz="4" w:space="0" w:color="1A171C"/>
              <w:right w:val="nil"/>
            </w:tcBorders>
            <w:shd w:val="clear" w:color="auto" w:fill="E4E5E5"/>
          </w:tcPr>
          <w:p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Anvisningar</w:t>
            </w:r>
          </w:p>
        </w:tc>
      </w:tr>
      <w:tr w:rsidR="005244DF"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0010 - 0380</w:t>
            </w:r>
          </w:p>
        </w:tc>
        <w:tc>
          <w:tcPr>
            <w:tcW w:w="7892" w:type="dxa"/>
            <w:tcBorders>
              <w:top w:val="single" w:sz="4" w:space="0" w:color="1A171C"/>
              <w:left w:val="single" w:sz="4" w:space="0" w:color="1A171C"/>
              <w:bottom w:val="single" w:sz="4" w:space="0" w:color="1A171C"/>
              <w:right w:val="nil"/>
            </w:tcBorders>
            <w:vAlign w:val="center"/>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Ekonomiska funktioner</w:t>
            </w:r>
          </w:p>
          <w:p w:rsidR="005244DF" w:rsidRPr="00D92B3C" w:rsidRDefault="005244DF" w:rsidP="0056459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Ekonomiska funktioner enligt definitionen ovan</w:t>
            </w:r>
          </w:p>
        </w:tc>
      </w:tr>
    </w:tbl>
    <w:p w:rsidR="0056559D" w:rsidRPr="00D92B3C" w:rsidRDefault="0056559D" w:rsidP="0056559D">
      <w:pPr>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E95D75">
        <w:tc>
          <w:tcPr>
            <w:tcW w:w="1191" w:type="dxa"/>
            <w:tcBorders>
              <w:top w:val="single" w:sz="4" w:space="0" w:color="1A171C"/>
              <w:left w:val="nil"/>
              <w:bottom w:val="single" w:sz="4" w:space="0" w:color="1A171C"/>
              <w:right w:val="single" w:sz="4" w:space="0" w:color="1A171C"/>
            </w:tcBorders>
            <w:shd w:val="clear" w:color="auto" w:fill="E4E5E5"/>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Kolumner</w:t>
            </w:r>
          </w:p>
        </w:tc>
        <w:tc>
          <w:tcPr>
            <w:tcW w:w="7892" w:type="dxa"/>
            <w:tcBorders>
              <w:top w:val="single" w:sz="4" w:space="0" w:color="1A171C"/>
              <w:left w:val="single" w:sz="4" w:space="0" w:color="1A171C"/>
              <w:bottom w:val="single" w:sz="4" w:space="0" w:color="1A171C"/>
              <w:right w:val="nil"/>
            </w:tcBorders>
            <w:shd w:val="clear" w:color="auto" w:fill="E4E5E5"/>
          </w:tcPr>
          <w:p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Anvisningar</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Beskrivning av ekonomisk funktion</w:t>
            </w:r>
          </w:p>
          <w:p w:rsidR="005244DF" w:rsidRPr="00D92B3C" w:rsidRDefault="005244DF" w:rsidP="00CC77E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När den ekonomiska funktionen är av typen ”övriga” (funktioner 1.5–1.7, 2.6–2.8, 3.7–3.9, 4.5–4.7 och 5.5–5.7), ska funktionen ifråga beskrivas. </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Marknadsandel </w:t>
            </w:r>
          </w:p>
          <w:p w:rsidR="005244DF" w:rsidRPr="00D92B3C" w:rsidRDefault="00041D41" w:rsidP="000165E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Institutets eller koncernens förväntade marknadsandel för den ekonomiska funktionen i respektive land. Som en procentandel av hela marknaden i form av ett monetärt belopp.</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Monetärt belopp</w:t>
            </w:r>
          </w:p>
          <w:p w:rsidR="005244DF" w:rsidRPr="00D92B3C" w:rsidRDefault="00041D41"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Innehållet i denna kolumn är beroende av vilken ekonomisk funktion som tillhandahålls:</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Insättningar</w:t>
            </w:r>
          </w:p>
          <w:p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Redovisat värde (inklusive upplupen ränta) av de godkända insättningarna.</w:t>
            </w:r>
          </w:p>
          <w:p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Referenser: Finrep, bilagorna III och IV, mall F 08.01 och bilaga V, del 2 punkt 97.</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Utlåning</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Redovisat bruttovärde för säkra och osäkra lån och förskott (inklusive upplupen ränta). Utlåningslager tas som en fullmakt för förväntad framtida utlåning. </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Referenser: Finrep, bilagorna III och IV, mall F 04.04.01 och bilaga V, del 1, punkt 34 b</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Betal-, kontant-, avvecklings-, clearing- och depåtjänster</w:t>
            </w:r>
          </w:p>
          <w:p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Medelvärdet för dagliga transaktioner under året ska alltid redovisas. Om inget sådant finns tillgängligt kan ett medelvärde för en kortare period (t.ex. några månader) redovisas.</w:t>
            </w:r>
          </w:p>
          <w:p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Särskilt vad gäller de olika funktionerna ska följande åtgärder beaktas: </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Betaltjänster (3.1 till 3.2): Värdet av sända transaktioner. </w:t>
            </w:r>
            <w:r>
              <w:rPr>
                <w:rFonts w:ascii="Times New Roman" w:eastAsia="Cambria" w:hAnsi="Times New Roman" w:cs="Times New Roman"/>
                <w:color w:val="000000" w:themeColor="text1"/>
                <w:spacing w:val="-2"/>
                <w:w w:val="95"/>
                <w:sz w:val="20"/>
                <w:szCs w:val="20"/>
              </w:rPr>
              <w:br/>
            </w:r>
            <w:r>
              <w:rPr>
                <w:rFonts w:ascii="Times New Roman" w:hAnsi="Times New Roman"/>
                <w:color w:val="000000" w:themeColor="text1"/>
                <w:spacing w:val="-2"/>
                <w:w w:val="95"/>
                <w:sz w:val="20"/>
              </w:rPr>
              <w:t>(Referenser: artikel 4.5 i direktiv 2015/2366/EG, ECB/2013/43).</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Kontanttjänster (3.3): värdet på uttagsautomattransaktioner, enligt definitionen i ECB/2013/43 tabell 5 a, så väl som uttag över disk, enligt definitionen i ECB/2014/15 tabell 4.</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Värdepappersavvecklingstjänster (3.4): värdet av värdepappersöverföringar för kunders räkning. Här ingår transaktioner genomförda i ett värdepappersavvecklingssystem eller genomförda internt av det redovisande institutet, samt ”betalfria” transaktioner.</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CCP-clearingtjänster (3.5): den exponering som den CCP som institutet är medlem av åtar sig gentemot institutet på kunders vägnar. Redovisa det dagliga medelvärdet för öppna positioner som är kopplade till kundaktiviteter hos en CCP. Om inget sådant finns tillgängligt kan ett medelvärde för en kortare period (t.ex. några månader) redovisas.</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Depåtjänster (3.6): summan av tillgångar under förvaring, till verkligt värde. Om verkligt värde inte finns tillgängligt kan andra värderingsgrunder användas, t.ex. nominellt värde. I de fall där institutet tillhandahåller tjänster till företag såsom fondbolag eller pensionsfonder, får de berörda tillgångarna redovisas med det värde som dessa företag redovisar i sina egna balansräkningar. De redovisade beloppen ska i tillämpliga fall innehålla upplupen ränta. </w:t>
            </w:r>
            <w:r>
              <w:rPr>
                <w:rFonts w:ascii="Times New Roman" w:eastAsia="Cambria" w:hAnsi="Times New Roman" w:cs="Times New Roman"/>
                <w:color w:val="000000" w:themeColor="text1"/>
                <w:spacing w:val="-2"/>
                <w:w w:val="95"/>
                <w:sz w:val="20"/>
                <w:szCs w:val="20"/>
              </w:rPr>
              <w:br/>
            </w:r>
            <w:r>
              <w:rPr>
                <w:rFonts w:ascii="Times New Roman" w:hAnsi="Times New Roman"/>
                <w:color w:val="000000" w:themeColor="text1"/>
                <w:spacing w:val="-2"/>
                <w:w w:val="95"/>
                <w:sz w:val="20"/>
              </w:rPr>
              <w:t>(Referens: Finrep, bilagorna III och IV, mall F 22.02, kolumn 010)</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Kapitalmarknader</w:t>
            </w:r>
          </w:p>
          <w:p w:rsidR="005839C6"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Teoretiskt belopp - redovisas endast för derivat (4.1-4.2): Det teoretiska bruttobeloppet för alla ingångna avtal som ännu inte avvecklats vid referensdatumet. </w:t>
            </w:r>
          </w:p>
          <w:p w:rsidR="005244DF"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Referenser: Finrep, bilaga V, del 2, punkt 133 (definition). För data, Finrep, bilagorna III, IV och V:</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Summa derivat (4.1-4.2): mall F 10.00 kolumn 030 rad 290.</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OTC-derivat (4.1): mall F 10.00 kolumn 030 rad 300+310+320.</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Andrahandsmarknadsaktiviteter (4.3). Tillgångar som redovisat värde - det redovisade värde som ska redovisas bland balansräkningens tillgångar, inklusive upplupen ränta [Finrep: bilaga V, del 1, punkt 27] för egetkapitalinstrument och räntebärande värdepapper [Finrep: bilaga V, del 1, punkt 31], klassade som ”innehas för handel” [Finrep: bilaga V, del 1, punkt 15 (a) och punkt 16 (a)].</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Referens: Finrep: bilaga III mall F 04.01 kolumn 010 rad 010+060+120.</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Primära marknader (4.4): Avgiftsintäkt - arvoden och provisioner som erhållits för deltagande i upplägg eller emission av säkerheter som inte lagts upp eller emitterats av institutet.</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Referens: Finrep: bilaga III, IV mall F 22.01 kolumn 010 rad 030+180.</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Kapitalmarknadsfinansiering</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Använd redovisat bruttovärde enligt definition i Finrep. </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Referenser: Finrep: bilaga V, del 1 punkt 34, Finrep: bilaga III, IV, mallar:</w:t>
            </w:r>
            <w:r>
              <w:rPr>
                <w:rFonts w:ascii="Calibri" w:hAnsi="Calibri"/>
                <w:b/>
                <w:color w:val="1F497D"/>
              </w:rPr>
              <w:t xml:space="preserve"> </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Upplåning (5.1): mall F 20.06 kolumn 010 rad 100+110, samtliga länder.</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Derivat (tillgångar) (5.2): mall F20.04 kolumn 010 rad 010, samtliga länder.</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Utlåning (5.3): mall F20.04 kolumn 010 rad 170+180, samtliga länder.</w:t>
            </w:r>
          </w:p>
          <w:p w:rsidR="005244DF" w:rsidRPr="00D92B3C" w:rsidRDefault="005244DF" w:rsidP="001A2F10">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Derivat (skulder) (5.4): mall F20.06 kolumn 010 rad 010, samtliga länder.</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0040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Numerisk indikator </w:t>
            </w:r>
          </w:p>
          <w:p w:rsidR="005839C6" w:rsidRPr="00D92B3C" w:rsidRDefault="005839C6" w:rsidP="005839C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Innehållet i denna kolumn är beroende av vilken ekonomisk funktion som tillhandahålls.</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Insättningar </w:t>
            </w:r>
          </w:p>
          <w:p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Totalt antal kunder som har satt in det värde som redovisas i monetärt belopp. En kund som använder flera insättningsprodukter/konton ska endast räknas en gång.</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Utlåning</w:t>
            </w:r>
          </w:p>
          <w:p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Totalt antal kunder. En kund som använder flera låneprodukter/konton ska endast räknas en gång.</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Betal-, kontant-, avvecklings-, clearing- och depåtjänster</w:t>
            </w:r>
          </w:p>
          <w:p w:rsidR="002906FE"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Medelvärdet för dagliga transaktioner under året ska alltid redovisas. Om inget sådant finns tillgängligt kan ett medelvärde för en kortare period (t.ex. några månader) redovisas. </w:t>
            </w:r>
          </w:p>
          <w:p w:rsidR="005244DF"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Särskilt vad gäller de olika funktionerna ska följande åtgärder vidtas:</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Betaltjänster (3.1-3.2): antal utförda transaktioner. </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Referenser: artikel 4.5 i direktiv 2015/2366/EG, ECB/2013/43.</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Kontanttjänster (3.3): antalet uttagsautomattransaktioner, enligt definitionen i ECB/2013/43 tabell 5 a, såväl som uttag över disk, enligt definitionen i ECB/2014/15 tabell 4.</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Värdepappersavvecklingstjänster (3.4): antalet värdepappersöverföringar för kunders räkning. Här ingår transaktioner genomförda i ett värdepappersavvecklingssystem eller genomförda internt av det redovisande institutet eller den redovisande koncernen, samt ”betalfria” transaktioner.</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Kapitalmarknader</w:t>
            </w:r>
          </w:p>
          <w:p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Antal motparter ELLER transaktioner. För derivat (4.1-4.2) och andrahandsmarknadsinstrument (4.3), totalt antal motparter. För primära marknader (4.4) ska det totala antalet garanterade emissioner redovisas.</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Kapitalmarknadsfinansiering</w:t>
            </w:r>
          </w:p>
          <w:p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Totalt antal motparter. En motpart som har flera konton och/eller flera transaktioner ska endast räknas en gång.</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0050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 xml:space="preserve">Verkningar på marknaden </w:t>
            </w:r>
          </w:p>
          <w:p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Förväntad inverkan ifall tredjeparters, finansmarknadens eller realekonomins funktion plötsligt upphör, med beaktande av storlek, marknadsandel i landet, extern och intern sammanlänkning, komplexitet samt institutets gränsöverskridande verksamhet.</w:t>
            </w:r>
          </w:p>
          <w:p w:rsidR="00E95D75"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Denna bedömning ska uttryckas kvalitativt som ”hög (H)”, ”medelhög (MH)”, ”medellåg (ML)” eller låg (L)”.</w:t>
            </w:r>
          </w:p>
          <w:p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”H” ska väljas om nedläggningen har en allvarlig påverkan på den nationella marknaden, ”MH” om påverkan är betydelsefull, ”ML” om påverkan är väsentlig men begränsad och ”L” om påverkan är ringa.</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Utbytbarhet</w:t>
            </w:r>
          </w:p>
          <w:p w:rsidR="00B60FA4" w:rsidRPr="00D05086" w:rsidRDefault="00B60FA4" w:rsidP="00E95D75">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Artikel 6.3 i delegerad förordning (EU) 2016/778.</w:t>
            </w:r>
          </w:p>
          <w:p w:rsidR="00081C27"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En funktion ska anses vara utbytbar om den kan ersättas på ett acceptabelt sätt och inom rimlig tid så att systemproblem för realekonomin och finansmarknaden kan undvikas. Följande ska tas i beaktande:</w:t>
            </w:r>
          </w:p>
          <w:p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 Funktionens marknadsstruktur och tillgången till ersättningsleverantörer. </w:t>
            </w:r>
          </w:p>
          <w:p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b) Andra leverantörers förmåga i fråga om kapacitet, krav för att kunna utföra funktionen och eventuella hinder för marknadsinträde eller expansion. </w:t>
            </w:r>
          </w:p>
          <w:p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c) Incitament för andra leverantörer att ta över denna verksamhet. </w:t>
            </w:r>
          </w:p>
          <w:p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 Den tid som krävs för att de som använder tjänsten ska kunna gå över till den nya leverantören och kostnaderna för denna övergång, den tid som krävs för att andra konkurrenter ska kunna ta över funktionerna, och huruvida den tidsramen är tillräcklig för att förhindra betydande störningar, beroende på typen av tjänst.</w:t>
            </w:r>
          </w:p>
          <w:p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Denna bedömning ska uttryckas kvalitativt som ”hög (H)”, ”medelhög (MH)”, ”medellåg (ML)” eller låg (L)”.</w:t>
            </w:r>
          </w:p>
          <w:p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”H” ska väljas om en funktion enkelt kan tillhandahållas av en annan bank under jämförbara villkor och inom rimlig tid,</w:t>
            </w:r>
          </w:p>
          <w:p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 ”L” om en funktion inte kan ersättas enkelt eller snabbt, </w:t>
            </w:r>
          </w:p>
          <w:p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”MH” och ”ML” för fall däremellan med beaktande av olika dimensioner (t.ex. marknadsandel, marknadskoncentration, tid fram till bytet, samt rättsliga hinder och operationella krav för marknadsinträde eller expansion). </w:t>
            </w:r>
          </w:p>
          <w:p w:rsidR="008E0043" w:rsidRPr="00D92B3C" w:rsidRDefault="008E0043" w:rsidP="00BB34DC">
            <w:pPr>
              <w:pStyle w:val="TableParagraph"/>
              <w:spacing w:before="108"/>
              <w:rPr>
                <w:rFonts w:ascii="Times New Roman" w:eastAsia="Cambria" w:hAnsi="Times New Roman" w:cs="Times New Roman"/>
                <w:color w:val="000000" w:themeColor="text1"/>
                <w:spacing w:val="-2"/>
                <w:w w:val="95"/>
                <w:sz w:val="20"/>
                <w:szCs w:val="20"/>
              </w:rPr>
            </w:pP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F242AE"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0070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Kritisk funktion</w:t>
            </w:r>
          </w:p>
          <w:p w:rsidR="005244DF" w:rsidRPr="00D92B3C" w:rsidRDefault="00014A9D"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 denna kolumn ska redovisas huruvida den ekonomiska funktionen kan anses vara kritisk på ifrågavarande lands marknad, detta med beaktande av kvantitativ data och kriticitetsindikatorer i denna mall.</w:t>
            </w:r>
          </w:p>
          <w:p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Redovisa ”ja” eller ”nej”.</w:t>
            </w:r>
          </w:p>
        </w:tc>
      </w:tr>
    </w:tbl>
    <w:p w:rsidR="0056559D" w:rsidRPr="00D05086" w:rsidRDefault="00F7117F" w:rsidP="00D05086">
      <w:pPr>
        <w:pStyle w:val="Numberedtitlelevel3"/>
        <w:rPr>
          <w:rFonts w:ascii="Times New Roman" w:hAnsi="Times New Roman" w:cs="Times New Roman"/>
          <w:color w:val="000000" w:themeColor="text1"/>
          <w:sz w:val="20"/>
          <w:szCs w:val="20"/>
          <w:u w:val="single"/>
        </w:rPr>
      </w:pPr>
      <w:r>
        <w:rPr>
          <w:rFonts w:ascii="Times New Roman" w:hAnsi="Times New Roman"/>
          <w:b w:val="0"/>
          <w:color w:val="000000" w:themeColor="text1"/>
          <w:sz w:val="20"/>
          <w:u w:val="single"/>
        </w:rPr>
        <w:lastRenderedPageBreak/>
        <w:t>Z 07.02 - Kartläggning av kritiska funktioner enligt juridisk person (FUNC 2): Instruktioner för specifika positioner</w:t>
      </w:r>
    </w:p>
    <w:p w:rsidR="00517C03" w:rsidRPr="00D92B3C" w:rsidRDefault="005F4132"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Denna mall ska redovisas för hela koncernen. Endast de funktioner som har identifierats som kritiska i {Z 07.01;070} (per medlemsstat) ska redovisas i denna mall.</w:t>
      </w:r>
    </w:p>
    <w:p w:rsidR="00517C03" w:rsidRPr="00D92B3C" w:rsidRDefault="00517C0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Kombinationen av värden som redovisas i kolumnerna 0010, 0020 och 0040 i denna mall utgör en primärnyckel som måste vara unik för varje rad i mallen.</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B7082E">
        <w:tc>
          <w:tcPr>
            <w:tcW w:w="1191" w:type="dxa"/>
            <w:tcBorders>
              <w:top w:val="single" w:sz="4" w:space="0" w:color="1A171C"/>
              <w:left w:val="nil"/>
              <w:bottom w:val="single" w:sz="4" w:space="0" w:color="1A171C"/>
              <w:right w:val="single" w:sz="4" w:space="0" w:color="1A171C"/>
            </w:tcBorders>
            <w:shd w:val="clear" w:color="auto" w:fill="E4E5E5"/>
          </w:tcPr>
          <w:p w:rsidR="00517C03" w:rsidRPr="00D92B3C" w:rsidRDefault="00517C0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Kolumner</w:t>
            </w:r>
          </w:p>
        </w:tc>
        <w:tc>
          <w:tcPr>
            <w:tcW w:w="7892" w:type="dxa"/>
            <w:tcBorders>
              <w:top w:val="single" w:sz="4" w:space="0" w:color="1A171C"/>
              <w:left w:val="single" w:sz="4" w:space="0" w:color="1A171C"/>
              <w:bottom w:val="single" w:sz="4" w:space="0" w:color="1A171C"/>
              <w:right w:val="nil"/>
            </w:tcBorders>
            <w:shd w:val="clear" w:color="auto" w:fill="E4E5E5"/>
          </w:tcPr>
          <w:p w:rsidR="00517C03" w:rsidRPr="00D92B3C" w:rsidRDefault="00517C0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Anvisningar</w:t>
            </w:r>
          </w:p>
        </w:tc>
      </w:tr>
      <w:tr w:rsidR="00D22EB0" w:rsidRPr="00D92B3C" w:rsidTr="00B7082E">
        <w:tc>
          <w:tcPr>
            <w:tcW w:w="1191" w:type="dxa"/>
            <w:tcBorders>
              <w:top w:val="single" w:sz="4" w:space="0" w:color="1A171C"/>
              <w:left w:val="nil"/>
              <w:bottom w:val="single" w:sz="4" w:space="0" w:color="1A171C"/>
              <w:right w:val="single" w:sz="4" w:space="0" w:color="1A171C"/>
            </w:tcBorders>
            <w:vAlign w:val="center"/>
          </w:tcPr>
          <w:p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F234EC"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Land</w:t>
            </w:r>
          </w:p>
          <w:p w:rsidR="00517C03" w:rsidRPr="00D92B3C" w:rsidRDefault="00A7108C" w:rsidP="00A7108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Landet för vilket funktionen är kritisk, enligt vad som angetts i Z 07.01 (FUNC 1).</w:t>
            </w:r>
          </w:p>
        </w:tc>
      </w:tr>
      <w:tr w:rsidR="00D22EB0" w:rsidRPr="00D92B3C" w:rsidTr="00B7082E">
        <w:tc>
          <w:tcPr>
            <w:tcW w:w="1191" w:type="dxa"/>
            <w:tcBorders>
              <w:top w:val="single" w:sz="4" w:space="0" w:color="1A171C"/>
              <w:left w:val="nil"/>
              <w:bottom w:val="single" w:sz="4" w:space="0" w:color="1A171C"/>
              <w:right w:val="single" w:sz="4" w:space="0" w:color="1A171C"/>
            </w:tcBorders>
            <w:vAlign w:val="center"/>
          </w:tcPr>
          <w:p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ID</w:t>
            </w:r>
          </w:p>
          <w:p w:rsidR="00517C03" w:rsidRPr="00D92B3C" w:rsidRDefault="00517C03" w:rsidP="00A178D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ID för den kritiska funktionen enligt definitionen i kapitel 2.7.1.4 ovan och som avses i mall Z 07.01 (FUNC 1).</w:t>
            </w:r>
          </w:p>
        </w:tc>
      </w:tr>
      <w:tr w:rsidR="00D22EB0" w:rsidRPr="00D92B3C" w:rsidTr="00B7082E">
        <w:tc>
          <w:tcPr>
            <w:tcW w:w="1191" w:type="dxa"/>
            <w:tcBorders>
              <w:top w:val="single" w:sz="4" w:space="0" w:color="1A171C"/>
              <w:left w:val="nil"/>
              <w:bottom w:val="single" w:sz="4" w:space="0" w:color="1A171C"/>
              <w:right w:val="single" w:sz="4" w:space="0" w:color="1A171C"/>
            </w:tcBorders>
            <w:vAlign w:val="center"/>
          </w:tcPr>
          <w:p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Enhetens namn</w:t>
            </w:r>
          </w:p>
          <w:p w:rsidR="008E0D4B"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Namn på enheten som utför den kritiska funktionen, enligt vad som anges i Z 01.00 (ORG). </w:t>
            </w:r>
          </w:p>
          <w:p w:rsidR="00517C03" w:rsidRPr="00D92B3C" w:rsidRDefault="008E0D4B" w:rsidP="000165E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Om flera enheter utför samma kritiska funktion i samma land ska varje enhet redovisas på en separat rad.</w:t>
            </w:r>
          </w:p>
        </w:tc>
      </w:tr>
      <w:tr w:rsidR="00D22EB0" w:rsidRPr="00D92B3C" w:rsidTr="00B7082E">
        <w:tc>
          <w:tcPr>
            <w:tcW w:w="1191" w:type="dxa"/>
            <w:tcBorders>
              <w:top w:val="single" w:sz="4" w:space="0" w:color="1A171C"/>
              <w:left w:val="nil"/>
              <w:bottom w:val="single" w:sz="4" w:space="0" w:color="1A171C"/>
              <w:right w:val="single" w:sz="4" w:space="0" w:color="1A171C"/>
            </w:tcBorders>
            <w:vAlign w:val="center"/>
          </w:tcPr>
          <w:p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Kod</w:t>
            </w:r>
          </w:p>
          <w:p w:rsidR="00517C03" w:rsidRPr="00D92B3C" w:rsidRDefault="00517C03" w:rsidP="00A178D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Koden på enheten som utför den kritiska funktionen, enligt vad som anges i Z 01.00 - organisationsstruktur (ORG).</w:t>
            </w:r>
          </w:p>
        </w:tc>
      </w:tr>
      <w:tr w:rsidR="00517C03" w:rsidRPr="00D92B3C" w:rsidTr="00B7082E">
        <w:trPr>
          <w:trHeight w:val="302"/>
        </w:trPr>
        <w:tc>
          <w:tcPr>
            <w:tcW w:w="1191" w:type="dxa"/>
            <w:tcBorders>
              <w:top w:val="single" w:sz="4" w:space="0" w:color="1A171C"/>
              <w:left w:val="nil"/>
              <w:bottom w:val="single" w:sz="4" w:space="0" w:color="1A171C"/>
              <w:right w:val="single" w:sz="4" w:space="0" w:color="1A171C"/>
            </w:tcBorders>
            <w:vAlign w:val="center"/>
          </w:tcPr>
          <w:p w:rsidR="00517C03" w:rsidRPr="00D92B3C" w:rsidRDefault="00DF164D"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Monetärt belopp</w:t>
            </w:r>
          </w:p>
          <w:p w:rsidR="00517C03" w:rsidRPr="00D92B3C" w:rsidRDefault="00C21D6D" w:rsidP="008A642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Den juridiska personens bidrag, i monetärt belopp,till det monetära beloppet enligt definitionen i kolumn 0030 i mall Z 07.01 (FUNC 1) </w:t>
            </w:r>
          </w:p>
        </w:tc>
      </w:tr>
    </w:tbl>
    <w:p w:rsidR="0056559D" w:rsidRPr="00D92B3C" w:rsidRDefault="0056559D" w:rsidP="0056559D">
      <w:pPr>
        <w:rPr>
          <w:rFonts w:ascii="Times New Roman" w:hAnsi="Times New Roman" w:cs="Times New Roman"/>
          <w:color w:val="000000" w:themeColor="text1"/>
          <w:sz w:val="20"/>
          <w:szCs w:val="20"/>
        </w:rPr>
      </w:pPr>
    </w:p>
    <w:p w:rsidR="0056559D" w:rsidRPr="00D92B3C" w:rsidRDefault="00F7117F" w:rsidP="007E02F8">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Z 07.03 - Kartläggning av kärnaffärsområden efter juridisk person (FUNC 3): Instruktioner för specifika positioner</w:t>
      </w:r>
    </w:p>
    <w:p w:rsidR="008D7004" w:rsidRPr="00D92B3C" w:rsidRDefault="00356129" w:rsidP="00E714C5">
      <w:pPr>
        <w:pStyle w:val="numberedparagraph"/>
        <w:rPr>
          <w:rFonts w:ascii="Times New Roman" w:hAnsi="Times New Roman" w:cs="Times New Roman"/>
          <w:sz w:val="20"/>
          <w:szCs w:val="20"/>
        </w:rPr>
      </w:pPr>
      <w:r>
        <w:rPr>
          <w:rFonts w:ascii="Times New Roman" w:hAnsi="Times New Roman"/>
          <w:sz w:val="20"/>
        </w:rPr>
        <w:t>Kombinationen av värden som redovisas i kolumnerna 0020 och 0040 i denna mall utgör en primärnyckel som måste vara unik för varje rad i mallen.</w:t>
      </w:r>
    </w:p>
    <w:p w:rsidR="002D7C07" w:rsidRPr="00D92B3C" w:rsidRDefault="002D7C07" w:rsidP="00E714C5">
      <w:pPr>
        <w:pStyle w:val="numberedparagraph"/>
        <w:rPr>
          <w:rFonts w:ascii="Times New Roman" w:hAnsi="Times New Roman" w:cs="Times New Roman"/>
          <w:sz w:val="20"/>
          <w:szCs w:val="20"/>
        </w:rPr>
      </w:pPr>
      <w:r>
        <w:rPr>
          <w:rFonts w:ascii="Times New Roman" w:hAnsi="Times New Roman"/>
          <w:sz w:val="20"/>
        </w:rPr>
        <w:t xml:space="preserve">Endast väsentliga enheter som identifieras i {Z 07.02;0060}, ska redovisas i denna mall. </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772F88">
        <w:tc>
          <w:tcPr>
            <w:tcW w:w="1191" w:type="dxa"/>
            <w:tcBorders>
              <w:top w:val="single" w:sz="4" w:space="0" w:color="1A171C"/>
              <w:left w:val="nil"/>
              <w:bottom w:val="single" w:sz="4" w:space="0" w:color="1A171C"/>
              <w:right w:val="single" w:sz="4" w:space="0" w:color="1A171C"/>
            </w:tcBorders>
            <w:shd w:val="clear" w:color="auto" w:fill="E4E5E5"/>
          </w:tcPr>
          <w:p w:rsidR="00356129" w:rsidRPr="00D92B3C" w:rsidRDefault="00356129"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Kolumner</w:t>
            </w:r>
          </w:p>
        </w:tc>
        <w:tc>
          <w:tcPr>
            <w:tcW w:w="7892" w:type="dxa"/>
            <w:tcBorders>
              <w:top w:val="single" w:sz="4" w:space="0" w:color="1A171C"/>
              <w:left w:val="single" w:sz="4" w:space="0" w:color="1A171C"/>
              <w:bottom w:val="single" w:sz="4" w:space="0" w:color="1A171C"/>
              <w:right w:val="nil"/>
            </w:tcBorders>
            <w:shd w:val="clear" w:color="auto" w:fill="E4E5E5"/>
          </w:tcPr>
          <w:p w:rsidR="00356129" w:rsidRPr="00D92B3C" w:rsidRDefault="00356129"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Anvisningar</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Kärnaffärsområde</w:t>
            </w:r>
          </w:p>
          <w:p w:rsidR="00356129" w:rsidRPr="00D92B3C" w:rsidRDefault="00D75AA9" w:rsidP="0076453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Kärnaffärsområden enligt artiklarna 2.1.36 och 2.2 i direktiv 2014/59/EU.</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356129" w:rsidRPr="00D92B3C" w:rsidRDefault="00D429E6"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Affärsområde-ID</w:t>
            </w:r>
          </w:p>
          <w:p w:rsidR="00356129" w:rsidRPr="00D92B3C" w:rsidRDefault="00356129"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Affärsområdets unika ID som ska tillhandahållas av institutet</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D429E6"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vAlign w:val="center"/>
          </w:tcPr>
          <w:p w:rsidR="00D429E6" w:rsidRPr="00D92B3C" w:rsidRDefault="00D429E6"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Beskrivning</w:t>
            </w:r>
          </w:p>
          <w:p w:rsidR="00D429E6" w:rsidRPr="00D92B3C" w:rsidRDefault="00D429E6"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Beskrivning av kärnaffärsområde.</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0040</w:t>
            </w:r>
          </w:p>
        </w:tc>
        <w:tc>
          <w:tcPr>
            <w:tcW w:w="7892" w:type="dxa"/>
            <w:tcBorders>
              <w:top w:val="single" w:sz="4" w:space="0" w:color="1A171C"/>
              <w:left w:val="single" w:sz="4" w:space="0" w:color="1A171C"/>
              <w:bottom w:val="single" w:sz="4" w:space="0" w:color="1A171C"/>
              <w:right w:val="nil"/>
            </w:tcBorders>
            <w:vAlign w:val="center"/>
          </w:tcPr>
          <w:p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Enhetens namn</w:t>
            </w:r>
          </w:p>
          <w:p w:rsidR="00D429E6"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Namn på enhet, enligt vad som anges i Z 01.00 (ORG) som är eller har varit en del av kärnaffärsområdet.</w:t>
            </w:r>
          </w:p>
          <w:p w:rsidR="00356129"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Om flera enheter är eller har varit en del av samma kärnaffärsområde ska varje enhet redovisas på en separat rad.</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356129" w:rsidRPr="00D92B3C" w:rsidRDefault="00356129"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Kod </w:t>
            </w:r>
          </w:p>
          <w:p w:rsidR="00356129" w:rsidRPr="00D92B3C" w:rsidRDefault="00356129" w:rsidP="00BB056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Kod för enhet som är eller har varit del av kärnaffärsområdet, enligt vad som anges i Z 01.00 (ORG).</w:t>
            </w:r>
          </w:p>
        </w:tc>
      </w:tr>
    </w:tbl>
    <w:p w:rsidR="0056559D" w:rsidRPr="00D92B3C" w:rsidRDefault="00F7117F" w:rsidP="00715DAB">
      <w:pPr>
        <w:pStyle w:val="Instructionsberschrift3"/>
      </w:pPr>
      <w:r>
        <w:t>Z 07.04 - Kartläggning av kritiska funktioner enligt kärnaffärsområden (FUNC 4): Instruktioner för specifika positioner</w:t>
      </w:r>
    </w:p>
    <w:p w:rsidR="003D0643" w:rsidRPr="00D92B3C" w:rsidRDefault="003D064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Kombinationen av värden som redovisas i kolumnerna 0010, 0020 och 0040 i denna mall utgör en primärnyckel som måste vara unik för varje rad i mallen.</w:t>
      </w:r>
    </w:p>
    <w:p w:rsidR="00347A09" w:rsidRPr="00D92B3C" w:rsidRDefault="00347A09"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Endast väsentliga enheter som identifieras i {Z 07.01;0070} ska redovisas i denna mall. </w:t>
      </w:r>
    </w:p>
    <w:p w:rsidR="00E714C5" w:rsidRPr="00D92B3C" w:rsidRDefault="00E714C5" w:rsidP="00E714C5">
      <w:pPr>
        <w:pStyle w:val="numberedparagraph"/>
        <w:numPr>
          <w:ilvl w:val="0"/>
          <w:numId w:val="0"/>
        </w:numPr>
        <w:rPr>
          <w:rFonts w:ascii="Times New Roman" w:hAnsi="Times New Roman" w:cs="Times New Roman"/>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9A6FB8">
        <w:tc>
          <w:tcPr>
            <w:tcW w:w="1191" w:type="dxa"/>
            <w:tcBorders>
              <w:top w:val="single" w:sz="4" w:space="0" w:color="1A171C"/>
              <w:left w:val="nil"/>
              <w:bottom w:val="single" w:sz="4" w:space="0" w:color="1A171C"/>
              <w:right w:val="single" w:sz="4" w:space="0" w:color="1A171C"/>
            </w:tcBorders>
            <w:shd w:val="clear" w:color="auto" w:fill="E4E5E5"/>
          </w:tcPr>
          <w:p w:rsidR="003D0643" w:rsidRPr="00D92B3C" w:rsidRDefault="003D064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Kolumner</w:t>
            </w:r>
          </w:p>
        </w:tc>
        <w:tc>
          <w:tcPr>
            <w:tcW w:w="7892" w:type="dxa"/>
            <w:tcBorders>
              <w:top w:val="single" w:sz="4" w:space="0" w:color="1A171C"/>
              <w:left w:val="single" w:sz="4" w:space="0" w:color="1A171C"/>
              <w:bottom w:val="single" w:sz="4" w:space="0" w:color="1A171C"/>
              <w:right w:val="nil"/>
            </w:tcBorders>
            <w:shd w:val="clear" w:color="auto" w:fill="E4E5E5"/>
          </w:tcPr>
          <w:p w:rsidR="003D0643" w:rsidRPr="00D92B3C" w:rsidRDefault="003D064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Anvisningar</w:t>
            </w:r>
          </w:p>
        </w:tc>
      </w:tr>
      <w:tr w:rsidR="00D22EB0" w:rsidRPr="00D92B3C" w:rsidTr="009A6FB8">
        <w:tc>
          <w:tcPr>
            <w:tcW w:w="1191" w:type="dxa"/>
            <w:tcBorders>
              <w:top w:val="single" w:sz="4" w:space="0" w:color="1A171C"/>
              <w:left w:val="nil"/>
              <w:bottom w:val="single" w:sz="4" w:space="0" w:color="1A171C"/>
              <w:right w:val="single" w:sz="4" w:space="0" w:color="1A171C"/>
            </w:tcBorders>
            <w:vAlign w:val="center"/>
          </w:tcPr>
          <w:p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0010</w:t>
            </w:r>
          </w:p>
        </w:tc>
        <w:tc>
          <w:tcPr>
            <w:tcW w:w="7892" w:type="dxa"/>
            <w:tcBorders>
              <w:top w:val="single" w:sz="4" w:space="0" w:color="1A171C"/>
              <w:left w:val="single" w:sz="4" w:space="0" w:color="1A171C"/>
              <w:bottom w:val="single" w:sz="4" w:space="0" w:color="1A171C"/>
              <w:right w:val="nil"/>
            </w:tcBorders>
            <w:vAlign w:val="center"/>
          </w:tcPr>
          <w:p w:rsidR="003D0643" w:rsidRPr="00D92B3C" w:rsidRDefault="009626F6"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Land</w:t>
            </w:r>
          </w:p>
          <w:p w:rsidR="003D0643" w:rsidRPr="00D92B3C" w:rsidRDefault="009626F6" w:rsidP="003D064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Landet för vilket funktionen är kritisk, enligt vad som redovisas i Z 07.01 (FUNC 1).</w:t>
            </w:r>
          </w:p>
        </w:tc>
      </w:tr>
      <w:tr w:rsidR="00D22EB0" w:rsidRPr="00D92B3C" w:rsidTr="009A6FB8">
        <w:tc>
          <w:tcPr>
            <w:tcW w:w="1191" w:type="dxa"/>
            <w:tcBorders>
              <w:top w:val="single" w:sz="4" w:space="0" w:color="1A171C"/>
              <w:left w:val="nil"/>
              <w:bottom w:val="single" w:sz="4" w:space="0" w:color="1A171C"/>
              <w:right w:val="single" w:sz="4" w:space="0" w:color="1A171C"/>
            </w:tcBorders>
            <w:vAlign w:val="center"/>
          </w:tcPr>
          <w:p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0020</w:t>
            </w:r>
          </w:p>
        </w:tc>
        <w:tc>
          <w:tcPr>
            <w:tcW w:w="7892" w:type="dxa"/>
            <w:tcBorders>
              <w:top w:val="single" w:sz="4" w:space="0" w:color="1A171C"/>
              <w:left w:val="single" w:sz="4" w:space="0" w:color="1A171C"/>
              <w:bottom w:val="single" w:sz="4" w:space="0" w:color="1A171C"/>
              <w:right w:val="nil"/>
            </w:tcBorders>
            <w:vAlign w:val="center"/>
          </w:tcPr>
          <w:p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Funktions-ID</w:t>
            </w:r>
          </w:p>
          <w:p w:rsidR="003D0643" w:rsidRPr="00D92B3C" w:rsidRDefault="003D0643" w:rsidP="00BB056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ID för den kritiska funktionen enligt definitionen i kapitel 2.7.1.2 ovan och som avses i mall Z 07.01 (FUNC 1).</w:t>
            </w:r>
          </w:p>
        </w:tc>
      </w:tr>
      <w:tr w:rsidR="00D22EB0" w:rsidRPr="00D92B3C" w:rsidTr="009A6FB8">
        <w:tc>
          <w:tcPr>
            <w:tcW w:w="1191" w:type="dxa"/>
            <w:tcBorders>
              <w:top w:val="single" w:sz="4" w:space="0" w:color="1A171C"/>
              <w:left w:val="nil"/>
              <w:bottom w:val="single" w:sz="4" w:space="0" w:color="1A171C"/>
              <w:right w:val="single" w:sz="4" w:space="0" w:color="1A171C"/>
            </w:tcBorders>
            <w:vAlign w:val="center"/>
          </w:tcPr>
          <w:p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0030</w:t>
            </w:r>
          </w:p>
        </w:tc>
        <w:tc>
          <w:tcPr>
            <w:tcW w:w="7892" w:type="dxa"/>
            <w:tcBorders>
              <w:top w:val="single" w:sz="4" w:space="0" w:color="1A171C"/>
              <w:left w:val="single" w:sz="4" w:space="0" w:color="1A171C"/>
              <w:bottom w:val="single" w:sz="4" w:space="0" w:color="1A171C"/>
              <w:right w:val="nil"/>
            </w:tcBorders>
            <w:vAlign w:val="center"/>
          </w:tcPr>
          <w:p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Kärnaffärsområde</w:t>
            </w:r>
          </w:p>
          <w:p w:rsidR="003D0643" w:rsidRPr="00D92B3C" w:rsidRDefault="003D0643" w:rsidP="0076453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Kärnaffärsområden enligt artiklarna 2.1.36 och 2.2 i direktiv 2014/59/EU, enligt vad som redovisas i mall Z 07.03 (FUNC 3).</w:t>
            </w:r>
          </w:p>
        </w:tc>
      </w:tr>
      <w:tr w:rsidR="00D22EB0" w:rsidRPr="00D92B3C" w:rsidTr="009A6FB8">
        <w:tc>
          <w:tcPr>
            <w:tcW w:w="1191" w:type="dxa"/>
            <w:tcBorders>
              <w:top w:val="single" w:sz="4" w:space="0" w:color="1A171C"/>
              <w:left w:val="nil"/>
              <w:bottom w:val="single" w:sz="4" w:space="0" w:color="1A171C"/>
              <w:right w:val="single" w:sz="4" w:space="0" w:color="1A171C"/>
            </w:tcBorders>
            <w:vAlign w:val="center"/>
          </w:tcPr>
          <w:p w:rsidR="003D0643" w:rsidRPr="00D92B3C" w:rsidRDefault="00E07617"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0040</w:t>
            </w:r>
          </w:p>
        </w:tc>
        <w:tc>
          <w:tcPr>
            <w:tcW w:w="7892" w:type="dxa"/>
            <w:tcBorders>
              <w:top w:val="single" w:sz="4" w:space="0" w:color="1A171C"/>
              <w:left w:val="single" w:sz="4" w:space="0" w:color="1A171C"/>
              <w:bottom w:val="single" w:sz="4" w:space="0" w:color="1A171C"/>
              <w:right w:val="nil"/>
            </w:tcBorders>
            <w:vAlign w:val="center"/>
          </w:tcPr>
          <w:p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Affärsområde-ID</w:t>
            </w:r>
          </w:p>
          <w:p w:rsidR="003D0643" w:rsidRPr="00D92B3C" w:rsidRDefault="003D0643" w:rsidP="003D064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Affärsområdets unika ID som ska tillhandahållas av institutet, samma ID som redovisas i mall Z 07.03 (FUNC 3).</w:t>
            </w:r>
          </w:p>
        </w:tc>
      </w:tr>
    </w:tbl>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38" w:name="_Toc509909046"/>
      <w:bookmarkStart w:id="39" w:name="_Toc525215495"/>
      <w:r>
        <w:rPr>
          <w:rFonts w:ascii="Times New Roman" w:hAnsi="Times New Roman"/>
        </w:rPr>
        <w:t>Z 08.00 - Kritiska tjänster (SERV)</w:t>
      </w:r>
      <w:bookmarkEnd w:id="38"/>
      <w:bookmarkEnd w:id="39"/>
    </w:p>
    <w:p w:rsidR="00AA4026" w:rsidRPr="00D92B3C" w:rsidRDefault="00AA4026" w:rsidP="00715DAB">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Allmänna instruktioner</w:t>
      </w:r>
    </w:p>
    <w:p w:rsidR="008A0BEC" w:rsidRPr="00D92B3C" w:rsidRDefault="008A0BEC"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Informationen i denna mall ska redovisas en gång för hela koncernen, den ska innehålla en lista över de kritiska tjänster som enheterna i koncernen har tagit emot och dessa ska kopplas till de kritiska funktioner som koncernen tillhandahållit.</w:t>
      </w:r>
    </w:p>
    <w:p w:rsidR="00625A0F" w:rsidRPr="00D92B3C" w:rsidRDefault="00276FFB"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Kritiska tjänster bör omfatta underliggande transaktioner, aktiviteter och tjänster som utförs för en affärsenhet (riktade tjänster) eller för flera affärsenheter eller juridiska personer (gemensamma tjänster) inom koncernen, och som behövs för att tillhandahålla en eller flera kritiska funktioner. Kritiska tjänster kan utföras av enheter inom koncernen (interna tjänster) eller utkontrakteras till utomstående leverantörer (externa tjänster). En tjänst bör betraktas som kritisk om en störning i tillhandahållandet kan utgöra ett allvarligt hinder för, eller helt hindra, att kritiska funktioner fullgörs, eftersom de är nära knutna till de kritiska funktioner som ett institut utför för tredje parts räkning.</w:t>
      </w:r>
    </w:p>
    <w:p w:rsidR="0051360C" w:rsidRPr="00D92B3C" w:rsidRDefault="0051360C"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Tjänster som endast utförs internt för en juridisk person ska inte redovisas i denna mall.</w:t>
      </w:r>
    </w:p>
    <w:p w:rsidR="009F4567" w:rsidRPr="00D92B3C" w:rsidRDefault="00276FFB"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Tjänster som inte har någon väsentlig påverkan på kritiska funktioner ska inte redovisas i denna mall.</w:t>
      </w:r>
    </w:p>
    <w:p w:rsidR="00276FFB" w:rsidRPr="00D92B3C" w:rsidRDefault="00276FFB"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lastRenderedPageBreak/>
        <w:t xml:space="preserve">Kombinationen av värden som redovisas i kolumnerna 0010, 0030, 0050, 0070 och 0080 i denna mall utgör en primärnyckel som måste vara unik för varje rad i mallen. </w:t>
      </w:r>
    </w:p>
    <w:p w:rsidR="00F76194" w:rsidRPr="00D92B3C" w:rsidRDefault="00F76194" w:rsidP="00715DAB">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Instruktioner för specifika positioner</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471773">
        <w:tc>
          <w:tcPr>
            <w:tcW w:w="1191" w:type="dxa"/>
            <w:tcBorders>
              <w:top w:val="single" w:sz="4" w:space="0" w:color="1A171C"/>
              <w:left w:val="nil"/>
              <w:bottom w:val="single" w:sz="4" w:space="0" w:color="1A171C"/>
              <w:right w:val="single" w:sz="4" w:space="0" w:color="1A171C"/>
            </w:tcBorders>
            <w:shd w:val="clear" w:color="auto" w:fill="E4E5E5"/>
          </w:tcPr>
          <w:p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Kolumner</w:t>
            </w:r>
          </w:p>
        </w:tc>
        <w:tc>
          <w:tcPr>
            <w:tcW w:w="7892" w:type="dxa"/>
            <w:tcBorders>
              <w:top w:val="single" w:sz="4" w:space="0" w:color="1A171C"/>
              <w:left w:val="single" w:sz="4" w:space="0" w:color="1A171C"/>
              <w:bottom w:val="single" w:sz="4" w:space="0" w:color="1A171C"/>
              <w:right w:val="nil"/>
            </w:tcBorders>
            <w:shd w:val="clear" w:color="auto" w:fill="E4E5E5"/>
          </w:tcPr>
          <w:p w:rsidR="000713A0" w:rsidRPr="00D92B3C" w:rsidRDefault="000713A0" w:rsidP="000713A0">
            <w:pPr>
              <w:pStyle w:val="TableParagraph"/>
              <w:spacing w:before="108"/>
              <w:ind w:left="85" w:right="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Anvisningar</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1D0D8C" w:rsidRPr="00D92B3C" w:rsidRDefault="00BF7417" w:rsidP="00BF741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0005</w:t>
            </w:r>
          </w:p>
        </w:tc>
        <w:tc>
          <w:tcPr>
            <w:tcW w:w="7892" w:type="dxa"/>
            <w:tcBorders>
              <w:top w:val="single" w:sz="4" w:space="0" w:color="1A171C"/>
              <w:left w:val="single" w:sz="4" w:space="0" w:color="1A171C"/>
              <w:bottom w:val="single" w:sz="4" w:space="0" w:color="1A171C"/>
              <w:right w:val="nil"/>
            </w:tcBorders>
            <w:vAlign w:val="center"/>
          </w:tcPr>
          <w:p w:rsidR="001D0D8C" w:rsidRPr="00D92B3C" w:rsidRDefault="001D0D8C"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Identifiering</w:t>
            </w:r>
          </w:p>
          <w:p w:rsidR="001D0D8C" w:rsidRPr="00D92B3C" w:rsidRDefault="001D0D8C" w:rsidP="00FE54BA">
            <w:pPr>
              <w:pStyle w:val="TableParagraph"/>
              <w:spacing w:before="108"/>
              <w:ind w:left="85"/>
              <w:jc w:val="both"/>
              <w:rPr>
                <w:rFonts w:ascii="Times New Roman" w:hAnsi="Times New Roman" w:cs="Times New Roman"/>
                <w:b/>
                <w:bCs/>
                <w:color w:val="000000" w:themeColor="text1"/>
                <w:sz w:val="20"/>
                <w:szCs w:val="20"/>
              </w:rPr>
            </w:pP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0010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Typ av tjänst</w:t>
            </w:r>
          </w:p>
          <w:p w:rsidR="00AB3415"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Typen av tjänst ska vara en av de typer som listas nedan.</w:t>
            </w:r>
          </w:p>
          <w:p w:rsidR="000713A0"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När så är möjligt ska underkategorin redovisas (tvåsiffrig identifieringskod). Om det inte finns någon underkategori eller om ingen underkategori passar för den tjänst som institutet tillhandahåller ska huvudkategorin (ensiffrig identifieringskod) redovisas. </w:t>
            </w:r>
          </w:p>
          <w:p w:rsidR="00D619CB"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w:t>
            </w:r>
            <w:r>
              <w:tab/>
            </w:r>
            <w:r>
              <w:rPr>
                <w:rFonts w:ascii="Times New Roman" w:hAnsi="Times New Roman"/>
                <w:color w:val="000000" w:themeColor="text1"/>
                <w:spacing w:val="-2"/>
                <w:w w:val="95"/>
                <w:sz w:val="20"/>
              </w:rPr>
              <w:t>HR-support</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1.1</w:t>
            </w:r>
            <w:r>
              <w:tab/>
            </w:r>
            <w:r>
              <w:rPr>
                <w:rFonts w:ascii="Times New Roman" w:hAnsi="Times New Roman"/>
                <w:color w:val="000000" w:themeColor="text1"/>
                <w:spacing w:val="-2"/>
                <w:w w:val="95"/>
                <w:sz w:val="20"/>
              </w:rPr>
              <w:t xml:space="preserve">Personaladministration, inklusive administrering av avtal och ersättning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1.2</w:t>
            </w:r>
            <w:r>
              <w:tab/>
            </w:r>
            <w:r>
              <w:rPr>
                <w:rFonts w:ascii="Times New Roman" w:hAnsi="Times New Roman"/>
                <w:color w:val="000000" w:themeColor="text1"/>
                <w:spacing w:val="-2"/>
                <w:w w:val="95"/>
                <w:sz w:val="20"/>
              </w:rPr>
              <w:t>Intern kommunikation</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w:t>
            </w:r>
            <w:r>
              <w:tab/>
            </w:r>
            <w:r>
              <w:rPr>
                <w:rFonts w:ascii="Times New Roman" w:hAnsi="Times New Roman"/>
                <w:color w:val="000000" w:themeColor="text1"/>
                <w:spacing w:val="-2"/>
                <w:w w:val="95"/>
                <w:sz w:val="20"/>
              </w:rPr>
              <w:t xml:space="preserve">Informationsteknik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2.1</w:t>
            </w:r>
            <w:r>
              <w:tab/>
            </w:r>
            <w:r>
              <w:rPr>
                <w:rFonts w:ascii="Times New Roman" w:hAnsi="Times New Roman"/>
                <w:color w:val="000000" w:themeColor="text1"/>
                <w:spacing w:val="-2"/>
                <w:w w:val="95"/>
                <w:sz w:val="20"/>
              </w:rPr>
              <w:t xml:space="preserve">IT och kommunikationshårdvara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2.2</w:t>
            </w:r>
            <w:r>
              <w:tab/>
            </w:r>
            <w:r>
              <w:rPr>
                <w:rFonts w:ascii="Times New Roman" w:hAnsi="Times New Roman"/>
                <w:color w:val="000000" w:themeColor="text1"/>
                <w:spacing w:val="-2"/>
                <w:w w:val="95"/>
                <w:sz w:val="20"/>
              </w:rPr>
              <w:t xml:space="preserve">Datalagring och databehandling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2.3</w:t>
            </w:r>
            <w:r>
              <w:tab/>
            </w:r>
            <w:r>
              <w:rPr>
                <w:rFonts w:ascii="Times New Roman" w:hAnsi="Times New Roman"/>
                <w:color w:val="000000" w:themeColor="text1"/>
                <w:spacing w:val="-2"/>
                <w:w w:val="95"/>
                <w:sz w:val="20"/>
              </w:rPr>
              <w:t xml:space="preserve">Övrig it-infrastruktur, arbetsstationer, telekommunikation, servrar, datacentraler och liknande tjänster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2.4</w:t>
            </w:r>
            <w:r>
              <w:tab/>
            </w:r>
            <w:r>
              <w:rPr>
                <w:rFonts w:ascii="Times New Roman" w:hAnsi="Times New Roman"/>
                <w:color w:val="000000" w:themeColor="text1"/>
                <w:spacing w:val="-2"/>
                <w:w w:val="95"/>
                <w:sz w:val="20"/>
              </w:rPr>
              <w:t xml:space="preserve">Administration av mjukvarulicenser och applikationer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2.5</w:t>
            </w:r>
            <w:r>
              <w:tab/>
            </w:r>
            <w:r>
              <w:rPr>
                <w:rFonts w:ascii="Times New Roman" w:hAnsi="Times New Roman"/>
                <w:color w:val="000000" w:themeColor="text1"/>
                <w:spacing w:val="-2"/>
                <w:w w:val="95"/>
                <w:sz w:val="20"/>
              </w:rPr>
              <w:t xml:space="preserve">Tillgång till externa leverantörer, i synnerhet leverantörer av data och infrastruktur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2.6</w:t>
            </w:r>
            <w:r>
              <w:tab/>
            </w:r>
            <w:r>
              <w:rPr>
                <w:rFonts w:ascii="Times New Roman" w:hAnsi="Times New Roman"/>
                <w:color w:val="000000" w:themeColor="text1"/>
                <w:spacing w:val="-2"/>
                <w:w w:val="95"/>
                <w:sz w:val="20"/>
              </w:rPr>
              <w:t xml:space="preserve">Underhåll av applikationer, inklusive mjukvaruunderhåll och tillhörande dataflöden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2.7</w:t>
            </w:r>
            <w:r>
              <w:tab/>
            </w:r>
            <w:r>
              <w:rPr>
                <w:rFonts w:ascii="Times New Roman" w:hAnsi="Times New Roman"/>
                <w:color w:val="000000" w:themeColor="text1"/>
                <w:spacing w:val="-2"/>
                <w:w w:val="95"/>
                <w:sz w:val="20"/>
              </w:rPr>
              <w:t>Rapportgenerering, interna informationsflöden och databaser</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2.8</w:t>
            </w:r>
            <w:r>
              <w:tab/>
            </w:r>
            <w:r>
              <w:rPr>
                <w:rFonts w:ascii="Times New Roman" w:hAnsi="Times New Roman"/>
                <w:color w:val="000000" w:themeColor="text1"/>
                <w:spacing w:val="-2"/>
                <w:w w:val="95"/>
                <w:sz w:val="20"/>
              </w:rPr>
              <w:t>Användarstöd</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2.9</w:t>
            </w:r>
            <w:r>
              <w:tab/>
            </w:r>
            <w:r>
              <w:rPr>
                <w:rFonts w:ascii="Times New Roman" w:hAnsi="Times New Roman"/>
                <w:color w:val="000000" w:themeColor="text1"/>
                <w:spacing w:val="-2"/>
                <w:w w:val="95"/>
                <w:sz w:val="20"/>
              </w:rPr>
              <w:t>Nöd- och katastrofåterställning</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w:t>
            </w:r>
            <w:r>
              <w:tab/>
            </w:r>
            <w:r>
              <w:rPr>
                <w:rFonts w:ascii="Times New Roman" w:hAnsi="Times New Roman"/>
                <w:color w:val="000000" w:themeColor="text1"/>
                <w:spacing w:val="-2"/>
                <w:w w:val="95"/>
                <w:sz w:val="20"/>
              </w:rPr>
              <w:t>Transaktionsbearbetning, inklusive rättsliga transaktionsärenden, i synnerhet penningtvätt.</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w:t>
            </w:r>
            <w:r>
              <w:tab/>
            </w:r>
            <w:r>
              <w:rPr>
                <w:rFonts w:ascii="Times New Roman" w:hAnsi="Times New Roman"/>
                <w:color w:val="000000" w:themeColor="text1"/>
                <w:spacing w:val="-2"/>
                <w:w w:val="95"/>
                <w:sz w:val="20"/>
              </w:rPr>
              <w:t xml:space="preserve">Tillhandahållande av fastigheter och lokaler eller drift och tillhörande lokaler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4.1</w:t>
            </w:r>
            <w:r>
              <w:tab/>
            </w:r>
            <w:r>
              <w:rPr>
                <w:rFonts w:ascii="Times New Roman" w:hAnsi="Times New Roman"/>
                <w:color w:val="000000" w:themeColor="text1"/>
                <w:spacing w:val="-2"/>
                <w:w w:val="95"/>
                <w:sz w:val="20"/>
              </w:rPr>
              <w:t xml:space="preserve">Kontorslokaler och förvaring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4.2</w:t>
            </w:r>
            <w:r>
              <w:tab/>
            </w:r>
            <w:r>
              <w:rPr>
                <w:rFonts w:ascii="Times New Roman" w:hAnsi="Times New Roman"/>
                <w:color w:val="000000" w:themeColor="text1"/>
                <w:spacing w:val="-2"/>
                <w:w w:val="95"/>
                <w:sz w:val="20"/>
              </w:rPr>
              <w:t>Intern lokaldrift</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4.3</w:t>
            </w:r>
            <w:r>
              <w:tab/>
            </w:r>
            <w:r>
              <w:rPr>
                <w:rFonts w:ascii="Times New Roman" w:hAnsi="Times New Roman"/>
                <w:color w:val="000000" w:themeColor="text1"/>
                <w:spacing w:val="-2"/>
                <w:w w:val="95"/>
                <w:sz w:val="20"/>
              </w:rPr>
              <w:t xml:space="preserve">Säkerhet och åtkomsträttigheter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4.4</w:t>
            </w:r>
            <w:r>
              <w:tab/>
            </w:r>
            <w:r>
              <w:rPr>
                <w:rFonts w:ascii="Times New Roman" w:hAnsi="Times New Roman"/>
                <w:color w:val="000000" w:themeColor="text1"/>
                <w:spacing w:val="-2"/>
                <w:w w:val="95"/>
                <w:sz w:val="20"/>
              </w:rPr>
              <w:t>Fastighetsportföljsförvaltning</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4.5</w:t>
            </w:r>
            <w:r>
              <w:tab/>
            </w:r>
            <w:r>
              <w:rPr>
                <w:rFonts w:ascii="Times New Roman" w:hAnsi="Times New Roman"/>
                <w:color w:val="000000" w:themeColor="text1"/>
                <w:spacing w:val="-2"/>
                <w:w w:val="95"/>
                <w:sz w:val="20"/>
              </w:rPr>
              <w:t xml:space="preserve">Övrigt, precisera </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5.</w:t>
            </w:r>
            <w:r>
              <w:tab/>
            </w:r>
            <w:r>
              <w:rPr>
                <w:rFonts w:ascii="Times New Roman" w:hAnsi="Times New Roman"/>
                <w:color w:val="000000" w:themeColor="text1"/>
                <w:spacing w:val="-2"/>
                <w:w w:val="95"/>
                <w:sz w:val="20"/>
              </w:rPr>
              <w:t xml:space="preserve">Rättsliga tjänster och efterlevnadsfunktioner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5.1</w:t>
            </w:r>
            <w:r>
              <w:tab/>
            </w:r>
            <w:r>
              <w:rPr>
                <w:rFonts w:ascii="Times New Roman" w:hAnsi="Times New Roman"/>
                <w:color w:val="000000" w:themeColor="text1"/>
                <w:spacing w:val="-2"/>
                <w:w w:val="95"/>
                <w:sz w:val="20"/>
              </w:rPr>
              <w:t xml:space="preserve">Rättsligt företagssupport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5.2</w:t>
            </w:r>
            <w:r>
              <w:tab/>
            </w:r>
            <w:r>
              <w:rPr>
                <w:rFonts w:ascii="Times New Roman" w:hAnsi="Times New Roman"/>
                <w:color w:val="000000" w:themeColor="text1"/>
                <w:spacing w:val="-2"/>
                <w:w w:val="95"/>
                <w:sz w:val="20"/>
              </w:rPr>
              <w:t>Affärs- och transaktionsbaserade rättsliga tjänster</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5.3</w:t>
            </w:r>
            <w:r>
              <w:tab/>
            </w:r>
            <w:r>
              <w:rPr>
                <w:rFonts w:ascii="Times New Roman" w:hAnsi="Times New Roman"/>
                <w:color w:val="000000" w:themeColor="text1"/>
                <w:spacing w:val="-2"/>
                <w:w w:val="95"/>
                <w:sz w:val="20"/>
              </w:rPr>
              <w:t>Efterlevnadssupport</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w:t>
            </w:r>
            <w:r>
              <w:tab/>
            </w:r>
            <w:r>
              <w:rPr>
                <w:rFonts w:ascii="Times New Roman" w:hAnsi="Times New Roman"/>
                <w:color w:val="000000" w:themeColor="text1"/>
                <w:spacing w:val="-2"/>
                <w:w w:val="95"/>
                <w:sz w:val="20"/>
              </w:rPr>
              <w:t xml:space="preserve">Kassarelaterade tjänster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6.1</w:t>
            </w:r>
            <w:r>
              <w:tab/>
            </w:r>
            <w:r>
              <w:rPr>
                <w:rFonts w:ascii="Times New Roman" w:hAnsi="Times New Roman"/>
                <w:color w:val="000000" w:themeColor="text1"/>
                <w:spacing w:val="-2"/>
                <w:w w:val="95"/>
                <w:sz w:val="20"/>
              </w:rPr>
              <w:t>Samordning, administrering och förvaltning av kassan</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6.2</w:t>
            </w:r>
            <w:r>
              <w:tab/>
            </w:r>
            <w:r>
              <w:rPr>
                <w:rFonts w:ascii="Times New Roman" w:hAnsi="Times New Roman"/>
                <w:color w:val="000000" w:themeColor="text1"/>
                <w:spacing w:val="-2"/>
                <w:w w:val="95"/>
                <w:sz w:val="20"/>
              </w:rPr>
              <w:t xml:space="preserve">Samordning, administrering och förvaltning av enhetens refinansiering, inklusive säkerhetsförvaltning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6.3</w:t>
            </w:r>
            <w:r>
              <w:tab/>
            </w:r>
            <w:r>
              <w:rPr>
                <w:rFonts w:ascii="Times New Roman" w:hAnsi="Times New Roman"/>
                <w:color w:val="000000" w:themeColor="text1"/>
                <w:spacing w:val="-2"/>
                <w:w w:val="95"/>
                <w:sz w:val="20"/>
              </w:rPr>
              <w:t xml:space="preserve">Redovisningsfunktion, i synnerhet när det gäller likviditetskvoter för tillsynsändamål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6.4</w:t>
            </w:r>
            <w:r>
              <w:tab/>
            </w:r>
            <w:r>
              <w:rPr>
                <w:rFonts w:ascii="Times New Roman" w:hAnsi="Times New Roman"/>
                <w:color w:val="000000" w:themeColor="text1"/>
                <w:spacing w:val="-2"/>
                <w:w w:val="95"/>
                <w:sz w:val="20"/>
              </w:rPr>
              <w:t xml:space="preserve">Samordning, administrering och förvaltning av medel- och långfristiga finansieringsprogram, samt refinansiering av koncernenheter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6.5</w:t>
            </w:r>
            <w:r>
              <w:tab/>
            </w:r>
            <w:r>
              <w:rPr>
                <w:rFonts w:ascii="Times New Roman" w:hAnsi="Times New Roman"/>
                <w:color w:val="000000" w:themeColor="text1"/>
                <w:spacing w:val="-2"/>
                <w:w w:val="95"/>
                <w:sz w:val="20"/>
              </w:rPr>
              <w:t>Samordning, administrering och förvaltning av refinansiering, i synnerhet kortfristig</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7.</w:t>
            </w:r>
            <w:r>
              <w:tab/>
            </w:r>
            <w:r>
              <w:rPr>
                <w:rFonts w:ascii="Times New Roman" w:hAnsi="Times New Roman"/>
                <w:color w:val="000000" w:themeColor="text1"/>
                <w:spacing w:val="-2"/>
                <w:w w:val="95"/>
                <w:sz w:val="20"/>
              </w:rPr>
              <w:t>Handel/förvaltning av tillgångar</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7.1</w:t>
            </w:r>
            <w:r>
              <w:tab/>
            </w:r>
            <w:r>
              <w:rPr>
                <w:rFonts w:ascii="Times New Roman" w:hAnsi="Times New Roman"/>
                <w:color w:val="000000" w:themeColor="text1"/>
                <w:spacing w:val="-2"/>
                <w:w w:val="95"/>
                <w:sz w:val="20"/>
              </w:rPr>
              <w:t>Beredning: upprättande och utförande av handel samt design och underhåll av handelsprodukter</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7.2</w:t>
            </w:r>
            <w:r>
              <w:tab/>
            </w:r>
            <w:r>
              <w:rPr>
                <w:rFonts w:ascii="Times New Roman" w:hAnsi="Times New Roman"/>
                <w:color w:val="000000" w:themeColor="text1"/>
                <w:spacing w:val="-2"/>
                <w:w w:val="95"/>
                <w:sz w:val="20"/>
              </w:rPr>
              <w:t>Bekräftelse, värdepappersavveckling och betalning</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7.3</w:t>
            </w:r>
            <w:r>
              <w:tab/>
            </w:r>
            <w:r>
              <w:rPr>
                <w:rFonts w:ascii="Times New Roman" w:hAnsi="Times New Roman"/>
                <w:color w:val="000000" w:themeColor="text1"/>
                <w:spacing w:val="-2"/>
                <w:w w:val="95"/>
                <w:sz w:val="20"/>
              </w:rPr>
              <w:t xml:space="preserve">Hantering av positioner och motparter, när det gäller dataredovisning och motpartsrelationer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7.4</w:t>
            </w:r>
            <w:r>
              <w:tab/>
            </w:r>
            <w:r>
              <w:rPr>
                <w:rFonts w:ascii="Times New Roman" w:hAnsi="Times New Roman"/>
                <w:color w:val="000000" w:themeColor="text1"/>
                <w:spacing w:val="-2"/>
                <w:w w:val="95"/>
                <w:sz w:val="20"/>
              </w:rPr>
              <w:t>Positionshantering (risk och avstämning)</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8.</w:t>
            </w:r>
            <w:r>
              <w:tab/>
            </w:r>
            <w:r>
              <w:rPr>
                <w:rFonts w:ascii="Times New Roman" w:hAnsi="Times New Roman"/>
                <w:color w:val="000000" w:themeColor="text1"/>
                <w:spacing w:val="-2"/>
                <w:w w:val="95"/>
                <w:sz w:val="20"/>
              </w:rPr>
              <w:t xml:space="preserve">Riskhantering och riskvärdering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8.1</w:t>
            </w:r>
            <w:r>
              <w:tab/>
            </w:r>
            <w:r>
              <w:rPr>
                <w:rFonts w:ascii="Times New Roman" w:hAnsi="Times New Roman"/>
                <w:color w:val="000000" w:themeColor="text1"/>
                <w:spacing w:val="-2"/>
                <w:w w:val="95"/>
                <w:sz w:val="20"/>
              </w:rPr>
              <w:t>Riskhantering, central, affärsområdesrelaterad eller risktyprelaterad</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8.2</w:t>
            </w:r>
            <w:r>
              <w:tab/>
            </w:r>
            <w:r>
              <w:rPr>
                <w:rFonts w:ascii="Times New Roman" w:hAnsi="Times New Roman"/>
                <w:color w:val="000000" w:themeColor="text1"/>
                <w:spacing w:val="-2"/>
                <w:w w:val="95"/>
                <w:sz w:val="20"/>
              </w:rPr>
              <w:t>Riskredovisningsgenerering</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9.</w:t>
            </w:r>
            <w:r>
              <w:tab/>
            </w:r>
            <w:r>
              <w:rPr>
                <w:rFonts w:ascii="Times New Roman" w:hAnsi="Times New Roman"/>
                <w:color w:val="000000" w:themeColor="text1"/>
                <w:spacing w:val="-2"/>
                <w:w w:val="95"/>
                <w:sz w:val="20"/>
              </w:rPr>
              <w:t xml:space="preserve">Redovisning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9.1</w:t>
            </w:r>
            <w:r>
              <w:tab/>
            </w:r>
            <w:r>
              <w:rPr>
                <w:rFonts w:ascii="Times New Roman" w:hAnsi="Times New Roman"/>
                <w:color w:val="000000" w:themeColor="text1"/>
                <w:spacing w:val="-2"/>
                <w:w w:val="95"/>
                <w:sz w:val="20"/>
              </w:rPr>
              <w:t>Lagstadgad redovisning och tillsynsredovisning</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9.2</w:t>
            </w:r>
            <w:r>
              <w:tab/>
            </w:r>
            <w:r>
              <w:rPr>
                <w:rFonts w:ascii="Times New Roman" w:hAnsi="Times New Roman"/>
                <w:color w:val="000000" w:themeColor="text1"/>
                <w:spacing w:val="-2"/>
                <w:w w:val="95"/>
                <w:sz w:val="20"/>
              </w:rPr>
              <w:t>Värdering, i synnerhet av marknadspositioner</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9.3</w:t>
            </w:r>
            <w:r>
              <w:tab/>
            </w:r>
            <w:r>
              <w:rPr>
                <w:rFonts w:ascii="Times New Roman" w:hAnsi="Times New Roman"/>
                <w:color w:val="000000" w:themeColor="text1"/>
                <w:spacing w:val="-2"/>
                <w:w w:val="95"/>
                <w:sz w:val="20"/>
              </w:rPr>
              <w:t>Förvaltningsrapporter</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10.</w:t>
            </w:r>
            <w:r>
              <w:tab/>
            </w:r>
            <w:r>
              <w:rPr>
                <w:rFonts w:ascii="Times New Roman" w:hAnsi="Times New Roman"/>
                <w:color w:val="000000" w:themeColor="text1"/>
                <w:spacing w:val="-2"/>
                <w:w w:val="95"/>
                <w:sz w:val="20"/>
              </w:rPr>
              <w:t>Hantering av kontanta medel</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 xml:space="preserve">0020-0030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Tjänstemottagare </w:t>
            </w:r>
          </w:p>
          <w:p w:rsidR="000713A0" w:rsidRPr="00D92B3C" w:rsidRDefault="006C73FE"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Den koncernenhet som erhåller den kritiska tjänsten som redovisas i kolumn 0010 från en annan enhet inom koncernen eller från den externa leverantör som redovisas i kolumn 0040-0050.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0020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Enhetens namn </w:t>
            </w:r>
          </w:p>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Måste skilja sig från det namn som anges i kolumn 0040.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0030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Kod </w:t>
            </w:r>
          </w:p>
          <w:p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Unik identifieringskod för den juridiska personen i kolumn 0020 enligt vad som redovisas i mall Z 01.00 (ORG).</w:t>
            </w:r>
          </w:p>
          <w:p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Måste skilja sig från den identifierare som anges i kolumn 0050.</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0040-0050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Tjänsteleverantör </w:t>
            </w:r>
          </w:p>
          <w:p w:rsidR="000713A0" w:rsidRPr="00D92B3C" w:rsidRDefault="006C73FE" w:rsidP="00D8456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Den juridiska person (intern eller extern) som tillhandahåller den kritiska tjänsten som redovisas i kolumn 0010 till en enhet inom koncernen.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0040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Enhetens namn </w:t>
            </w:r>
          </w:p>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Måste skilja sig från det namn som anges i kolumn 0020.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0050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Kod </w:t>
            </w:r>
          </w:p>
          <w:p w:rsidR="00741D62"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Unik identifieringskod för den juridiska personen i kolumn 0020. Måste skilja sig från den identifieringskod som anges i kolumn 0030.</w:t>
            </w:r>
          </w:p>
          <w:p w:rsidR="00E02367" w:rsidRPr="00D92B3C" w:rsidRDefault="006C73FE"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Om tjänsteleverantören är en enhet inom koncernen ska koden vara densamma som den som redovisas i mall Z 01.00 (ORG). </w:t>
            </w:r>
          </w:p>
          <w:p w:rsidR="00E02367" w:rsidRPr="00D92B3C" w:rsidRDefault="000725C8"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Om tjänsteleverantören inte är en enhet inom koncernen ska enhetskoden vara följande:</w:t>
            </w:r>
          </w:p>
          <w:p w:rsidR="00E02367" w:rsidRPr="00D92B3C" w:rsidRDefault="00E02367" w:rsidP="00715DAB">
            <w:pPr>
              <w:pStyle w:val="TableParagraph"/>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Institut ska ha den 20-siffriga alfanumeriska LEI-koden.</w:t>
            </w:r>
          </w:p>
          <w:p w:rsidR="000725C8" w:rsidRPr="00D92B3C" w:rsidRDefault="00E02367" w:rsidP="00715DAB">
            <w:pPr>
              <w:pStyle w:val="TableParagraph"/>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Övriga enheter ska ha den 20-siffriga alfanumeriska LEI-koden eller, ifall denna inte är tillgänglig, en enhetlig kod som är tillämplig i unionen eller, ifall en sådan inte är tillgänglig, en nationell kod.</w:t>
            </w:r>
          </w:p>
          <w:p w:rsidR="000713A0" w:rsidRPr="00D92B3C" w:rsidRDefault="000725C8"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Koden ska vara unik och användas konsekvent i mallarna.</w:t>
            </w:r>
          </w:p>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p>
        </w:tc>
      </w:tr>
      <w:tr w:rsidR="00D22EB0" w:rsidRPr="00D92B3C" w:rsidTr="00DB635F">
        <w:trPr>
          <w:trHeight w:val="587"/>
        </w:trPr>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0060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Del av koncernen </w:t>
            </w:r>
          </w:p>
          <w:p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”Ja” – om tjänsten tillhandahålls av en enhet inom koncernen (”interna tjänster”).</w:t>
            </w:r>
          </w:p>
          <w:p w:rsidR="000713A0" w:rsidRPr="00D92B3C" w:rsidRDefault="006C73FE"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”Nej” – om tjänsten tillhandahålls av en enhet utanför koncernen (”externa tjänster”).</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471773"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0070-0080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Kritisk funktion</w:t>
            </w:r>
          </w:p>
          <w:p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Den kritiska funktion som skulle hindras allvarligt eller helt upphöra om den kritiska tjänsten avbryts. Det är en av de funktioner som har bedömts som kritiska i mall Z 07.01 (FUNC 1).</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6C73FE" w:rsidRPr="00D92B3C" w:rsidRDefault="00CB3D16" w:rsidP="0095723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0070</w:t>
            </w:r>
          </w:p>
        </w:tc>
        <w:tc>
          <w:tcPr>
            <w:tcW w:w="7892" w:type="dxa"/>
            <w:tcBorders>
              <w:top w:val="single" w:sz="4" w:space="0" w:color="1A171C"/>
              <w:left w:val="single" w:sz="4" w:space="0" w:color="1A171C"/>
              <w:bottom w:val="single" w:sz="4" w:space="0" w:color="1A171C"/>
              <w:right w:val="nil"/>
            </w:tcBorders>
            <w:vAlign w:val="center"/>
          </w:tcPr>
          <w:p w:rsidR="006C73FE" w:rsidRPr="00D92B3C" w:rsidRDefault="006D5CCF"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Land</w:t>
            </w:r>
          </w:p>
          <w:p w:rsidR="006C73FE" w:rsidRPr="00D92B3C" w:rsidRDefault="000F3337" w:rsidP="006D5CCF">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Medlemsstaten för vilken funktionen är kritisk, enligt vad som redovisas i Z 07.01 (FUNC 1)</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6C73FE" w:rsidRPr="00D92B3C" w:rsidRDefault="00957235"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0080</w:t>
            </w:r>
          </w:p>
        </w:tc>
        <w:tc>
          <w:tcPr>
            <w:tcW w:w="7892" w:type="dxa"/>
            <w:tcBorders>
              <w:top w:val="single" w:sz="4" w:space="0" w:color="1A171C"/>
              <w:left w:val="single" w:sz="4" w:space="0" w:color="1A171C"/>
              <w:bottom w:val="single" w:sz="4" w:space="0" w:color="1A171C"/>
              <w:right w:val="nil"/>
            </w:tcBorders>
            <w:vAlign w:val="center"/>
          </w:tcPr>
          <w:p w:rsidR="006C73FE"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ID</w:t>
            </w:r>
          </w:p>
          <w:p w:rsidR="006C73FE"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ID för den kritiska funktionen enligt definitionen i kapitel 2.7.1.4 ovan och som avses i mall Z 07.01 (FUNC 1).</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957235"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0090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Förväntad tid för utbytbarhet </w:t>
            </w:r>
          </w:p>
          <w:p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Den tid det förväntas ta att byta ut en leverantör mot en annan som är jämförbar vad gäller mål, kvalitet och kostnader för den erhållna tjänsten.</w:t>
            </w:r>
          </w:p>
          <w:p w:rsidR="000713A0"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Redovisa ett av följande värden:</w:t>
            </w:r>
          </w:p>
          <w:p w:rsidR="000713A0" w:rsidRPr="00D92B3C" w:rsidRDefault="008E0043"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 dag – 1 vecka” om utbytestiden är högst en vecka.</w:t>
            </w:r>
          </w:p>
          <w:p w:rsidR="000713A0" w:rsidRPr="00D92B3C" w:rsidRDefault="008E0043"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 vecka – 1 månad” om utbytestiden är längre än en vecka men högst en månad.</w:t>
            </w:r>
          </w:p>
          <w:p w:rsidR="000713A0" w:rsidRPr="00D92B3C" w:rsidRDefault="008E0043"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 – 6 månader” om utbytestiden är längre än en månad men högst sex månader.</w:t>
            </w:r>
          </w:p>
          <w:p w:rsidR="000713A0" w:rsidRPr="00D92B3C" w:rsidRDefault="008E0043"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 – 12 månader” om utbytestiden är längre än sex månader men högst ett år.</w:t>
            </w:r>
          </w:p>
          <w:p w:rsidR="008E0043" w:rsidRDefault="008E0043" w:rsidP="008E0043">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”mer än 1 år” om utbytestiden är längre än ett år.</w:t>
            </w:r>
          </w:p>
          <w:p w:rsidR="008E0043" w:rsidRPr="008E0043" w:rsidRDefault="008E0043" w:rsidP="00BB34DC">
            <w:pPr>
              <w:pStyle w:val="List1"/>
              <w:numPr>
                <w:ilvl w:val="0"/>
                <w:numId w:val="0"/>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0100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Förväntad tid för tillgång till avtal</w:t>
            </w:r>
          </w:p>
          <w:p w:rsidR="000713A0" w:rsidRPr="00D92B3C" w:rsidRDefault="001561A9"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Den tid det förväntas ta att inhämta följande information i ett avtal som reglerar tjänsten efter att resolutionsmyndigheten har bett om detta:</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Avtalets löptid.</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Avtalets parter (avtalets upphovsman och leverantör, kontaktpersoner) och deras jurisdiktion.</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Tjänstens natur (dvs. en kort beskrivning av transaktionen mellan parterna, inklusive priser).</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Uppgifter om huruvida tjänsten kan tillhandahållas av några andra interna/externa leverantörer (potentiella kandidater ska identifieras).</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Avtalets jurisdiktion.</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Det departement som är ansvarigt för den viktigaste verksamheten som regleras i avtalet.</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Avtalets viktigaste påföljder vid inställd eller försenad betalning.</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Skäl till förtida uppsägning och tillåten tid för uppsägning.</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Verksamhetssupport efter uppsägning.</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Betydelse för kritiska funktioner och affärsområden.</w:t>
            </w:r>
          </w:p>
          <w:p w:rsidR="000713A0" w:rsidRPr="00D92B3C" w:rsidRDefault="00597A96"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Redovisa ett av följande värden:</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 dag.</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 dag-1 vecka.</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Mer än 1 vecka.</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Det finns inget avtal som reglerar tjänsten.</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DE58BD"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0110</w:t>
            </w:r>
          </w:p>
        </w:tc>
        <w:tc>
          <w:tcPr>
            <w:tcW w:w="7892" w:type="dxa"/>
            <w:tcBorders>
              <w:top w:val="single" w:sz="4" w:space="0" w:color="1A171C"/>
              <w:left w:val="single" w:sz="4" w:space="0" w:color="1A171C"/>
              <w:bottom w:val="single" w:sz="4" w:space="0" w:color="1A171C"/>
              <w:right w:val="nil"/>
            </w:tcBorders>
            <w:vAlign w:val="center"/>
          </w:tcPr>
          <w:p w:rsidR="00DE58BD" w:rsidRPr="00D92B3C" w:rsidRDefault="00DE58BD"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Tillämplig lag</w:t>
            </w:r>
          </w:p>
          <w:p w:rsidR="00DE58BD" w:rsidRPr="00D92B3C" w:rsidRDefault="00B97C2E">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Landets ISO-kod och koden för den lag som reglerar avtalet.</w:t>
            </w:r>
          </w:p>
        </w:tc>
      </w:tr>
      <w:tr w:rsidR="000713A0" w:rsidRPr="00D92B3C" w:rsidTr="00971A9D">
        <w:trPr>
          <w:trHeight w:val="2091"/>
        </w:trPr>
        <w:tc>
          <w:tcPr>
            <w:tcW w:w="1191" w:type="dxa"/>
            <w:tcBorders>
              <w:top w:val="single" w:sz="4" w:space="0" w:color="1A171C"/>
              <w:left w:val="nil"/>
              <w:bottom w:val="single" w:sz="4" w:space="0" w:color="1A171C"/>
              <w:right w:val="single" w:sz="4" w:space="0" w:color="1A171C"/>
            </w:tcBorders>
            <w:vAlign w:val="center"/>
          </w:tcPr>
          <w:p w:rsidR="000713A0" w:rsidRPr="00D92B3C" w:rsidRDefault="00CB3D16" w:rsidP="00CB3D1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0120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Resolutionsbeständigt avtal </w:t>
            </w:r>
          </w:p>
          <w:p w:rsidR="00AF19DE"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Återspeglar bedömningen av huruvida avtalet kan fortsätta och omvandlas vid resolution. </w:t>
            </w:r>
          </w:p>
          <w:p w:rsidR="000713A0"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Denna bedömning ska, bland annat, ta följande faktorer i beaktande:</w:t>
            </w:r>
          </w:p>
          <w:p w:rsidR="000713A0" w:rsidRPr="00D92B3C" w:rsidRDefault="009E310F"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Samtliga klausuler som ger en motpart rätt att säga upp avtalet endast på grund av en resolution samt tidiga interventionsåtgärder eller cross-default-scenarier, trots att väsentliga skyldigheter fortfarande uppfylls.</w:t>
            </w:r>
          </w:p>
          <w:p w:rsidR="000713A0" w:rsidRPr="00D92B3C" w:rsidRDefault="009E310F"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Samtliga klausuler som ger en motpart rätt att ändra villkoren för en tjänst eller prissättning endast på grund av en resolution samt tidiga interventionsåtgärder eller cross-default-scenarier, trots att väsentliga skyldigheter fortfarande uppfylls.</w:t>
            </w:r>
          </w:p>
          <w:p w:rsidR="000713A0" w:rsidRPr="00D92B3C" w:rsidRDefault="00796C03"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Erkännande, i avtalet, av resolutionsmyndighetens uppsägningsrätt.</w:t>
            </w:r>
          </w:p>
          <w:p w:rsidR="00AF19DE"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Redovisa ett av följande värden:</w:t>
            </w:r>
          </w:p>
          <w:p w:rsidR="000713A0"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”Ja” – om avtalet bedöms vara resolutionssäkert.</w:t>
            </w:r>
          </w:p>
          <w:p w:rsidR="000713A0"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”Nej” – om avtalet inte bedöms vara resolutionssäkert.</w:t>
            </w:r>
          </w:p>
          <w:p w:rsidR="000713A0" w:rsidRPr="00D92B3C" w:rsidRDefault="00AF19DE"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”Ej bedömt” – om ingen bedömning gjorts.</w:t>
            </w:r>
          </w:p>
        </w:tc>
      </w:tr>
    </w:tbl>
    <w:p w:rsidR="00276FFB" w:rsidRPr="00D92B3C" w:rsidRDefault="00276FFB" w:rsidP="00276FFB">
      <w:pPr>
        <w:rPr>
          <w:rFonts w:ascii="Times New Roman" w:hAnsi="Times New Roman" w:cs="Times New Roman"/>
          <w:b/>
          <w:color w:val="000000" w:themeColor="text1"/>
          <w:sz w:val="20"/>
          <w:szCs w:val="20"/>
          <w:u w:val="single"/>
        </w:rPr>
      </w:pPr>
    </w:p>
    <w:p w:rsidR="00E13CE3" w:rsidRPr="00D92B3C" w:rsidRDefault="0066458F" w:rsidP="008854E4">
      <w:pPr>
        <w:pStyle w:val="Instructionsberschrift2"/>
        <w:numPr>
          <w:ilvl w:val="1"/>
          <w:numId w:val="7"/>
        </w:numPr>
        <w:ind w:left="357" w:hanging="357"/>
        <w:rPr>
          <w:rFonts w:ascii="Times New Roman" w:hAnsi="Times New Roman" w:cs="Times New Roman"/>
          <w:szCs w:val="20"/>
        </w:rPr>
      </w:pPr>
      <w:bookmarkStart w:id="40" w:name="_Toc492542329"/>
      <w:bookmarkStart w:id="41" w:name="_Toc509909047"/>
      <w:bookmarkStart w:id="42" w:name="_Toc525215496"/>
      <w:r>
        <w:rPr>
          <w:rFonts w:ascii="Times New Roman" w:hAnsi="Times New Roman"/>
          <w:color w:val="000000" w:themeColor="text1"/>
        </w:rPr>
        <w:t>Z 09.00 -FMI-tjänster - leverantörer och användare - kartläggning enligt kritiska funktioner.</w:t>
      </w:r>
      <w:bookmarkEnd w:id="40"/>
      <w:bookmarkEnd w:id="41"/>
      <w:bookmarkEnd w:id="42"/>
    </w:p>
    <w:p w:rsidR="00AA4026" w:rsidRPr="00D92B3C" w:rsidRDefault="00AA4026"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Allmänna anmärkningar</w:t>
      </w:r>
    </w:p>
    <w:p w:rsidR="008F717A" w:rsidRPr="00D92B3C" w:rsidRDefault="008F717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I denna mall identifieras verksamhet, funktioner och tjänster för clearing, betalningar, värdepappersavveckling och depåer, vars nedläggning kan utgöra ett allvarligt hinder för, eller helt hindra, att en eller flera kritiska funktioner fullgörs.</w:t>
      </w:r>
    </w:p>
    <w:p w:rsidR="00120519" w:rsidRPr="00D92B3C" w:rsidRDefault="00FE54E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Denna mall ska redovisas en gång för hela institutet eller hela koncernen.</w:t>
      </w:r>
    </w:p>
    <w:p w:rsidR="000F273B" w:rsidRPr="00D92B3C" w:rsidRDefault="00AA6491"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Endast de finansmarknadsstrukturer ska identifieras där en eventuell störning i dessa strukturer allvarligt kan försvåra eller helt förhindra utförandet av en kritisk funktion.</w:t>
      </w:r>
    </w:p>
    <w:p w:rsidR="00E13CE3" w:rsidRPr="00D92B3C" w:rsidRDefault="00772F88" w:rsidP="006835C6">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Instruktioner för specifika positioner</w:t>
      </w:r>
    </w:p>
    <w:p w:rsidR="00772F88" w:rsidRPr="00D92B3C" w:rsidRDefault="00772F88" w:rsidP="00772F88">
      <w:pPr>
        <w:pStyle w:val="body"/>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3D7A16">
        <w:tc>
          <w:tcPr>
            <w:tcW w:w="1191" w:type="dxa"/>
            <w:tcBorders>
              <w:top w:val="single" w:sz="4" w:space="0" w:color="1A171C"/>
              <w:left w:val="nil"/>
              <w:bottom w:val="single" w:sz="4" w:space="0" w:color="1A171C"/>
              <w:right w:val="single" w:sz="4" w:space="0" w:color="1A171C"/>
            </w:tcBorders>
            <w:shd w:val="clear" w:color="auto" w:fill="E4E5E5"/>
          </w:tcPr>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Kolumner</w:t>
            </w:r>
          </w:p>
        </w:tc>
        <w:tc>
          <w:tcPr>
            <w:tcW w:w="7892" w:type="dxa"/>
            <w:tcBorders>
              <w:top w:val="single" w:sz="4" w:space="0" w:color="1A171C"/>
              <w:left w:val="single" w:sz="4" w:space="0" w:color="1A171C"/>
              <w:bottom w:val="single" w:sz="4" w:space="0" w:color="1A171C"/>
              <w:right w:val="nil"/>
            </w:tcBorders>
            <w:shd w:val="clear" w:color="auto" w:fill="E4E5E5"/>
          </w:tcPr>
          <w:p w:rsidR="00772F88" w:rsidRPr="00D92B3C" w:rsidRDefault="00772F88" w:rsidP="00772F88">
            <w:pPr>
              <w:pStyle w:val="TableParagraph"/>
              <w:spacing w:before="108"/>
              <w:ind w:left="85" w:right="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Anvisningar</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080110" w:rsidRPr="00D92B3C" w:rsidRDefault="00672F8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0010-0020</w:t>
            </w:r>
          </w:p>
        </w:tc>
        <w:tc>
          <w:tcPr>
            <w:tcW w:w="7892" w:type="dxa"/>
            <w:tcBorders>
              <w:top w:val="single" w:sz="4" w:space="0" w:color="1A171C"/>
              <w:left w:val="single" w:sz="4" w:space="0" w:color="1A171C"/>
              <w:bottom w:val="single" w:sz="4" w:space="0" w:color="1A171C"/>
              <w:right w:val="nil"/>
            </w:tcBorders>
            <w:vAlign w:val="center"/>
          </w:tcPr>
          <w:p w:rsidR="00080110" w:rsidRPr="00D92B3C" w:rsidRDefault="00080110"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Användare</w:t>
            </w:r>
          </w:p>
          <w:p w:rsidR="00080110" w:rsidRPr="00D92B3C" w:rsidRDefault="00080110" w:rsidP="00080110">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Den enhet inom koncernen som använder tjänster för betalningar, depåer, värdepappersavveckling, clearing eller transaktionsregister, enligt vad som redovisas i Z 01.00 - organisationsstruktur (ORG).</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BC1F79"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Enhetens namn</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Namnet på den enhet som använder tjänster för betalningar, depåer, värdepappersavveckling, clearing eller transaktionsregister, enligt vad som redovisas i Z 01.00 - organisationsstruktur (ORG). </w:t>
            </w:r>
          </w:p>
          <w:p w:rsidR="00772F88" w:rsidRPr="00D92B3C" w:rsidRDefault="00772F88" w:rsidP="004602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Endast de enheter som har identifierats som leverantörer av kritiska funktioner i Z 07.02 ska redovisas. </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Kod</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Koden för den enhet som använder tjänster för betalningar, depåer, värdepappersavveckling, clearing eller transaktionsregister, enligt vad som redovisas i Z 01.00 - organisationsstruktur (ORG). </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7E4562" w:rsidP="008836C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0030-0040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44725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Kritisk funktion</w:t>
            </w:r>
          </w:p>
          <w:p w:rsidR="00DF7F9D" w:rsidRPr="00D92B3C" w:rsidRDefault="00DF7F9D" w:rsidP="00BD6EB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Kritisk funktion som utförs av enheten som skulle störas eller förhindras ifall tillgången till tjänster för betalningar, depåer, värdepappersavveckling eller transaktionsregister upphörde.</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44725C"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0030</w:t>
            </w:r>
          </w:p>
        </w:tc>
        <w:tc>
          <w:tcPr>
            <w:tcW w:w="7892" w:type="dxa"/>
            <w:tcBorders>
              <w:top w:val="single" w:sz="4" w:space="0" w:color="1A171C"/>
              <w:left w:val="single" w:sz="4" w:space="0" w:color="1A171C"/>
              <w:bottom w:val="single" w:sz="4" w:space="0" w:color="1A171C"/>
              <w:right w:val="nil"/>
            </w:tcBorders>
            <w:vAlign w:val="center"/>
          </w:tcPr>
          <w:p w:rsidR="0044725C" w:rsidRPr="00D92B3C" w:rsidRDefault="00937E0B"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Land</w:t>
            </w:r>
          </w:p>
          <w:p w:rsidR="0044725C" w:rsidRPr="00D92B3C" w:rsidRDefault="000917F8" w:rsidP="000917F8">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Landet för vilket funktionen är kritisk, enligt vad som redovisas i Z 07.01 (FUNC 1).</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44725C" w:rsidRPr="00D92B3C" w:rsidRDefault="008836CA" w:rsidP="008836C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vAlign w:val="center"/>
          </w:tcPr>
          <w:p w:rsidR="0044725C" w:rsidRPr="00D92B3C" w:rsidRDefault="0044725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ID</w:t>
            </w:r>
          </w:p>
          <w:p w:rsidR="0044725C" w:rsidRPr="00D92B3C" w:rsidRDefault="0044725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ID för den kritiska funktionen enligt definitionen i kapitel 2.7.1.4 ovan och som avses i mall Z 07.01 (FUNC 1).</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44725C" w:rsidRPr="00D92B3C" w:rsidRDefault="00402460" w:rsidP="0040246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0050-0080</w:t>
            </w:r>
          </w:p>
        </w:tc>
        <w:tc>
          <w:tcPr>
            <w:tcW w:w="7892" w:type="dxa"/>
            <w:tcBorders>
              <w:top w:val="single" w:sz="4" w:space="0" w:color="1A171C"/>
              <w:left w:val="single" w:sz="4" w:space="0" w:color="1A171C"/>
              <w:bottom w:val="single" w:sz="4" w:space="0" w:color="1A171C"/>
              <w:right w:val="nil"/>
            </w:tcBorders>
            <w:vAlign w:val="center"/>
          </w:tcPr>
          <w:p w:rsidR="0044725C" w:rsidRPr="00BB34DC" w:rsidRDefault="001D258F"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Finansmarknadsinfrastruktur (FMI)</w:t>
            </w:r>
          </w:p>
          <w:p w:rsidR="001E7389" w:rsidRPr="00BB34DC" w:rsidRDefault="001E7389" w:rsidP="009D2C94">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1E7389" w:rsidRPr="00BB34DC" w:rsidRDefault="001D258F" w:rsidP="009D2C9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Referens: CPMI, </w:t>
            </w:r>
            <w:hyperlink r:id="rId10">
              <w:r>
                <w:rPr>
                  <w:rFonts w:ascii="Times New Roman" w:hAnsi="Times New Roman"/>
                  <w:color w:val="000000" w:themeColor="text1"/>
                  <w:spacing w:val="-2"/>
                  <w:w w:val="95"/>
                  <w:sz w:val="20"/>
                </w:rPr>
                <w:t>Principer för finansmarknadsinfrastrukturer</w:t>
              </w:r>
            </w:hyperlink>
            <w:r>
              <w:rPr>
                <w:rFonts w:ascii="Times New Roman" w:hAnsi="Times New Roman"/>
                <w:color w:val="000000" w:themeColor="text1"/>
                <w:spacing w:val="-2"/>
                <w:w w:val="95"/>
                <w:sz w:val="20"/>
              </w:rPr>
              <w:t> </w:t>
            </w:r>
          </w:p>
          <w:p w:rsidR="00E86927" w:rsidRPr="00D92B3C" w:rsidRDefault="00E86927"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Ett multilateralt system bland de deltagande finansiella instituten, inklusive systemoperatören, som används för registrering, clearing eller avveckling av betalningar, säkerheter och derivat eller för övriga finansiella transaktioner.</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Systemtyp</w:t>
            </w:r>
          </w:p>
          <w:p w:rsidR="00772F88" w:rsidRPr="00D92B3C" w:rsidRDefault="0044725C"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Redovisa ett av följande värden</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”PS”</w:t>
            </w:r>
            <w:r>
              <w:tab/>
            </w:r>
            <w:r>
              <w:rPr>
                <w:rFonts w:ascii="Times New Roman" w:hAnsi="Times New Roman"/>
                <w:color w:val="000000" w:themeColor="text1"/>
                <w:spacing w:val="-2"/>
                <w:w w:val="95"/>
                <w:sz w:val="20"/>
              </w:rPr>
              <w:t>Betalningssystem.</w:t>
            </w:r>
          </w:p>
          <w:p w:rsidR="006132CF" w:rsidRPr="00D92B3C" w:rsidRDefault="00B24772" w:rsidP="00823ABB">
            <w:pPr>
              <w:pStyle w:val="TableParagraph"/>
              <w:spacing w:before="108"/>
              <w:ind w:left="652" w:hanging="567"/>
              <w:rPr>
                <w:rFonts w:ascii="Times New Roman" w:hAnsi="Times New Roman" w:cs="Times New Roman"/>
                <w:color w:val="000000" w:themeColor="text1"/>
                <w:sz w:val="20"/>
                <w:szCs w:val="20"/>
              </w:rPr>
            </w:pPr>
            <w:r>
              <w:rPr>
                <w:rFonts w:ascii="Times New Roman" w:hAnsi="Times New Roman"/>
                <w:color w:val="000000" w:themeColor="text1"/>
                <w:sz w:val="20"/>
              </w:rPr>
              <w:t>”(I) VPC” - (internationell) värdepapperscentral, inklusive (I)VPC som tillhandahåller värdepappersavvecklingstjänster (internt och via utkontraktering).</w:t>
            </w:r>
          </w:p>
          <w:p w:rsidR="000C6E53" w:rsidRPr="00D92B3C" w:rsidRDefault="00B24772"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 ”SSS”</w:t>
            </w:r>
            <w:r>
              <w:tab/>
            </w:r>
            <w:r>
              <w:rPr>
                <w:rFonts w:ascii="Times New Roman" w:hAnsi="Times New Roman"/>
                <w:color w:val="000000" w:themeColor="text1"/>
                <w:spacing w:val="-2"/>
                <w:w w:val="95"/>
                <w:sz w:val="20"/>
              </w:rPr>
              <w:t>System för avveckling av värdepapper utan depåer.</w:t>
            </w:r>
          </w:p>
          <w:p w:rsidR="006B6EDC" w:rsidRPr="00D92B3C" w:rsidRDefault="006B6ED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”CCP – värdepapper” Central motpart för clearing av värdepapper. </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”CCP – derivat”</w:t>
            </w:r>
            <w:r>
              <w:tab/>
            </w:r>
            <w:r>
              <w:rPr>
                <w:rFonts w:ascii="Times New Roman" w:hAnsi="Times New Roman"/>
                <w:color w:val="000000" w:themeColor="text1"/>
                <w:spacing w:val="-2"/>
                <w:w w:val="95"/>
                <w:sz w:val="20"/>
              </w:rPr>
              <w:t>Central motpart för clearing av derivat.</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”TR”</w:t>
            </w:r>
            <w:r>
              <w:tab/>
            </w:r>
            <w:r>
              <w:rPr>
                <w:rFonts w:ascii="Times New Roman" w:hAnsi="Times New Roman"/>
                <w:color w:val="000000" w:themeColor="text1"/>
                <w:spacing w:val="-2"/>
                <w:w w:val="95"/>
                <w:sz w:val="20"/>
              </w:rPr>
              <w:t>Transaktionsregister.</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”Övrigt”</w:t>
            </w:r>
            <w:r>
              <w:tab/>
            </w:r>
            <w:r>
              <w:rPr>
                <w:rFonts w:ascii="Times New Roman" w:hAnsi="Times New Roman"/>
                <w:color w:val="000000" w:themeColor="text1"/>
                <w:spacing w:val="-2"/>
                <w:w w:val="95"/>
                <w:sz w:val="20"/>
              </w:rPr>
              <w:t>För FMI-system som inte matchar någon av de fördefinierade typerna ovan.</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”Ej tillämpligt”</w:t>
            </w:r>
            <w:r>
              <w:tab/>
            </w:r>
            <w:r>
              <w:rPr>
                <w:rFonts w:ascii="Times New Roman" w:hAnsi="Times New Roman"/>
                <w:color w:val="000000" w:themeColor="text1"/>
                <w:spacing w:val="-2"/>
                <w:w w:val="95"/>
                <w:sz w:val="20"/>
              </w:rPr>
              <w:t>När kritiska tjänster för betalningar, clearing, avveckling eller depåer tillhandahålls av en enhet som inte är en av de finansmarknadsinfrastrukturer som nämns ovan, utan till exempel en förvaltare.</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Namn</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Finansmarknadsinfrastrukturens handelsnamn</w:t>
            </w:r>
          </w:p>
          <w:p w:rsidR="00772F88" w:rsidRPr="00D92B3C" w:rsidRDefault="00772F88" w:rsidP="003E626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Om ”ej tillämpligt” har redovisats i kolumn 0050 ska denna kolumn lämnas tom.</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0070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FMI-kod</w:t>
            </w:r>
          </w:p>
          <w:p w:rsidR="00A75FB6" w:rsidRPr="00D92B3C" w:rsidRDefault="000F5772" w:rsidP="00A75FB6">
            <w:pPr>
              <w:pStyle w:val="TableParagraph"/>
              <w:spacing w:before="108"/>
              <w:ind w:left="85"/>
              <w:rPr>
                <w:rFonts w:ascii="Times New Roman" w:hAnsi="Times New Roman" w:cs="Times New Roman"/>
                <w:color w:val="000000" w:themeColor="text1"/>
                <w:spacing w:val="-2"/>
                <w:sz w:val="20"/>
                <w:szCs w:val="20"/>
              </w:rPr>
            </w:pPr>
            <w:r>
              <w:rPr>
                <w:rFonts w:ascii="Times New Roman" w:hAnsi="Times New Roman"/>
                <w:color w:val="000000" w:themeColor="text1"/>
                <w:spacing w:val="-2"/>
                <w:w w:val="95"/>
                <w:sz w:val="20"/>
              </w:rPr>
              <w:t>FMI-koden. Koden ska i förekommande fall vara den 20-siffriga alfanumeriska LEI-koden. Ifall ingen LEI-kod finns tillgänglig ska en enhetlig kod som är tillämplig i unionen eller, ifall en sådan inte är tillgänglig, en nationell kod användas.</w:t>
            </w:r>
          </w:p>
          <w:p w:rsidR="000F5772" w:rsidRPr="00D92B3C" w:rsidRDefault="000F5772" w:rsidP="000F577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Om ”ej tillämpligt” har redovisats i kolumn 0050 ska denna kolumn lämnas tom.</w:t>
            </w:r>
          </w:p>
          <w:p w:rsidR="00772F88" w:rsidRPr="00D92B3C" w:rsidRDefault="00772F88" w:rsidP="00F02DE8">
            <w:pPr>
              <w:pStyle w:val="TableParagraph"/>
              <w:spacing w:before="108"/>
              <w:ind w:left="85"/>
              <w:rPr>
                <w:rFonts w:ascii="Times New Roman" w:eastAsia="Cambria" w:hAnsi="Times New Roman" w:cs="Times New Roman"/>
                <w:color w:val="000000" w:themeColor="text1"/>
                <w:spacing w:val="-2"/>
                <w:w w:val="95"/>
                <w:sz w:val="20"/>
                <w:szCs w:val="20"/>
              </w:rPr>
            </w:pP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0080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Typ av deltagande</w:t>
            </w:r>
          </w:p>
          <w:p w:rsidR="00772F88" w:rsidRPr="00D92B3C" w:rsidRDefault="00E01081"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Redovisa ett av följande värden:</w:t>
            </w:r>
          </w:p>
          <w:p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”Direkt”</w:t>
            </w:r>
            <w:r>
              <w:tab/>
            </w:r>
            <w:r>
              <w:rPr>
                <w:rFonts w:ascii="Times New Roman" w:hAnsi="Times New Roman"/>
                <w:color w:val="000000" w:themeColor="text1"/>
                <w:spacing w:val="-2"/>
                <w:w w:val="95"/>
                <w:sz w:val="20"/>
              </w:rPr>
              <w:t>För direkt medlemskap eller direkt deltagande.</w:t>
            </w:r>
          </w:p>
          <w:p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”Indirekt”</w:t>
            </w:r>
            <w:r>
              <w:tab/>
            </w:r>
            <w:r>
              <w:rPr>
                <w:rFonts w:ascii="Times New Roman" w:hAnsi="Times New Roman"/>
                <w:color w:val="000000" w:themeColor="text1"/>
                <w:spacing w:val="-2"/>
                <w:w w:val="95"/>
                <w:sz w:val="20"/>
              </w:rPr>
              <w:t>För indirekt medlemskap eller indirekt deltagande.</w:t>
            </w:r>
          </w:p>
          <w:p w:rsidR="00772F88"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”Ej tillämpligt”</w:t>
            </w:r>
            <w:r>
              <w:tab/>
            </w:r>
            <w:r>
              <w:rPr>
                <w:rFonts w:ascii="Times New Roman" w:hAnsi="Times New Roman"/>
                <w:color w:val="000000" w:themeColor="text1"/>
                <w:spacing w:val="-2"/>
                <w:w w:val="95"/>
                <w:sz w:val="20"/>
              </w:rPr>
              <w:t>Om ”ej tillämpligt” har redovisats i kolumn 0050.</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0090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Namn </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Mellanhandens handelsnamn, om ”indirekt” eller ”ej tillämpligt” har redovisats i kolumn 0080.</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Om ”direkt” har redovisats i kolumn 0080, ska ”ej tillämpligt” redovisas.</w:t>
            </w:r>
          </w:p>
          <w:p w:rsidR="00E01081"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Mellanhanden kan antingen tillhöra samma koncern som den redovisande enheten eller vara ett annat kreditinstitut som inte är kopplat till koncernen. </w:t>
            </w:r>
          </w:p>
          <w:p w:rsidR="00772F88" w:rsidRPr="00D92B3C" w:rsidRDefault="00772F88" w:rsidP="00E0108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En mellanhand kan vara ett bolag som tillhandahåller tjänster för clearing, betalningar, värdepappersavveckling och/eller depåer till andra bolag (i synnerhet när ”ej tillämpligt” har redovisats i kolumn 0050). Den kan även vara direkt medlem av en eller flera FMI och tillhandahålla indirekt åtkomst till tjänster som erbjuds av dessa FMI (i synnerhet när ”ej tillämpligt” har redovisats i kolumn 0080).</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0100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Kod</w:t>
            </w:r>
          </w:p>
          <w:p w:rsidR="003F3BD6" w:rsidRPr="00D92B3C" w:rsidRDefault="003F3BD6" w:rsidP="003F3BD6">
            <w:pPr>
              <w:pStyle w:val="TableParagraph"/>
              <w:spacing w:before="108"/>
              <w:ind w:left="85"/>
              <w:rPr>
                <w:rFonts w:ascii="Times New Roman" w:hAnsi="Times New Roman" w:cs="Times New Roman"/>
                <w:color w:val="000000" w:themeColor="text1"/>
                <w:spacing w:val="-2"/>
                <w:sz w:val="20"/>
                <w:szCs w:val="20"/>
              </w:rPr>
            </w:pPr>
            <w:r>
              <w:rPr>
                <w:rFonts w:ascii="Times New Roman" w:hAnsi="Times New Roman"/>
                <w:color w:val="000000" w:themeColor="text1"/>
                <w:spacing w:val="-2"/>
                <w:w w:val="95"/>
                <w:sz w:val="20"/>
              </w:rPr>
              <w:t>Mellanhandens kod. Koden ska i förekommande fall vara den 20-siffriga alfanumeriska LEI-koden. Ifall ingen LEI-kod finns tillgänglig ska en enhetlig kod som är tillämplig i unionen eller, ifall en sådan inte är tillgänglig, en nationell kod användas.</w:t>
            </w:r>
          </w:p>
          <w:p w:rsidR="006D1180" w:rsidRPr="00D92B3C" w:rsidRDefault="006D1180" w:rsidP="00955D42">
            <w:pPr>
              <w:pStyle w:val="TableParagraph"/>
              <w:spacing w:before="108"/>
              <w:rPr>
                <w:rFonts w:ascii="Times New Roman" w:eastAsia="Cambria" w:hAnsi="Times New Roman" w:cs="Times New Roman"/>
                <w:color w:val="000000" w:themeColor="text1"/>
                <w:spacing w:val="-2"/>
                <w:w w:val="95"/>
                <w:sz w:val="20"/>
                <w:szCs w:val="20"/>
              </w:rPr>
            </w:pPr>
          </w:p>
          <w:p w:rsidR="00772F88" w:rsidRPr="00EC6EE8" w:rsidRDefault="006D1180" w:rsidP="00EC6EE8">
            <w:pPr>
              <w:pStyle w:val="CommentText"/>
              <w:rPr>
                <w:rFonts w:ascii="Times New Roman" w:hAnsi="Times New Roman" w:cs="Times New Roman"/>
                <w:color w:val="000000" w:themeColor="text1"/>
              </w:rPr>
            </w:pPr>
            <w:r>
              <w:rPr>
                <w:rFonts w:ascii="Times New Roman" w:hAnsi="Times New Roman"/>
                <w:color w:val="000000" w:themeColor="text1"/>
                <w:spacing w:val="-2"/>
                <w:w w:val="95"/>
              </w:rPr>
              <w:t>Om ”direkt” har redovisats i kolumn 0090, ska ”ej tillämpligt” redovisas.</w:t>
            </w:r>
          </w:p>
        </w:tc>
      </w:tr>
      <w:tr w:rsidR="00D22EB0" w:rsidRPr="00D92B3C" w:rsidTr="007644C5">
        <w:tc>
          <w:tcPr>
            <w:tcW w:w="1191" w:type="dxa"/>
            <w:tcBorders>
              <w:top w:val="single" w:sz="4" w:space="0" w:color="1A171C"/>
              <w:left w:val="nil"/>
              <w:bottom w:val="single" w:sz="4" w:space="0" w:color="1A171C"/>
              <w:right w:val="single" w:sz="4" w:space="0" w:color="1A171C"/>
            </w:tcBorders>
            <w:vAlign w:val="center"/>
          </w:tcPr>
          <w:p w:rsidR="00BC1F79"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0110</w:t>
            </w:r>
          </w:p>
        </w:tc>
        <w:tc>
          <w:tcPr>
            <w:tcW w:w="7892" w:type="dxa"/>
            <w:tcBorders>
              <w:top w:val="single" w:sz="4" w:space="0" w:color="1A171C"/>
              <w:left w:val="single" w:sz="4" w:space="0" w:color="1A171C"/>
              <w:bottom w:val="single" w:sz="4" w:space="0" w:color="1A171C"/>
              <w:right w:val="nil"/>
            </w:tcBorders>
            <w:vAlign w:val="center"/>
          </w:tcPr>
          <w:p w:rsidR="00BC1F79" w:rsidRPr="00D92B3C" w:rsidRDefault="00BC1F79" w:rsidP="007644C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Beskrivning av tjänsten</w:t>
            </w:r>
          </w:p>
          <w:p w:rsidR="00BC1F79"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Beskrivning av tjänsten om systemtypen som redovisats i kolumn 050 är ”övrigt” eller ”ej tillämpligt”.</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0120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Tillämplig lag</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ISO 3166-1 alfa-2-identifieringskoden för det land vars lag reglerar åtkomsten till FMI. </w:t>
            </w:r>
          </w:p>
          <w:p w:rsidR="00772F88" w:rsidRPr="00D92B3C" w:rsidRDefault="00772F88" w:rsidP="00F968A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Vid direkt medlemskap eller direkt deltagande är det den tillämpliga lagen för avtalet mellan finansmarknadsinfrastrukturen och användaren som ska redovisas. Vid indirekt medlemskap eller indirekt deltagande är det den tillämpliga lagen för avtalet mellan det representerande institutet och användaren som ska redovisas. </w:t>
            </w:r>
          </w:p>
        </w:tc>
      </w:tr>
    </w:tbl>
    <w:p w:rsidR="00E13CE3" w:rsidRPr="00D92B3C" w:rsidRDefault="00E13CE3" w:rsidP="009F5628">
      <w:pPr>
        <w:pStyle w:val="Instructionsberschrift2"/>
        <w:numPr>
          <w:ilvl w:val="1"/>
          <w:numId w:val="7"/>
        </w:numPr>
        <w:ind w:left="567" w:hanging="567"/>
        <w:rPr>
          <w:rFonts w:ascii="Times New Roman" w:hAnsi="Times New Roman" w:cs="Times New Roman"/>
          <w:color w:val="000000" w:themeColor="text1"/>
          <w:szCs w:val="20"/>
        </w:rPr>
      </w:pPr>
      <w:bookmarkStart w:id="43" w:name="_Toc492542330"/>
      <w:bookmarkStart w:id="44" w:name="_Toc509909048"/>
      <w:bookmarkStart w:id="45" w:name="_Toc525215497"/>
      <w:r>
        <w:rPr>
          <w:rFonts w:ascii="Times New Roman" w:hAnsi="Times New Roman"/>
          <w:color w:val="000000" w:themeColor="text1"/>
        </w:rPr>
        <w:t>Kritiska informationssystem</w:t>
      </w:r>
      <w:bookmarkEnd w:id="43"/>
      <w:bookmarkEnd w:id="44"/>
      <w:bookmarkEnd w:id="45"/>
    </w:p>
    <w:p w:rsidR="00AA4026" w:rsidRPr="00D92B3C" w:rsidRDefault="00AA4026" w:rsidP="006028B1">
      <w:pPr>
        <w:pStyle w:val="Numberedtitlelevel3"/>
        <w:rPr>
          <w:rFonts w:ascii="Times New Roman" w:hAnsi="Times New Roman" w:cs="Times New Roman"/>
          <w:b w:val="0"/>
          <w:color w:val="000000" w:themeColor="text1"/>
          <w:sz w:val="20"/>
          <w:szCs w:val="20"/>
          <w:u w:val="single"/>
        </w:rPr>
      </w:pPr>
      <w:bookmarkStart w:id="46" w:name="_Toc368311813"/>
      <w:bookmarkStart w:id="47" w:name="_Toc322687864"/>
      <w:bookmarkStart w:id="48" w:name="_Toc368311822"/>
      <w:r>
        <w:rPr>
          <w:rFonts w:ascii="Times New Roman" w:hAnsi="Times New Roman"/>
          <w:b w:val="0"/>
          <w:color w:val="000000" w:themeColor="text1"/>
          <w:sz w:val="20"/>
          <w:u w:val="single"/>
        </w:rPr>
        <w:t>Allmänna anmärkningar</w:t>
      </w:r>
    </w:p>
    <w:p w:rsidR="004507BB" w:rsidRPr="00D92B3C" w:rsidRDefault="004507BB"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Detta avsnitt består av följande mallar:</w:t>
      </w:r>
    </w:p>
    <w:p w:rsidR="004507BB" w:rsidRPr="00D92B3C" w:rsidRDefault="0018376A" w:rsidP="00715DAB">
      <w:pPr>
        <w:pStyle w:val="numberedparagraph"/>
        <w:numPr>
          <w:ilvl w:val="0"/>
          <w:numId w:val="38"/>
        </w:numPr>
        <w:rPr>
          <w:rFonts w:ascii="Times New Roman" w:hAnsi="Times New Roman" w:cs="Times New Roman"/>
          <w:sz w:val="20"/>
          <w:szCs w:val="20"/>
        </w:rPr>
      </w:pPr>
      <w:r>
        <w:rPr>
          <w:rFonts w:ascii="Times New Roman" w:hAnsi="Times New Roman"/>
          <w:sz w:val="20"/>
        </w:rPr>
        <w:t>Z 10.01 - Kritiska informationssystem (allmän information) (CIS 1), som listar alla kritiska informationssystem inom koncernen.</w:t>
      </w:r>
    </w:p>
    <w:p w:rsidR="004507BB" w:rsidRPr="00D92B3C" w:rsidRDefault="0018376A" w:rsidP="00715DAB">
      <w:pPr>
        <w:pStyle w:val="numberedparagraph"/>
        <w:numPr>
          <w:ilvl w:val="0"/>
          <w:numId w:val="38"/>
        </w:numPr>
        <w:rPr>
          <w:rFonts w:ascii="Times New Roman" w:hAnsi="Times New Roman" w:cs="Times New Roman"/>
          <w:sz w:val="20"/>
          <w:szCs w:val="20"/>
        </w:rPr>
      </w:pPr>
      <w:r>
        <w:rPr>
          <w:rFonts w:ascii="Times New Roman" w:hAnsi="Times New Roman"/>
          <w:sz w:val="20"/>
        </w:rPr>
        <w:t>Z 10.02 - Kartläggning av kritiska informationssystem (CIS 2), som ordnar de kritiska informationssystemen efter användarenheter inom koncernen samt kritiska funktioner.</w:t>
      </w:r>
    </w:p>
    <w:p w:rsidR="00277550" w:rsidRPr="00D92B3C" w:rsidRDefault="00AD4B22" w:rsidP="00E714C5">
      <w:pPr>
        <w:pStyle w:val="numberedparagraph"/>
        <w:rPr>
          <w:rFonts w:ascii="Times New Roman" w:hAnsi="Times New Roman" w:cs="Times New Roman"/>
          <w:sz w:val="20"/>
          <w:szCs w:val="20"/>
        </w:rPr>
      </w:pPr>
      <w:r>
        <w:rPr>
          <w:rFonts w:ascii="Times New Roman" w:hAnsi="Times New Roman"/>
          <w:sz w:val="20"/>
        </w:rPr>
        <w:t>Ett kritiskt informationssystem (”CIS”) ska förstås som en it-applikation eller mjukvara som ger support till en kritisk tjänst och vars upphörande allvarligt skulle störa eller hindra utövandet av en kritisk funktion.</w:t>
      </w:r>
      <w:bookmarkEnd w:id="46"/>
      <w:bookmarkEnd w:id="47"/>
    </w:p>
    <w:p w:rsidR="00ED08D2" w:rsidRPr="00D92B3C" w:rsidRDefault="00262051" w:rsidP="00E714C5">
      <w:pPr>
        <w:pStyle w:val="numberedparagraph"/>
        <w:rPr>
          <w:rFonts w:ascii="Times New Roman" w:hAnsi="Times New Roman" w:cs="Times New Roman"/>
          <w:sz w:val="20"/>
          <w:szCs w:val="20"/>
        </w:rPr>
      </w:pPr>
      <w:r>
        <w:rPr>
          <w:rFonts w:ascii="Times New Roman" w:hAnsi="Times New Roman"/>
          <w:sz w:val="20"/>
        </w:rPr>
        <w:t>Dessa mallar ska redovisas för hela koncernen.</w:t>
      </w:r>
    </w:p>
    <w:p w:rsidR="00AD4B22" w:rsidRPr="00D92B3C" w:rsidRDefault="00AD4B22" w:rsidP="00EA3B0A">
      <w:pPr>
        <w:pStyle w:val="Numberedtitlelevel3"/>
        <w:numPr>
          <w:ilvl w:val="0"/>
          <w:numId w:val="0"/>
        </w:numPr>
        <w:rPr>
          <w:rFonts w:ascii="Times New Roman" w:hAnsi="Times New Roman" w:cs="Times New Roman"/>
          <w:color w:val="000000" w:themeColor="text1"/>
          <w:sz w:val="20"/>
          <w:szCs w:val="20"/>
        </w:rPr>
      </w:pPr>
    </w:p>
    <w:p w:rsidR="00AA4026" w:rsidRPr="00D92B3C" w:rsidRDefault="0018376A"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Z 10.01 - Kritiska informationssystem (allmän information) (CIS 1): Instruktioner för specifika positioner</w:t>
      </w:r>
    </w:p>
    <w:p w:rsidR="000B75A6" w:rsidRPr="00D92B3C" w:rsidRDefault="000B75A6"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Värdet som redovisas i kolumn 0010 i denna mall utgör en primärnyckel som måste vara unik för varje rad i mallen. </w:t>
      </w:r>
    </w:p>
    <w:p w:rsidR="000B75A6" w:rsidRPr="00D92B3C" w:rsidRDefault="000B75A6" w:rsidP="00955D42">
      <w:pPr>
        <w:pStyle w:val="body"/>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311CA4">
        <w:tc>
          <w:tcPr>
            <w:tcW w:w="1191" w:type="dxa"/>
            <w:tcBorders>
              <w:top w:val="single" w:sz="4" w:space="0" w:color="1A171C"/>
              <w:left w:val="nil"/>
              <w:bottom w:val="single" w:sz="4" w:space="0" w:color="1A171C"/>
              <w:right w:val="single" w:sz="4" w:space="0" w:color="1A171C"/>
            </w:tcBorders>
            <w:shd w:val="clear" w:color="auto" w:fill="E4E5E5"/>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Kolumner</w:t>
            </w:r>
          </w:p>
        </w:tc>
        <w:tc>
          <w:tcPr>
            <w:tcW w:w="7892" w:type="dxa"/>
            <w:tcBorders>
              <w:top w:val="single" w:sz="4" w:space="0" w:color="1A171C"/>
              <w:left w:val="single" w:sz="4" w:space="0" w:color="1A171C"/>
              <w:bottom w:val="single" w:sz="4" w:space="0" w:color="1A171C"/>
              <w:right w:val="nil"/>
            </w:tcBorders>
            <w:shd w:val="clear" w:color="auto" w:fill="E4E5E5"/>
          </w:tcPr>
          <w:p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Anvisningar</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311CA4" w:rsidRPr="00D92B3C" w:rsidRDefault="00311CA4" w:rsidP="007644C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0010 - 0040</w:t>
            </w:r>
          </w:p>
        </w:tc>
        <w:tc>
          <w:tcPr>
            <w:tcW w:w="7892" w:type="dxa"/>
            <w:tcBorders>
              <w:top w:val="single" w:sz="4" w:space="0" w:color="1A171C"/>
              <w:left w:val="single" w:sz="4" w:space="0" w:color="1A171C"/>
              <w:bottom w:val="single" w:sz="4" w:space="0" w:color="1A171C"/>
              <w:right w:val="nil"/>
            </w:tcBorders>
          </w:tcPr>
          <w:p w:rsidR="00311CA4" w:rsidRPr="00D92B3C" w:rsidRDefault="00311CA4" w:rsidP="007644C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Kritiska informationssystem</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0679B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Systemidentifieringskod</w:t>
            </w:r>
          </w:p>
          <w:p w:rsidR="00AD4B22" w:rsidRPr="00D92B3C" w:rsidRDefault="00AD4B22"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Systemidentifieringskoden är en akronym som sätts upp av institutet och som entydigt identifierar det kritiska informationssystemet.</w:t>
            </w:r>
          </w:p>
          <w:p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Koden identifierar raden och måste vara unik för varje rad i tabellen.</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6D5055" w:rsidRPr="00D92B3C" w:rsidRDefault="000679B1" w:rsidP="000679B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tcPr>
          <w:p w:rsidR="006D5055" w:rsidRPr="00D92B3C" w:rsidRDefault="006D5055"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Systemnamn</w:t>
            </w:r>
          </w:p>
          <w:p w:rsidR="006D5055" w:rsidRPr="00D92B3C" w:rsidRDefault="000679B1" w:rsidP="000679B1">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Systemets handelsnamn eller interna namn.</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D556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0030 </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Systemtyp</w:t>
            </w:r>
          </w:p>
          <w:p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Redovisa ett av följande värden:</w:t>
            </w:r>
          </w:p>
          <w:p w:rsidR="00AD4B22" w:rsidRPr="00D92B3C" w:rsidRDefault="00AD4B22" w:rsidP="00715DAB">
            <w:pPr>
              <w:pStyle w:val="List1"/>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”Specialanpassad mjukvara för affärssupport”</w:t>
            </w:r>
          </w:p>
          <w:p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Applikationer som har utvecklats enligt detaljerade verksamhetsspecifikationer. De kan ha utvecklats internet eller av externt anlitade entreprenörer, men alltid i syfte att ge verksamhetssupport.</w:t>
            </w:r>
          </w:p>
          <w:p w:rsidR="00AD4B22" w:rsidRPr="00D92B3C" w:rsidRDefault="00AD4B22" w:rsidP="00715DAB">
            <w:pPr>
              <w:pStyle w:val="List1"/>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”Mjukvara inköpt i befintligt skick”</w:t>
            </w:r>
          </w:p>
          <w:p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Applikationer som har köpts in på marknaden, i regel sålda eller licensierade av en leverantör, och som inte har skräddarsytts för organisationens verksamhet. Här ingår även applikationer som har genomgått normal konfigurering.</w:t>
            </w:r>
          </w:p>
          <w:p w:rsidR="00AD4B22" w:rsidRPr="00D92B3C" w:rsidRDefault="00881C3C" w:rsidP="00715DAB">
            <w:pPr>
              <w:pStyle w:val="List1"/>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”Mjukvara inköpt med anpassade ändringar”</w:t>
            </w:r>
          </w:p>
          <w:p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Applikationer som har köpts in på marknaden, men där leverantören (eller hans eller hennes representant) har skapat en särskild version för den kontext den ska installeras i. En sådan särskild version karaktäriseras av ändringar i applikationens beteende, tillägg av nya funktioner eller inkluderande av plugins som inte är standard utan har utvecklats särskilt för organisationens verksamhet.</w:t>
            </w:r>
          </w:p>
          <w:p w:rsidR="00AD4B22" w:rsidRPr="00D92B3C" w:rsidRDefault="00881C3C" w:rsidP="00715DAB">
            <w:pPr>
              <w:pStyle w:val="List1"/>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”Applikation/Extern portal”</w:t>
            </w:r>
          </w:p>
          <w:p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Externa portaler eller applikationer som tillhandahålls av tredje part, i regel av partners, för att ge åtkomst till deras tjänster. De omfattas normalt sett inte av organisationens informationssystemshantering utan installeras, underhålls och sköts av partnern själv. Dessa applikationer utgör ofta portaler (tillgängliga via internet eller privata nätverk) och trots att de inte omfattas av organisationens informationssystemshantering är de viktiga (eller kritiska) för vissa verksamhetsfunktioner. </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Beskrivning</w:t>
            </w:r>
          </w:p>
          <w:p w:rsidR="00AD4B22"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Beskrivning av informationssystemets huvudsyfte i verksamhetskontexten. </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0050 - 0060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Koncernenhet som är ansvarig för systemet</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Enhetens namn</w:t>
            </w:r>
          </w:p>
          <w:p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Namnet på den juridiska person inom koncernen som är ansvarig för systemet.</w:t>
            </w:r>
          </w:p>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Denna enhet har ett övergripande ansvar för informationssystemet och dess upphandling, utveckling, integrering, förändring, drift, underhåll och nedläggning och är även huvudansvarig för att utveckla systemdesignspecifikationer som garanterar att säkerhets- och användarbehoven dokumenteras, testas och genomförs.</w:t>
            </w:r>
          </w:p>
        </w:tc>
      </w:tr>
      <w:tr w:rsidR="00AD4B22"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Kod</w:t>
            </w:r>
          </w:p>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Koden för den juridiska person inom koncernen som är ansvarig för systemet, enligt vad som redovisas i Z 01.00 - organisationsstruktur (ORG).</w:t>
            </w:r>
          </w:p>
        </w:tc>
      </w:tr>
    </w:tbl>
    <w:p w:rsidR="00AD4B22" w:rsidRPr="00D92B3C" w:rsidRDefault="00AD4B22" w:rsidP="00AD4B22">
      <w:pPr>
        <w:pStyle w:val="body"/>
        <w:rPr>
          <w:rFonts w:ascii="Times New Roman" w:hAnsi="Times New Roman" w:cs="Times New Roman"/>
          <w:color w:val="000000" w:themeColor="text1"/>
          <w:sz w:val="20"/>
          <w:szCs w:val="20"/>
        </w:rPr>
      </w:pPr>
    </w:p>
    <w:bookmarkEnd w:id="48"/>
    <w:p w:rsidR="007A4886" w:rsidRPr="00D92B3C" w:rsidRDefault="0069056D"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Z 10-02 - Kartläggning av informationssystem (CIS 2): Instruktioner för specifika positioner</w:t>
      </w:r>
    </w:p>
    <w:p w:rsidR="00720344" w:rsidRPr="00D92B3C" w:rsidRDefault="00720344"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Kombinationen av värden som redovisas i kolumnerna 0010, 0030, 0040 och 0050 i denna mall utgör en primärnyckel som måste vara unik för varje rad i mallen. </w:t>
      </w:r>
    </w:p>
    <w:p w:rsidR="00720344" w:rsidRPr="00D92B3C" w:rsidRDefault="00720344" w:rsidP="00955D42">
      <w:pPr>
        <w:pStyle w:val="body"/>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9D2C94">
        <w:tc>
          <w:tcPr>
            <w:tcW w:w="1191" w:type="dxa"/>
            <w:tcBorders>
              <w:top w:val="single" w:sz="4" w:space="0" w:color="1A171C"/>
              <w:left w:val="nil"/>
              <w:bottom w:val="single" w:sz="4" w:space="0" w:color="1A171C"/>
              <w:right w:val="single" w:sz="4" w:space="0" w:color="1A171C"/>
            </w:tcBorders>
            <w:shd w:val="clear" w:color="auto" w:fill="E4E5E5"/>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Kolumner</w:t>
            </w:r>
          </w:p>
        </w:tc>
        <w:tc>
          <w:tcPr>
            <w:tcW w:w="7892" w:type="dxa"/>
            <w:tcBorders>
              <w:top w:val="single" w:sz="4" w:space="0" w:color="1A171C"/>
              <w:left w:val="single" w:sz="4" w:space="0" w:color="1A171C"/>
              <w:bottom w:val="single" w:sz="4" w:space="0" w:color="1A171C"/>
              <w:right w:val="nil"/>
            </w:tcBorders>
            <w:shd w:val="clear" w:color="auto" w:fill="E4E5E5"/>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Anvisningar</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0010 </w:t>
            </w:r>
          </w:p>
        </w:tc>
        <w:tc>
          <w:tcPr>
            <w:tcW w:w="7892" w:type="dxa"/>
            <w:tcBorders>
              <w:top w:val="single" w:sz="4" w:space="0" w:color="1A171C"/>
              <w:left w:val="single" w:sz="4" w:space="0" w:color="1A171C"/>
              <w:bottom w:val="single" w:sz="4" w:space="0" w:color="1A171C"/>
              <w:right w:val="nil"/>
            </w:tcBorders>
          </w:tcPr>
          <w:p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Systemidentifieringskod</w:t>
            </w:r>
          </w:p>
          <w:p w:rsidR="00881C3C" w:rsidRPr="00D92B3C" w:rsidRDefault="00881C3C" w:rsidP="0069056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Informationssystemets identifieringskod, enligt vad som redovisas i kolumn 010 i mall Z 10.01 (CIS 1).</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0020-0030</w:t>
            </w:r>
          </w:p>
        </w:tc>
        <w:tc>
          <w:tcPr>
            <w:tcW w:w="7892" w:type="dxa"/>
            <w:tcBorders>
              <w:top w:val="single" w:sz="4" w:space="0" w:color="1A171C"/>
              <w:left w:val="single" w:sz="4" w:space="0" w:color="1A171C"/>
              <w:bottom w:val="single" w:sz="4" w:space="0" w:color="1A171C"/>
              <w:right w:val="nil"/>
            </w:tcBorders>
          </w:tcPr>
          <w:p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Koncernenhet som använder systemet</w:t>
            </w:r>
          </w:p>
          <w:p w:rsidR="00881C3C" w:rsidRPr="00D92B3C" w:rsidRDefault="00881C3C" w:rsidP="00CD44B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Enhet inom koncernen som använder systemet (”användare”). Det kan finnas flera användare och i så fall ska flera rader redovisas för samma informationssystem. </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tcPr>
          <w:p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Enhetens namn</w:t>
            </w:r>
          </w:p>
          <w:p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Namnet på användarenheten, enligt vad som redovisas i Z 01.00 (ORG)</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tcPr>
          <w:p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Kod</w:t>
            </w:r>
          </w:p>
          <w:p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Användarenhetens kod, enligt vad som redovisas i Z 01.00 (ORG)</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CD44BD" w:rsidRPr="00D92B3C" w:rsidRDefault="00CD44BD"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tcPr>
          <w:p w:rsidR="00CD44BD" w:rsidRPr="00D92B3C" w:rsidRDefault="00CD44BD"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Kritisk tjänst</w:t>
            </w:r>
          </w:p>
          <w:p w:rsidR="009F7D69" w:rsidRPr="00D92B3C" w:rsidRDefault="00CD44BD" w:rsidP="00BC1F79">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Identifieringskoden för den kritiska tjänst som systemet stödjer, enligt vad som redovisas i Z 08.00 (kolumn 0005). Den kritiska tjänsten kan vara en it-tjänst eller en annan typ av tjänst som stödjs av systemet (till exempel transaktionsbearbetning).</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0050-0060 </w:t>
            </w:r>
          </w:p>
        </w:tc>
        <w:tc>
          <w:tcPr>
            <w:tcW w:w="7892" w:type="dxa"/>
            <w:tcBorders>
              <w:top w:val="single" w:sz="4" w:space="0" w:color="1A171C"/>
              <w:left w:val="single" w:sz="4" w:space="0" w:color="1A171C"/>
              <w:bottom w:val="single" w:sz="4" w:space="0" w:color="1A171C"/>
              <w:right w:val="nil"/>
            </w:tcBorders>
          </w:tcPr>
          <w:p w:rsidR="00881C3C" w:rsidRPr="00D92B3C" w:rsidRDefault="00720344"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Kritisk funktion</w:t>
            </w:r>
          </w:p>
          <w:p w:rsidR="00881C3C" w:rsidRPr="00D92B3C" w:rsidRDefault="00881C3C" w:rsidP="002B1BF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Den kritiska funktion vars utförande allvarligt skulle hindras eller helt upphöra om de tjänster som informationssystemet stöder störs. Det kan finnas flera kritiska funktioner och i så fall ska flera rader redovisas för samma informationssystem.</w:t>
            </w:r>
          </w:p>
        </w:tc>
      </w:tr>
      <w:tr w:rsidR="00D22EB0" w:rsidRPr="00D92B3C" w:rsidTr="009D2C94">
        <w:tc>
          <w:tcPr>
            <w:tcW w:w="1191" w:type="dxa"/>
            <w:tcBorders>
              <w:top w:val="single" w:sz="4" w:space="0" w:color="1A171C"/>
              <w:left w:val="nil"/>
              <w:bottom w:val="single" w:sz="4" w:space="0" w:color="1A171C"/>
              <w:right w:val="single" w:sz="4" w:space="0" w:color="1A171C"/>
            </w:tcBorders>
            <w:vAlign w:val="center"/>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rsidR="00881C3C" w:rsidRPr="00D92B3C" w:rsidRDefault="00A22166"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Land</w:t>
            </w:r>
          </w:p>
          <w:p w:rsidR="00881C3C" w:rsidRPr="00D92B3C" w:rsidRDefault="009D5DAF" w:rsidP="009D2C94">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Landet för vilket funktionen är kritisk, enligt vad som redovisas i Z 07.01 (FUNC 1).</w:t>
            </w:r>
          </w:p>
        </w:tc>
      </w:tr>
      <w:tr w:rsidR="00881C3C" w:rsidRPr="00D92B3C" w:rsidTr="009D2C94">
        <w:tc>
          <w:tcPr>
            <w:tcW w:w="1191" w:type="dxa"/>
            <w:tcBorders>
              <w:top w:val="single" w:sz="4" w:space="0" w:color="1A171C"/>
              <w:left w:val="nil"/>
              <w:bottom w:val="single" w:sz="4" w:space="0" w:color="1A171C"/>
              <w:right w:val="single" w:sz="4" w:space="0" w:color="1A171C"/>
            </w:tcBorders>
            <w:vAlign w:val="center"/>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vAlign w:val="center"/>
          </w:tcPr>
          <w:p w:rsidR="00881C3C" w:rsidRPr="00D92B3C" w:rsidRDefault="00881C3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ID</w:t>
            </w:r>
          </w:p>
          <w:p w:rsidR="00881C3C" w:rsidRPr="00D92B3C" w:rsidRDefault="00881C3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ID för den kritiska funktionen enligt definitionen i kapitel 2.7.1.4 ovan och som avses i mall Z 07.01 (FUNC 1).</w:t>
            </w:r>
          </w:p>
        </w:tc>
      </w:tr>
    </w:tbl>
    <w:p w:rsidR="001E5EDF" w:rsidRPr="00D92B3C" w:rsidRDefault="001E5EDF" w:rsidP="00322967">
      <w:pPr>
        <w:pStyle w:val="body"/>
        <w:rPr>
          <w:rFonts w:ascii="Times New Roman" w:hAnsi="Times New Roman" w:cs="Times New Roman"/>
          <w:color w:val="000000" w:themeColor="text1"/>
          <w:sz w:val="20"/>
          <w:szCs w:val="20"/>
        </w:rPr>
      </w:pPr>
    </w:p>
    <w:sectPr w:rsidR="001E5EDF" w:rsidRPr="00D92B3C" w:rsidSect="00B665D6">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3186" w:rsidRDefault="003C3186" w:rsidP="001E5EDF">
      <w:r>
        <w:separator/>
      </w:r>
    </w:p>
  </w:endnote>
  <w:endnote w:type="continuationSeparator" w:id="0">
    <w:p w:rsidR="003C3186" w:rsidRDefault="003C3186" w:rsidP="001E5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EUAlbertina">
    <w:altName w:val="Times New Roman"/>
    <w:panose1 w:val="00000000000000000000"/>
    <w:charset w:val="00"/>
    <w:family w:val="auto"/>
    <w:notTrueType/>
    <w:pitch w:val="default"/>
    <w:sig w:usb0="00000001" w:usb1="00000000" w:usb2="00000000" w:usb3="00000000" w:csb0="00000003" w:csb1="00000000"/>
  </w:font>
  <w:font w:name="Lucida Grande">
    <w:altName w:val="Times New Roman"/>
    <w:charset w:val="00"/>
    <w:family w:val="auto"/>
    <w:pitch w:val="variable"/>
    <w:sig w:usb0="00000000"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20002A87" w:usb1="00000000" w:usb2="00000000"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3105955"/>
      <w:docPartObj>
        <w:docPartGallery w:val="Page Numbers (Bottom of Page)"/>
        <w:docPartUnique/>
      </w:docPartObj>
    </w:sdtPr>
    <w:sdtEndPr>
      <w:rPr>
        <w:noProof/>
      </w:rPr>
    </w:sdtEndPr>
    <w:sdtContent>
      <w:p w:rsidR="003C3186" w:rsidRDefault="003C3186" w:rsidP="000E60D6">
        <w:pPr>
          <w:pStyle w:val="Footer"/>
          <w:jc w:val="center"/>
        </w:pPr>
        <w:r>
          <w:rPr>
            <w:noProof/>
          </w:rPr>
          <w:fldChar w:fldCharType="begin"/>
        </w:r>
        <w:r>
          <w:rPr>
            <w:noProof/>
          </w:rPr>
          <w:instrText xml:space="preserve"> PAGE   \* MERGEFORMAT </w:instrText>
        </w:r>
        <w:r>
          <w:rPr>
            <w:noProof/>
          </w:rPr>
          <w:fldChar w:fldCharType="separate"/>
        </w:r>
        <w:r w:rsidR="00D8163F">
          <w:rPr>
            <w:noProof/>
          </w:rPr>
          <w:t>2</w:t>
        </w:r>
        <w:r>
          <w:rPr>
            <w:noProof/>
          </w:rPr>
          <w:fldChar w:fldCharType="end"/>
        </w:r>
      </w:p>
    </w:sdtContent>
  </w:sdt>
  <w:p w:rsidR="003C3186" w:rsidRDefault="003C31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3186" w:rsidRDefault="003C3186" w:rsidP="001E5EDF">
      <w:r>
        <w:separator/>
      </w:r>
    </w:p>
  </w:footnote>
  <w:footnote w:type="continuationSeparator" w:id="0">
    <w:p w:rsidR="003C3186" w:rsidRDefault="003C3186" w:rsidP="001E5EDF">
      <w:r>
        <w:continuationSeparator/>
      </w:r>
    </w:p>
  </w:footnote>
  <w:footnote w:id="1">
    <w:p w:rsidR="003C3186" w:rsidRPr="008E5458" w:rsidRDefault="003C3186" w:rsidP="008E5458">
      <w:pPr>
        <w:pStyle w:val="FootnoteText"/>
        <w:rPr>
          <w:lang w:val="en-GB"/>
        </w:rPr>
      </w:pPr>
      <w:r>
        <w:rPr>
          <w:rStyle w:val="FootnoteReference"/>
          <w:rFonts w:ascii="Times New Roman" w:hAnsi="Times New Roman"/>
        </w:rPr>
        <w:footnoteRef/>
      </w:r>
      <w:r>
        <w:t xml:space="preserve"> </w:t>
      </w:r>
      <w:r>
        <w:rPr>
          <w:sz w:val="20"/>
        </w:rPr>
        <w:t>Kommissionens genomförandeförordning (EU) nr 680/2014 av</w:t>
      </w:r>
      <w:r>
        <w:t xml:space="preserve"> den 16 april 2014 om tekniska standarder för instituts tillsynsrapportering enligt Europaparlamentets och rådets förordning (EU) nr 575/2013 (EUT L 191, 28.6.2014, s. 1).</w:t>
      </w:r>
    </w:p>
  </w:footnote>
  <w:footnote w:id="2">
    <w:p w:rsidR="003C3186" w:rsidRPr="00E17940" w:rsidRDefault="003C3186" w:rsidP="008E5458">
      <w:pPr>
        <w:pStyle w:val="FootnoteText"/>
      </w:pPr>
      <w:r>
        <w:rPr>
          <w:rStyle w:val="FootnoteReference"/>
          <w:rFonts w:ascii="Times New Roman" w:hAnsi="Times New Roman"/>
        </w:rPr>
        <w:footnoteRef/>
      </w:r>
      <w:r>
        <w:t xml:space="preserve"> Europaparlamentets och rådets förordning (EG) nr 1606/2002 av den 19 juli 2002 om tillämpning av internationella redovisningsstandarder (EGT L 243, 11.9.2002, s.1).</w:t>
      </w:r>
    </w:p>
  </w:footnote>
  <w:footnote w:id="3">
    <w:p w:rsidR="003C3186" w:rsidRPr="008E5458" w:rsidRDefault="003C3186" w:rsidP="00543060">
      <w:pPr>
        <w:pStyle w:val="FootnoteText"/>
      </w:pPr>
      <w:r>
        <w:rPr>
          <w:rStyle w:val="FootnoteReference"/>
          <w:rFonts w:ascii="Times New Roman" w:hAnsi="Times New Roman"/>
        </w:rPr>
        <w:footnoteRef/>
      </w:r>
      <w:r>
        <w:t xml:space="preserve"> Europaparlamentets och rådets förordning (EG) nr 1606/2002 av den 19 juli 2002 om tillämpning av internationella redovisningsstandarder (EGT L 243, 11.9.2002, s.1).</w:t>
      </w:r>
    </w:p>
  </w:footnote>
  <w:footnote w:id="4">
    <w:p w:rsidR="003C3186" w:rsidRPr="00BB34DC" w:rsidRDefault="003C3186" w:rsidP="00543060">
      <w:pPr>
        <w:pStyle w:val="FootnoteText"/>
        <w:rPr>
          <w:lang w:val="en-GB"/>
        </w:rPr>
      </w:pPr>
      <w:r>
        <w:rPr>
          <w:rStyle w:val="FootnoteReference"/>
          <w:rFonts w:ascii="Times New Roman" w:hAnsi="Times New Roman"/>
        </w:rPr>
        <w:footnoteRef/>
      </w:r>
      <w:r>
        <w:t xml:space="preserve"> Rådets direktiv 86/635/EEG av den 8 december 1986 om årsbokslut och sammanställd redovisning för banker och andra finansiella institut (EGT L 372, 31.12.1986, s. 1).</w:t>
      </w:r>
    </w:p>
  </w:footnote>
  <w:footnote w:id="5">
    <w:p w:rsidR="003C3186" w:rsidRPr="00E17940" w:rsidRDefault="003C3186" w:rsidP="00543060">
      <w:pPr>
        <w:pStyle w:val="FootnoteText"/>
      </w:pPr>
      <w:r>
        <w:rPr>
          <w:rStyle w:val="FootnoteReference"/>
          <w:rFonts w:ascii="Times New Roman" w:hAnsi="Times New Roman"/>
        </w:rPr>
        <w:footnoteRef/>
      </w:r>
      <w:r>
        <w:t xml:space="preserve"> Europaparlamentets och rådets förordning (EU) nr 575/2013 av den 26 juni 2013 om tillsynskrav för kreditinstitut och värdepappersföretag och om ändring av förordning (EU) nr 648/2012 (EUT L 176, 27.6.2013, s. 1).</w:t>
      </w:r>
    </w:p>
  </w:footnote>
  <w:footnote w:id="6">
    <w:p w:rsidR="003C3186" w:rsidRPr="00E17940" w:rsidRDefault="003C3186" w:rsidP="00543060">
      <w:pPr>
        <w:pStyle w:val="FootnoteText"/>
      </w:pPr>
      <w:r>
        <w:rPr>
          <w:rStyle w:val="FootnoteReference"/>
        </w:rPr>
        <w:footnoteRef/>
      </w:r>
      <w:r>
        <w:t xml:space="preserve"> Europaparlamentets och rådets direktiv 2013/36/EU av den 26 juni 2013 om behörighet att utöva verksamhet i kreditinstitut och om tillsyn av kreditinstitut och värdepappersföretag, om ändring av direktiv 2002/87/EG och om upphävande av direktiv 2006/48/EG och 2006/49/EG (EUT L 176, 27.6.2013, s.338).</w:t>
      </w:r>
    </w:p>
  </w:footnote>
  <w:footnote w:id="7">
    <w:p w:rsidR="003C3186" w:rsidRPr="00CF3EBF" w:rsidRDefault="003C3186" w:rsidP="008B1EBD">
      <w:pPr>
        <w:pStyle w:val="FootnoteText"/>
      </w:pPr>
      <w:r>
        <w:rPr>
          <w:rStyle w:val="FootnoteReference"/>
          <w:rFonts w:ascii="Times New Roman" w:hAnsi="Times New Roman"/>
        </w:rPr>
        <w:footnoteRef/>
      </w:r>
      <w:r>
        <w:t xml:space="preserve"> Europaparlamentets och rådets direktiv 2009/138/EG av den 25 november 2009 om upptagande och utövande av försäkrings- och återförsäkringsverksamhet (Solvens II) ( EUT L 335, 17.12.2009, s.1).</w:t>
      </w:r>
    </w:p>
  </w:footnote>
  <w:footnote w:id="8">
    <w:p w:rsidR="003C3186" w:rsidRPr="00113543" w:rsidRDefault="003C3186" w:rsidP="008B1EBD">
      <w:pPr>
        <w:pStyle w:val="FootnoteText"/>
      </w:pPr>
      <w:r>
        <w:rPr>
          <w:rStyle w:val="FootnoteReference"/>
          <w:rFonts w:ascii="Times New Roman" w:hAnsi="Times New Roman"/>
        </w:rPr>
        <w:footnoteRef/>
      </w:r>
      <w:r>
        <w:t xml:space="preserve"> Kommissionens rekommendation av den 6 maj 2003 om definitionen av mikroföretag samt små och medelstora företag (delgivet med nr K(2003) 1422) (EUT L 124, 20.5.2003 s. 36).</w:t>
      </w:r>
    </w:p>
  </w:footnote>
  <w:footnote w:id="9">
    <w:p w:rsidR="003C3186" w:rsidRDefault="003C3186" w:rsidP="008B1EBD">
      <w:pPr>
        <w:pStyle w:val="FootnoteText"/>
        <w:rPr>
          <w:lang w:val="en-GB"/>
        </w:rPr>
      </w:pPr>
      <w:r>
        <w:rPr>
          <w:rStyle w:val="FootnoteReference"/>
          <w:rFonts w:ascii="Times New Roman" w:hAnsi="Times New Roman"/>
        </w:rPr>
        <w:footnoteRef/>
      </w:r>
      <w:r>
        <w:t xml:space="preserve"> Europeiska centralbankens förordning (EU) nr 1071/2013 om de monetära finansinstitutetens balansräkningar (EUT L 297, 7.11.2013, s. 1)</w:t>
      </w:r>
    </w:p>
  </w:footnote>
  <w:footnote w:id="10">
    <w:p w:rsidR="003C3186" w:rsidRPr="00B77FC7" w:rsidRDefault="003C3186" w:rsidP="008E5458">
      <w:pPr>
        <w:pStyle w:val="FootnoteText"/>
      </w:pPr>
      <w:r>
        <w:rPr>
          <w:rStyle w:val="FootnoteReference"/>
        </w:rPr>
        <w:footnoteRef/>
      </w:r>
      <w:r>
        <w:t xml:space="preserve"> Europaparlamentets och rådets direktiv 2014/59/EU av den 15 maj 2014 om inrättande av en ram för återhämtning och resolution av kreditinstitut och värdepappersföretag och om ändring av rådets direktiv 82/891/EEG och Europaparlamentets och rådets direktiv 2001/24/EG, 2002/47/EG, 2004/25/EG, 2005/56/EG, 2007/36/EG, 2011/35/EU, 2012/30/EU och 2013/36/EU samt Europaparlamentets och rådets förordningar (EU) nr 1093/2010 och (EU nr 648/2012 (EUT L 173, 12.6.2014, s. 190).</w:t>
      </w:r>
    </w:p>
  </w:footnote>
  <w:footnote w:id="11">
    <w:p w:rsidR="003C3186" w:rsidRPr="001D3665" w:rsidRDefault="003C3186" w:rsidP="008E5458">
      <w:pPr>
        <w:pStyle w:val="FootnoteText"/>
      </w:pPr>
      <w:r>
        <w:rPr>
          <w:rStyle w:val="FootnoteReference"/>
        </w:rPr>
        <w:footnoteRef/>
      </w:r>
      <w:r>
        <w:t xml:space="preserve"> Europaparlamentets och rådets direktiv 2014/49/EU av den 16 april 2014 om insättningsgarantisystem (EUT L 173, 12.6.2014, s. 149).</w:t>
      </w:r>
    </w:p>
  </w:footnote>
  <w:footnote w:id="12">
    <w:p w:rsidR="003C3186" w:rsidRPr="00EB1AD3" w:rsidRDefault="003C3186" w:rsidP="00365E39">
      <w:pPr>
        <w:pStyle w:val="FootnoteText"/>
      </w:pPr>
      <w:r>
        <w:rPr>
          <w:rStyle w:val="FootnoteReference"/>
        </w:rPr>
        <w:footnoteRef/>
      </w:r>
      <w:r>
        <w:t xml:space="preserve"> Europaparlamentets och rådets direktiv 2009/65/EG av den 13 juli 2009 om samordning av lagar och andra författningar som avser företag för kollektiva investeringar i överlåtbara värdepapper (fondföretag) (EUT L 302, 17.11.2009, s. 32).</w:t>
      </w:r>
    </w:p>
  </w:footnote>
  <w:footnote w:id="13">
    <w:p w:rsidR="003C3186" w:rsidRPr="00EB1AD3" w:rsidRDefault="003C3186" w:rsidP="00365E39">
      <w:pPr>
        <w:pStyle w:val="FootnoteText"/>
      </w:pPr>
      <w:r>
        <w:rPr>
          <w:rStyle w:val="FootnoteReference"/>
        </w:rPr>
        <w:footnoteRef/>
      </w:r>
      <w:r>
        <w:t xml:space="preserve"> Europaparlamentets och rådets direktiv 2011/61/EU av den 8 juni 2011 om förvaltare av alternativa investeringsfonder samt om ändring av direktiv 2003/41/EG och 2009/65/EG och förordningarna (EG) nr 1060/2009 och (EU) nr 1095/2010 (EUT L 174, 1.7.2011, s. 1).</w:t>
      </w:r>
    </w:p>
  </w:footnote>
  <w:footnote w:id="14">
    <w:p w:rsidR="003C3186" w:rsidRPr="004002B3" w:rsidRDefault="003C3186" w:rsidP="00365E39">
      <w:pPr>
        <w:pStyle w:val="FootnoteText"/>
      </w:pPr>
      <w:r>
        <w:rPr>
          <w:rStyle w:val="FootnoteReference"/>
        </w:rPr>
        <w:footnoteRef/>
      </w:r>
      <w:r>
        <w:t xml:space="preserve"> Europaparlamentets och rådets direktiv 98/26/EG av den 19 maj 1998 om slutgiltig avveckling i system för överföring av betalningar och värdepapper (EGT L 166, 11.6.1998, s. 45).</w:t>
      </w:r>
    </w:p>
  </w:footnote>
  <w:footnote w:id="15">
    <w:p w:rsidR="003C3186" w:rsidRPr="00181575" w:rsidRDefault="003C3186" w:rsidP="00767F1B">
      <w:pPr>
        <w:pStyle w:val="FootnoteText"/>
        <w:rPr>
          <w:lang w:val="en-GB"/>
        </w:rPr>
      </w:pPr>
      <w:r>
        <w:rPr>
          <w:rStyle w:val="FootnoteReference"/>
        </w:rPr>
        <w:footnoteRef/>
      </w:r>
      <w:r>
        <w:t xml:space="preserve"> Kommissionens delegerade förordning (EU) nr 2016/1401 av den 23 maj 2016 om komplettering av Europaparlamentets och rådets direktiv 2014/59/EU om inrättande av en ram för återhämtning och resolution av kreditinstitut och värdepappersföretag med avseende på tekniska tillsynsstandarder för metoder och principer för värdering av skulder som hänför sig till derivat (EUT L, L 228, 23.8.2016, s. 7).</w:t>
      </w:r>
    </w:p>
  </w:footnote>
  <w:footnote w:id="16">
    <w:p w:rsidR="003C3186" w:rsidRPr="00CF2751" w:rsidRDefault="003C3186" w:rsidP="00767F1B">
      <w:pPr>
        <w:pStyle w:val="FootnoteText"/>
        <w:rPr>
          <w:lang w:val="en-GB"/>
        </w:rPr>
      </w:pPr>
      <w:r>
        <w:rPr>
          <w:rStyle w:val="FootnoteReference"/>
        </w:rPr>
        <w:footnoteRef/>
      </w:r>
      <w:r>
        <w:t xml:space="preserve"> Kommissionens delegerade förordning (EU) 2016/778 av den 2 februari 2016 om komplettering av Europaparlamentets och rådets direktiv 2014/59/EU vad gäller de omständigheter och villkor under vilka betalning av extraordinära efterhandsbidrag får skjutas upp helt eller delvis, och om kriterierna för fastställande av aktiviteter, tjänster och transaktioner avseende kritiska funktioner och för fastställande av affärsområden och kringtjänster avseende kärnaffärsområden (EUT L 131, 20.5.2016, s. 41).</w:t>
      </w:r>
    </w:p>
  </w:footnote>
  <w:footnote w:id="17">
    <w:p w:rsidR="003C3186" w:rsidRPr="00D66550" w:rsidRDefault="003C3186" w:rsidP="00543060">
      <w:pPr>
        <w:pStyle w:val="FootnoteText"/>
        <w:rPr>
          <w:lang w:val="en-GB"/>
        </w:rPr>
      </w:pPr>
      <w:r>
        <w:rPr>
          <w:rStyle w:val="FootnoteReference"/>
        </w:rPr>
        <w:footnoteRef/>
      </w:r>
      <w:r>
        <w:t xml:space="preserve"> Europaparlamentets och rådets direktiv 2015/2366/EU av den 25 november 2015 om betaltjänster på den inre marknaden, om ändring av direktiven 2002/65/EG, 2009/110/EG och 2013/36/EU samt förordning (EU) nr 1093/2010 och om upphävande av direktiv 2007/64/EG (EUT L 337, 23.12.2015, s. 35).</w:t>
      </w:r>
    </w:p>
  </w:footnote>
  <w:footnote w:id="18">
    <w:p w:rsidR="003C3186" w:rsidRPr="00CF2751" w:rsidRDefault="003C3186" w:rsidP="00543060">
      <w:pPr>
        <w:pStyle w:val="FootnoteText"/>
        <w:rPr>
          <w:lang w:val="en-GB"/>
        </w:rPr>
      </w:pPr>
      <w:r>
        <w:rPr>
          <w:rStyle w:val="FootnoteReference"/>
        </w:rPr>
        <w:footnoteRef/>
      </w:r>
      <w:r>
        <w:t xml:space="preserve"> Europaparlamentets och rådets förordning (EU) nr 648/2012 av den 4 juli 2012 om OTC-derivat, centrala motparter och transaktionsregister (EUT L 201, 27.7.2012, s. 1).</w:t>
      </w:r>
    </w:p>
  </w:footnote>
  <w:footnote w:id="19">
    <w:p w:rsidR="003C3186" w:rsidRPr="00CF2751" w:rsidRDefault="003C3186" w:rsidP="00543060">
      <w:pPr>
        <w:pStyle w:val="FootnoteText"/>
        <w:rPr>
          <w:lang w:val="en-GB"/>
        </w:rPr>
      </w:pPr>
      <w:r>
        <w:rPr>
          <w:rStyle w:val="FootnoteReference"/>
        </w:rPr>
        <w:footnoteRef/>
      </w:r>
      <w:r>
        <w:t xml:space="preserve"> Europaparlamentets och rådets direktiv 2014/65/EU av den 15 maj 2014 om marknader för finansiella instrument och om ändring av direktiv 2002/92/EG och av direktiv 2011/61/EU (EUT L 173, 12.6.2014, s. 349).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186" w:rsidRPr="000E60D6" w:rsidRDefault="003C3186" w:rsidP="000E60D6">
    <w:pPr>
      <w:pStyle w:val="Header"/>
      <w:jc w:val="center"/>
      <w:rPr>
        <w:rFonts w:ascii="Times New Roman" w:hAnsi="Times New Roman" w:cs="Times New Roman"/>
      </w:rPr>
    </w:pPr>
    <w:r>
      <w:rPr>
        <w:rFonts w:ascii="Times New Roman" w:hAnsi="Times New Roman"/>
      </w:rPr>
      <w:t>SV</w:t>
    </w:r>
  </w:p>
  <w:p w:rsidR="003C3186" w:rsidRPr="000E60D6" w:rsidRDefault="003C3186" w:rsidP="000E60D6">
    <w:pPr>
      <w:pStyle w:val="Header"/>
      <w:jc w:val="center"/>
      <w:rPr>
        <w:rFonts w:ascii="Times New Roman" w:hAnsi="Times New Roman" w:cs="Times New Roman"/>
      </w:rPr>
    </w:pPr>
    <w:r>
      <w:rPr>
        <w:rFonts w:ascii="Times New Roman" w:hAnsi="Times New Roman"/>
      </w:rPr>
      <w:t>BILAGA II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7067A5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6470A1"/>
    <w:multiLevelType w:val="hybridMultilevel"/>
    <w:tmpl w:val="7C7AE198"/>
    <w:lvl w:ilvl="0" w:tplc="BA2CC71E">
      <w:start w:val="44"/>
      <w:numFmt w:val="bullet"/>
      <w:lvlText w:val="-"/>
      <w:lvlJc w:val="left"/>
      <w:pPr>
        <w:ind w:left="805" w:hanging="360"/>
      </w:pPr>
      <w:rPr>
        <w:rFonts w:ascii="Cambria" w:eastAsiaTheme="minorHAnsi" w:hAnsi="Cambria" w:cs="EUAlbertin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4">
    <w:nsid w:val="0E144329"/>
    <w:multiLevelType w:val="hybridMultilevel"/>
    <w:tmpl w:val="9668C192"/>
    <w:lvl w:ilvl="0" w:tplc="D19ABC80">
      <w:start w:val="1"/>
      <w:numFmt w:val="decimal"/>
      <w:pStyle w:val="Numberedtilelevel1"/>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6">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6F209D6"/>
    <w:multiLevelType w:val="hybridMultilevel"/>
    <w:tmpl w:val="D6EA50C4"/>
    <w:lvl w:ilvl="0" w:tplc="09148082">
      <w:start w:val="1"/>
      <w:numFmt w:val="decimal"/>
      <w:pStyle w:val="Questionforconsultation"/>
      <w:lvlText w:val="Question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AF56781"/>
    <w:multiLevelType w:val="hybridMultilevel"/>
    <w:tmpl w:val="D88025B6"/>
    <w:lvl w:ilvl="0" w:tplc="3D5447DE">
      <w:start w:val="1"/>
      <w:numFmt w:val="lowerRoman"/>
      <w:pStyle w:val="InstructionsText"/>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9">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nsid w:val="1DDB15C1"/>
    <w:multiLevelType w:val="hybridMultilevel"/>
    <w:tmpl w:val="A38E0354"/>
    <w:lvl w:ilvl="0" w:tplc="9CE80BD4">
      <w:start w:val="1"/>
      <w:numFmt w:val="decimal"/>
      <w:lvlText w:val="%1."/>
      <w:lvlJc w:val="left"/>
      <w:pPr>
        <w:ind w:left="530" w:hanging="44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ECC3D9B"/>
    <w:multiLevelType w:val="hybridMultilevel"/>
    <w:tmpl w:val="2ABCD738"/>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nsid w:val="26084AF9"/>
    <w:multiLevelType w:val="hybridMultilevel"/>
    <w:tmpl w:val="B5B6B6DA"/>
    <w:lvl w:ilvl="0" w:tplc="6304ED5E">
      <w:start w:val="1"/>
      <w:numFmt w:val="decimal"/>
      <w:lvlText w:val="(%1)"/>
      <w:lvlJc w:val="right"/>
      <w:pPr>
        <w:ind w:left="1074" w:hanging="360"/>
      </w:pPr>
      <w:rPr>
        <w:rFonts w:hint="default"/>
      </w:rPr>
    </w:lvl>
    <w:lvl w:ilvl="1" w:tplc="08090019" w:tentative="1">
      <w:start w:val="1"/>
      <w:numFmt w:val="lowerLetter"/>
      <w:lvlText w:val="%2."/>
      <w:lvlJc w:val="left"/>
      <w:pPr>
        <w:ind w:left="1794" w:hanging="360"/>
      </w:pPr>
    </w:lvl>
    <w:lvl w:ilvl="2" w:tplc="0809001B" w:tentative="1">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4">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5">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6">
    <w:nsid w:val="2F6F610A"/>
    <w:multiLevelType w:val="hybridMultilevel"/>
    <w:tmpl w:val="1052900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7">
    <w:nsid w:val="34EC077E"/>
    <w:multiLevelType w:val="hybridMultilevel"/>
    <w:tmpl w:val="1D52424E"/>
    <w:lvl w:ilvl="0" w:tplc="D4EE6B84">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nsid w:val="368C4E6F"/>
    <w:multiLevelType w:val="hybridMultilevel"/>
    <w:tmpl w:val="5FD609C8"/>
    <w:lvl w:ilvl="0" w:tplc="36442128">
      <w:start w:val="1"/>
      <w:numFmt w:val="decimal"/>
      <w:lvlText w:val="G.%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3">
    <w:nsid w:val="46F32E4A"/>
    <w:multiLevelType w:val="hybridMultilevel"/>
    <w:tmpl w:val="ACA26962"/>
    <w:lvl w:ilvl="0" w:tplc="55A8A442">
      <w:start w:val="1"/>
      <w:numFmt w:val="decimal"/>
      <w:pStyle w:val="numberedparagraph"/>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nsid w:val="486F0A09"/>
    <w:multiLevelType w:val="hybridMultilevel"/>
    <w:tmpl w:val="72D260BC"/>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25">
    <w:nsid w:val="492269F1"/>
    <w:multiLevelType w:val="hybridMultilevel"/>
    <w:tmpl w:val="04B4E45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26">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nsid w:val="582F3CBD"/>
    <w:multiLevelType w:val="hybridMultilevel"/>
    <w:tmpl w:val="E2F8FEC4"/>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nsid w:val="5A10544D"/>
    <w:multiLevelType w:val="hybridMultilevel"/>
    <w:tmpl w:val="AEF0A6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0">
    <w:nsid w:val="5E3F52BA"/>
    <w:multiLevelType w:val="hybridMultilevel"/>
    <w:tmpl w:val="2462250C"/>
    <w:lvl w:ilvl="0" w:tplc="895E822A">
      <w:start w:val="1"/>
      <w:numFmt w:val="decimal"/>
      <w:lvlText w:val="%1."/>
      <w:lvlJc w:val="left"/>
      <w:pPr>
        <w:ind w:left="530" w:hanging="445"/>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31">
    <w:nsid w:val="67045AA4"/>
    <w:multiLevelType w:val="hybridMultilevel"/>
    <w:tmpl w:val="FE32659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3">
    <w:nsid w:val="6BCD57BB"/>
    <w:multiLevelType w:val="multilevel"/>
    <w:tmpl w:val="5DAE5CB8"/>
    <w:lvl w:ilvl="0">
      <w:start w:val="1"/>
      <w:numFmt w:val="upperRoman"/>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4">
    <w:nsid w:val="6DB451DC"/>
    <w:multiLevelType w:val="multilevel"/>
    <w:tmpl w:val="649A00FE"/>
    <w:lvl w:ilvl="0">
      <w:start w:val="1"/>
      <w:numFmt w:val="decimal"/>
      <w:lvlText w:val="%1."/>
      <w:lvlJc w:val="left"/>
      <w:pPr>
        <w:ind w:left="720" w:hanging="360"/>
      </w:pPr>
      <w:rPr>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35">
    <w:nsid w:val="70084534"/>
    <w:multiLevelType w:val="multilevel"/>
    <w:tmpl w:val="5248FE1C"/>
    <w:lvl w:ilvl="0">
      <w:start w:val="1"/>
      <w:numFmt w:val="decimal"/>
      <w:lvlText w:val="L.%1."/>
      <w:lvlJc w:val="left"/>
      <w:pPr>
        <w:ind w:left="360" w:hanging="360"/>
      </w:pPr>
      <w:rPr>
        <w:rFonts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36">
    <w:nsid w:val="71064D88"/>
    <w:multiLevelType w:val="hybridMultilevel"/>
    <w:tmpl w:val="F79473BE"/>
    <w:lvl w:ilvl="0" w:tplc="98F68450">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C257D43"/>
    <w:multiLevelType w:val="hybridMultilevel"/>
    <w:tmpl w:val="5C8A7378"/>
    <w:lvl w:ilvl="0" w:tplc="FF82B3FC">
      <w:start w:val="1"/>
      <w:numFmt w:val="lowerLetter"/>
      <w:lvlText w:val="%1)"/>
      <w:lvlJc w:val="left"/>
      <w:pPr>
        <w:ind w:left="445" w:hanging="360"/>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num w:numId="1">
    <w:abstractNumId w:val="21"/>
  </w:num>
  <w:num w:numId="2">
    <w:abstractNumId w:val="2"/>
  </w:num>
  <w:num w:numId="3">
    <w:abstractNumId w:val="15"/>
  </w:num>
  <w:num w:numId="4">
    <w:abstractNumId w:val="19"/>
  </w:num>
  <w:num w:numId="5">
    <w:abstractNumId w:val="36"/>
  </w:num>
  <w:num w:numId="6">
    <w:abstractNumId w:val="1"/>
  </w:num>
  <w:num w:numId="7">
    <w:abstractNumId w:val="33"/>
  </w:num>
  <w:num w:numId="8">
    <w:abstractNumId w:val="0"/>
  </w:num>
  <w:num w:numId="9">
    <w:abstractNumId w:val="14"/>
  </w:num>
  <w:num w:numId="10">
    <w:abstractNumId w:val="7"/>
  </w:num>
  <w:num w:numId="11">
    <w:abstractNumId w:val="9"/>
  </w:num>
  <w:num w:numId="12">
    <w:abstractNumId w:val="35"/>
  </w:num>
  <w:num w:numId="13">
    <w:abstractNumId w:val="18"/>
  </w:num>
  <w:num w:numId="14">
    <w:abstractNumId w:val="34"/>
  </w:num>
  <w:num w:numId="1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31"/>
  </w:num>
  <w:num w:numId="19">
    <w:abstractNumId w:val="13"/>
  </w:num>
  <w:num w:numId="20">
    <w:abstractNumId w:val="28"/>
  </w:num>
  <w:num w:numId="21">
    <w:abstractNumId w:val="4"/>
  </w:num>
  <w:num w:numId="22">
    <w:abstractNumId w:val="25"/>
  </w:num>
  <w:num w:numId="23">
    <w:abstractNumId w:val="30"/>
  </w:num>
  <w:num w:numId="24">
    <w:abstractNumId w:val="11"/>
  </w:num>
  <w:num w:numId="25">
    <w:abstractNumId w:val="37"/>
  </w:num>
  <w:num w:numId="26">
    <w:abstractNumId w:val="3"/>
  </w:num>
  <w:num w:numId="27">
    <w:abstractNumId w:val="24"/>
  </w:num>
  <w:num w:numId="28">
    <w:abstractNumId w:val="16"/>
  </w:num>
  <w:num w:numId="29">
    <w:abstractNumId w:val="23"/>
  </w:num>
  <w:num w:numId="30">
    <w:abstractNumId w:val="8"/>
  </w:num>
  <w:num w:numId="31">
    <w:abstractNumId w:val="22"/>
  </w:num>
  <w:num w:numId="32">
    <w:abstractNumId w:val="29"/>
  </w:num>
  <w:num w:numId="33">
    <w:abstractNumId w:val="32"/>
  </w:num>
  <w:num w:numId="34">
    <w:abstractNumId w:val="10"/>
  </w:num>
  <w:num w:numId="35">
    <w:abstractNumId w:val="20"/>
  </w:num>
  <w:num w:numId="36">
    <w:abstractNumId w:val="26"/>
  </w:num>
  <w:num w:numId="37">
    <w:abstractNumId w:val="6"/>
  </w:num>
  <w:num w:numId="38">
    <w:abstractNumId w:val="12"/>
  </w:num>
  <w:num w:numId="39">
    <w:abstractNumId w:val="27"/>
  </w:num>
  <w:num w:numId="40">
    <w:abstractNumId w:val="33"/>
  </w:num>
  <w:num w:numId="41">
    <w:abstractNumId w:val="33"/>
  </w:num>
  <w:num w:numId="42">
    <w:abstractNumId w:val="33"/>
  </w:num>
  <w:num w:numId="43">
    <w:abstractNumId w:val="33"/>
  </w:num>
  <w:num w:numId="44">
    <w:abstractNumId w:val="33"/>
  </w:num>
  <w:num w:numId="45">
    <w:abstractNumId w:val="33"/>
  </w:num>
  <w:num w:numId="4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num>
  <w:num w:numId="48">
    <w:abstractNumId w:val="8"/>
  </w:num>
  <w:num w:numId="49">
    <w:abstractNumId w:val="33"/>
  </w:num>
  <w:num w:numId="50">
    <w:abstractNumId w:val="33"/>
  </w:num>
  <w:num w:numId="51">
    <w:abstractNumId w:val="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docVars>
    <w:docVar w:name="LW_DocType" w:val="FF75025F"/>
  </w:docVars>
  <w:rsids>
    <w:rsidRoot w:val="00E13CE3"/>
    <w:rsid w:val="00001AE9"/>
    <w:rsid w:val="000021FB"/>
    <w:rsid w:val="0000307C"/>
    <w:rsid w:val="00003923"/>
    <w:rsid w:val="0000395A"/>
    <w:rsid w:val="000044B0"/>
    <w:rsid w:val="00005750"/>
    <w:rsid w:val="00005FFE"/>
    <w:rsid w:val="00007D98"/>
    <w:rsid w:val="00007F9D"/>
    <w:rsid w:val="000103DF"/>
    <w:rsid w:val="00010725"/>
    <w:rsid w:val="00010F3A"/>
    <w:rsid w:val="000115A8"/>
    <w:rsid w:val="00013C26"/>
    <w:rsid w:val="00013DC3"/>
    <w:rsid w:val="00014A9D"/>
    <w:rsid w:val="0001511A"/>
    <w:rsid w:val="000160CA"/>
    <w:rsid w:val="00016464"/>
    <w:rsid w:val="000165E9"/>
    <w:rsid w:val="00016BFF"/>
    <w:rsid w:val="000178D0"/>
    <w:rsid w:val="00017E22"/>
    <w:rsid w:val="00020271"/>
    <w:rsid w:val="000208F1"/>
    <w:rsid w:val="00021524"/>
    <w:rsid w:val="00021EE7"/>
    <w:rsid w:val="0002315D"/>
    <w:rsid w:val="00023CCC"/>
    <w:rsid w:val="000242A3"/>
    <w:rsid w:val="000242D1"/>
    <w:rsid w:val="00024327"/>
    <w:rsid w:val="000246A9"/>
    <w:rsid w:val="000249CF"/>
    <w:rsid w:val="00025B4E"/>
    <w:rsid w:val="00025BC3"/>
    <w:rsid w:val="0002624F"/>
    <w:rsid w:val="00026C82"/>
    <w:rsid w:val="00026EF7"/>
    <w:rsid w:val="00027265"/>
    <w:rsid w:val="00027873"/>
    <w:rsid w:val="00030253"/>
    <w:rsid w:val="00030390"/>
    <w:rsid w:val="000321B4"/>
    <w:rsid w:val="00032838"/>
    <w:rsid w:val="00033D5A"/>
    <w:rsid w:val="00034578"/>
    <w:rsid w:val="0003554A"/>
    <w:rsid w:val="00036A1E"/>
    <w:rsid w:val="00036B23"/>
    <w:rsid w:val="00037F79"/>
    <w:rsid w:val="00040759"/>
    <w:rsid w:val="0004091A"/>
    <w:rsid w:val="00041C77"/>
    <w:rsid w:val="00041D41"/>
    <w:rsid w:val="00043329"/>
    <w:rsid w:val="000435D1"/>
    <w:rsid w:val="000447AD"/>
    <w:rsid w:val="0004555E"/>
    <w:rsid w:val="00046A26"/>
    <w:rsid w:val="00046B70"/>
    <w:rsid w:val="00046BE8"/>
    <w:rsid w:val="00046CD0"/>
    <w:rsid w:val="0004756D"/>
    <w:rsid w:val="00047DF7"/>
    <w:rsid w:val="0005082D"/>
    <w:rsid w:val="000509C6"/>
    <w:rsid w:val="0005258C"/>
    <w:rsid w:val="000526E3"/>
    <w:rsid w:val="000536B4"/>
    <w:rsid w:val="000552D5"/>
    <w:rsid w:val="0005604F"/>
    <w:rsid w:val="00056A16"/>
    <w:rsid w:val="00056B14"/>
    <w:rsid w:val="00056DF9"/>
    <w:rsid w:val="00057749"/>
    <w:rsid w:val="000578B0"/>
    <w:rsid w:val="00060666"/>
    <w:rsid w:val="00063EEC"/>
    <w:rsid w:val="00064140"/>
    <w:rsid w:val="000652E3"/>
    <w:rsid w:val="00065939"/>
    <w:rsid w:val="00065A08"/>
    <w:rsid w:val="00065F55"/>
    <w:rsid w:val="000661E2"/>
    <w:rsid w:val="00066E8E"/>
    <w:rsid w:val="000672D5"/>
    <w:rsid w:val="000679B1"/>
    <w:rsid w:val="00070260"/>
    <w:rsid w:val="0007057C"/>
    <w:rsid w:val="000713A0"/>
    <w:rsid w:val="00071FD3"/>
    <w:rsid w:val="000724F4"/>
    <w:rsid w:val="000725C8"/>
    <w:rsid w:val="000745B1"/>
    <w:rsid w:val="000751A2"/>
    <w:rsid w:val="00075932"/>
    <w:rsid w:val="00075A41"/>
    <w:rsid w:val="00076B07"/>
    <w:rsid w:val="00077A9B"/>
    <w:rsid w:val="00077AFC"/>
    <w:rsid w:val="00080110"/>
    <w:rsid w:val="00081C27"/>
    <w:rsid w:val="00083C73"/>
    <w:rsid w:val="00085A06"/>
    <w:rsid w:val="00086DA2"/>
    <w:rsid w:val="00090B48"/>
    <w:rsid w:val="0009111C"/>
    <w:rsid w:val="000916CF"/>
    <w:rsid w:val="000917F8"/>
    <w:rsid w:val="00091EE3"/>
    <w:rsid w:val="000927AF"/>
    <w:rsid w:val="00092D3C"/>
    <w:rsid w:val="00092FBF"/>
    <w:rsid w:val="00094398"/>
    <w:rsid w:val="000943D3"/>
    <w:rsid w:val="00094F56"/>
    <w:rsid w:val="000960A5"/>
    <w:rsid w:val="0009740A"/>
    <w:rsid w:val="000A2026"/>
    <w:rsid w:val="000A2228"/>
    <w:rsid w:val="000A3045"/>
    <w:rsid w:val="000A3093"/>
    <w:rsid w:val="000A42B5"/>
    <w:rsid w:val="000A62C5"/>
    <w:rsid w:val="000A65F6"/>
    <w:rsid w:val="000A67FD"/>
    <w:rsid w:val="000A7CD9"/>
    <w:rsid w:val="000A7D64"/>
    <w:rsid w:val="000B0603"/>
    <w:rsid w:val="000B0CAC"/>
    <w:rsid w:val="000B112C"/>
    <w:rsid w:val="000B1E8E"/>
    <w:rsid w:val="000B23C0"/>
    <w:rsid w:val="000B27BB"/>
    <w:rsid w:val="000B3BD7"/>
    <w:rsid w:val="000B4831"/>
    <w:rsid w:val="000B4BB2"/>
    <w:rsid w:val="000B4E80"/>
    <w:rsid w:val="000B5AEB"/>
    <w:rsid w:val="000B6312"/>
    <w:rsid w:val="000B669C"/>
    <w:rsid w:val="000B7146"/>
    <w:rsid w:val="000B75A6"/>
    <w:rsid w:val="000B7C53"/>
    <w:rsid w:val="000B7C65"/>
    <w:rsid w:val="000B7DC6"/>
    <w:rsid w:val="000B7FDA"/>
    <w:rsid w:val="000C2D75"/>
    <w:rsid w:val="000C2F01"/>
    <w:rsid w:val="000C320F"/>
    <w:rsid w:val="000C6315"/>
    <w:rsid w:val="000C6E53"/>
    <w:rsid w:val="000C7729"/>
    <w:rsid w:val="000C792C"/>
    <w:rsid w:val="000C7CD3"/>
    <w:rsid w:val="000D0650"/>
    <w:rsid w:val="000D3417"/>
    <w:rsid w:val="000D35D1"/>
    <w:rsid w:val="000D3CC1"/>
    <w:rsid w:val="000D416B"/>
    <w:rsid w:val="000D46EE"/>
    <w:rsid w:val="000D7D01"/>
    <w:rsid w:val="000E0A9C"/>
    <w:rsid w:val="000E1085"/>
    <w:rsid w:val="000E1973"/>
    <w:rsid w:val="000E275A"/>
    <w:rsid w:val="000E2914"/>
    <w:rsid w:val="000E53B8"/>
    <w:rsid w:val="000E5514"/>
    <w:rsid w:val="000E60D6"/>
    <w:rsid w:val="000E778A"/>
    <w:rsid w:val="000F0E1D"/>
    <w:rsid w:val="000F205F"/>
    <w:rsid w:val="000F273B"/>
    <w:rsid w:val="000F278A"/>
    <w:rsid w:val="000F2F60"/>
    <w:rsid w:val="000F3337"/>
    <w:rsid w:val="000F3A1E"/>
    <w:rsid w:val="000F3E9A"/>
    <w:rsid w:val="000F4421"/>
    <w:rsid w:val="000F49B3"/>
    <w:rsid w:val="000F49C8"/>
    <w:rsid w:val="000F563C"/>
    <w:rsid w:val="000F5772"/>
    <w:rsid w:val="000F5FB0"/>
    <w:rsid w:val="0010068F"/>
    <w:rsid w:val="00100FC4"/>
    <w:rsid w:val="0010135C"/>
    <w:rsid w:val="001029FA"/>
    <w:rsid w:val="00102C03"/>
    <w:rsid w:val="0010375F"/>
    <w:rsid w:val="001039D4"/>
    <w:rsid w:val="001039D8"/>
    <w:rsid w:val="001048AF"/>
    <w:rsid w:val="001053FA"/>
    <w:rsid w:val="00106418"/>
    <w:rsid w:val="00106ADD"/>
    <w:rsid w:val="00106DE3"/>
    <w:rsid w:val="00107E7E"/>
    <w:rsid w:val="00110C6B"/>
    <w:rsid w:val="0011184A"/>
    <w:rsid w:val="00111CB0"/>
    <w:rsid w:val="00112240"/>
    <w:rsid w:val="00112699"/>
    <w:rsid w:val="00113543"/>
    <w:rsid w:val="00114EDD"/>
    <w:rsid w:val="0011589A"/>
    <w:rsid w:val="00116110"/>
    <w:rsid w:val="00116EEF"/>
    <w:rsid w:val="00120519"/>
    <w:rsid w:val="00120596"/>
    <w:rsid w:val="00122E1B"/>
    <w:rsid w:val="001235FE"/>
    <w:rsid w:val="00123B4B"/>
    <w:rsid w:val="00123DEE"/>
    <w:rsid w:val="001245E6"/>
    <w:rsid w:val="001247E1"/>
    <w:rsid w:val="00124BD6"/>
    <w:rsid w:val="001253E7"/>
    <w:rsid w:val="0012756A"/>
    <w:rsid w:val="001308EA"/>
    <w:rsid w:val="0013115B"/>
    <w:rsid w:val="001319DE"/>
    <w:rsid w:val="00132139"/>
    <w:rsid w:val="001331BD"/>
    <w:rsid w:val="00134C49"/>
    <w:rsid w:val="001353EC"/>
    <w:rsid w:val="001354CE"/>
    <w:rsid w:val="00135FA8"/>
    <w:rsid w:val="00136B39"/>
    <w:rsid w:val="00140842"/>
    <w:rsid w:val="001415CE"/>
    <w:rsid w:val="0014425E"/>
    <w:rsid w:val="00144CD5"/>
    <w:rsid w:val="0014587C"/>
    <w:rsid w:val="00146DF3"/>
    <w:rsid w:val="00147D95"/>
    <w:rsid w:val="00150664"/>
    <w:rsid w:val="00151035"/>
    <w:rsid w:val="0015189D"/>
    <w:rsid w:val="00151EC7"/>
    <w:rsid w:val="0015219C"/>
    <w:rsid w:val="001528ED"/>
    <w:rsid w:val="001533F2"/>
    <w:rsid w:val="001534CA"/>
    <w:rsid w:val="00154AF2"/>
    <w:rsid w:val="0015524E"/>
    <w:rsid w:val="00155516"/>
    <w:rsid w:val="001561A9"/>
    <w:rsid w:val="0015627C"/>
    <w:rsid w:val="0015646D"/>
    <w:rsid w:val="00162BF7"/>
    <w:rsid w:val="001636DD"/>
    <w:rsid w:val="00163EC7"/>
    <w:rsid w:val="00165392"/>
    <w:rsid w:val="001653A4"/>
    <w:rsid w:val="001654CE"/>
    <w:rsid w:val="001663F8"/>
    <w:rsid w:val="0016777E"/>
    <w:rsid w:val="00167CFF"/>
    <w:rsid w:val="001705E9"/>
    <w:rsid w:val="00170618"/>
    <w:rsid w:val="00170788"/>
    <w:rsid w:val="0017118A"/>
    <w:rsid w:val="0017190A"/>
    <w:rsid w:val="00172204"/>
    <w:rsid w:val="00172E51"/>
    <w:rsid w:val="001730CC"/>
    <w:rsid w:val="0017346D"/>
    <w:rsid w:val="00173EA7"/>
    <w:rsid w:val="001763F2"/>
    <w:rsid w:val="0017753B"/>
    <w:rsid w:val="001779EA"/>
    <w:rsid w:val="00177D7E"/>
    <w:rsid w:val="001817ED"/>
    <w:rsid w:val="00181AFF"/>
    <w:rsid w:val="00181FDA"/>
    <w:rsid w:val="0018376A"/>
    <w:rsid w:val="0018458C"/>
    <w:rsid w:val="001847C9"/>
    <w:rsid w:val="00185A09"/>
    <w:rsid w:val="00187225"/>
    <w:rsid w:val="001873C2"/>
    <w:rsid w:val="00190B38"/>
    <w:rsid w:val="0019196B"/>
    <w:rsid w:val="00191A77"/>
    <w:rsid w:val="00191B0B"/>
    <w:rsid w:val="00192F42"/>
    <w:rsid w:val="0019312E"/>
    <w:rsid w:val="00193452"/>
    <w:rsid w:val="00195FE9"/>
    <w:rsid w:val="001971EB"/>
    <w:rsid w:val="001A197E"/>
    <w:rsid w:val="001A2539"/>
    <w:rsid w:val="001A29A6"/>
    <w:rsid w:val="001A2AE4"/>
    <w:rsid w:val="001A2B78"/>
    <w:rsid w:val="001A2F10"/>
    <w:rsid w:val="001A3460"/>
    <w:rsid w:val="001A5804"/>
    <w:rsid w:val="001A6379"/>
    <w:rsid w:val="001A6769"/>
    <w:rsid w:val="001A72A0"/>
    <w:rsid w:val="001B05BD"/>
    <w:rsid w:val="001B1B71"/>
    <w:rsid w:val="001B231E"/>
    <w:rsid w:val="001B40E3"/>
    <w:rsid w:val="001B6B3E"/>
    <w:rsid w:val="001B7160"/>
    <w:rsid w:val="001C075F"/>
    <w:rsid w:val="001C0ED7"/>
    <w:rsid w:val="001C16A7"/>
    <w:rsid w:val="001C327A"/>
    <w:rsid w:val="001C3FF3"/>
    <w:rsid w:val="001C68A5"/>
    <w:rsid w:val="001C74FB"/>
    <w:rsid w:val="001D01FA"/>
    <w:rsid w:val="001D0D8C"/>
    <w:rsid w:val="001D258F"/>
    <w:rsid w:val="001D2B9E"/>
    <w:rsid w:val="001D3665"/>
    <w:rsid w:val="001D3BEB"/>
    <w:rsid w:val="001D43C7"/>
    <w:rsid w:val="001D5054"/>
    <w:rsid w:val="001D5221"/>
    <w:rsid w:val="001D5308"/>
    <w:rsid w:val="001D5988"/>
    <w:rsid w:val="001D626A"/>
    <w:rsid w:val="001D6ECF"/>
    <w:rsid w:val="001D706F"/>
    <w:rsid w:val="001D72E4"/>
    <w:rsid w:val="001D73EA"/>
    <w:rsid w:val="001D7894"/>
    <w:rsid w:val="001D7C3C"/>
    <w:rsid w:val="001E1828"/>
    <w:rsid w:val="001E1939"/>
    <w:rsid w:val="001E1FA4"/>
    <w:rsid w:val="001E3330"/>
    <w:rsid w:val="001E3CA8"/>
    <w:rsid w:val="001E4C03"/>
    <w:rsid w:val="001E5A11"/>
    <w:rsid w:val="001E5EDF"/>
    <w:rsid w:val="001E602B"/>
    <w:rsid w:val="001E60E0"/>
    <w:rsid w:val="001E6258"/>
    <w:rsid w:val="001E6901"/>
    <w:rsid w:val="001E6C32"/>
    <w:rsid w:val="001E6F48"/>
    <w:rsid w:val="001E7389"/>
    <w:rsid w:val="001E73DA"/>
    <w:rsid w:val="001E7CE0"/>
    <w:rsid w:val="001F072D"/>
    <w:rsid w:val="001F0927"/>
    <w:rsid w:val="001F19D3"/>
    <w:rsid w:val="001F21AF"/>
    <w:rsid w:val="001F2969"/>
    <w:rsid w:val="001F2E31"/>
    <w:rsid w:val="001F54B8"/>
    <w:rsid w:val="001F5CB8"/>
    <w:rsid w:val="001F6837"/>
    <w:rsid w:val="001F6AAC"/>
    <w:rsid w:val="001F7600"/>
    <w:rsid w:val="001F7941"/>
    <w:rsid w:val="001F7B15"/>
    <w:rsid w:val="001F7E42"/>
    <w:rsid w:val="00200730"/>
    <w:rsid w:val="00201640"/>
    <w:rsid w:val="002016C3"/>
    <w:rsid w:val="00202960"/>
    <w:rsid w:val="00204F9C"/>
    <w:rsid w:val="002060F0"/>
    <w:rsid w:val="0020691B"/>
    <w:rsid w:val="00206B2B"/>
    <w:rsid w:val="0020797F"/>
    <w:rsid w:val="002105DD"/>
    <w:rsid w:val="00212D71"/>
    <w:rsid w:val="00213429"/>
    <w:rsid w:val="0021390E"/>
    <w:rsid w:val="00213AEA"/>
    <w:rsid w:val="00214867"/>
    <w:rsid w:val="00222CEA"/>
    <w:rsid w:val="00223F70"/>
    <w:rsid w:val="00227893"/>
    <w:rsid w:val="0023123C"/>
    <w:rsid w:val="002313F7"/>
    <w:rsid w:val="00231AE3"/>
    <w:rsid w:val="0023200A"/>
    <w:rsid w:val="00232C9E"/>
    <w:rsid w:val="00234786"/>
    <w:rsid w:val="0023501F"/>
    <w:rsid w:val="0023643A"/>
    <w:rsid w:val="002364E1"/>
    <w:rsid w:val="002367B8"/>
    <w:rsid w:val="00241763"/>
    <w:rsid w:val="002435CD"/>
    <w:rsid w:val="00243716"/>
    <w:rsid w:val="00243E34"/>
    <w:rsid w:val="002449CC"/>
    <w:rsid w:val="00245A9E"/>
    <w:rsid w:val="00245CD9"/>
    <w:rsid w:val="0024682E"/>
    <w:rsid w:val="002472D0"/>
    <w:rsid w:val="00247B73"/>
    <w:rsid w:val="00251C04"/>
    <w:rsid w:val="002528FF"/>
    <w:rsid w:val="00253DFD"/>
    <w:rsid w:val="002555D3"/>
    <w:rsid w:val="00255A8C"/>
    <w:rsid w:val="00255BEA"/>
    <w:rsid w:val="00255C59"/>
    <w:rsid w:val="00255C9B"/>
    <w:rsid w:val="00256BF7"/>
    <w:rsid w:val="0025715C"/>
    <w:rsid w:val="0025768A"/>
    <w:rsid w:val="00261F96"/>
    <w:rsid w:val="00262051"/>
    <w:rsid w:val="0026230B"/>
    <w:rsid w:val="00263328"/>
    <w:rsid w:val="002670F6"/>
    <w:rsid w:val="00270CD9"/>
    <w:rsid w:val="00270F75"/>
    <w:rsid w:val="00271815"/>
    <w:rsid w:val="00271819"/>
    <w:rsid w:val="00272AAC"/>
    <w:rsid w:val="00272E28"/>
    <w:rsid w:val="00273F69"/>
    <w:rsid w:val="00274771"/>
    <w:rsid w:val="00274BC7"/>
    <w:rsid w:val="00275806"/>
    <w:rsid w:val="00276101"/>
    <w:rsid w:val="00276FFB"/>
    <w:rsid w:val="00277550"/>
    <w:rsid w:val="00277B15"/>
    <w:rsid w:val="00281DD6"/>
    <w:rsid w:val="00281E72"/>
    <w:rsid w:val="002822B0"/>
    <w:rsid w:val="00282777"/>
    <w:rsid w:val="00283887"/>
    <w:rsid w:val="0028403B"/>
    <w:rsid w:val="00285CD9"/>
    <w:rsid w:val="0028783E"/>
    <w:rsid w:val="002906FE"/>
    <w:rsid w:val="002913CE"/>
    <w:rsid w:val="0029164D"/>
    <w:rsid w:val="00291ADD"/>
    <w:rsid w:val="00292556"/>
    <w:rsid w:val="00292C53"/>
    <w:rsid w:val="00294DE7"/>
    <w:rsid w:val="00296779"/>
    <w:rsid w:val="00296A07"/>
    <w:rsid w:val="00296AFF"/>
    <w:rsid w:val="00297785"/>
    <w:rsid w:val="002A0093"/>
    <w:rsid w:val="002A01B5"/>
    <w:rsid w:val="002A1124"/>
    <w:rsid w:val="002A228C"/>
    <w:rsid w:val="002A26D5"/>
    <w:rsid w:val="002A2901"/>
    <w:rsid w:val="002A2C22"/>
    <w:rsid w:val="002A3586"/>
    <w:rsid w:val="002A386B"/>
    <w:rsid w:val="002A38FE"/>
    <w:rsid w:val="002A442C"/>
    <w:rsid w:val="002A54D2"/>
    <w:rsid w:val="002A5D39"/>
    <w:rsid w:val="002A5F0B"/>
    <w:rsid w:val="002B0092"/>
    <w:rsid w:val="002B0367"/>
    <w:rsid w:val="002B1BF5"/>
    <w:rsid w:val="002B22C9"/>
    <w:rsid w:val="002B279F"/>
    <w:rsid w:val="002B2A61"/>
    <w:rsid w:val="002B3A54"/>
    <w:rsid w:val="002B3B7F"/>
    <w:rsid w:val="002B4844"/>
    <w:rsid w:val="002B7EA4"/>
    <w:rsid w:val="002C034F"/>
    <w:rsid w:val="002C0D20"/>
    <w:rsid w:val="002C251E"/>
    <w:rsid w:val="002C349A"/>
    <w:rsid w:val="002C4834"/>
    <w:rsid w:val="002C4BA7"/>
    <w:rsid w:val="002D06FC"/>
    <w:rsid w:val="002D23F0"/>
    <w:rsid w:val="002D2C1C"/>
    <w:rsid w:val="002D5700"/>
    <w:rsid w:val="002D7C07"/>
    <w:rsid w:val="002D7DF3"/>
    <w:rsid w:val="002E0A15"/>
    <w:rsid w:val="002E3492"/>
    <w:rsid w:val="002E3550"/>
    <w:rsid w:val="002E41E5"/>
    <w:rsid w:val="002E589F"/>
    <w:rsid w:val="002E7149"/>
    <w:rsid w:val="002F0C43"/>
    <w:rsid w:val="002F1508"/>
    <w:rsid w:val="002F25E4"/>
    <w:rsid w:val="002F2E8E"/>
    <w:rsid w:val="002F55A8"/>
    <w:rsid w:val="002F5B78"/>
    <w:rsid w:val="002F6BBC"/>
    <w:rsid w:val="002F735B"/>
    <w:rsid w:val="002F749E"/>
    <w:rsid w:val="002F7B2D"/>
    <w:rsid w:val="002F7E24"/>
    <w:rsid w:val="002F7E76"/>
    <w:rsid w:val="003008B5"/>
    <w:rsid w:val="00303E4D"/>
    <w:rsid w:val="00304239"/>
    <w:rsid w:val="00304D8A"/>
    <w:rsid w:val="003054B1"/>
    <w:rsid w:val="003055ED"/>
    <w:rsid w:val="00305C58"/>
    <w:rsid w:val="00306CCC"/>
    <w:rsid w:val="00307D2E"/>
    <w:rsid w:val="00310A05"/>
    <w:rsid w:val="00311B38"/>
    <w:rsid w:val="00311CA4"/>
    <w:rsid w:val="00314B99"/>
    <w:rsid w:val="00316469"/>
    <w:rsid w:val="00320F69"/>
    <w:rsid w:val="003213AF"/>
    <w:rsid w:val="00321C04"/>
    <w:rsid w:val="003222FD"/>
    <w:rsid w:val="0032251D"/>
    <w:rsid w:val="00322967"/>
    <w:rsid w:val="00323622"/>
    <w:rsid w:val="00323E48"/>
    <w:rsid w:val="003242B5"/>
    <w:rsid w:val="00324A2D"/>
    <w:rsid w:val="00326EE4"/>
    <w:rsid w:val="003276D2"/>
    <w:rsid w:val="0033048D"/>
    <w:rsid w:val="00330F00"/>
    <w:rsid w:val="00331031"/>
    <w:rsid w:val="00331567"/>
    <w:rsid w:val="00331C56"/>
    <w:rsid w:val="00332017"/>
    <w:rsid w:val="00332FB4"/>
    <w:rsid w:val="00334A2E"/>
    <w:rsid w:val="00334ED6"/>
    <w:rsid w:val="00335095"/>
    <w:rsid w:val="00335C67"/>
    <w:rsid w:val="00336286"/>
    <w:rsid w:val="00336AC0"/>
    <w:rsid w:val="00340814"/>
    <w:rsid w:val="003413F6"/>
    <w:rsid w:val="003418BC"/>
    <w:rsid w:val="00342E9A"/>
    <w:rsid w:val="00344177"/>
    <w:rsid w:val="003466B7"/>
    <w:rsid w:val="003470D2"/>
    <w:rsid w:val="00347241"/>
    <w:rsid w:val="00347A09"/>
    <w:rsid w:val="00350F55"/>
    <w:rsid w:val="003510EE"/>
    <w:rsid w:val="003511B3"/>
    <w:rsid w:val="003534D6"/>
    <w:rsid w:val="00353664"/>
    <w:rsid w:val="00353F50"/>
    <w:rsid w:val="00356129"/>
    <w:rsid w:val="00356399"/>
    <w:rsid w:val="0035686F"/>
    <w:rsid w:val="00356BB0"/>
    <w:rsid w:val="003579E0"/>
    <w:rsid w:val="00360997"/>
    <w:rsid w:val="00361308"/>
    <w:rsid w:val="0036168C"/>
    <w:rsid w:val="003616B7"/>
    <w:rsid w:val="003618A6"/>
    <w:rsid w:val="0036208B"/>
    <w:rsid w:val="0036322A"/>
    <w:rsid w:val="00363639"/>
    <w:rsid w:val="00363970"/>
    <w:rsid w:val="003645BE"/>
    <w:rsid w:val="00365D47"/>
    <w:rsid w:val="00365E39"/>
    <w:rsid w:val="00367C1E"/>
    <w:rsid w:val="00371993"/>
    <w:rsid w:val="00373330"/>
    <w:rsid w:val="00374C61"/>
    <w:rsid w:val="00377E0E"/>
    <w:rsid w:val="003813F1"/>
    <w:rsid w:val="0038298A"/>
    <w:rsid w:val="00382A94"/>
    <w:rsid w:val="00383729"/>
    <w:rsid w:val="003848DE"/>
    <w:rsid w:val="00384C42"/>
    <w:rsid w:val="00385C06"/>
    <w:rsid w:val="00390E48"/>
    <w:rsid w:val="0039173B"/>
    <w:rsid w:val="00391B8F"/>
    <w:rsid w:val="00393392"/>
    <w:rsid w:val="003936E2"/>
    <w:rsid w:val="0039418F"/>
    <w:rsid w:val="00394C94"/>
    <w:rsid w:val="00395330"/>
    <w:rsid w:val="003953DD"/>
    <w:rsid w:val="00395E7A"/>
    <w:rsid w:val="00396FA1"/>
    <w:rsid w:val="0039712A"/>
    <w:rsid w:val="0039780B"/>
    <w:rsid w:val="003A344F"/>
    <w:rsid w:val="003B05CB"/>
    <w:rsid w:val="003B1D16"/>
    <w:rsid w:val="003B2434"/>
    <w:rsid w:val="003B2C87"/>
    <w:rsid w:val="003B2EA5"/>
    <w:rsid w:val="003B3B4A"/>
    <w:rsid w:val="003B4903"/>
    <w:rsid w:val="003B57E5"/>
    <w:rsid w:val="003B6CC6"/>
    <w:rsid w:val="003B6E4E"/>
    <w:rsid w:val="003C0B12"/>
    <w:rsid w:val="003C18CE"/>
    <w:rsid w:val="003C3186"/>
    <w:rsid w:val="003C3620"/>
    <w:rsid w:val="003C40E7"/>
    <w:rsid w:val="003C475B"/>
    <w:rsid w:val="003C7F9F"/>
    <w:rsid w:val="003D0402"/>
    <w:rsid w:val="003D0643"/>
    <w:rsid w:val="003D0B39"/>
    <w:rsid w:val="003D16AE"/>
    <w:rsid w:val="003D1BCE"/>
    <w:rsid w:val="003D1C11"/>
    <w:rsid w:val="003D250B"/>
    <w:rsid w:val="003D4079"/>
    <w:rsid w:val="003D45E2"/>
    <w:rsid w:val="003D714F"/>
    <w:rsid w:val="003D761B"/>
    <w:rsid w:val="003D7A16"/>
    <w:rsid w:val="003E094D"/>
    <w:rsid w:val="003E19F8"/>
    <w:rsid w:val="003E2EE0"/>
    <w:rsid w:val="003E31AF"/>
    <w:rsid w:val="003E31BC"/>
    <w:rsid w:val="003E43CB"/>
    <w:rsid w:val="003E459F"/>
    <w:rsid w:val="003E5970"/>
    <w:rsid w:val="003E6267"/>
    <w:rsid w:val="003E7C69"/>
    <w:rsid w:val="003F028D"/>
    <w:rsid w:val="003F1AB9"/>
    <w:rsid w:val="003F2D7B"/>
    <w:rsid w:val="003F3628"/>
    <w:rsid w:val="003F3B50"/>
    <w:rsid w:val="003F3BD6"/>
    <w:rsid w:val="003F3E14"/>
    <w:rsid w:val="003F4318"/>
    <w:rsid w:val="003F51D1"/>
    <w:rsid w:val="003F542E"/>
    <w:rsid w:val="003F6FBE"/>
    <w:rsid w:val="003F72FE"/>
    <w:rsid w:val="004002B3"/>
    <w:rsid w:val="004002C0"/>
    <w:rsid w:val="00400A8F"/>
    <w:rsid w:val="00401044"/>
    <w:rsid w:val="00401974"/>
    <w:rsid w:val="00401F0F"/>
    <w:rsid w:val="0040242B"/>
    <w:rsid w:val="00402460"/>
    <w:rsid w:val="00402855"/>
    <w:rsid w:val="00402CBF"/>
    <w:rsid w:val="004035FD"/>
    <w:rsid w:val="00404EB4"/>
    <w:rsid w:val="0040553C"/>
    <w:rsid w:val="00406943"/>
    <w:rsid w:val="004070D5"/>
    <w:rsid w:val="00407319"/>
    <w:rsid w:val="00407E1C"/>
    <w:rsid w:val="00412682"/>
    <w:rsid w:val="00412EC5"/>
    <w:rsid w:val="00413A0F"/>
    <w:rsid w:val="004143DC"/>
    <w:rsid w:val="00415F59"/>
    <w:rsid w:val="00416B9E"/>
    <w:rsid w:val="00420BE2"/>
    <w:rsid w:val="00421297"/>
    <w:rsid w:val="0042145B"/>
    <w:rsid w:val="004219AD"/>
    <w:rsid w:val="00421B8B"/>
    <w:rsid w:val="00421CDC"/>
    <w:rsid w:val="004220EF"/>
    <w:rsid w:val="00422778"/>
    <w:rsid w:val="004230C8"/>
    <w:rsid w:val="00423C95"/>
    <w:rsid w:val="004245FD"/>
    <w:rsid w:val="00424A93"/>
    <w:rsid w:val="00425180"/>
    <w:rsid w:val="00425D91"/>
    <w:rsid w:val="00430F5B"/>
    <w:rsid w:val="004311E9"/>
    <w:rsid w:val="00431BCA"/>
    <w:rsid w:val="00432207"/>
    <w:rsid w:val="00432958"/>
    <w:rsid w:val="00433151"/>
    <w:rsid w:val="00433F2E"/>
    <w:rsid w:val="00434DD8"/>
    <w:rsid w:val="00435804"/>
    <w:rsid w:val="0043618B"/>
    <w:rsid w:val="00437391"/>
    <w:rsid w:val="0043747D"/>
    <w:rsid w:val="004379AB"/>
    <w:rsid w:val="00437E45"/>
    <w:rsid w:val="00440082"/>
    <w:rsid w:val="004405EF"/>
    <w:rsid w:val="00440AD5"/>
    <w:rsid w:val="00441476"/>
    <w:rsid w:val="00446239"/>
    <w:rsid w:val="0044725C"/>
    <w:rsid w:val="004507BB"/>
    <w:rsid w:val="004508AD"/>
    <w:rsid w:val="0045115F"/>
    <w:rsid w:val="00452290"/>
    <w:rsid w:val="004524FA"/>
    <w:rsid w:val="00452DDB"/>
    <w:rsid w:val="00453251"/>
    <w:rsid w:val="00454A0C"/>
    <w:rsid w:val="00455B55"/>
    <w:rsid w:val="004566D6"/>
    <w:rsid w:val="004571D1"/>
    <w:rsid w:val="004602C0"/>
    <w:rsid w:val="004604A1"/>
    <w:rsid w:val="00460604"/>
    <w:rsid w:val="0046125E"/>
    <w:rsid w:val="00461AC3"/>
    <w:rsid w:val="00462367"/>
    <w:rsid w:val="004626F2"/>
    <w:rsid w:val="004634C7"/>
    <w:rsid w:val="004636BB"/>
    <w:rsid w:val="004642E8"/>
    <w:rsid w:val="004657F1"/>
    <w:rsid w:val="00465F41"/>
    <w:rsid w:val="0046672D"/>
    <w:rsid w:val="004672BA"/>
    <w:rsid w:val="00467DEA"/>
    <w:rsid w:val="00467EC2"/>
    <w:rsid w:val="00471773"/>
    <w:rsid w:val="00472A31"/>
    <w:rsid w:val="00472D4B"/>
    <w:rsid w:val="00472D50"/>
    <w:rsid w:val="00473F4E"/>
    <w:rsid w:val="00474118"/>
    <w:rsid w:val="004749B5"/>
    <w:rsid w:val="00474F3A"/>
    <w:rsid w:val="004757B7"/>
    <w:rsid w:val="004764D3"/>
    <w:rsid w:val="004772F7"/>
    <w:rsid w:val="0047741F"/>
    <w:rsid w:val="004778E6"/>
    <w:rsid w:val="004813DF"/>
    <w:rsid w:val="0048166B"/>
    <w:rsid w:val="004842F3"/>
    <w:rsid w:val="00484568"/>
    <w:rsid w:val="00486C71"/>
    <w:rsid w:val="00490E37"/>
    <w:rsid w:val="004913BD"/>
    <w:rsid w:val="0049207B"/>
    <w:rsid w:val="00493B54"/>
    <w:rsid w:val="0049400B"/>
    <w:rsid w:val="004949A6"/>
    <w:rsid w:val="004A1513"/>
    <w:rsid w:val="004A1751"/>
    <w:rsid w:val="004A28AC"/>
    <w:rsid w:val="004A495C"/>
    <w:rsid w:val="004A5B47"/>
    <w:rsid w:val="004A6095"/>
    <w:rsid w:val="004A750A"/>
    <w:rsid w:val="004A778B"/>
    <w:rsid w:val="004A7989"/>
    <w:rsid w:val="004B113F"/>
    <w:rsid w:val="004B208B"/>
    <w:rsid w:val="004B2D54"/>
    <w:rsid w:val="004B32C3"/>
    <w:rsid w:val="004B5027"/>
    <w:rsid w:val="004B50C4"/>
    <w:rsid w:val="004B592B"/>
    <w:rsid w:val="004B5D3B"/>
    <w:rsid w:val="004B623F"/>
    <w:rsid w:val="004B7ECB"/>
    <w:rsid w:val="004C0A59"/>
    <w:rsid w:val="004C1036"/>
    <w:rsid w:val="004C1585"/>
    <w:rsid w:val="004C2EEC"/>
    <w:rsid w:val="004C3111"/>
    <w:rsid w:val="004C4BC5"/>
    <w:rsid w:val="004C6416"/>
    <w:rsid w:val="004C7616"/>
    <w:rsid w:val="004C7A45"/>
    <w:rsid w:val="004D12A4"/>
    <w:rsid w:val="004D20FF"/>
    <w:rsid w:val="004D2174"/>
    <w:rsid w:val="004D22E3"/>
    <w:rsid w:val="004D27A1"/>
    <w:rsid w:val="004D2B45"/>
    <w:rsid w:val="004D2C2D"/>
    <w:rsid w:val="004D45EA"/>
    <w:rsid w:val="004D47D8"/>
    <w:rsid w:val="004D6841"/>
    <w:rsid w:val="004D771E"/>
    <w:rsid w:val="004E0581"/>
    <w:rsid w:val="004E1834"/>
    <w:rsid w:val="004E1838"/>
    <w:rsid w:val="004E1E6D"/>
    <w:rsid w:val="004E1FA2"/>
    <w:rsid w:val="004E325B"/>
    <w:rsid w:val="004E3E71"/>
    <w:rsid w:val="004E4AD0"/>
    <w:rsid w:val="004F016A"/>
    <w:rsid w:val="004F0F94"/>
    <w:rsid w:val="004F2381"/>
    <w:rsid w:val="004F243E"/>
    <w:rsid w:val="004F3F11"/>
    <w:rsid w:val="004F4368"/>
    <w:rsid w:val="004F4694"/>
    <w:rsid w:val="004F68AD"/>
    <w:rsid w:val="004F6CFD"/>
    <w:rsid w:val="004F7516"/>
    <w:rsid w:val="004F7C8B"/>
    <w:rsid w:val="004F7FE8"/>
    <w:rsid w:val="00500761"/>
    <w:rsid w:val="0050116F"/>
    <w:rsid w:val="0050170D"/>
    <w:rsid w:val="005018B8"/>
    <w:rsid w:val="005028B3"/>
    <w:rsid w:val="00502EC7"/>
    <w:rsid w:val="00503D19"/>
    <w:rsid w:val="00504E92"/>
    <w:rsid w:val="00506D07"/>
    <w:rsid w:val="00507EE6"/>
    <w:rsid w:val="005105CE"/>
    <w:rsid w:val="005128BD"/>
    <w:rsid w:val="0051360C"/>
    <w:rsid w:val="0051480E"/>
    <w:rsid w:val="0051487B"/>
    <w:rsid w:val="00514B12"/>
    <w:rsid w:val="00514F89"/>
    <w:rsid w:val="005165E7"/>
    <w:rsid w:val="00516B24"/>
    <w:rsid w:val="005174D3"/>
    <w:rsid w:val="00517C03"/>
    <w:rsid w:val="00517EFA"/>
    <w:rsid w:val="00521A15"/>
    <w:rsid w:val="00521A22"/>
    <w:rsid w:val="00521B82"/>
    <w:rsid w:val="00523987"/>
    <w:rsid w:val="005244DF"/>
    <w:rsid w:val="005253F4"/>
    <w:rsid w:val="00526245"/>
    <w:rsid w:val="005267D0"/>
    <w:rsid w:val="005269B9"/>
    <w:rsid w:val="00527838"/>
    <w:rsid w:val="00530CF5"/>
    <w:rsid w:val="005311BF"/>
    <w:rsid w:val="005318AE"/>
    <w:rsid w:val="00532D56"/>
    <w:rsid w:val="00532F93"/>
    <w:rsid w:val="005337DD"/>
    <w:rsid w:val="00533B95"/>
    <w:rsid w:val="00533DAD"/>
    <w:rsid w:val="00534EC8"/>
    <w:rsid w:val="00537CC8"/>
    <w:rsid w:val="00540041"/>
    <w:rsid w:val="0054081A"/>
    <w:rsid w:val="00541772"/>
    <w:rsid w:val="00541B98"/>
    <w:rsid w:val="005423CD"/>
    <w:rsid w:val="00543060"/>
    <w:rsid w:val="00544BC0"/>
    <w:rsid w:val="00545176"/>
    <w:rsid w:val="00550510"/>
    <w:rsid w:val="00550790"/>
    <w:rsid w:val="00550D93"/>
    <w:rsid w:val="00551EE7"/>
    <w:rsid w:val="00554742"/>
    <w:rsid w:val="00555CFE"/>
    <w:rsid w:val="00556372"/>
    <w:rsid w:val="00557A6D"/>
    <w:rsid w:val="00560499"/>
    <w:rsid w:val="00560843"/>
    <w:rsid w:val="005613F8"/>
    <w:rsid w:val="005619B2"/>
    <w:rsid w:val="0056297C"/>
    <w:rsid w:val="0056313B"/>
    <w:rsid w:val="00563337"/>
    <w:rsid w:val="0056459C"/>
    <w:rsid w:val="005646DD"/>
    <w:rsid w:val="005654E6"/>
    <w:rsid w:val="005654E8"/>
    <w:rsid w:val="0056559D"/>
    <w:rsid w:val="00565602"/>
    <w:rsid w:val="00565DAF"/>
    <w:rsid w:val="0056619B"/>
    <w:rsid w:val="00567286"/>
    <w:rsid w:val="00567632"/>
    <w:rsid w:val="00567CDF"/>
    <w:rsid w:val="0057049E"/>
    <w:rsid w:val="0057191D"/>
    <w:rsid w:val="005721B4"/>
    <w:rsid w:val="00573846"/>
    <w:rsid w:val="00573EA9"/>
    <w:rsid w:val="005756C5"/>
    <w:rsid w:val="005758BD"/>
    <w:rsid w:val="00580D3F"/>
    <w:rsid w:val="005838AA"/>
    <w:rsid w:val="005839C6"/>
    <w:rsid w:val="00583BFA"/>
    <w:rsid w:val="00583FB1"/>
    <w:rsid w:val="00584E96"/>
    <w:rsid w:val="00585511"/>
    <w:rsid w:val="005856EA"/>
    <w:rsid w:val="00585A96"/>
    <w:rsid w:val="005860F7"/>
    <w:rsid w:val="00586758"/>
    <w:rsid w:val="005872B3"/>
    <w:rsid w:val="00590134"/>
    <w:rsid w:val="00590F3A"/>
    <w:rsid w:val="005918E7"/>
    <w:rsid w:val="00591E05"/>
    <w:rsid w:val="00593170"/>
    <w:rsid w:val="00594A0A"/>
    <w:rsid w:val="00597599"/>
    <w:rsid w:val="00597A96"/>
    <w:rsid w:val="005A0149"/>
    <w:rsid w:val="005A26E9"/>
    <w:rsid w:val="005A2945"/>
    <w:rsid w:val="005A358B"/>
    <w:rsid w:val="005A368A"/>
    <w:rsid w:val="005A447F"/>
    <w:rsid w:val="005A61E0"/>
    <w:rsid w:val="005A6A04"/>
    <w:rsid w:val="005A77A5"/>
    <w:rsid w:val="005B0F42"/>
    <w:rsid w:val="005B13FA"/>
    <w:rsid w:val="005B16B8"/>
    <w:rsid w:val="005B3F11"/>
    <w:rsid w:val="005B4526"/>
    <w:rsid w:val="005B5989"/>
    <w:rsid w:val="005B6B0C"/>
    <w:rsid w:val="005B7456"/>
    <w:rsid w:val="005B7754"/>
    <w:rsid w:val="005C14B3"/>
    <w:rsid w:val="005C25AC"/>
    <w:rsid w:val="005C31CD"/>
    <w:rsid w:val="005C387C"/>
    <w:rsid w:val="005C39DC"/>
    <w:rsid w:val="005C3DC0"/>
    <w:rsid w:val="005C3FE3"/>
    <w:rsid w:val="005C4AAD"/>
    <w:rsid w:val="005C514D"/>
    <w:rsid w:val="005C5271"/>
    <w:rsid w:val="005C6C55"/>
    <w:rsid w:val="005D1DC9"/>
    <w:rsid w:val="005D3C7B"/>
    <w:rsid w:val="005D429E"/>
    <w:rsid w:val="005D54A0"/>
    <w:rsid w:val="005D56E3"/>
    <w:rsid w:val="005D652E"/>
    <w:rsid w:val="005D66DE"/>
    <w:rsid w:val="005D682A"/>
    <w:rsid w:val="005D73C6"/>
    <w:rsid w:val="005D7B92"/>
    <w:rsid w:val="005E014D"/>
    <w:rsid w:val="005E05C8"/>
    <w:rsid w:val="005E0691"/>
    <w:rsid w:val="005E07FD"/>
    <w:rsid w:val="005E0C83"/>
    <w:rsid w:val="005E4A8C"/>
    <w:rsid w:val="005E5039"/>
    <w:rsid w:val="005E66E5"/>
    <w:rsid w:val="005E709B"/>
    <w:rsid w:val="005F1DD9"/>
    <w:rsid w:val="005F367B"/>
    <w:rsid w:val="005F3838"/>
    <w:rsid w:val="005F3DAB"/>
    <w:rsid w:val="005F4132"/>
    <w:rsid w:val="005F4620"/>
    <w:rsid w:val="005F4BA1"/>
    <w:rsid w:val="005F4D99"/>
    <w:rsid w:val="00600287"/>
    <w:rsid w:val="0060078E"/>
    <w:rsid w:val="00601BBE"/>
    <w:rsid w:val="006028B1"/>
    <w:rsid w:val="0060436D"/>
    <w:rsid w:val="0060703C"/>
    <w:rsid w:val="00607BC1"/>
    <w:rsid w:val="006101C1"/>
    <w:rsid w:val="00611218"/>
    <w:rsid w:val="00612516"/>
    <w:rsid w:val="006132CF"/>
    <w:rsid w:val="0061396A"/>
    <w:rsid w:val="00613CA3"/>
    <w:rsid w:val="00614C8F"/>
    <w:rsid w:val="006172FD"/>
    <w:rsid w:val="00620DB3"/>
    <w:rsid w:val="00621AC7"/>
    <w:rsid w:val="00621CF0"/>
    <w:rsid w:val="006225D5"/>
    <w:rsid w:val="00623405"/>
    <w:rsid w:val="00623BD8"/>
    <w:rsid w:val="00625870"/>
    <w:rsid w:val="00625A0F"/>
    <w:rsid w:val="00625F7F"/>
    <w:rsid w:val="00627D51"/>
    <w:rsid w:val="00632490"/>
    <w:rsid w:val="006326A3"/>
    <w:rsid w:val="00633ADF"/>
    <w:rsid w:val="006343E3"/>
    <w:rsid w:val="00634422"/>
    <w:rsid w:val="006348C3"/>
    <w:rsid w:val="0063623E"/>
    <w:rsid w:val="00637DC4"/>
    <w:rsid w:val="00642397"/>
    <w:rsid w:val="00642B4F"/>
    <w:rsid w:val="00642E0B"/>
    <w:rsid w:val="00643609"/>
    <w:rsid w:val="00643BC2"/>
    <w:rsid w:val="00643C41"/>
    <w:rsid w:val="00644AC6"/>
    <w:rsid w:val="006467E2"/>
    <w:rsid w:val="0064759C"/>
    <w:rsid w:val="00650BF4"/>
    <w:rsid w:val="00650E71"/>
    <w:rsid w:val="006512EC"/>
    <w:rsid w:val="00652D53"/>
    <w:rsid w:val="006547BE"/>
    <w:rsid w:val="006550E5"/>
    <w:rsid w:val="006560B6"/>
    <w:rsid w:val="0065645B"/>
    <w:rsid w:val="00656BBE"/>
    <w:rsid w:val="00657C7D"/>
    <w:rsid w:val="00657D1D"/>
    <w:rsid w:val="0066119E"/>
    <w:rsid w:val="006619B6"/>
    <w:rsid w:val="0066227D"/>
    <w:rsid w:val="006625E4"/>
    <w:rsid w:val="00662C7E"/>
    <w:rsid w:val="00663253"/>
    <w:rsid w:val="00663987"/>
    <w:rsid w:val="0066458F"/>
    <w:rsid w:val="00664CA9"/>
    <w:rsid w:val="0066580A"/>
    <w:rsid w:val="006659FF"/>
    <w:rsid w:val="006666FB"/>
    <w:rsid w:val="0066675F"/>
    <w:rsid w:val="00667E04"/>
    <w:rsid w:val="00670F1B"/>
    <w:rsid w:val="006716B0"/>
    <w:rsid w:val="00672D24"/>
    <w:rsid w:val="00672F82"/>
    <w:rsid w:val="00673113"/>
    <w:rsid w:val="00673A26"/>
    <w:rsid w:val="00673D9B"/>
    <w:rsid w:val="00673EA4"/>
    <w:rsid w:val="00673FE1"/>
    <w:rsid w:val="00674B9B"/>
    <w:rsid w:val="00674EB1"/>
    <w:rsid w:val="00675260"/>
    <w:rsid w:val="00677DD1"/>
    <w:rsid w:val="00680B88"/>
    <w:rsid w:val="00682A24"/>
    <w:rsid w:val="006835C6"/>
    <w:rsid w:val="0068399C"/>
    <w:rsid w:val="00686428"/>
    <w:rsid w:val="0069056D"/>
    <w:rsid w:val="00690FA7"/>
    <w:rsid w:val="00691352"/>
    <w:rsid w:val="0069207E"/>
    <w:rsid w:val="0069257F"/>
    <w:rsid w:val="00692957"/>
    <w:rsid w:val="0069310A"/>
    <w:rsid w:val="0069375C"/>
    <w:rsid w:val="00693C1D"/>
    <w:rsid w:val="00693D2F"/>
    <w:rsid w:val="00693E41"/>
    <w:rsid w:val="00694F8A"/>
    <w:rsid w:val="006A041F"/>
    <w:rsid w:val="006A0580"/>
    <w:rsid w:val="006A170F"/>
    <w:rsid w:val="006A1998"/>
    <w:rsid w:val="006A1C79"/>
    <w:rsid w:val="006A2317"/>
    <w:rsid w:val="006A2CF6"/>
    <w:rsid w:val="006A3266"/>
    <w:rsid w:val="006A3AE1"/>
    <w:rsid w:val="006A3E10"/>
    <w:rsid w:val="006A519F"/>
    <w:rsid w:val="006A6662"/>
    <w:rsid w:val="006A7DCF"/>
    <w:rsid w:val="006A7FCD"/>
    <w:rsid w:val="006B0795"/>
    <w:rsid w:val="006B07C6"/>
    <w:rsid w:val="006B08A5"/>
    <w:rsid w:val="006B1A24"/>
    <w:rsid w:val="006B3727"/>
    <w:rsid w:val="006B3A8A"/>
    <w:rsid w:val="006B40F0"/>
    <w:rsid w:val="006B4A6D"/>
    <w:rsid w:val="006B4B56"/>
    <w:rsid w:val="006B5C5C"/>
    <w:rsid w:val="006B620B"/>
    <w:rsid w:val="006B6EDC"/>
    <w:rsid w:val="006C01C7"/>
    <w:rsid w:val="006C0300"/>
    <w:rsid w:val="006C05FA"/>
    <w:rsid w:val="006C1211"/>
    <w:rsid w:val="006C315C"/>
    <w:rsid w:val="006C430E"/>
    <w:rsid w:val="006C73FE"/>
    <w:rsid w:val="006D1180"/>
    <w:rsid w:val="006D12C3"/>
    <w:rsid w:val="006D1D85"/>
    <w:rsid w:val="006D2748"/>
    <w:rsid w:val="006D3630"/>
    <w:rsid w:val="006D458B"/>
    <w:rsid w:val="006D5055"/>
    <w:rsid w:val="006D558A"/>
    <w:rsid w:val="006D5CCF"/>
    <w:rsid w:val="006D7422"/>
    <w:rsid w:val="006E002A"/>
    <w:rsid w:val="006E1528"/>
    <w:rsid w:val="006E3C45"/>
    <w:rsid w:val="006E4107"/>
    <w:rsid w:val="006E4465"/>
    <w:rsid w:val="006E46EE"/>
    <w:rsid w:val="006E4DB2"/>
    <w:rsid w:val="006E5117"/>
    <w:rsid w:val="006E626D"/>
    <w:rsid w:val="006E709C"/>
    <w:rsid w:val="006E74A2"/>
    <w:rsid w:val="006F2EF0"/>
    <w:rsid w:val="006F50B4"/>
    <w:rsid w:val="006F6492"/>
    <w:rsid w:val="006F65FB"/>
    <w:rsid w:val="006F6CE1"/>
    <w:rsid w:val="006F6D92"/>
    <w:rsid w:val="006F7886"/>
    <w:rsid w:val="00700259"/>
    <w:rsid w:val="007017D5"/>
    <w:rsid w:val="00701A15"/>
    <w:rsid w:val="0070247A"/>
    <w:rsid w:val="00702BD3"/>
    <w:rsid w:val="00704549"/>
    <w:rsid w:val="007049A6"/>
    <w:rsid w:val="00706277"/>
    <w:rsid w:val="00706BEB"/>
    <w:rsid w:val="0071094E"/>
    <w:rsid w:val="00710AC7"/>
    <w:rsid w:val="007110BF"/>
    <w:rsid w:val="00711413"/>
    <w:rsid w:val="0071320F"/>
    <w:rsid w:val="00713231"/>
    <w:rsid w:val="00713F40"/>
    <w:rsid w:val="0071430A"/>
    <w:rsid w:val="00714C7D"/>
    <w:rsid w:val="0071563A"/>
    <w:rsid w:val="00715DAB"/>
    <w:rsid w:val="007166F7"/>
    <w:rsid w:val="0071735F"/>
    <w:rsid w:val="0071795F"/>
    <w:rsid w:val="00717ECF"/>
    <w:rsid w:val="00720344"/>
    <w:rsid w:val="0072357C"/>
    <w:rsid w:val="0072422B"/>
    <w:rsid w:val="007255A7"/>
    <w:rsid w:val="00725B30"/>
    <w:rsid w:val="00725BD4"/>
    <w:rsid w:val="00730B13"/>
    <w:rsid w:val="00730ECD"/>
    <w:rsid w:val="00731430"/>
    <w:rsid w:val="00731F91"/>
    <w:rsid w:val="007323F6"/>
    <w:rsid w:val="007328A6"/>
    <w:rsid w:val="00733167"/>
    <w:rsid w:val="00733951"/>
    <w:rsid w:val="007340D3"/>
    <w:rsid w:val="007354A6"/>
    <w:rsid w:val="0073582D"/>
    <w:rsid w:val="0073662B"/>
    <w:rsid w:val="007374AE"/>
    <w:rsid w:val="00737773"/>
    <w:rsid w:val="00737D4B"/>
    <w:rsid w:val="007408E7"/>
    <w:rsid w:val="0074106E"/>
    <w:rsid w:val="0074126F"/>
    <w:rsid w:val="00741D62"/>
    <w:rsid w:val="00742765"/>
    <w:rsid w:val="00742D5E"/>
    <w:rsid w:val="007434CF"/>
    <w:rsid w:val="00743CD3"/>
    <w:rsid w:val="00743E08"/>
    <w:rsid w:val="007445B9"/>
    <w:rsid w:val="007453A1"/>
    <w:rsid w:val="00745629"/>
    <w:rsid w:val="00745E3F"/>
    <w:rsid w:val="00746B3D"/>
    <w:rsid w:val="007475FA"/>
    <w:rsid w:val="00747776"/>
    <w:rsid w:val="00747E5A"/>
    <w:rsid w:val="00747EE2"/>
    <w:rsid w:val="007514EE"/>
    <w:rsid w:val="0075241C"/>
    <w:rsid w:val="00753CA3"/>
    <w:rsid w:val="00754526"/>
    <w:rsid w:val="007554D2"/>
    <w:rsid w:val="0075582E"/>
    <w:rsid w:val="0075593A"/>
    <w:rsid w:val="00755E18"/>
    <w:rsid w:val="00756D3B"/>
    <w:rsid w:val="00761ED3"/>
    <w:rsid w:val="0076289A"/>
    <w:rsid w:val="007636AC"/>
    <w:rsid w:val="00763FFA"/>
    <w:rsid w:val="007644C5"/>
    <w:rsid w:val="00764532"/>
    <w:rsid w:val="0076776D"/>
    <w:rsid w:val="00767DFC"/>
    <w:rsid w:val="00767F1B"/>
    <w:rsid w:val="0077025B"/>
    <w:rsid w:val="00770C09"/>
    <w:rsid w:val="00771319"/>
    <w:rsid w:val="007720E4"/>
    <w:rsid w:val="00772F88"/>
    <w:rsid w:val="00773146"/>
    <w:rsid w:val="0077436E"/>
    <w:rsid w:val="00774595"/>
    <w:rsid w:val="00775727"/>
    <w:rsid w:val="00775EBD"/>
    <w:rsid w:val="00776FB3"/>
    <w:rsid w:val="007773E1"/>
    <w:rsid w:val="007809D0"/>
    <w:rsid w:val="0078211B"/>
    <w:rsid w:val="007827E9"/>
    <w:rsid w:val="007832F0"/>
    <w:rsid w:val="00783981"/>
    <w:rsid w:val="00784908"/>
    <w:rsid w:val="0078572B"/>
    <w:rsid w:val="007868FC"/>
    <w:rsid w:val="00786F3D"/>
    <w:rsid w:val="00787E64"/>
    <w:rsid w:val="00790C3B"/>
    <w:rsid w:val="0079141E"/>
    <w:rsid w:val="00791794"/>
    <w:rsid w:val="00792D77"/>
    <w:rsid w:val="007945A4"/>
    <w:rsid w:val="00794C28"/>
    <w:rsid w:val="00794E61"/>
    <w:rsid w:val="00795414"/>
    <w:rsid w:val="00795E61"/>
    <w:rsid w:val="00795F22"/>
    <w:rsid w:val="00796828"/>
    <w:rsid w:val="007969F3"/>
    <w:rsid w:val="00796C03"/>
    <w:rsid w:val="007A1362"/>
    <w:rsid w:val="007A358E"/>
    <w:rsid w:val="007A38AB"/>
    <w:rsid w:val="007A3BA1"/>
    <w:rsid w:val="007A4886"/>
    <w:rsid w:val="007A4A92"/>
    <w:rsid w:val="007A5B3C"/>
    <w:rsid w:val="007A6A84"/>
    <w:rsid w:val="007A7B11"/>
    <w:rsid w:val="007A7F36"/>
    <w:rsid w:val="007B06E6"/>
    <w:rsid w:val="007B200A"/>
    <w:rsid w:val="007B25BE"/>
    <w:rsid w:val="007B2CF5"/>
    <w:rsid w:val="007B4918"/>
    <w:rsid w:val="007B491F"/>
    <w:rsid w:val="007B4927"/>
    <w:rsid w:val="007B4FE5"/>
    <w:rsid w:val="007B56D0"/>
    <w:rsid w:val="007B6248"/>
    <w:rsid w:val="007B7D8D"/>
    <w:rsid w:val="007B7ECF"/>
    <w:rsid w:val="007C2627"/>
    <w:rsid w:val="007C3977"/>
    <w:rsid w:val="007C47DE"/>
    <w:rsid w:val="007C4A67"/>
    <w:rsid w:val="007C4DBB"/>
    <w:rsid w:val="007D0392"/>
    <w:rsid w:val="007D1464"/>
    <w:rsid w:val="007D366F"/>
    <w:rsid w:val="007D3C71"/>
    <w:rsid w:val="007D4291"/>
    <w:rsid w:val="007D47D4"/>
    <w:rsid w:val="007D568C"/>
    <w:rsid w:val="007D6F7E"/>
    <w:rsid w:val="007E02F8"/>
    <w:rsid w:val="007E15AC"/>
    <w:rsid w:val="007E2659"/>
    <w:rsid w:val="007E3879"/>
    <w:rsid w:val="007E4562"/>
    <w:rsid w:val="007E514B"/>
    <w:rsid w:val="007E531F"/>
    <w:rsid w:val="007E5DC1"/>
    <w:rsid w:val="007E66F7"/>
    <w:rsid w:val="007E6EB8"/>
    <w:rsid w:val="007E7CB4"/>
    <w:rsid w:val="007F077B"/>
    <w:rsid w:val="007F0A8F"/>
    <w:rsid w:val="007F0D2E"/>
    <w:rsid w:val="007F2723"/>
    <w:rsid w:val="007F2A75"/>
    <w:rsid w:val="007F327E"/>
    <w:rsid w:val="007F33DF"/>
    <w:rsid w:val="007F5A56"/>
    <w:rsid w:val="007F706A"/>
    <w:rsid w:val="007F7F9F"/>
    <w:rsid w:val="008017B4"/>
    <w:rsid w:val="00801C4C"/>
    <w:rsid w:val="00801D49"/>
    <w:rsid w:val="00803E55"/>
    <w:rsid w:val="008043A5"/>
    <w:rsid w:val="00804445"/>
    <w:rsid w:val="00804885"/>
    <w:rsid w:val="00805881"/>
    <w:rsid w:val="008062F4"/>
    <w:rsid w:val="008063B2"/>
    <w:rsid w:val="00806516"/>
    <w:rsid w:val="00806BEC"/>
    <w:rsid w:val="00807112"/>
    <w:rsid w:val="0081175C"/>
    <w:rsid w:val="00811B40"/>
    <w:rsid w:val="00811CAC"/>
    <w:rsid w:val="00811DFE"/>
    <w:rsid w:val="00811E77"/>
    <w:rsid w:val="00813E64"/>
    <w:rsid w:val="008148C8"/>
    <w:rsid w:val="00816646"/>
    <w:rsid w:val="008176FB"/>
    <w:rsid w:val="008206DD"/>
    <w:rsid w:val="00821813"/>
    <w:rsid w:val="00821D03"/>
    <w:rsid w:val="00821D28"/>
    <w:rsid w:val="0082229E"/>
    <w:rsid w:val="0082282D"/>
    <w:rsid w:val="00823ABB"/>
    <w:rsid w:val="00824CFD"/>
    <w:rsid w:val="00825E8C"/>
    <w:rsid w:val="00827BD7"/>
    <w:rsid w:val="00827FFD"/>
    <w:rsid w:val="008301A4"/>
    <w:rsid w:val="0083053F"/>
    <w:rsid w:val="008323DE"/>
    <w:rsid w:val="008333CD"/>
    <w:rsid w:val="00834D33"/>
    <w:rsid w:val="00834EF1"/>
    <w:rsid w:val="00835CC3"/>
    <w:rsid w:val="008371AB"/>
    <w:rsid w:val="00837CFE"/>
    <w:rsid w:val="00840179"/>
    <w:rsid w:val="008401A1"/>
    <w:rsid w:val="00841387"/>
    <w:rsid w:val="00842773"/>
    <w:rsid w:val="00843107"/>
    <w:rsid w:val="00843723"/>
    <w:rsid w:val="008439E8"/>
    <w:rsid w:val="0084751A"/>
    <w:rsid w:val="0084769D"/>
    <w:rsid w:val="00851B0F"/>
    <w:rsid w:val="008524DB"/>
    <w:rsid w:val="00853362"/>
    <w:rsid w:val="008535D5"/>
    <w:rsid w:val="00854A59"/>
    <w:rsid w:val="00855933"/>
    <w:rsid w:val="00857B54"/>
    <w:rsid w:val="0086011B"/>
    <w:rsid w:val="0086013F"/>
    <w:rsid w:val="0086030E"/>
    <w:rsid w:val="008626CC"/>
    <w:rsid w:val="00862859"/>
    <w:rsid w:val="00862F1A"/>
    <w:rsid w:val="00863EFA"/>
    <w:rsid w:val="00863F05"/>
    <w:rsid w:val="00864033"/>
    <w:rsid w:val="008649C4"/>
    <w:rsid w:val="008650F2"/>
    <w:rsid w:val="00867F43"/>
    <w:rsid w:val="0087077E"/>
    <w:rsid w:val="0087299D"/>
    <w:rsid w:val="0087374B"/>
    <w:rsid w:val="0087405C"/>
    <w:rsid w:val="008744AF"/>
    <w:rsid w:val="00874EBA"/>
    <w:rsid w:val="00875600"/>
    <w:rsid w:val="00875A4B"/>
    <w:rsid w:val="00875DDD"/>
    <w:rsid w:val="008762AF"/>
    <w:rsid w:val="00876809"/>
    <w:rsid w:val="00876FE6"/>
    <w:rsid w:val="00877A25"/>
    <w:rsid w:val="008810E8"/>
    <w:rsid w:val="008814E2"/>
    <w:rsid w:val="00881545"/>
    <w:rsid w:val="00881C3C"/>
    <w:rsid w:val="008824E2"/>
    <w:rsid w:val="008825E4"/>
    <w:rsid w:val="00883022"/>
    <w:rsid w:val="0088361D"/>
    <w:rsid w:val="008836CA"/>
    <w:rsid w:val="00883A6B"/>
    <w:rsid w:val="00883CF4"/>
    <w:rsid w:val="008846DD"/>
    <w:rsid w:val="0088501A"/>
    <w:rsid w:val="008854E4"/>
    <w:rsid w:val="00885624"/>
    <w:rsid w:val="0088603C"/>
    <w:rsid w:val="00887D0B"/>
    <w:rsid w:val="008909C8"/>
    <w:rsid w:val="00891407"/>
    <w:rsid w:val="0089272A"/>
    <w:rsid w:val="00892938"/>
    <w:rsid w:val="008936F2"/>
    <w:rsid w:val="00893E7D"/>
    <w:rsid w:val="008946F7"/>
    <w:rsid w:val="008947C6"/>
    <w:rsid w:val="00895DA9"/>
    <w:rsid w:val="008977B6"/>
    <w:rsid w:val="00897A6A"/>
    <w:rsid w:val="008A0BEC"/>
    <w:rsid w:val="008A1656"/>
    <w:rsid w:val="008A3073"/>
    <w:rsid w:val="008A320A"/>
    <w:rsid w:val="008A3D56"/>
    <w:rsid w:val="008A4668"/>
    <w:rsid w:val="008A54AC"/>
    <w:rsid w:val="008A57C4"/>
    <w:rsid w:val="008A6429"/>
    <w:rsid w:val="008A6949"/>
    <w:rsid w:val="008A77ED"/>
    <w:rsid w:val="008B0787"/>
    <w:rsid w:val="008B12FC"/>
    <w:rsid w:val="008B17E0"/>
    <w:rsid w:val="008B1E5A"/>
    <w:rsid w:val="008B1EBD"/>
    <w:rsid w:val="008B2079"/>
    <w:rsid w:val="008B292D"/>
    <w:rsid w:val="008B3670"/>
    <w:rsid w:val="008B449E"/>
    <w:rsid w:val="008B4886"/>
    <w:rsid w:val="008B4992"/>
    <w:rsid w:val="008B6225"/>
    <w:rsid w:val="008B7317"/>
    <w:rsid w:val="008B7919"/>
    <w:rsid w:val="008C021A"/>
    <w:rsid w:val="008C21B7"/>
    <w:rsid w:val="008C2310"/>
    <w:rsid w:val="008C24D4"/>
    <w:rsid w:val="008C2BF3"/>
    <w:rsid w:val="008C4331"/>
    <w:rsid w:val="008C52B1"/>
    <w:rsid w:val="008C55E2"/>
    <w:rsid w:val="008C58A0"/>
    <w:rsid w:val="008C58BC"/>
    <w:rsid w:val="008C64E2"/>
    <w:rsid w:val="008C7871"/>
    <w:rsid w:val="008C794A"/>
    <w:rsid w:val="008D0319"/>
    <w:rsid w:val="008D0FC7"/>
    <w:rsid w:val="008D3700"/>
    <w:rsid w:val="008D3A2B"/>
    <w:rsid w:val="008D476B"/>
    <w:rsid w:val="008D54C6"/>
    <w:rsid w:val="008D5593"/>
    <w:rsid w:val="008D7004"/>
    <w:rsid w:val="008D7E2D"/>
    <w:rsid w:val="008E0043"/>
    <w:rsid w:val="008E0682"/>
    <w:rsid w:val="008E0D4B"/>
    <w:rsid w:val="008E0F59"/>
    <w:rsid w:val="008E1824"/>
    <w:rsid w:val="008E18A2"/>
    <w:rsid w:val="008E5458"/>
    <w:rsid w:val="008E5FE4"/>
    <w:rsid w:val="008E668D"/>
    <w:rsid w:val="008E6C30"/>
    <w:rsid w:val="008F14EB"/>
    <w:rsid w:val="008F25FE"/>
    <w:rsid w:val="008F5C17"/>
    <w:rsid w:val="008F6984"/>
    <w:rsid w:val="008F717A"/>
    <w:rsid w:val="008F7393"/>
    <w:rsid w:val="008F7980"/>
    <w:rsid w:val="008F7BB6"/>
    <w:rsid w:val="0090142F"/>
    <w:rsid w:val="00902DEE"/>
    <w:rsid w:val="00903E0D"/>
    <w:rsid w:val="00904779"/>
    <w:rsid w:val="00905232"/>
    <w:rsid w:val="0090532C"/>
    <w:rsid w:val="00905475"/>
    <w:rsid w:val="00905662"/>
    <w:rsid w:val="00905C54"/>
    <w:rsid w:val="0090699B"/>
    <w:rsid w:val="00906ED3"/>
    <w:rsid w:val="00907287"/>
    <w:rsid w:val="0091044A"/>
    <w:rsid w:val="00911DB3"/>
    <w:rsid w:val="0091326A"/>
    <w:rsid w:val="00915248"/>
    <w:rsid w:val="00915B8C"/>
    <w:rsid w:val="00916063"/>
    <w:rsid w:val="00916F39"/>
    <w:rsid w:val="00921336"/>
    <w:rsid w:val="00924149"/>
    <w:rsid w:val="0092438F"/>
    <w:rsid w:val="0092477A"/>
    <w:rsid w:val="00925EDB"/>
    <w:rsid w:val="0092703E"/>
    <w:rsid w:val="00931B0C"/>
    <w:rsid w:val="0093438B"/>
    <w:rsid w:val="009356C4"/>
    <w:rsid w:val="00936881"/>
    <w:rsid w:val="009372CE"/>
    <w:rsid w:val="00937708"/>
    <w:rsid w:val="00937E0B"/>
    <w:rsid w:val="009444DD"/>
    <w:rsid w:val="00944930"/>
    <w:rsid w:val="00944F24"/>
    <w:rsid w:val="00945022"/>
    <w:rsid w:val="009454D1"/>
    <w:rsid w:val="009468C2"/>
    <w:rsid w:val="00947C1F"/>
    <w:rsid w:val="00950123"/>
    <w:rsid w:val="0095115E"/>
    <w:rsid w:val="009542FE"/>
    <w:rsid w:val="0095563D"/>
    <w:rsid w:val="00955A2F"/>
    <w:rsid w:val="00955D42"/>
    <w:rsid w:val="00956435"/>
    <w:rsid w:val="009571BE"/>
    <w:rsid w:val="00957235"/>
    <w:rsid w:val="009613C4"/>
    <w:rsid w:val="009617A8"/>
    <w:rsid w:val="009621B2"/>
    <w:rsid w:val="009626F6"/>
    <w:rsid w:val="009627DE"/>
    <w:rsid w:val="00963393"/>
    <w:rsid w:val="009651A7"/>
    <w:rsid w:val="0096543C"/>
    <w:rsid w:val="009654D2"/>
    <w:rsid w:val="00967033"/>
    <w:rsid w:val="00967620"/>
    <w:rsid w:val="00967F9A"/>
    <w:rsid w:val="00970EFD"/>
    <w:rsid w:val="00971A9D"/>
    <w:rsid w:val="00971B4C"/>
    <w:rsid w:val="00971DA5"/>
    <w:rsid w:val="00972303"/>
    <w:rsid w:val="0097293A"/>
    <w:rsid w:val="00972AF4"/>
    <w:rsid w:val="009736BB"/>
    <w:rsid w:val="00973A28"/>
    <w:rsid w:val="00973BA4"/>
    <w:rsid w:val="00974072"/>
    <w:rsid w:val="009758FB"/>
    <w:rsid w:val="00976763"/>
    <w:rsid w:val="00980B53"/>
    <w:rsid w:val="00981657"/>
    <w:rsid w:val="00982D28"/>
    <w:rsid w:val="00983747"/>
    <w:rsid w:val="009838BE"/>
    <w:rsid w:val="00983E83"/>
    <w:rsid w:val="0098407A"/>
    <w:rsid w:val="00984659"/>
    <w:rsid w:val="00986473"/>
    <w:rsid w:val="00986816"/>
    <w:rsid w:val="00990236"/>
    <w:rsid w:val="00990EBD"/>
    <w:rsid w:val="00991520"/>
    <w:rsid w:val="009927F0"/>
    <w:rsid w:val="00992DEE"/>
    <w:rsid w:val="00996514"/>
    <w:rsid w:val="009968AE"/>
    <w:rsid w:val="0099745C"/>
    <w:rsid w:val="00997918"/>
    <w:rsid w:val="00997AB3"/>
    <w:rsid w:val="00997CCD"/>
    <w:rsid w:val="00997DED"/>
    <w:rsid w:val="009A061B"/>
    <w:rsid w:val="009A0BF8"/>
    <w:rsid w:val="009A0EFB"/>
    <w:rsid w:val="009A1E5A"/>
    <w:rsid w:val="009A23EC"/>
    <w:rsid w:val="009A3182"/>
    <w:rsid w:val="009A37B7"/>
    <w:rsid w:val="009A4988"/>
    <w:rsid w:val="009A5089"/>
    <w:rsid w:val="009A535E"/>
    <w:rsid w:val="009A5CF8"/>
    <w:rsid w:val="009A6FB8"/>
    <w:rsid w:val="009A76A0"/>
    <w:rsid w:val="009B02AF"/>
    <w:rsid w:val="009B13D7"/>
    <w:rsid w:val="009B27AC"/>
    <w:rsid w:val="009B2ABA"/>
    <w:rsid w:val="009B2C1B"/>
    <w:rsid w:val="009B3C95"/>
    <w:rsid w:val="009B423F"/>
    <w:rsid w:val="009B4934"/>
    <w:rsid w:val="009B516A"/>
    <w:rsid w:val="009B6D98"/>
    <w:rsid w:val="009B7023"/>
    <w:rsid w:val="009C01D5"/>
    <w:rsid w:val="009C04C8"/>
    <w:rsid w:val="009C1479"/>
    <w:rsid w:val="009C2A40"/>
    <w:rsid w:val="009C2CF4"/>
    <w:rsid w:val="009C31AC"/>
    <w:rsid w:val="009C3899"/>
    <w:rsid w:val="009C45DE"/>
    <w:rsid w:val="009C4B31"/>
    <w:rsid w:val="009C5A4E"/>
    <w:rsid w:val="009C6331"/>
    <w:rsid w:val="009C6C56"/>
    <w:rsid w:val="009C7D81"/>
    <w:rsid w:val="009C7E77"/>
    <w:rsid w:val="009D10F9"/>
    <w:rsid w:val="009D1AF6"/>
    <w:rsid w:val="009D20A4"/>
    <w:rsid w:val="009D2C94"/>
    <w:rsid w:val="009D3225"/>
    <w:rsid w:val="009D3D72"/>
    <w:rsid w:val="009D432E"/>
    <w:rsid w:val="009D4B04"/>
    <w:rsid w:val="009D5DAF"/>
    <w:rsid w:val="009D60BC"/>
    <w:rsid w:val="009D73B7"/>
    <w:rsid w:val="009D7496"/>
    <w:rsid w:val="009D7DA8"/>
    <w:rsid w:val="009E14F2"/>
    <w:rsid w:val="009E17F3"/>
    <w:rsid w:val="009E2B3C"/>
    <w:rsid w:val="009E310F"/>
    <w:rsid w:val="009E3350"/>
    <w:rsid w:val="009E43E8"/>
    <w:rsid w:val="009E5D2B"/>
    <w:rsid w:val="009E5EF1"/>
    <w:rsid w:val="009E6469"/>
    <w:rsid w:val="009E6987"/>
    <w:rsid w:val="009E6D99"/>
    <w:rsid w:val="009E7E52"/>
    <w:rsid w:val="009F1041"/>
    <w:rsid w:val="009F1AFF"/>
    <w:rsid w:val="009F2E81"/>
    <w:rsid w:val="009F3057"/>
    <w:rsid w:val="009F37EA"/>
    <w:rsid w:val="009F40BB"/>
    <w:rsid w:val="009F4567"/>
    <w:rsid w:val="009F5277"/>
    <w:rsid w:val="009F5628"/>
    <w:rsid w:val="009F61D6"/>
    <w:rsid w:val="009F7455"/>
    <w:rsid w:val="009F7D69"/>
    <w:rsid w:val="00A00059"/>
    <w:rsid w:val="00A01A04"/>
    <w:rsid w:val="00A01C6D"/>
    <w:rsid w:val="00A02D3B"/>
    <w:rsid w:val="00A040CC"/>
    <w:rsid w:val="00A04AA2"/>
    <w:rsid w:val="00A04BE3"/>
    <w:rsid w:val="00A0591A"/>
    <w:rsid w:val="00A10C33"/>
    <w:rsid w:val="00A110FF"/>
    <w:rsid w:val="00A137EC"/>
    <w:rsid w:val="00A14CC5"/>
    <w:rsid w:val="00A14EEE"/>
    <w:rsid w:val="00A156A1"/>
    <w:rsid w:val="00A16613"/>
    <w:rsid w:val="00A16C08"/>
    <w:rsid w:val="00A1753A"/>
    <w:rsid w:val="00A178D2"/>
    <w:rsid w:val="00A2084C"/>
    <w:rsid w:val="00A20924"/>
    <w:rsid w:val="00A22166"/>
    <w:rsid w:val="00A2302A"/>
    <w:rsid w:val="00A23A19"/>
    <w:rsid w:val="00A25CF7"/>
    <w:rsid w:val="00A26A4B"/>
    <w:rsid w:val="00A26CB9"/>
    <w:rsid w:val="00A325DF"/>
    <w:rsid w:val="00A337E4"/>
    <w:rsid w:val="00A339C9"/>
    <w:rsid w:val="00A344C8"/>
    <w:rsid w:val="00A4015F"/>
    <w:rsid w:val="00A40402"/>
    <w:rsid w:val="00A4272E"/>
    <w:rsid w:val="00A43992"/>
    <w:rsid w:val="00A457A0"/>
    <w:rsid w:val="00A46185"/>
    <w:rsid w:val="00A50686"/>
    <w:rsid w:val="00A533D6"/>
    <w:rsid w:val="00A54FF2"/>
    <w:rsid w:val="00A554D6"/>
    <w:rsid w:val="00A57BEF"/>
    <w:rsid w:val="00A61C33"/>
    <w:rsid w:val="00A62419"/>
    <w:rsid w:val="00A627A8"/>
    <w:rsid w:val="00A6524C"/>
    <w:rsid w:val="00A677FC"/>
    <w:rsid w:val="00A71081"/>
    <w:rsid w:val="00A7108C"/>
    <w:rsid w:val="00A71282"/>
    <w:rsid w:val="00A74571"/>
    <w:rsid w:val="00A74CE8"/>
    <w:rsid w:val="00A74E90"/>
    <w:rsid w:val="00A74FDD"/>
    <w:rsid w:val="00A75967"/>
    <w:rsid w:val="00A75FB6"/>
    <w:rsid w:val="00A762B6"/>
    <w:rsid w:val="00A76B6C"/>
    <w:rsid w:val="00A771CF"/>
    <w:rsid w:val="00A809F3"/>
    <w:rsid w:val="00A80CDF"/>
    <w:rsid w:val="00A80E12"/>
    <w:rsid w:val="00A812F5"/>
    <w:rsid w:val="00A820DB"/>
    <w:rsid w:val="00A824E5"/>
    <w:rsid w:val="00A83632"/>
    <w:rsid w:val="00A83C8F"/>
    <w:rsid w:val="00A83E3A"/>
    <w:rsid w:val="00A84122"/>
    <w:rsid w:val="00A84269"/>
    <w:rsid w:val="00A843B8"/>
    <w:rsid w:val="00A8440F"/>
    <w:rsid w:val="00A8578E"/>
    <w:rsid w:val="00A8682E"/>
    <w:rsid w:val="00A8768F"/>
    <w:rsid w:val="00A877DA"/>
    <w:rsid w:val="00A909D3"/>
    <w:rsid w:val="00A915CE"/>
    <w:rsid w:val="00A923F4"/>
    <w:rsid w:val="00A942B3"/>
    <w:rsid w:val="00A94CD3"/>
    <w:rsid w:val="00A954D8"/>
    <w:rsid w:val="00A95BC4"/>
    <w:rsid w:val="00A96D2C"/>
    <w:rsid w:val="00A97EB7"/>
    <w:rsid w:val="00AA05D1"/>
    <w:rsid w:val="00AA21C8"/>
    <w:rsid w:val="00AA2A99"/>
    <w:rsid w:val="00AA2B72"/>
    <w:rsid w:val="00AA3B83"/>
    <w:rsid w:val="00AA4026"/>
    <w:rsid w:val="00AA5CAE"/>
    <w:rsid w:val="00AA6491"/>
    <w:rsid w:val="00AA73C7"/>
    <w:rsid w:val="00AB1486"/>
    <w:rsid w:val="00AB207E"/>
    <w:rsid w:val="00AB3415"/>
    <w:rsid w:val="00AB4520"/>
    <w:rsid w:val="00AB4CE0"/>
    <w:rsid w:val="00AB6215"/>
    <w:rsid w:val="00AB651E"/>
    <w:rsid w:val="00AB6E8F"/>
    <w:rsid w:val="00AB7063"/>
    <w:rsid w:val="00AB7A03"/>
    <w:rsid w:val="00AC133D"/>
    <w:rsid w:val="00AC167D"/>
    <w:rsid w:val="00AC1C52"/>
    <w:rsid w:val="00AC1D86"/>
    <w:rsid w:val="00AC27FE"/>
    <w:rsid w:val="00AC36BD"/>
    <w:rsid w:val="00AC3B85"/>
    <w:rsid w:val="00AC3F87"/>
    <w:rsid w:val="00AC43E5"/>
    <w:rsid w:val="00AC457E"/>
    <w:rsid w:val="00AC56F9"/>
    <w:rsid w:val="00AC59C6"/>
    <w:rsid w:val="00AC7530"/>
    <w:rsid w:val="00AD011A"/>
    <w:rsid w:val="00AD0892"/>
    <w:rsid w:val="00AD2380"/>
    <w:rsid w:val="00AD3866"/>
    <w:rsid w:val="00AD488F"/>
    <w:rsid w:val="00AD4B22"/>
    <w:rsid w:val="00AD5F94"/>
    <w:rsid w:val="00AD5F9B"/>
    <w:rsid w:val="00AD653F"/>
    <w:rsid w:val="00AE0166"/>
    <w:rsid w:val="00AE1927"/>
    <w:rsid w:val="00AE2D79"/>
    <w:rsid w:val="00AE420E"/>
    <w:rsid w:val="00AE4909"/>
    <w:rsid w:val="00AE4E2D"/>
    <w:rsid w:val="00AE547F"/>
    <w:rsid w:val="00AE55DB"/>
    <w:rsid w:val="00AE5A54"/>
    <w:rsid w:val="00AE6117"/>
    <w:rsid w:val="00AE692D"/>
    <w:rsid w:val="00AE6BB1"/>
    <w:rsid w:val="00AE7D80"/>
    <w:rsid w:val="00AF0F1B"/>
    <w:rsid w:val="00AF189E"/>
    <w:rsid w:val="00AF19DE"/>
    <w:rsid w:val="00AF3B4A"/>
    <w:rsid w:val="00AF3D6D"/>
    <w:rsid w:val="00AF458B"/>
    <w:rsid w:val="00AF4A88"/>
    <w:rsid w:val="00AF4F2B"/>
    <w:rsid w:val="00AF54A8"/>
    <w:rsid w:val="00AF56D5"/>
    <w:rsid w:val="00AF5717"/>
    <w:rsid w:val="00AF6D05"/>
    <w:rsid w:val="00AF7790"/>
    <w:rsid w:val="00AF7D6C"/>
    <w:rsid w:val="00B0046B"/>
    <w:rsid w:val="00B00772"/>
    <w:rsid w:val="00B013C6"/>
    <w:rsid w:val="00B0172A"/>
    <w:rsid w:val="00B0321D"/>
    <w:rsid w:val="00B0334D"/>
    <w:rsid w:val="00B03D4E"/>
    <w:rsid w:val="00B07DCA"/>
    <w:rsid w:val="00B103F7"/>
    <w:rsid w:val="00B1054E"/>
    <w:rsid w:val="00B10CBA"/>
    <w:rsid w:val="00B12E6E"/>
    <w:rsid w:val="00B1559B"/>
    <w:rsid w:val="00B159E5"/>
    <w:rsid w:val="00B176B2"/>
    <w:rsid w:val="00B17783"/>
    <w:rsid w:val="00B2448B"/>
    <w:rsid w:val="00B24772"/>
    <w:rsid w:val="00B24A26"/>
    <w:rsid w:val="00B27F8F"/>
    <w:rsid w:val="00B30644"/>
    <w:rsid w:val="00B30AA1"/>
    <w:rsid w:val="00B31255"/>
    <w:rsid w:val="00B31E9D"/>
    <w:rsid w:val="00B3219D"/>
    <w:rsid w:val="00B323A0"/>
    <w:rsid w:val="00B33453"/>
    <w:rsid w:val="00B343C7"/>
    <w:rsid w:val="00B346EA"/>
    <w:rsid w:val="00B352AA"/>
    <w:rsid w:val="00B37B00"/>
    <w:rsid w:val="00B41060"/>
    <w:rsid w:val="00B41EE6"/>
    <w:rsid w:val="00B42312"/>
    <w:rsid w:val="00B4301F"/>
    <w:rsid w:val="00B43F4E"/>
    <w:rsid w:val="00B441D6"/>
    <w:rsid w:val="00B4561B"/>
    <w:rsid w:val="00B45B9D"/>
    <w:rsid w:val="00B466DD"/>
    <w:rsid w:val="00B46951"/>
    <w:rsid w:val="00B46A0C"/>
    <w:rsid w:val="00B47649"/>
    <w:rsid w:val="00B511B9"/>
    <w:rsid w:val="00B513B1"/>
    <w:rsid w:val="00B51CFF"/>
    <w:rsid w:val="00B525EC"/>
    <w:rsid w:val="00B52DAF"/>
    <w:rsid w:val="00B53C39"/>
    <w:rsid w:val="00B53EB4"/>
    <w:rsid w:val="00B55DFD"/>
    <w:rsid w:val="00B564BD"/>
    <w:rsid w:val="00B57A14"/>
    <w:rsid w:val="00B60FA4"/>
    <w:rsid w:val="00B622D1"/>
    <w:rsid w:val="00B62490"/>
    <w:rsid w:val="00B62B8A"/>
    <w:rsid w:val="00B638ED"/>
    <w:rsid w:val="00B63CD8"/>
    <w:rsid w:val="00B64490"/>
    <w:rsid w:val="00B64655"/>
    <w:rsid w:val="00B64811"/>
    <w:rsid w:val="00B64E62"/>
    <w:rsid w:val="00B65144"/>
    <w:rsid w:val="00B65D63"/>
    <w:rsid w:val="00B665D6"/>
    <w:rsid w:val="00B66687"/>
    <w:rsid w:val="00B67842"/>
    <w:rsid w:val="00B67971"/>
    <w:rsid w:val="00B67DCE"/>
    <w:rsid w:val="00B70806"/>
    <w:rsid w:val="00B7082E"/>
    <w:rsid w:val="00B70E54"/>
    <w:rsid w:val="00B715DA"/>
    <w:rsid w:val="00B71704"/>
    <w:rsid w:val="00B7179A"/>
    <w:rsid w:val="00B72277"/>
    <w:rsid w:val="00B725D5"/>
    <w:rsid w:val="00B72EE4"/>
    <w:rsid w:val="00B7354C"/>
    <w:rsid w:val="00B73D66"/>
    <w:rsid w:val="00B75B4B"/>
    <w:rsid w:val="00B75DF4"/>
    <w:rsid w:val="00B76A30"/>
    <w:rsid w:val="00B77E4E"/>
    <w:rsid w:val="00B77FC7"/>
    <w:rsid w:val="00B77FE9"/>
    <w:rsid w:val="00B8237C"/>
    <w:rsid w:val="00B8357F"/>
    <w:rsid w:val="00B8403F"/>
    <w:rsid w:val="00B854DF"/>
    <w:rsid w:val="00B85B82"/>
    <w:rsid w:val="00B86146"/>
    <w:rsid w:val="00B87FB2"/>
    <w:rsid w:val="00B91DB7"/>
    <w:rsid w:val="00B92408"/>
    <w:rsid w:val="00B928C9"/>
    <w:rsid w:val="00B92BFB"/>
    <w:rsid w:val="00B92E97"/>
    <w:rsid w:val="00B93E39"/>
    <w:rsid w:val="00B94422"/>
    <w:rsid w:val="00B94542"/>
    <w:rsid w:val="00B9543A"/>
    <w:rsid w:val="00B96304"/>
    <w:rsid w:val="00B96820"/>
    <w:rsid w:val="00B97BDC"/>
    <w:rsid w:val="00B97C2E"/>
    <w:rsid w:val="00BA0B0F"/>
    <w:rsid w:val="00BA2696"/>
    <w:rsid w:val="00BA39A1"/>
    <w:rsid w:val="00BA3A8B"/>
    <w:rsid w:val="00BA4315"/>
    <w:rsid w:val="00BA59A1"/>
    <w:rsid w:val="00BA59F8"/>
    <w:rsid w:val="00BA7A4B"/>
    <w:rsid w:val="00BA7AB3"/>
    <w:rsid w:val="00BA7CCF"/>
    <w:rsid w:val="00BB056C"/>
    <w:rsid w:val="00BB1B02"/>
    <w:rsid w:val="00BB22BB"/>
    <w:rsid w:val="00BB2841"/>
    <w:rsid w:val="00BB34DC"/>
    <w:rsid w:val="00BB44B8"/>
    <w:rsid w:val="00BB5812"/>
    <w:rsid w:val="00BB6878"/>
    <w:rsid w:val="00BC1A85"/>
    <w:rsid w:val="00BC1F79"/>
    <w:rsid w:val="00BC371B"/>
    <w:rsid w:val="00BC6795"/>
    <w:rsid w:val="00BC7150"/>
    <w:rsid w:val="00BC7590"/>
    <w:rsid w:val="00BD0720"/>
    <w:rsid w:val="00BD12D6"/>
    <w:rsid w:val="00BD1864"/>
    <w:rsid w:val="00BD26CD"/>
    <w:rsid w:val="00BD5530"/>
    <w:rsid w:val="00BD5B7D"/>
    <w:rsid w:val="00BD5E01"/>
    <w:rsid w:val="00BD670B"/>
    <w:rsid w:val="00BD69D5"/>
    <w:rsid w:val="00BD6EBB"/>
    <w:rsid w:val="00BD7046"/>
    <w:rsid w:val="00BE2A9D"/>
    <w:rsid w:val="00BE2AAD"/>
    <w:rsid w:val="00BE3436"/>
    <w:rsid w:val="00BE504A"/>
    <w:rsid w:val="00BE5B5A"/>
    <w:rsid w:val="00BE676D"/>
    <w:rsid w:val="00BE767F"/>
    <w:rsid w:val="00BE7C32"/>
    <w:rsid w:val="00BF0C9B"/>
    <w:rsid w:val="00BF1980"/>
    <w:rsid w:val="00BF19B4"/>
    <w:rsid w:val="00BF23BE"/>
    <w:rsid w:val="00BF3ECD"/>
    <w:rsid w:val="00BF468D"/>
    <w:rsid w:val="00BF5063"/>
    <w:rsid w:val="00BF65E2"/>
    <w:rsid w:val="00BF709A"/>
    <w:rsid w:val="00BF7417"/>
    <w:rsid w:val="00C00F26"/>
    <w:rsid w:val="00C02BBE"/>
    <w:rsid w:val="00C03BD6"/>
    <w:rsid w:val="00C04A75"/>
    <w:rsid w:val="00C05B30"/>
    <w:rsid w:val="00C06A21"/>
    <w:rsid w:val="00C0751B"/>
    <w:rsid w:val="00C10C1D"/>
    <w:rsid w:val="00C10DA8"/>
    <w:rsid w:val="00C1120C"/>
    <w:rsid w:val="00C12EEC"/>
    <w:rsid w:val="00C1305A"/>
    <w:rsid w:val="00C130F3"/>
    <w:rsid w:val="00C13F01"/>
    <w:rsid w:val="00C14130"/>
    <w:rsid w:val="00C169F2"/>
    <w:rsid w:val="00C16A81"/>
    <w:rsid w:val="00C21D6D"/>
    <w:rsid w:val="00C22EC6"/>
    <w:rsid w:val="00C22FC5"/>
    <w:rsid w:val="00C23605"/>
    <w:rsid w:val="00C23860"/>
    <w:rsid w:val="00C242B5"/>
    <w:rsid w:val="00C24CC1"/>
    <w:rsid w:val="00C24FC9"/>
    <w:rsid w:val="00C25214"/>
    <w:rsid w:val="00C254B3"/>
    <w:rsid w:val="00C2719D"/>
    <w:rsid w:val="00C2722A"/>
    <w:rsid w:val="00C27385"/>
    <w:rsid w:val="00C2789E"/>
    <w:rsid w:val="00C27E6E"/>
    <w:rsid w:val="00C30916"/>
    <w:rsid w:val="00C30C92"/>
    <w:rsid w:val="00C30E80"/>
    <w:rsid w:val="00C31295"/>
    <w:rsid w:val="00C31785"/>
    <w:rsid w:val="00C31DB9"/>
    <w:rsid w:val="00C31F2B"/>
    <w:rsid w:val="00C324E9"/>
    <w:rsid w:val="00C32AE0"/>
    <w:rsid w:val="00C3490B"/>
    <w:rsid w:val="00C34EAF"/>
    <w:rsid w:val="00C356AB"/>
    <w:rsid w:val="00C36182"/>
    <w:rsid w:val="00C36185"/>
    <w:rsid w:val="00C36B98"/>
    <w:rsid w:val="00C36CC9"/>
    <w:rsid w:val="00C37923"/>
    <w:rsid w:val="00C4015A"/>
    <w:rsid w:val="00C4062E"/>
    <w:rsid w:val="00C40B45"/>
    <w:rsid w:val="00C42154"/>
    <w:rsid w:val="00C42628"/>
    <w:rsid w:val="00C42C95"/>
    <w:rsid w:val="00C4313E"/>
    <w:rsid w:val="00C43160"/>
    <w:rsid w:val="00C43787"/>
    <w:rsid w:val="00C44165"/>
    <w:rsid w:val="00C45737"/>
    <w:rsid w:val="00C46C15"/>
    <w:rsid w:val="00C46E33"/>
    <w:rsid w:val="00C46E58"/>
    <w:rsid w:val="00C4735F"/>
    <w:rsid w:val="00C47662"/>
    <w:rsid w:val="00C50342"/>
    <w:rsid w:val="00C50EEF"/>
    <w:rsid w:val="00C51334"/>
    <w:rsid w:val="00C5252E"/>
    <w:rsid w:val="00C52E3F"/>
    <w:rsid w:val="00C562FB"/>
    <w:rsid w:val="00C57995"/>
    <w:rsid w:val="00C62815"/>
    <w:rsid w:val="00C62C4E"/>
    <w:rsid w:val="00C62EEE"/>
    <w:rsid w:val="00C63489"/>
    <w:rsid w:val="00C637BC"/>
    <w:rsid w:val="00C64637"/>
    <w:rsid w:val="00C64A45"/>
    <w:rsid w:val="00C66BBC"/>
    <w:rsid w:val="00C66E41"/>
    <w:rsid w:val="00C673AC"/>
    <w:rsid w:val="00C67553"/>
    <w:rsid w:val="00C70434"/>
    <w:rsid w:val="00C7094A"/>
    <w:rsid w:val="00C722DF"/>
    <w:rsid w:val="00C74F34"/>
    <w:rsid w:val="00C75066"/>
    <w:rsid w:val="00C75715"/>
    <w:rsid w:val="00C77345"/>
    <w:rsid w:val="00C7762D"/>
    <w:rsid w:val="00C80BDE"/>
    <w:rsid w:val="00C80CB8"/>
    <w:rsid w:val="00C80EAC"/>
    <w:rsid w:val="00C8201D"/>
    <w:rsid w:val="00C83FEA"/>
    <w:rsid w:val="00C8446E"/>
    <w:rsid w:val="00C85760"/>
    <w:rsid w:val="00C85902"/>
    <w:rsid w:val="00C85E1D"/>
    <w:rsid w:val="00C8615D"/>
    <w:rsid w:val="00C87003"/>
    <w:rsid w:val="00C8777C"/>
    <w:rsid w:val="00C87833"/>
    <w:rsid w:val="00C879AB"/>
    <w:rsid w:val="00C87BFF"/>
    <w:rsid w:val="00C918A7"/>
    <w:rsid w:val="00C92AB6"/>
    <w:rsid w:val="00C92D66"/>
    <w:rsid w:val="00C9331A"/>
    <w:rsid w:val="00C93D9F"/>
    <w:rsid w:val="00C94826"/>
    <w:rsid w:val="00C94AA1"/>
    <w:rsid w:val="00C96753"/>
    <w:rsid w:val="00CA15D0"/>
    <w:rsid w:val="00CA260B"/>
    <w:rsid w:val="00CA50B5"/>
    <w:rsid w:val="00CA6B2C"/>
    <w:rsid w:val="00CB25E6"/>
    <w:rsid w:val="00CB3946"/>
    <w:rsid w:val="00CB3D16"/>
    <w:rsid w:val="00CB4153"/>
    <w:rsid w:val="00CB4C09"/>
    <w:rsid w:val="00CB6C4A"/>
    <w:rsid w:val="00CC08E0"/>
    <w:rsid w:val="00CC130F"/>
    <w:rsid w:val="00CC256A"/>
    <w:rsid w:val="00CC2F8B"/>
    <w:rsid w:val="00CC3819"/>
    <w:rsid w:val="00CC4B70"/>
    <w:rsid w:val="00CC5BD4"/>
    <w:rsid w:val="00CC6BBF"/>
    <w:rsid w:val="00CC77E8"/>
    <w:rsid w:val="00CD076A"/>
    <w:rsid w:val="00CD0E89"/>
    <w:rsid w:val="00CD179A"/>
    <w:rsid w:val="00CD1CAE"/>
    <w:rsid w:val="00CD44BD"/>
    <w:rsid w:val="00CD4A89"/>
    <w:rsid w:val="00CD4DB9"/>
    <w:rsid w:val="00CD531E"/>
    <w:rsid w:val="00CD5979"/>
    <w:rsid w:val="00CD657D"/>
    <w:rsid w:val="00CE027B"/>
    <w:rsid w:val="00CE39E4"/>
    <w:rsid w:val="00CE42BD"/>
    <w:rsid w:val="00CE4F57"/>
    <w:rsid w:val="00CE5186"/>
    <w:rsid w:val="00CE59D2"/>
    <w:rsid w:val="00CE76B4"/>
    <w:rsid w:val="00CE7C8B"/>
    <w:rsid w:val="00CF154C"/>
    <w:rsid w:val="00CF1A99"/>
    <w:rsid w:val="00CF2F2B"/>
    <w:rsid w:val="00CF3051"/>
    <w:rsid w:val="00CF3EBF"/>
    <w:rsid w:val="00CF4CE8"/>
    <w:rsid w:val="00CF61D0"/>
    <w:rsid w:val="00CF6A09"/>
    <w:rsid w:val="00CF6E13"/>
    <w:rsid w:val="00CF790F"/>
    <w:rsid w:val="00D00D1F"/>
    <w:rsid w:val="00D01F5E"/>
    <w:rsid w:val="00D02262"/>
    <w:rsid w:val="00D02D88"/>
    <w:rsid w:val="00D046E3"/>
    <w:rsid w:val="00D04B9F"/>
    <w:rsid w:val="00D04C60"/>
    <w:rsid w:val="00D05086"/>
    <w:rsid w:val="00D050CA"/>
    <w:rsid w:val="00D05A4B"/>
    <w:rsid w:val="00D10797"/>
    <w:rsid w:val="00D11670"/>
    <w:rsid w:val="00D123A6"/>
    <w:rsid w:val="00D12777"/>
    <w:rsid w:val="00D12E48"/>
    <w:rsid w:val="00D13B8A"/>
    <w:rsid w:val="00D14F02"/>
    <w:rsid w:val="00D1593E"/>
    <w:rsid w:val="00D15A6F"/>
    <w:rsid w:val="00D1724A"/>
    <w:rsid w:val="00D17777"/>
    <w:rsid w:val="00D17BFF"/>
    <w:rsid w:val="00D200BB"/>
    <w:rsid w:val="00D206F6"/>
    <w:rsid w:val="00D2262D"/>
    <w:rsid w:val="00D22EB0"/>
    <w:rsid w:val="00D24239"/>
    <w:rsid w:val="00D244BA"/>
    <w:rsid w:val="00D260E3"/>
    <w:rsid w:val="00D26B28"/>
    <w:rsid w:val="00D271E8"/>
    <w:rsid w:val="00D279AD"/>
    <w:rsid w:val="00D30314"/>
    <w:rsid w:val="00D309C1"/>
    <w:rsid w:val="00D315A2"/>
    <w:rsid w:val="00D31A52"/>
    <w:rsid w:val="00D31CBD"/>
    <w:rsid w:val="00D32374"/>
    <w:rsid w:val="00D325B7"/>
    <w:rsid w:val="00D33B18"/>
    <w:rsid w:val="00D33D82"/>
    <w:rsid w:val="00D348DF"/>
    <w:rsid w:val="00D34E6B"/>
    <w:rsid w:val="00D35823"/>
    <w:rsid w:val="00D368B3"/>
    <w:rsid w:val="00D407E6"/>
    <w:rsid w:val="00D4147E"/>
    <w:rsid w:val="00D41626"/>
    <w:rsid w:val="00D429E6"/>
    <w:rsid w:val="00D4315A"/>
    <w:rsid w:val="00D444D0"/>
    <w:rsid w:val="00D44790"/>
    <w:rsid w:val="00D447A0"/>
    <w:rsid w:val="00D501DF"/>
    <w:rsid w:val="00D51F3C"/>
    <w:rsid w:val="00D52306"/>
    <w:rsid w:val="00D52EC8"/>
    <w:rsid w:val="00D53BF4"/>
    <w:rsid w:val="00D53E83"/>
    <w:rsid w:val="00D54A43"/>
    <w:rsid w:val="00D556C0"/>
    <w:rsid w:val="00D55D6E"/>
    <w:rsid w:val="00D5634A"/>
    <w:rsid w:val="00D57D03"/>
    <w:rsid w:val="00D6009F"/>
    <w:rsid w:val="00D6010C"/>
    <w:rsid w:val="00D619CB"/>
    <w:rsid w:val="00D62530"/>
    <w:rsid w:val="00D62974"/>
    <w:rsid w:val="00D62DE8"/>
    <w:rsid w:val="00D6309A"/>
    <w:rsid w:val="00D63AB5"/>
    <w:rsid w:val="00D6413C"/>
    <w:rsid w:val="00D654BF"/>
    <w:rsid w:val="00D657D6"/>
    <w:rsid w:val="00D66D58"/>
    <w:rsid w:val="00D674BC"/>
    <w:rsid w:val="00D677AA"/>
    <w:rsid w:val="00D7114C"/>
    <w:rsid w:val="00D713E8"/>
    <w:rsid w:val="00D71DD0"/>
    <w:rsid w:val="00D72424"/>
    <w:rsid w:val="00D730D2"/>
    <w:rsid w:val="00D7345B"/>
    <w:rsid w:val="00D73A7B"/>
    <w:rsid w:val="00D7497D"/>
    <w:rsid w:val="00D757A9"/>
    <w:rsid w:val="00D75AA9"/>
    <w:rsid w:val="00D76315"/>
    <w:rsid w:val="00D8081B"/>
    <w:rsid w:val="00D808DD"/>
    <w:rsid w:val="00D8163F"/>
    <w:rsid w:val="00D840C3"/>
    <w:rsid w:val="00D84523"/>
    <w:rsid w:val="00D8456B"/>
    <w:rsid w:val="00D8685E"/>
    <w:rsid w:val="00D86C1E"/>
    <w:rsid w:val="00D8732B"/>
    <w:rsid w:val="00D87867"/>
    <w:rsid w:val="00D9009F"/>
    <w:rsid w:val="00D91636"/>
    <w:rsid w:val="00D91F52"/>
    <w:rsid w:val="00D920E5"/>
    <w:rsid w:val="00D92B33"/>
    <w:rsid w:val="00D92B3C"/>
    <w:rsid w:val="00D93269"/>
    <w:rsid w:val="00D93628"/>
    <w:rsid w:val="00D9368E"/>
    <w:rsid w:val="00D9398D"/>
    <w:rsid w:val="00D94345"/>
    <w:rsid w:val="00D94528"/>
    <w:rsid w:val="00D94B47"/>
    <w:rsid w:val="00D9638D"/>
    <w:rsid w:val="00D96483"/>
    <w:rsid w:val="00D97600"/>
    <w:rsid w:val="00DA1016"/>
    <w:rsid w:val="00DA2347"/>
    <w:rsid w:val="00DA24FC"/>
    <w:rsid w:val="00DA25D1"/>
    <w:rsid w:val="00DA2BE2"/>
    <w:rsid w:val="00DA31D1"/>
    <w:rsid w:val="00DA343E"/>
    <w:rsid w:val="00DA6362"/>
    <w:rsid w:val="00DA68A1"/>
    <w:rsid w:val="00DA771A"/>
    <w:rsid w:val="00DB035F"/>
    <w:rsid w:val="00DB2A12"/>
    <w:rsid w:val="00DB2EEE"/>
    <w:rsid w:val="00DB3E62"/>
    <w:rsid w:val="00DB56B0"/>
    <w:rsid w:val="00DB5F0F"/>
    <w:rsid w:val="00DB635F"/>
    <w:rsid w:val="00DB69A6"/>
    <w:rsid w:val="00DB7C80"/>
    <w:rsid w:val="00DC189B"/>
    <w:rsid w:val="00DC19E0"/>
    <w:rsid w:val="00DC1BCF"/>
    <w:rsid w:val="00DC2D0A"/>
    <w:rsid w:val="00DC3084"/>
    <w:rsid w:val="00DC485A"/>
    <w:rsid w:val="00DC4A1D"/>
    <w:rsid w:val="00DC51D2"/>
    <w:rsid w:val="00DC5280"/>
    <w:rsid w:val="00DC5576"/>
    <w:rsid w:val="00DC7884"/>
    <w:rsid w:val="00DC7ED8"/>
    <w:rsid w:val="00DD1714"/>
    <w:rsid w:val="00DD1779"/>
    <w:rsid w:val="00DD2B90"/>
    <w:rsid w:val="00DD2D12"/>
    <w:rsid w:val="00DD3F70"/>
    <w:rsid w:val="00DD473C"/>
    <w:rsid w:val="00DD4BA0"/>
    <w:rsid w:val="00DD4C0F"/>
    <w:rsid w:val="00DD5DC2"/>
    <w:rsid w:val="00DD77B0"/>
    <w:rsid w:val="00DE1391"/>
    <w:rsid w:val="00DE177C"/>
    <w:rsid w:val="00DE1CD7"/>
    <w:rsid w:val="00DE3232"/>
    <w:rsid w:val="00DE3692"/>
    <w:rsid w:val="00DE58BD"/>
    <w:rsid w:val="00DE6962"/>
    <w:rsid w:val="00DE6B47"/>
    <w:rsid w:val="00DE7C94"/>
    <w:rsid w:val="00DF01A9"/>
    <w:rsid w:val="00DF0341"/>
    <w:rsid w:val="00DF164D"/>
    <w:rsid w:val="00DF17B2"/>
    <w:rsid w:val="00DF1E8F"/>
    <w:rsid w:val="00DF1EA4"/>
    <w:rsid w:val="00DF29C3"/>
    <w:rsid w:val="00DF2F75"/>
    <w:rsid w:val="00DF4129"/>
    <w:rsid w:val="00DF4197"/>
    <w:rsid w:val="00DF4780"/>
    <w:rsid w:val="00DF47E6"/>
    <w:rsid w:val="00DF5EDA"/>
    <w:rsid w:val="00DF64E1"/>
    <w:rsid w:val="00DF7F9D"/>
    <w:rsid w:val="00E0035A"/>
    <w:rsid w:val="00E00AFA"/>
    <w:rsid w:val="00E00ECB"/>
    <w:rsid w:val="00E01081"/>
    <w:rsid w:val="00E02367"/>
    <w:rsid w:val="00E02D4B"/>
    <w:rsid w:val="00E03F55"/>
    <w:rsid w:val="00E04BA6"/>
    <w:rsid w:val="00E0559B"/>
    <w:rsid w:val="00E057C7"/>
    <w:rsid w:val="00E05BE6"/>
    <w:rsid w:val="00E05E83"/>
    <w:rsid w:val="00E066CA"/>
    <w:rsid w:val="00E0739E"/>
    <w:rsid w:val="00E07617"/>
    <w:rsid w:val="00E076A0"/>
    <w:rsid w:val="00E07F33"/>
    <w:rsid w:val="00E108B3"/>
    <w:rsid w:val="00E11573"/>
    <w:rsid w:val="00E116BF"/>
    <w:rsid w:val="00E11B55"/>
    <w:rsid w:val="00E126A1"/>
    <w:rsid w:val="00E132E5"/>
    <w:rsid w:val="00E132F7"/>
    <w:rsid w:val="00E13813"/>
    <w:rsid w:val="00E13CE3"/>
    <w:rsid w:val="00E14CE9"/>
    <w:rsid w:val="00E15EB4"/>
    <w:rsid w:val="00E16462"/>
    <w:rsid w:val="00E17817"/>
    <w:rsid w:val="00E17909"/>
    <w:rsid w:val="00E17940"/>
    <w:rsid w:val="00E17BBA"/>
    <w:rsid w:val="00E21A62"/>
    <w:rsid w:val="00E21DEE"/>
    <w:rsid w:val="00E22020"/>
    <w:rsid w:val="00E22169"/>
    <w:rsid w:val="00E22BBA"/>
    <w:rsid w:val="00E23F27"/>
    <w:rsid w:val="00E2402D"/>
    <w:rsid w:val="00E248B3"/>
    <w:rsid w:val="00E25339"/>
    <w:rsid w:val="00E255BC"/>
    <w:rsid w:val="00E27977"/>
    <w:rsid w:val="00E31209"/>
    <w:rsid w:val="00E312D4"/>
    <w:rsid w:val="00E31F8A"/>
    <w:rsid w:val="00E33273"/>
    <w:rsid w:val="00E33AE0"/>
    <w:rsid w:val="00E362DD"/>
    <w:rsid w:val="00E36C0D"/>
    <w:rsid w:val="00E3735B"/>
    <w:rsid w:val="00E42B37"/>
    <w:rsid w:val="00E430F7"/>
    <w:rsid w:val="00E460C4"/>
    <w:rsid w:val="00E46857"/>
    <w:rsid w:val="00E507A6"/>
    <w:rsid w:val="00E5192F"/>
    <w:rsid w:val="00E51D10"/>
    <w:rsid w:val="00E52C33"/>
    <w:rsid w:val="00E54104"/>
    <w:rsid w:val="00E54B8E"/>
    <w:rsid w:val="00E5507E"/>
    <w:rsid w:val="00E561FC"/>
    <w:rsid w:val="00E56715"/>
    <w:rsid w:val="00E56CB1"/>
    <w:rsid w:val="00E572FD"/>
    <w:rsid w:val="00E604A8"/>
    <w:rsid w:val="00E612E8"/>
    <w:rsid w:val="00E6168F"/>
    <w:rsid w:val="00E635C4"/>
    <w:rsid w:val="00E64D0B"/>
    <w:rsid w:val="00E650AC"/>
    <w:rsid w:val="00E6520F"/>
    <w:rsid w:val="00E6625A"/>
    <w:rsid w:val="00E6642E"/>
    <w:rsid w:val="00E6749B"/>
    <w:rsid w:val="00E7007B"/>
    <w:rsid w:val="00E714C5"/>
    <w:rsid w:val="00E71932"/>
    <w:rsid w:val="00E719CA"/>
    <w:rsid w:val="00E72603"/>
    <w:rsid w:val="00E72D61"/>
    <w:rsid w:val="00E737DB"/>
    <w:rsid w:val="00E74554"/>
    <w:rsid w:val="00E74F98"/>
    <w:rsid w:val="00E75037"/>
    <w:rsid w:val="00E7518F"/>
    <w:rsid w:val="00E7539C"/>
    <w:rsid w:val="00E7552C"/>
    <w:rsid w:val="00E76998"/>
    <w:rsid w:val="00E76AC4"/>
    <w:rsid w:val="00E8118C"/>
    <w:rsid w:val="00E81C6B"/>
    <w:rsid w:val="00E82CEB"/>
    <w:rsid w:val="00E83EC7"/>
    <w:rsid w:val="00E847F4"/>
    <w:rsid w:val="00E857A0"/>
    <w:rsid w:val="00E86927"/>
    <w:rsid w:val="00E90470"/>
    <w:rsid w:val="00E90968"/>
    <w:rsid w:val="00E91DEC"/>
    <w:rsid w:val="00E9318F"/>
    <w:rsid w:val="00E93682"/>
    <w:rsid w:val="00E93D9A"/>
    <w:rsid w:val="00E9566E"/>
    <w:rsid w:val="00E95D75"/>
    <w:rsid w:val="00E9673E"/>
    <w:rsid w:val="00E967E2"/>
    <w:rsid w:val="00EA06A5"/>
    <w:rsid w:val="00EA1E59"/>
    <w:rsid w:val="00EA32E7"/>
    <w:rsid w:val="00EA3B0A"/>
    <w:rsid w:val="00EA468E"/>
    <w:rsid w:val="00EA4FA1"/>
    <w:rsid w:val="00EA7E93"/>
    <w:rsid w:val="00EB1AD3"/>
    <w:rsid w:val="00EB3209"/>
    <w:rsid w:val="00EB32D4"/>
    <w:rsid w:val="00EB3B99"/>
    <w:rsid w:val="00EB43BA"/>
    <w:rsid w:val="00EB4E5B"/>
    <w:rsid w:val="00EB579F"/>
    <w:rsid w:val="00EB6964"/>
    <w:rsid w:val="00EB780C"/>
    <w:rsid w:val="00EC010D"/>
    <w:rsid w:val="00EC261B"/>
    <w:rsid w:val="00EC3932"/>
    <w:rsid w:val="00EC41F5"/>
    <w:rsid w:val="00EC6AF8"/>
    <w:rsid w:val="00EC6EE8"/>
    <w:rsid w:val="00EC6F3B"/>
    <w:rsid w:val="00EC76A7"/>
    <w:rsid w:val="00EC7879"/>
    <w:rsid w:val="00EC7A52"/>
    <w:rsid w:val="00EC7BAB"/>
    <w:rsid w:val="00ED08D2"/>
    <w:rsid w:val="00ED1073"/>
    <w:rsid w:val="00ED29BA"/>
    <w:rsid w:val="00ED3832"/>
    <w:rsid w:val="00ED441B"/>
    <w:rsid w:val="00ED49C4"/>
    <w:rsid w:val="00ED6063"/>
    <w:rsid w:val="00ED6757"/>
    <w:rsid w:val="00EE01FD"/>
    <w:rsid w:val="00EE0E4B"/>
    <w:rsid w:val="00EE1625"/>
    <w:rsid w:val="00EE1712"/>
    <w:rsid w:val="00EE17EF"/>
    <w:rsid w:val="00EE1808"/>
    <w:rsid w:val="00EE2F19"/>
    <w:rsid w:val="00EE46C0"/>
    <w:rsid w:val="00EE6BAF"/>
    <w:rsid w:val="00EF01C1"/>
    <w:rsid w:val="00EF0325"/>
    <w:rsid w:val="00EF3F04"/>
    <w:rsid w:val="00EF5438"/>
    <w:rsid w:val="00EF63B5"/>
    <w:rsid w:val="00F01313"/>
    <w:rsid w:val="00F02733"/>
    <w:rsid w:val="00F02DE8"/>
    <w:rsid w:val="00F0371B"/>
    <w:rsid w:val="00F03AF0"/>
    <w:rsid w:val="00F06ABE"/>
    <w:rsid w:val="00F10815"/>
    <w:rsid w:val="00F110C1"/>
    <w:rsid w:val="00F1207C"/>
    <w:rsid w:val="00F12596"/>
    <w:rsid w:val="00F130BE"/>
    <w:rsid w:val="00F13882"/>
    <w:rsid w:val="00F13ACC"/>
    <w:rsid w:val="00F14A44"/>
    <w:rsid w:val="00F15B81"/>
    <w:rsid w:val="00F15BBF"/>
    <w:rsid w:val="00F16C75"/>
    <w:rsid w:val="00F17184"/>
    <w:rsid w:val="00F1731D"/>
    <w:rsid w:val="00F17ADA"/>
    <w:rsid w:val="00F205C2"/>
    <w:rsid w:val="00F21C95"/>
    <w:rsid w:val="00F2333B"/>
    <w:rsid w:val="00F23386"/>
    <w:rsid w:val="00F234EC"/>
    <w:rsid w:val="00F242AE"/>
    <w:rsid w:val="00F244B8"/>
    <w:rsid w:val="00F24B99"/>
    <w:rsid w:val="00F2604E"/>
    <w:rsid w:val="00F26B4F"/>
    <w:rsid w:val="00F26EDB"/>
    <w:rsid w:val="00F27B10"/>
    <w:rsid w:val="00F27B72"/>
    <w:rsid w:val="00F30321"/>
    <w:rsid w:val="00F315D6"/>
    <w:rsid w:val="00F34E85"/>
    <w:rsid w:val="00F35864"/>
    <w:rsid w:val="00F35F24"/>
    <w:rsid w:val="00F370C5"/>
    <w:rsid w:val="00F408A7"/>
    <w:rsid w:val="00F42D89"/>
    <w:rsid w:val="00F439E1"/>
    <w:rsid w:val="00F45ED4"/>
    <w:rsid w:val="00F46AC8"/>
    <w:rsid w:val="00F47F5C"/>
    <w:rsid w:val="00F52F43"/>
    <w:rsid w:val="00F5407E"/>
    <w:rsid w:val="00F54D80"/>
    <w:rsid w:val="00F55BB5"/>
    <w:rsid w:val="00F56E13"/>
    <w:rsid w:val="00F603C1"/>
    <w:rsid w:val="00F61BD8"/>
    <w:rsid w:val="00F636E6"/>
    <w:rsid w:val="00F63A83"/>
    <w:rsid w:val="00F6557F"/>
    <w:rsid w:val="00F65AE8"/>
    <w:rsid w:val="00F660B1"/>
    <w:rsid w:val="00F7105E"/>
    <w:rsid w:val="00F71121"/>
    <w:rsid w:val="00F7117F"/>
    <w:rsid w:val="00F71364"/>
    <w:rsid w:val="00F7159D"/>
    <w:rsid w:val="00F73CB0"/>
    <w:rsid w:val="00F73F97"/>
    <w:rsid w:val="00F7615E"/>
    <w:rsid w:val="00F76194"/>
    <w:rsid w:val="00F77258"/>
    <w:rsid w:val="00F77BC3"/>
    <w:rsid w:val="00F80ED6"/>
    <w:rsid w:val="00F82306"/>
    <w:rsid w:val="00F8290B"/>
    <w:rsid w:val="00F83BED"/>
    <w:rsid w:val="00F8408F"/>
    <w:rsid w:val="00F843F0"/>
    <w:rsid w:val="00F85278"/>
    <w:rsid w:val="00F86BB3"/>
    <w:rsid w:val="00F86D7C"/>
    <w:rsid w:val="00F87F49"/>
    <w:rsid w:val="00F903D2"/>
    <w:rsid w:val="00F90C15"/>
    <w:rsid w:val="00F94ADC"/>
    <w:rsid w:val="00F94C09"/>
    <w:rsid w:val="00F9503B"/>
    <w:rsid w:val="00F968AD"/>
    <w:rsid w:val="00F974B8"/>
    <w:rsid w:val="00F97BC8"/>
    <w:rsid w:val="00F97E86"/>
    <w:rsid w:val="00FA02BE"/>
    <w:rsid w:val="00FA1C89"/>
    <w:rsid w:val="00FA24AE"/>
    <w:rsid w:val="00FA2A1A"/>
    <w:rsid w:val="00FA2CB6"/>
    <w:rsid w:val="00FA3423"/>
    <w:rsid w:val="00FA3534"/>
    <w:rsid w:val="00FA41D7"/>
    <w:rsid w:val="00FA6204"/>
    <w:rsid w:val="00FB1871"/>
    <w:rsid w:val="00FB194B"/>
    <w:rsid w:val="00FB1FB9"/>
    <w:rsid w:val="00FB23FE"/>
    <w:rsid w:val="00FB31E9"/>
    <w:rsid w:val="00FB3362"/>
    <w:rsid w:val="00FB465C"/>
    <w:rsid w:val="00FB516C"/>
    <w:rsid w:val="00FB60B9"/>
    <w:rsid w:val="00FB61BA"/>
    <w:rsid w:val="00FB6C98"/>
    <w:rsid w:val="00FC3C38"/>
    <w:rsid w:val="00FC3DBA"/>
    <w:rsid w:val="00FC4145"/>
    <w:rsid w:val="00FC6D1E"/>
    <w:rsid w:val="00FC7560"/>
    <w:rsid w:val="00FD056D"/>
    <w:rsid w:val="00FD0A72"/>
    <w:rsid w:val="00FD10ED"/>
    <w:rsid w:val="00FD163D"/>
    <w:rsid w:val="00FD173F"/>
    <w:rsid w:val="00FD31E1"/>
    <w:rsid w:val="00FD3807"/>
    <w:rsid w:val="00FD432A"/>
    <w:rsid w:val="00FD59BD"/>
    <w:rsid w:val="00FD5C3D"/>
    <w:rsid w:val="00FD65E7"/>
    <w:rsid w:val="00FD6C36"/>
    <w:rsid w:val="00FD6FA1"/>
    <w:rsid w:val="00FD761C"/>
    <w:rsid w:val="00FE0120"/>
    <w:rsid w:val="00FE1AA2"/>
    <w:rsid w:val="00FE1AB9"/>
    <w:rsid w:val="00FE1E11"/>
    <w:rsid w:val="00FE2E31"/>
    <w:rsid w:val="00FE3E96"/>
    <w:rsid w:val="00FE3ED8"/>
    <w:rsid w:val="00FE4070"/>
    <w:rsid w:val="00FE54BA"/>
    <w:rsid w:val="00FE54EF"/>
    <w:rsid w:val="00FE5A5C"/>
    <w:rsid w:val="00FE7565"/>
    <w:rsid w:val="00FE78B7"/>
    <w:rsid w:val="00FF209B"/>
    <w:rsid w:val="00FF28FF"/>
    <w:rsid w:val="00FF3619"/>
    <w:rsid w:val="00FF4FCE"/>
    <w:rsid w:val="00FF6452"/>
    <w:rsid w:val="00FF7992"/>
    <w:rsid w:val="00FF7C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sv-SE" w:bidi="sv-SE"/>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table of figures" w:qFormat="1"/>
    <w:lsdException w:name="footnote reference" w:uiPriority="0" w:qFormat="1"/>
    <w:lsdException w:name="List" w:qFormat="1"/>
    <w:lsdException w:name="List Bullet" w:uiPriority="0"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3CE3"/>
    <w:pPr>
      <w:spacing w:after="0" w:line="240" w:lineRule="auto"/>
    </w:pPr>
    <w:rPr>
      <w:rFonts w:eastAsiaTheme="minorEastAsia"/>
      <w:szCs w:val="24"/>
    </w:rPr>
  </w:style>
  <w:style w:type="paragraph" w:styleId="Heading1">
    <w:name w:val="heading 1"/>
    <w:aliases w:val="Cover title white"/>
    <w:next w:val="Normal"/>
    <w:link w:val="Heading1Char"/>
    <w:qFormat/>
    <w:rsid w:val="00E13CE3"/>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E13CE3"/>
    <w:pPr>
      <w:numPr>
        <w:numId w:val="0"/>
      </w:numPr>
      <w:outlineLvl w:val="1"/>
    </w:pPr>
  </w:style>
  <w:style w:type="paragraph" w:styleId="Heading3">
    <w:name w:val="heading 3"/>
    <w:aliases w:val="Title 2"/>
    <w:basedOn w:val="Numberedtitlelevel2"/>
    <w:next w:val="Normal"/>
    <w:link w:val="Heading3Char"/>
    <w:uiPriority w:val="9"/>
    <w:semiHidden/>
    <w:rsid w:val="00E13CE3"/>
    <w:pPr>
      <w:outlineLvl w:val="2"/>
    </w:pPr>
  </w:style>
  <w:style w:type="paragraph" w:styleId="Heading4">
    <w:name w:val="heading 4"/>
    <w:basedOn w:val="Normal"/>
    <w:next w:val="Normal"/>
    <w:link w:val="Heading4Char"/>
    <w:uiPriority w:val="9"/>
    <w:semiHidden/>
    <w:qFormat/>
    <w:rsid w:val="00E13CE3"/>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rsid w:val="00E13CE3"/>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E13CE3"/>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E13CE3"/>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E13CE3"/>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E13CE3"/>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E13CE3"/>
    <w:rPr>
      <w:rFonts w:asciiTheme="majorHAnsi" w:eastAsiaTheme="majorEastAsia" w:hAnsiTheme="majorHAnsi" w:cstheme="majorBidi"/>
      <w:b/>
      <w:bCs/>
      <w:caps/>
      <w:color w:val="FFFFFF" w:themeColor="background1"/>
      <w:sz w:val="40"/>
      <w:szCs w:val="40"/>
      <w:lang w:val="sv-SE"/>
    </w:rPr>
  </w:style>
  <w:style w:type="character" w:customStyle="1" w:styleId="Heading2Char">
    <w:name w:val="Heading 2 Char"/>
    <w:basedOn w:val="DefaultParagraphFont"/>
    <w:link w:val="Heading2"/>
    <w:uiPriority w:val="9"/>
    <w:semiHidden/>
    <w:rsid w:val="00E13CE3"/>
    <w:rPr>
      <w:rFonts w:asciiTheme="majorHAnsi" w:eastAsiaTheme="majorEastAsia" w:hAnsiTheme="majorHAnsi" w:cstheme="majorBidi"/>
      <w:color w:val="1F497D" w:themeColor="text2"/>
      <w:spacing w:val="5"/>
      <w:kern w:val="28"/>
      <w:sz w:val="52"/>
      <w:szCs w:val="52"/>
      <w:lang w:val="sv-SE"/>
    </w:rPr>
  </w:style>
  <w:style w:type="character" w:customStyle="1" w:styleId="Heading3Char">
    <w:name w:val="Heading 3 Char"/>
    <w:aliases w:val="Title 2 Char"/>
    <w:basedOn w:val="DefaultParagraphFont"/>
    <w:link w:val="Heading3"/>
    <w:uiPriority w:val="9"/>
    <w:semiHidden/>
    <w:rsid w:val="00E13CE3"/>
    <w:rPr>
      <w:rFonts w:asciiTheme="majorHAnsi" w:eastAsiaTheme="majorEastAsia" w:hAnsiTheme="majorHAnsi" w:cstheme="majorBidi"/>
      <w:bCs/>
      <w:color w:val="1F497D" w:themeColor="text2"/>
      <w:sz w:val="32"/>
      <w:szCs w:val="24"/>
      <w:lang w:val="sv-SE"/>
    </w:rPr>
  </w:style>
  <w:style w:type="character" w:customStyle="1" w:styleId="Heading4Char">
    <w:name w:val="Heading 4 Char"/>
    <w:basedOn w:val="DefaultParagraphFont"/>
    <w:link w:val="Heading4"/>
    <w:uiPriority w:val="9"/>
    <w:semiHidden/>
    <w:rsid w:val="00E13CE3"/>
    <w:rPr>
      <w:rFonts w:asciiTheme="majorHAnsi" w:eastAsiaTheme="majorEastAsia" w:hAnsiTheme="majorHAnsi" w:cstheme="majorBidi"/>
      <w:b/>
      <w:bCs/>
      <w:i/>
      <w:iCs/>
      <w:color w:val="4F81BD" w:themeColor="accent1"/>
      <w:szCs w:val="24"/>
      <w:lang w:val="sv-SE"/>
    </w:rPr>
  </w:style>
  <w:style w:type="character" w:customStyle="1" w:styleId="Heading5Char">
    <w:name w:val="Heading 5 Char"/>
    <w:aliases w:val="Cover subtitle white Char"/>
    <w:basedOn w:val="DefaultParagraphFont"/>
    <w:link w:val="Heading5"/>
    <w:semiHidden/>
    <w:rsid w:val="00E13CE3"/>
    <w:rPr>
      <w:rFonts w:asciiTheme="majorHAnsi" w:eastAsiaTheme="majorEastAsia" w:hAnsiTheme="majorHAnsi" w:cstheme="majorBidi"/>
      <w:caps/>
      <w:color w:val="FFFFFF" w:themeColor="background1"/>
      <w:sz w:val="28"/>
      <w:szCs w:val="28"/>
      <w:lang w:val="sv-SE"/>
    </w:rPr>
  </w:style>
  <w:style w:type="character" w:customStyle="1" w:styleId="Heading6Char">
    <w:name w:val="Heading 6 Char"/>
    <w:basedOn w:val="DefaultParagraphFont"/>
    <w:link w:val="Heading6"/>
    <w:uiPriority w:val="9"/>
    <w:semiHidden/>
    <w:rsid w:val="00E13CE3"/>
    <w:rPr>
      <w:rFonts w:asciiTheme="majorHAnsi" w:eastAsiaTheme="majorEastAsia" w:hAnsiTheme="majorHAnsi" w:cstheme="majorBidi"/>
      <w:i/>
      <w:iCs/>
      <w:color w:val="243F60" w:themeColor="accent1" w:themeShade="7F"/>
      <w:szCs w:val="24"/>
      <w:lang w:val="sv-SE"/>
    </w:rPr>
  </w:style>
  <w:style w:type="character" w:customStyle="1" w:styleId="Heading7Char">
    <w:name w:val="Heading 7 Char"/>
    <w:basedOn w:val="DefaultParagraphFont"/>
    <w:link w:val="Heading7"/>
    <w:uiPriority w:val="9"/>
    <w:semiHidden/>
    <w:rsid w:val="00E13CE3"/>
    <w:rPr>
      <w:rFonts w:asciiTheme="majorHAnsi" w:eastAsiaTheme="majorEastAsia" w:hAnsiTheme="majorHAnsi" w:cstheme="majorBidi"/>
      <w:i/>
      <w:iCs/>
      <w:color w:val="404040" w:themeColor="text1" w:themeTint="BF"/>
      <w:szCs w:val="24"/>
      <w:lang w:val="sv-SE"/>
    </w:rPr>
  </w:style>
  <w:style w:type="character" w:customStyle="1" w:styleId="Heading8Char">
    <w:name w:val="Heading 8 Char"/>
    <w:basedOn w:val="DefaultParagraphFont"/>
    <w:link w:val="Heading8"/>
    <w:uiPriority w:val="9"/>
    <w:semiHidden/>
    <w:rsid w:val="00E13CE3"/>
    <w:rPr>
      <w:rFonts w:asciiTheme="majorHAnsi" w:eastAsiaTheme="majorEastAsia" w:hAnsiTheme="majorHAnsi" w:cstheme="majorBidi"/>
      <w:color w:val="404040" w:themeColor="text1" w:themeTint="BF"/>
      <w:sz w:val="20"/>
      <w:szCs w:val="20"/>
      <w:lang w:val="sv-SE"/>
    </w:rPr>
  </w:style>
  <w:style w:type="character" w:customStyle="1" w:styleId="Heading9Char">
    <w:name w:val="Heading 9 Char"/>
    <w:basedOn w:val="DefaultParagraphFont"/>
    <w:link w:val="Heading9"/>
    <w:uiPriority w:val="9"/>
    <w:semiHidden/>
    <w:rsid w:val="00E13CE3"/>
    <w:rPr>
      <w:rFonts w:asciiTheme="majorHAnsi" w:eastAsiaTheme="majorEastAsia" w:hAnsiTheme="majorHAnsi" w:cstheme="majorBidi"/>
      <w:i/>
      <w:iCs/>
      <w:color w:val="404040" w:themeColor="text1" w:themeTint="BF"/>
      <w:sz w:val="20"/>
      <w:szCs w:val="20"/>
      <w:lang w:val="sv-SE"/>
    </w:rPr>
  </w:style>
  <w:style w:type="paragraph" w:customStyle="1" w:styleId="Numberedtilelevel1">
    <w:name w:val="Numbered tile level 1"/>
    <w:basedOn w:val="Titlelevel1"/>
    <w:qFormat/>
    <w:rsid w:val="00E05BE6"/>
    <w:pPr>
      <w:numPr>
        <w:numId w:val="21"/>
      </w:numPr>
    </w:pPr>
  </w:style>
  <w:style w:type="paragraph" w:customStyle="1" w:styleId="Numberedtitlelevel2">
    <w:name w:val="Numbered title level 2"/>
    <w:basedOn w:val="Titlelevel2"/>
    <w:next w:val="body"/>
    <w:qFormat/>
    <w:rsid w:val="00E13CE3"/>
    <w:pPr>
      <w:numPr>
        <w:ilvl w:val="1"/>
        <w:numId w:val="7"/>
      </w:numPr>
    </w:pPr>
  </w:style>
  <w:style w:type="paragraph" w:customStyle="1" w:styleId="Titlelevel2">
    <w:name w:val="Title level 2"/>
    <w:qFormat/>
    <w:rsid w:val="00E13CE3"/>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rsid w:val="00E13CE3"/>
    <w:pPr>
      <w:spacing w:before="240" w:after="120"/>
      <w:jc w:val="both"/>
    </w:pPr>
    <w:rPr>
      <w:rFonts w:eastAsiaTheme="minorEastAsia"/>
      <w:szCs w:val="24"/>
    </w:rPr>
  </w:style>
  <w:style w:type="paragraph" w:styleId="BalloonText">
    <w:name w:val="Balloon Text"/>
    <w:basedOn w:val="Normal"/>
    <w:link w:val="BalloonTextChar"/>
    <w:uiPriority w:val="99"/>
    <w:semiHidden/>
    <w:rsid w:val="00E13C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3CE3"/>
    <w:rPr>
      <w:rFonts w:ascii="Lucida Grande" w:eastAsiaTheme="minorEastAsia" w:hAnsi="Lucida Grande" w:cs="Lucida Grande"/>
      <w:sz w:val="18"/>
      <w:szCs w:val="18"/>
      <w:lang w:val="sv-SE"/>
    </w:rPr>
  </w:style>
  <w:style w:type="paragraph" w:customStyle="1" w:styleId="Tableheader">
    <w:name w:val="Table header"/>
    <w:next w:val="Tabledata"/>
    <w:qFormat/>
    <w:rsid w:val="00E13CE3"/>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E13CE3"/>
    <w:pPr>
      <w:spacing w:before="120" w:line="240" w:lineRule="auto"/>
    </w:pPr>
    <w:rPr>
      <w:rFonts w:eastAsia="Times New Roman" w:cstheme="minorHAnsi"/>
      <w:bCs/>
      <w:color w:val="000000"/>
      <w:sz w:val="20"/>
      <w:szCs w:val="22"/>
    </w:rPr>
  </w:style>
  <w:style w:type="paragraph" w:customStyle="1" w:styleId="List1">
    <w:name w:val="List1"/>
    <w:autoRedefine/>
    <w:qFormat/>
    <w:rsid w:val="00774595"/>
    <w:pPr>
      <w:numPr>
        <w:numId w:val="5"/>
      </w:numPr>
      <w:spacing w:after="0" w:line="240" w:lineRule="auto"/>
    </w:pPr>
    <w:rPr>
      <w:rFonts w:eastAsiaTheme="minorEastAsia"/>
    </w:rPr>
  </w:style>
  <w:style w:type="paragraph" w:styleId="Footer">
    <w:name w:val="footer"/>
    <w:basedOn w:val="Normal"/>
    <w:link w:val="FooterChar"/>
    <w:uiPriority w:val="99"/>
    <w:rsid w:val="00E13CE3"/>
    <w:pPr>
      <w:tabs>
        <w:tab w:val="center" w:pos="4320"/>
        <w:tab w:val="right" w:pos="8640"/>
      </w:tabs>
    </w:pPr>
  </w:style>
  <w:style w:type="character" w:customStyle="1" w:styleId="FooterChar">
    <w:name w:val="Footer Char"/>
    <w:basedOn w:val="DefaultParagraphFont"/>
    <w:link w:val="Footer"/>
    <w:uiPriority w:val="99"/>
    <w:rsid w:val="00E13CE3"/>
    <w:rPr>
      <w:rFonts w:eastAsiaTheme="minorEastAsia"/>
      <w:szCs w:val="24"/>
      <w:lang w:val="sv-SE"/>
    </w:rPr>
  </w:style>
  <w:style w:type="table" w:styleId="TableGrid">
    <w:name w:val="Table Grid"/>
    <w:basedOn w:val="TableProfessional"/>
    <w:uiPriority w:val="59"/>
    <w:rsid w:val="00E13CE3"/>
    <w:rPr>
      <w:sz w:val="20"/>
      <w:szCs w:val="20"/>
      <w:lang w:bidi="ar-SA"/>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E13CE3"/>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13CE3"/>
    <w:pPr>
      <w:numPr>
        <w:numId w:val="6"/>
      </w:numPr>
      <w:spacing w:before="240" w:after="120" w:line="240" w:lineRule="auto"/>
      <w:contextualSpacing/>
    </w:pPr>
    <w:rPr>
      <w:rFonts w:eastAsiaTheme="minorEastAsia"/>
      <w:szCs w:val="24"/>
    </w:rPr>
  </w:style>
  <w:style w:type="paragraph" w:customStyle="1" w:styleId="Titlelevel1">
    <w:name w:val="Title level 1"/>
    <w:autoRedefine/>
    <w:qFormat/>
    <w:rsid w:val="00E13CE3"/>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rPr>
  </w:style>
  <w:style w:type="paragraph" w:customStyle="1" w:styleId="Titlelevel3">
    <w:name w:val="Title level 3"/>
    <w:qFormat/>
    <w:rsid w:val="00E13CE3"/>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rsid w:val="00E13CE3"/>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rsid w:val="00E13CE3"/>
    <w:pPr>
      <w:keepNext/>
      <w:spacing w:before="360" w:after="360"/>
    </w:pPr>
    <w:rPr>
      <w:rFonts w:eastAsia="Times New Roman" w:cs="Times New Roman"/>
      <w:bCs/>
      <w:noProof/>
      <w:color w:val="1F497D" w:themeColor="text2"/>
      <w:szCs w:val="20"/>
    </w:rPr>
  </w:style>
  <w:style w:type="table" w:customStyle="1" w:styleId="EBAtable">
    <w:name w:val="EBA table"/>
    <w:basedOn w:val="TableNormal"/>
    <w:uiPriority w:val="99"/>
    <w:rsid w:val="00E13CE3"/>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E13CE3"/>
    <w:rPr>
      <w:rFonts w:asciiTheme="minorHAnsi" w:hAnsiTheme="minorHAnsi"/>
      <w:color w:val="auto"/>
      <w:sz w:val="22"/>
    </w:rPr>
  </w:style>
  <w:style w:type="paragraph" w:customStyle="1" w:styleId="Runningtitle">
    <w:name w:val="Running title"/>
    <w:qFormat/>
    <w:rsid w:val="00E13CE3"/>
    <w:pPr>
      <w:spacing w:after="0" w:line="240" w:lineRule="auto"/>
    </w:pPr>
    <w:rPr>
      <w:rFonts w:eastAsiaTheme="minorEastAsia"/>
      <w:caps/>
      <w:sz w:val="16"/>
      <w:szCs w:val="18"/>
    </w:rPr>
  </w:style>
  <w:style w:type="paragraph" w:styleId="FootnoteText">
    <w:name w:val="footnote text"/>
    <w:aliases w:val="EBA_Footnote Text"/>
    <w:basedOn w:val="body"/>
    <w:link w:val="FootnoteTextChar"/>
    <w:autoRedefine/>
    <w:qFormat/>
    <w:rsid w:val="008E5458"/>
    <w:pPr>
      <w:spacing w:before="80" w:after="0" w:line="200" w:lineRule="exact"/>
    </w:pPr>
    <w:rPr>
      <w:rFonts w:ascii="Times New Roman" w:hAnsi="Times New Roman" w:cs="Times New Roman"/>
      <w:sz w:val="18"/>
      <w:szCs w:val="18"/>
    </w:rPr>
  </w:style>
  <w:style w:type="character" w:customStyle="1" w:styleId="FootnoteTextChar">
    <w:name w:val="Footnote Text Char"/>
    <w:aliases w:val="EBA_Footnote Text Char"/>
    <w:basedOn w:val="DefaultParagraphFont"/>
    <w:link w:val="FootnoteText"/>
    <w:rsid w:val="008E5458"/>
    <w:rPr>
      <w:rFonts w:ascii="Times New Roman" w:eastAsiaTheme="minorEastAsia" w:hAnsi="Times New Roman" w:cs="Times New Roman"/>
      <w:sz w:val="18"/>
      <w:szCs w:val="18"/>
      <w:lang w:val="sv-S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E13CE3"/>
    <w:rPr>
      <w:rFonts w:asciiTheme="minorHAnsi" w:hAnsiTheme="minorHAnsi"/>
      <w:sz w:val="22"/>
      <w:szCs w:val="18"/>
      <w:vertAlign w:val="superscript"/>
    </w:rPr>
  </w:style>
  <w:style w:type="paragraph" w:customStyle="1" w:styleId="bullet1">
    <w:name w:val="bullet 1"/>
    <w:basedOn w:val="body"/>
    <w:next w:val="body"/>
    <w:qFormat/>
    <w:rsid w:val="00E13CE3"/>
    <w:pPr>
      <w:numPr>
        <w:numId w:val="2"/>
      </w:numPr>
    </w:pPr>
    <w:rPr>
      <w:szCs w:val="22"/>
    </w:rPr>
  </w:style>
  <w:style w:type="paragraph" w:styleId="TOC1">
    <w:name w:val="toc 1"/>
    <w:autoRedefine/>
    <w:uiPriority w:val="39"/>
    <w:qFormat/>
    <w:rsid w:val="00E13CE3"/>
    <w:pPr>
      <w:tabs>
        <w:tab w:val="left" w:pos="312"/>
        <w:tab w:val="left" w:pos="421"/>
        <w:tab w:val="right" w:pos="8771"/>
      </w:tabs>
      <w:spacing w:before="120" w:after="120" w:line="240" w:lineRule="auto"/>
      <w:outlineLvl w:val="0"/>
    </w:pPr>
    <w:rPr>
      <w:rFonts w:eastAsiaTheme="minorEastAsia"/>
      <w:b/>
      <w:bCs/>
      <w:noProof/>
      <w:color w:val="1F497D" w:themeColor="text2"/>
    </w:rPr>
  </w:style>
  <w:style w:type="paragraph" w:styleId="TOC2">
    <w:name w:val="toc 2"/>
    <w:next w:val="Normal"/>
    <w:autoRedefine/>
    <w:uiPriority w:val="39"/>
    <w:qFormat/>
    <w:rsid w:val="00E13CE3"/>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E13CE3"/>
    <w:pPr>
      <w:tabs>
        <w:tab w:val="right" w:pos="8771"/>
      </w:tabs>
      <w:ind w:left="567"/>
    </w:pPr>
    <w:rPr>
      <w:szCs w:val="22"/>
    </w:rPr>
  </w:style>
  <w:style w:type="paragraph" w:styleId="TOC4">
    <w:name w:val="toc 4"/>
    <w:basedOn w:val="Normal"/>
    <w:next w:val="Normal"/>
    <w:autoRedefine/>
    <w:uiPriority w:val="39"/>
    <w:rsid w:val="00E13CE3"/>
    <w:pPr>
      <w:tabs>
        <w:tab w:val="right" w:pos="8771"/>
      </w:tabs>
      <w:ind w:left="1134"/>
    </w:pPr>
    <w:rPr>
      <w:szCs w:val="22"/>
    </w:rPr>
  </w:style>
  <w:style w:type="paragraph" w:customStyle="1" w:styleId="bullet2">
    <w:name w:val="bullet 2"/>
    <w:basedOn w:val="body"/>
    <w:qFormat/>
    <w:rsid w:val="00E13CE3"/>
    <w:pPr>
      <w:numPr>
        <w:numId w:val="1"/>
      </w:numPr>
    </w:pPr>
    <w:rPr>
      <w:szCs w:val="22"/>
    </w:rPr>
  </w:style>
  <w:style w:type="paragraph" w:customStyle="1" w:styleId="Numberedtitlelevel3">
    <w:name w:val="Numbered title level 3"/>
    <w:basedOn w:val="Titlelevel3"/>
    <w:next w:val="body"/>
    <w:qFormat/>
    <w:rsid w:val="00E13CE3"/>
    <w:pPr>
      <w:numPr>
        <w:ilvl w:val="2"/>
        <w:numId w:val="7"/>
      </w:numPr>
    </w:pPr>
  </w:style>
  <w:style w:type="table" w:customStyle="1" w:styleId="LightShading1">
    <w:name w:val="Light Shading1"/>
    <w:basedOn w:val="TableNormal"/>
    <w:uiPriority w:val="60"/>
    <w:rsid w:val="00E13CE3"/>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E13CE3"/>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E13CE3"/>
  </w:style>
  <w:style w:type="paragraph" w:customStyle="1" w:styleId="Numberedtitlelevel4">
    <w:name w:val="Numbered title level 4"/>
    <w:basedOn w:val="Titlelevel4"/>
    <w:qFormat/>
    <w:rsid w:val="00E13CE3"/>
    <w:pPr>
      <w:numPr>
        <w:numId w:val="4"/>
      </w:numPr>
    </w:pPr>
  </w:style>
  <w:style w:type="paragraph" w:styleId="Header">
    <w:name w:val="header"/>
    <w:basedOn w:val="Normal"/>
    <w:link w:val="HeaderChar"/>
    <w:uiPriority w:val="99"/>
    <w:semiHidden/>
    <w:rsid w:val="00E13CE3"/>
    <w:pPr>
      <w:tabs>
        <w:tab w:val="center" w:pos="4320"/>
        <w:tab w:val="right" w:pos="8640"/>
      </w:tabs>
    </w:pPr>
  </w:style>
  <w:style w:type="character" w:customStyle="1" w:styleId="HeaderChar">
    <w:name w:val="Header Char"/>
    <w:basedOn w:val="DefaultParagraphFont"/>
    <w:link w:val="Header"/>
    <w:uiPriority w:val="99"/>
    <w:semiHidden/>
    <w:rsid w:val="00E13CE3"/>
    <w:rPr>
      <w:rFonts w:eastAsiaTheme="minorEastAsia"/>
      <w:szCs w:val="24"/>
      <w:lang w:val="sv-SE"/>
    </w:rPr>
  </w:style>
  <w:style w:type="paragraph" w:styleId="Title">
    <w:name w:val="Title"/>
    <w:basedOn w:val="Normal"/>
    <w:next w:val="Normal"/>
    <w:link w:val="TitleChar"/>
    <w:qFormat/>
    <w:rsid w:val="00E13CE3"/>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E13CE3"/>
    <w:rPr>
      <w:rFonts w:asciiTheme="majorHAnsi" w:eastAsiaTheme="majorEastAsia" w:hAnsiTheme="majorHAnsi" w:cstheme="majorBidi"/>
      <w:color w:val="1F497D" w:themeColor="text2"/>
      <w:spacing w:val="5"/>
      <w:kern w:val="28"/>
      <w:sz w:val="52"/>
      <w:szCs w:val="52"/>
      <w:lang w:val="sv-SE"/>
    </w:rPr>
  </w:style>
  <w:style w:type="paragraph" w:styleId="TableofFigures">
    <w:name w:val="table of figures"/>
    <w:basedOn w:val="Normal"/>
    <w:next w:val="Normal"/>
    <w:autoRedefine/>
    <w:uiPriority w:val="99"/>
    <w:qFormat/>
    <w:rsid w:val="00E13CE3"/>
    <w:pPr>
      <w:spacing w:before="160"/>
    </w:pPr>
  </w:style>
  <w:style w:type="paragraph" w:styleId="Subtitle">
    <w:name w:val="Subtitle"/>
    <w:next w:val="Normal"/>
    <w:link w:val="SubtitleChar"/>
    <w:autoRedefine/>
    <w:uiPriority w:val="11"/>
    <w:qFormat/>
    <w:rsid w:val="00E13CE3"/>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E13CE3"/>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sid w:val="00E13CE3"/>
    <w:rPr>
      <w:b/>
      <w:bCs/>
      <w:smallCaps/>
      <w:spacing w:val="5"/>
    </w:rPr>
  </w:style>
  <w:style w:type="character" w:customStyle="1" w:styleId="Highlighttext">
    <w:name w:val="Highlight text"/>
    <w:basedOn w:val="DefaultParagraphFont"/>
    <w:uiPriority w:val="1"/>
    <w:semiHidden/>
    <w:qFormat/>
    <w:rsid w:val="00E13CE3"/>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E13CE3"/>
    <w:rPr>
      <w:bCs/>
    </w:rPr>
  </w:style>
  <w:style w:type="paragraph" w:styleId="ListBullet">
    <w:name w:val="List Bullet"/>
    <w:basedOn w:val="Normal"/>
    <w:semiHidden/>
    <w:qFormat/>
    <w:rsid w:val="00E13CE3"/>
    <w:pPr>
      <w:numPr>
        <w:numId w:val="8"/>
      </w:numPr>
      <w:contextualSpacing/>
    </w:pPr>
  </w:style>
  <w:style w:type="character" w:styleId="Hyperlink">
    <w:name w:val="Hyperlink"/>
    <w:basedOn w:val="DefaultParagraphFont"/>
    <w:uiPriority w:val="99"/>
    <w:rsid w:val="00E13CE3"/>
    <w:rPr>
      <w:color w:val="0000FF" w:themeColor="hyperlink"/>
      <w:u w:val="single"/>
    </w:rPr>
  </w:style>
  <w:style w:type="paragraph" w:customStyle="1" w:styleId="numberedparagraph">
    <w:name w:val="numbered paragraph"/>
    <w:basedOn w:val="body"/>
    <w:autoRedefine/>
    <w:qFormat/>
    <w:rsid w:val="00E714C5"/>
    <w:pPr>
      <w:numPr>
        <w:numId w:val="29"/>
      </w:numPr>
    </w:pPr>
    <w:rPr>
      <w:rFonts w:asciiTheme="majorHAnsi" w:hAnsiTheme="majorHAnsi"/>
      <w:color w:val="000000" w:themeColor="text1"/>
    </w:rPr>
  </w:style>
  <w:style w:type="paragraph" w:styleId="TOC5">
    <w:name w:val="toc 5"/>
    <w:basedOn w:val="Normal"/>
    <w:next w:val="Normal"/>
    <w:autoRedefine/>
    <w:uiPriority w:val="39"/>
    <w:semiHidden/>
    <w:rsid w:val="00E13CE3"/>
    <w:pPr>
      <w:ind w:left="880"/>
    </w:pPr>
  </w:style>
  <w:style w:type="paragraph" w:styleId="TOC6">
    <w:name w:val="toc 6"/>
    <w:basedOn w:val="Normal"/>
    <w:next w:val="Normal"/>
    <w:autoRedefine/>
    <w:uiPriority w:val="39"/>
    <w:semiHidden/>
    <w:rsid w:val="00E13CE3"/>
    <w:pPr>
      <w:ind w:left="1100"/>
    </w:pPr>
  </w:style>
  <w:style w:type="paragraph" w:styleId="TOC7">
    <w:name w:val="toc 7"/>
    <w:basedOn w:val="Normal"/>
    <w:next w:val="Normal"/>
    <w:autoRedefine/>
    <w:uiPriority w:val="39"/>
    <w:semiHidden/>
    <w:rsid w:val="00E13CE3"/>
    <w:pPr>
      <w:ind w:left="1320"/>
    </w:pPr>
  </w:style>
  <w:style w:type="paragraph" w:styleId="TOC8">
    <w:name w:val="toc 8"/>
    <w:basedOn w:val="Normal"/>
    <w:next w:val="Normal"/>
    <w:autoRedefine/>
    <w:uiPriority w:val="39"/>
    <w:semiHidden/>
    <w:rsid w:val="00E13CE3"/>
    <w:pPr>
      <w:ind w:left="1540"/>
    </w:pPr>
  </w:style>
  <w:style w:type="paragraph" w:styleId="TOC9">
    <w:name w:val="toc 9"/>
    <w:basedOn w:val="Normal"/>
    <w:next w:val="Normal"/>
    <w:autoRedefine/>
    <w:uiPriority w:val="39"/>
    <w:semiHidden/>
    <w:rsid w:val="00E13CE3"/>
    <w:pPr>
      <w:ind w:left="1760"/>
    </w:pPr>
  </w:style>
  <w:style w:type="paragraph" w:customStyle="1" w:styleId="Default">
    <w:name w:val="Default"/>
    <w:rsid w:val="00E13CE3"/>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E13CE3"/>
    <w:pPr>
      <w:spacing w:before="480"/>
      <w:outlineLvl w:val="9"/>
    </w:pPr>
    <w:rPr>
      <w:caps w:val="0"/>
      <w:color w:val="365F91" w:themeColor="accent1" w:themeShade="BF"/>
      <w:sz w:val="28"/>
      <w:szCs w:val="28"/>
    </w:rPr>
  </w:style>
  <w:style w:type="character" w:customStyle="1" w:styleId="Marker">
    <w:name w:val="Marker"/>
    <w:rsid w:val="00E13CE3"/>
    <w:rPr>
      <w:color w:val="0000FF"/>
      <w:shd w:val="clear" w:color="auto" w:fill="auto"/>
    </w:rPr>
  </w:style>
  <w:style w:type="character" w:customStyle="1" w:styleId="Marker2">
    <w:name w:val="Marker2"/>
    <w:rsid w:val="00E13CE3"/>
    <w:rPr>
      <w:color w:val="FF0000"/>
      <w:shd w:val="clear" w:color="auto" w:fill="auto"/>
    </w:rPr>
  </w:style>
  <w:style w:type="paragraph" w:customStyle="1" w:styleId="Annexetitre">
    <w:name w:val="Annexe titre"/>
    <w:basedOn w:val="Normal"/>
    <w:next w:val="Normal"/>
    <w:rsid w:val="00E13CE3"/>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E13CE3"/>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E13CE3"/>
    <w:pPr>
      <w:numPr>
        <w:numId w:val="9"/>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E13CE3"/>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E13CE3"/>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E13CE3"/>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E13CE3"/>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E13CE3"/>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E13CE3"/>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E13CE3"/>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E13CE3"/>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E13CE3"/>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E13CE3"/>
    <w:pPr>
      <w:keepNext/>
      <w:spacing w:before="600" w:after="120"/>
      <w:jc w:val="both"/>
    </w:pPr>
    <w:rPr>
      <w:rFonts w:ascii="Times New Roman" w:eastAsia="Times New Roman" w:hAnsi="Times New Roman" w:cs="Times New Roman"/>
      <w:sz w:val="24"/>
    </w:rPr>
  </w:style>
  <w:style w:type="paragraph" w:styleId="ListParagraph">
    <w:name w:val="List Paragraph"/>
    <w:aliases w:val="Paragraphe EI,Paragraphe de liste1,EC,Paragraphe de liste2,Colorful List Accent 1,Liste couleur - Accent 11,Paragraphe de liste11,RETRAIT 1,List Paragraph1,Colorful List - Accent 11"/>
    <w:basedOn w:val="Normal"/>
    <w:link w:val="ListParagraphChar"/>
    <w:uiPriority w:val="34"/>
    <w:qFormat/>
    <w:rsid w:val="00E13CE3"/>
    <w:pPr>
      <w:ind w:left="720"/>
    </w:pPr>
    <w:rPr>
      <w:rFonts w:ascii="Calibri" w:eastAsia="Calibri" w:hAnsi="Calibri" w:cs="Times New Roman"/>
      <w:szCs w:val="22"/>
    </w:rPr>
  </w:style>
  <w:style w:type="paragraph" w:customStyle="1" w:styleId="Questionforconsultation">
    <w:name w:val="Question for consultation"/>
    <w:basedOn w:val="ListParagraph"/>
    <w:link w:val="QuestionforconsultationChar"/>
    <w:qFormat/>
    <w:rsid w:val="00E13CE3"/>
    <w:pPr>
      <w:numPr>
        <w:numId w:val="10"/>
      </w:numPr>
      <w:pBdr>
        <w:top w:val="single" w:sz="4" w:space="1" w:color="auto"/>
        <w:left w:val="single" w:sz="4" w:space="4" w:color="auto"/>
        <w:bottom w:val="single" w:sz="4" w:space="1" w:color="auto"/>
        <w:right w:val="single" w:sz="4" w:space="4" w:color="auto"/>
      </w:pBdr>
      <w:ind w:left="1134" w:hanging="1134"/>
      <w:contextualSpacing/>
      <w:jc w:val="both"/>
    </w:pPr>
    <w:rPr>
      <w:rFonts w:ascii="Times New Roman" w:hAnsi="Times New Roman"/>
    </w:rPr>
  </w:style>
  <w:style w:type="paragraph" w:customStyle="1" w:styleId="doc-ti">
    <w:name w:val="doc-ti"/>
    <w:basedOn w:val="Normal"/>
    <w:rsid w:val="00E13CE3"/>
    <w:pPr>
      <w:spacing w:before="100" w:beforeAutospacing="1" w:after="100" w:afterAutospacing="1"/>
    </w:pPr>
    <w:rPr>
      <w:rFonts w:ascii="Times New Roman" w:eastAsia="Times New Roman" w:hAnsi="Times New Roman" w:cs="Times New Roman"/>
      <w:sz w:val="24"/>
    </w:rPr>
  </w:style>
  <w:style w:type="character" w:customStyle="1" w:styleId="ListParagraphChar">
    <w:name w:val="List Paragraph Char"/>
    <w:aliases w:val="Paragraphe EI Char,Paragraphe de liste1 Char,EC Char,Paragraphe de liste2 Char,Colorful List Accent 1 Char,Liste couleur - Accent 11 Char,Paragraphe de liste11 Char,RETRAIT 1 Char,List Paragraph1 Char,Colorful List - Accent 11 Char"/>
    <w:basedOn w:val="DefaultParagraphFont"/>
    <w:link w:val="ListParagraph"/>
    <w:uiPriority w:val="34"/>
    <w:rsid w:val="00E13CE3"/>
    <w:rPr>
      <w:rFonts w:ascii="Calibri" w:eastAsia="Calibri" w:hAnsi="Calibri" w:cs="Times New Roman"/>
    </w:rPr>
  </w:style>
  <w:style w:type="character" w:customStyle="1" w:styleId="QuestionforconsultationChar">
    <w:name w:val="Question for consultation Char"/>
    <w:basedOn w:val="ListParagraphChar"/>
    <w:link w:val="Questionforconsultation"/>
    <w:rsid w:val="00E13CE3"/>
    <w:rPr>
      <w:rFonts w:ascii="Times New Roman" w:eastAsia="Calibri" w:hAnsi="Times New Roman" w:cs="Times New Roman"/>
      <w:lang w:val="sv-SE"/>
    </w:rPr>
  </w:style>
  <w:style w:type="paragraph" w:customStyle="1" w:styleId="Normal1">
    <w:name w:val="Normal1"/>
    <w:basedOn w:val="Normal"/>
    <w:rsid w:val="00E13CE3"/>
    <w:pPr>
      <w:spacing w:before="100" w:beforeAutospacing="1" w:after="100" w:afterAutospacing="1"/>
    </w:pPr>
    <w:rPr>
      <w:rFonts w:ascii="Times New Roman" w:eastAsia="Times New Roman" w:hAnsi="Times New Roman" w:cs="Times New Roman"/>
      <w:sz w:val="24"/>
    </w:rPr>
  </w:style>
  <w:style w:type="character" w:customStyle="1" w:styleId="super">
    <w:name w:val="super"/>
    <w:basedOn w:val="DefaultParagraphFont"/>
    <w:rsid w:val="00E13CE3"/>
  </w:style>
  <w:style w:type="paragraph" w:customStyle="1" w:styleId="ti-art">
    <w:name w:val="ti-art"/>
    <w:basedOn w:val="Normal"/>
    <w:rsid w:val="00E13CE3"/>
    <w:pPr>
      <w:spacing w:before="100" w:beforeAutospacing="1" w:after="100" w:afterAutospacing="1"/>
    </w:pPr>
    <w:rPr>
      <w:rFonts w:ascii="Times New Roman" w:eastAsia="Times New Roman" w:hAnsi="Times New Roman" w:cs="Times New Roman"/>
      <w:sz w:val="24"/>
    </w:rPr>
  </w:style>
  <w:style w:type="paragraph" w:customStyle="1" w:styleId="sti-art">
    <w:name w:val="sti-art"/>
    <w:basedOn w:val="Normal"/>
    <w:rsid w:val="00E13CE3"/>
    <w:pPr>
      <w:spacing w:before="100" w:beforeAutospacing="1" w:after="100" w:afterAutospacing="1"/>
    </w:pPr>
    <w:rPr>
      <w:rFonts w:ascii="Times New Roman" w:eastAsia="Times New Roman" w:hAnsi="Times New Roman" w:cs="Times New Roman"/>
      <w:sz w:val="24"/>
    </w:rPr>
  </w:style>
  <w:style w:type="character" w:customStyle="1" w:styleId="apple-converted-space">
    <w:name w:val="apple-converted-space"/>
    <w:basedOn w:val="DefaultParagraphFont"/>
    <w:rsid w:val="00E13CE3"/>
  </w:style>
  <w:style w:type="character" w:customStyle="1" w:styleId="italic">
    <w:name w:val="italic"/>
    <w:basedOn w:val="DefaultParagraphFont"/>
    <w:rsid w:val="00E13CE3"/>
  </w:style>
  <w:style w:type="character" w:styleId="CommentReference">
    <w:name w:val="annotation reference"/>
    <w:basedOn w:val="DefaultParagraphFont"/>
    <w:uiPriority w:val="99"/>
    <w:semiHidden/>
    <w:rsid w:val="00E13CE3"/>
    <w:rPr>
      <w:sz w:val="16"/>
      <w:szCs w:val="16"/>
    </w:rPr>
  </w:style>
  <w:style w:type="paragraph" w:styleId="CommentText">
    <w:name w:val="annotation text"/>
    <w:basedOn w:val="Normal"/>
    <w:link w:val="CommentTextChar"/>
    <w:uiPriority w:val="99"/>
    <w:semiHidden/>
    <w:rsid w:val="00E13CE3"/>
    <w:rPr>
      <w:sz w:val="20"/>
      <w:szCs w:val="20"/>
    </w:rPr>
  </w:style>
  <w:style w:type="character" w:customStyle="1" w:styleId="CommentTextChar">
    <w:name w:val="Comment Text Char"/>
    <w:basedOn w:val="DefaultParagraphFont"/>
    <w:link w:val="CommentText"/>
    <w:uiPriority w:val="99"/>
    <w:semiHidden/>
    <w:rsid w:val="00E13CE3"/>
    <w:rPr>
      <w:rFonts w:eastAsiaTheme="minorEastAsia"/>
      <w:sz w:val="20"/>
      <w:szCs w:val="20"/>
      <w:lang w:val="sv-SE"/>
    </w:rPr>
  </w:style>
  <w:style w:type="paragraph" w:styleId="CommentSubject">
    <w:name w:val="annotation subject"/>
    <w:basedOn w:val="CommentText"/>
    <w:next w:val="CommentText"/>
    <w:link w:val="CommentSubjectChar"/>
    <w:uiPriority w:val="99"/>
    <w:semiHidden/>
    <w:rsid w:val="00E13CE3"/>
    <w:rPr>
      <w:b/>
      <w:bCs/>
    </w:rPr>
  </w:style>
  <w:style w:type="character" w:customStyle="1" w:styleId="CommentSubjectChar">
    <w:name w:val="Comment Subject Char"/>
    <w:basedOn w:val="CommentTextChar"/>
    <w:link w:val="CommentSubject"/>
    <w:uiPriority w:val="99"/>
    <w:semiHidden/>
    <w:rsid w:val="00E13CE3"/>
    <w:rPr>
      <w:rFonts w:eastAsiaTheme="minorEastAsia"/>
      <w:b/>
      <w:bCs/>
      <w:sz w:val="20"/>
      <w:szCs w:val="20"/>
      <w:lang w:val="sv-SE"/>
    </w:rPr>
  </w:style>
  <w:style w:type="paragraph" w:customStyle="1" w:styleId="Point0number">
    <w:name w:val="Point 0 (number)"/>
    <w:basedOn w:val="Normal"/>
    <w:rsid w:val="00E13CE3"/>
    <w:pPr>
      <w:numPr>
        <w:numId w:val="11"/>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E13CE3"/>
    <w:pPr>
      <w:numPr>
        <w:ilvl w:val="2"/>
        <w:numId w:val="11"/>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E13CE3"/>
    <w:pPr>
      <w:numPr>
        <w:ilvl w:val="4"/>
        <w:numId w:val="11"/>
      </w:num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E13CE3"/>
    <w:pPr>
      <w:numPr>
        <w:ilvl w:val="6"/>
        <w:numId w:val="11"/>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E13CE3"/>
    <w:pPr>
      <w:numPr>
        <w:ilvl w:val="1"/>
        <w:numId w:val="11"/>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E13CE3"/>
    <w:pPr>
      <w:numPr>
        <w:ilvl w:val="3"/>
        <w:numId w:val="11"/>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E13CE3"/>
    <w:pPr>
      <w:numPr>
        <w:ilvl w:val="5"/>
        <w:numId w:val="11"/>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E13CE3"/>
    <w:pPr>
      <w:numPr>
        <w:ilvl w:val="7"/>
        <w:numId w:val="11"/>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E13CE3"/>
    <w:pPr>
      <w:numPr>
        <w:ilvl w:val="8"/>
        <w:numId w:val="11"/>
      </w:numPr>
      <w:spacing w:before="120" w:after="120"/>
      <w:jc w:val="both"/>
    </w:pPr>
    <w:rPr>
      <w:rFonts w:ascii="Times New Roman" w:eastAsiaTheme="minorHAnsi" w:hAnsi="Times New Roman" w:cs="Times New Roman"/>
      <w:sz w:val="24"/>
      <w:szCs w:val="22"/>
    </w:rPr>
  </w:style>
  <w:style w:type="paragraph" w:styleId="BodyText">
    <w:name w:val="Body Text"/>
    <w:basedOn w:val="Normal"/>
    <w:link w:val="BodyTextChar"/>
    <w:uiPriority w:val="1"/>
    <w:qFormat/>
    <w:rsid w:val="00E13CE3"/>
    <w:pPr>
      <w:widowControl w:val="0"/>
      <w:ind w:left="20"/>
    </w:pPr>
    <w:rPr>
      <w:rFonts w:ascii="Cambria" w:eastAsia="Cambria" w:hAnsi="Cambria"/>
      <w:sz w:val="19"/>
      <w:szCs w:val="19"/>
    </w:rPr>
  </w:style>
  <w:style w:type="character" w:customStyle="1" w:styleId="BodyTextChar">
    <w:name w:val="Body Text Char"/>
    <w:basedOn w:val="DefaultParagraphFont"/>
    <w:link w:val="BodyText"/>
    <w:uiPriority w:val="1"/>
    <w:rsid w:val="00E13CE3"/>
    <w:rPr>
      <w:rFonts w:ascii="Cambria" w:eastAsia="Cambria" w:hAnsi="Cambria"/>
      <w:sz w:val="19"/>
      <w:szCs w:val="19"/>
      <w:lang w:val="sv-SE"/>
    </w:rPr>
  </w:style>
  <w:style w:type="paragraph" w:customStyle="1" w:styleId="TableParagraph">
    <w:name w:val="Table Paragraph"/>
    <w:basedOn w:val="Normal"/>
    <w:uiPriority w:val="1"/>
    <w:qFormat/>
    <w:rsid w:val="00E13CE3"/>
    <w:pPr>
      <w:widowControl w:val="0"/>
    </w:pPr>
    <w:rPr>
      <w:rFonts w:eastAsiaTheme="minorHAnsi"/>
      <w:szCs w:val="22"/>
    </w:rPr>
  </w:style>
  <w:style w:type="paragraph" w:customStyle="1" w:styleId="Instructionsberschrift2">
    <w:name w:val="Instructions Überschrift 2"/>
    <w:basedOn w:val="Heading2"/>
    <w:link w:val="Instructionsberschrift2Char"/>
    <w:rsid w:val="00E13CE3"/>
    <w:pPr>
      <w:keepNext/>
      <w:pBdr>
        <w:bottom w:val="none" w:sz="0" w:space="0" w:color="auto"/>
      </w:pBdr>
      <w:spacing w:before="240" w:after="240" w:line="240" w:lineRule="auto"/>
      <w:jc w:val="both"/>
    </w:pPr>
    <w:rPr>
      <w:rFonts w:ascii="Verdana" w:eastAsia="Times New Roman" w:hAnsi="Verdana" w:cs="Arial"/>
      <w:color w:val="auto"/>
      <w:spacing w:val="0"/>
      <w:kern w:val="0"/>
      <w:sz w:val="20"/>
      <w:szCs w:val="24"/>
      <w:u w:val="single"/>
    </w:rPr>
  </w:style>
  <w:style w:type="paragraph" w:customStyle="1" w:styleId="InstructionsText">
    <w:name w:val="Instructions Text"/>
    <w:basedOn w:val="Normal"/>
    <w:link w:val="InstructionsTextChar"/>
    <w:autoRedefine/>
    <w:rsid w:val="0073582D"/>
    <w:pPr>
      <w:numPr>
        <w:numId w:val="30"/>
      </w:numPr>
      <w:spacing w:before="108"/>
      <w:ind w:left="0" w:firstLine="221"/>
      <w:jc w:val="both"/>
    </w:pPr>
    <w:rPr>
      <w:rFonts w:asciiTheme="majorHAnsi" w:eastAsia="Times New Roman" w:hAnsiTheme="majorHAnsi" w:cs="Arial"/>
      <w:szCs w:val="22"/>
    </w:rPr>
  </w:style>
  <w:style w:type="character" w:customStyle="1" w:styleId="InstructionsTextChar">
    <w:name w:val="Instructions Text Char"/>
    <w:link w:val="InstructionsText"/>
    <w:locked/>
    <w:rsid w:val="0073582D"/>
    <w:rPr>
      <w:rFonts w:asciiTheme="majorHAnsi" w:eastAsia="Times New Roman" w:hAnsiTheme="majorHAnsi" w:cs="Arial"/>
      <w:lang w:val="sv-SE" w:eastAsia="sv-SE"/>
    </w:rPr>
  </w:style>
  <w:style w:type="paragraph" w:customStyle="1" w:styleId="InstructionsText2">
    <w:name w:val="Instructions Text 2"/>
    <w:basedOn w:val="InstructionsText"/>
    <w:qFormat/>
    <w:rsid w:val="00E13CE3"/>
    <w:pPr>
      <w:spacing w:after="240"/>
      <w:ind w:left="753" w:hanging="720"/>
    </w:pPr>
  </w:style>
  <w:style w:type="character" w:customStyle="1" w:styleId="Instructionsberschrift2Char">
    <w:name w:val="Instructions Überschrift 2 Char"/>
    <w:link w:val="Instructionsberschrift2"/>
    <w:locked/>
    <w:rsid w:val="00E13CE3"/>
    <w:rPr>
      <w:rFonts w:ascii="Verdana" w:eastAsia="Times New Roman" w:hAnsi="Verdana" w:cs="Arial"/>
      <w:sz w:val="20"/>
      <w:szCs w:val="24"/>
      <w:u w:val="single"/>
    </w:rPr>
  </w:style>
  <w:style w:type="table" w:customStyle="1" w:styleId="TableGrid0">
    <w:name w:val="TableGrid"/>
    <w:rsid w:val="00E13CE3"/>
    <w:pPr>
      <w:spacing w:after="0" w:line="240" w:lineRule="auto"/>
    </w:pPr>
    <w:rPr>
      <w:rFonts w:eastAsiaTheme="minorEastAsia"/>
    </w:rPr>
    <w:tblPr>
      <w:tblCellMar>
        <w:top w:w="0" w:type="dxa"/>
        <w:left w:w="0" w:type="dxa"/>
        <w:bottom w:w="0" w:type="dxa"/>
        <w:right w:w="0" w:type="dxa"/>
      </w:tblCellMar>
    </w:tblPr>
  </w:style>
  <w:style w:type="paragraph" w:styleId="NormalWeb">
    <w:name w:val="Normal (Web)"/>
    <w:basedOn w:val="Normal"/>
    <w:uiPriority w:val="99"/>
    <w:unhideWhenUsed/>
    <w:rsid w:val="0056559D"/>
    <w:pPr>
      <w:spacing w:before="100" w:beforeAutospacing="1" w:after="100" w:afterAutospacing="1"/>
    </w:pPr>
    <w:rPr>
      <w:rFonts w:ascii="Times New Roman" w:eastAsiaTheme="minorHAnsi" w:hAnsi="Times New Roman" w:cs="Times New Roman"/>
      <w:sz w:val="24"/>
    </w:rPr>
  </w:style>
  <w:style w:type="paragraph" w:customStyle="1" w:styleId="CM1">
    <w:name w:val="CM1"/>
    <w:basedOn w:val="Default"/>
    <w:next w:val="Default"/>
    <w:uiPriority w:val="99"/>
    <w:rsid w:val="000F49C8"/>
    <w:rPr>
      <w:rFonts w:ascii="EUAlbertina" w:hAnsi="EUAlbertina" w:cstheme="minorBidi"/>
      <w:color w:val="auto"/>
    </w:rPr>
  </w:style>
  <w:style w:type="paragraph" w:customStyle="1" w:styleId="CM3">
    <w:name w:val="CM3"/>
    <w:basedOn w:val="Default"/>
    <w:next w:val="Default"/>
    <w:uiPriority w:val="99"/>
    <w:rsid w:val="000F49C8"/>
    <w:rPr>
      <w:rFonts w:ascii="EUAlbertina" w:hAnsi="EUAlbertina" w:cstheme="minorBidi"/>
      <w:color w:val="auto"/>
    </w:rPr>
  </w:style>
  <w:style w:type="paragraph" w:customStyle="1" w:styleId="CM4">
    <w:name w:val="CM4"/>
    <w:basedOn w:val="Default"/>
    <w:next w:val="Default"/>
    <w:uiPriority w:val="99"/>
    <w:rsid w:val="000F49C8"/>
    <w:rPr>
      <w:rFonts w:ascii="EUAlbertina" w:hAnsi="EUAlbertina" w:cstheme="minorBidi"/>
      <w:color w:val="auto"/>
    </w:rPr>
  </w:style>
  <w:style w:type="paragraph" w:customStyle="1" w:styleId="Baseparagraphnumbered">
    <w:name w:val="Base paragraph numbered"/>
    <w:basedOn w:val="Normal"/>
    <w:link w:val="BaseparagraphnumberedChar"/>
    <w:qFormat/>
    <w:rsid w:val="00C93D9F"/>
    <w:pPr>
      <w:numPr>
        <w:numId w:val="17"/>
      </w:numPr>
      <w:spacing w:after="240"/>
      <w:jc w:val="both"/>
    </w:pPr>
    <w:rPr>
      <w:rFonts w:ascii="Times New Roman" w:eastAsia="Times New Roman" w:hAnsi="Times New Roman" w:cs="Times New Roman"/>
      <w:sz w:val="24"/>
    </w:rPr>
  </w:style>
  <w:style w:type="character" w:customStyle="1" w:styleId="BaseparagraphnumberedChar">
    <w:name w:val="Base paragraph numbered Char"/>
    <w:link w:val="Baseparagraphnumbered"/>
    <w:rsid w:val="00C93D9F"/>
    <w:rPr>
      <w:rFonts w:ascii="Times New Roman" w:eastAsia="Times New Roman" w:hAnsi="Times New Roman" w:cs="Times New Roman"/>
      <w:sz w:val="24"/>
      <w:szCs w:val="24"/>
      <w:lang w:eastAsia="sv-SE"/>
    </w:rPr>
  </w:style>
  <w:style w:type="paragraph" w:styleId="Revision">
    <w:name w:val="Revision"/>
    <w:hidden/>
    <w:uiPriority w:val="99"/>
    <w:semiHidden/>
    <w:rsid w:val="00112240"/>
    <w:pPr>
      <w:spacing w:after="0" w:line="240" w:lineRule="auto"/>
    </w:pPr>
    <w:rPr>
      <w:rFonts w:eastAsiaTheme="minorEastAsia"/>
      <w:szCs w:val="24"/>
    </w:rPr>
  </w:style>
  <w:style w:type="character" w:styleId="Emphasis">
    <w:name w:val="Emphasis"/>
    <w:basedOn w:val="DefaultParagraphFont"/>
    <w:uiPriority w:val="20"/>
    <w:qFormat/>
    <w:rsid w:val="001E7389"/>
    <w:rPr>
      <w:i/>
      <w:iCs/>
    </w:rPr>
  </w:style>
  <w:style w:type="character" w:customStyle="1" w:styleId="InstructionsTabelleberschrift">
    <w:name w:val="Instructions Tabelle Überschrift"/>
    <w:qFormat/>
    <w:rsid w:val="00517EFA"/>
    <w:rPr>
      <w:rFonts w:ascii="Verdana" w:hAnsi="Verdana" w:cs="Times New Roman"/>
      <w:b/>
      <w:bCs/>
      <w:sz w:val="20"/>
      <w:u w:val="single"/>
    </w:rPr>
  </w:style>
  <w:style w:type="paragraph" w:customStyle="1" w:styleId="Instructionsberschrift3">
    <w:name w:val="Instructions Überschrift 3"/>
    <w:basedOn w:val="Numberedtitlelevel3"/>
    <w:rsid w:val="00EC261B"/>
    <w:rPr>
      <w:rFonts w:ascii="Times New Roman" w:hAnsi="Times New Roman" w:cs="Times New Roman"/>
      <w:b w:val="0"/>
      <w:color w:val="000000" w:themeColor="text1"/>
      <w:sz w:val="20"/>
      <w:szCs w:val="2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72988">
      <w:bodyDiv w:val="1"/>
      <w:marLeft w:val="0"/>
      <w:marRight w:val="0"/>
      <w:marTop w:val="0"/>
      <w:marBottom w:val="0"/>
      <w:divBdr>
        <w:top w:val="none" w:sz="0" w:space="0" w:color="auto"/>
        <w:left w:val="none" w:sz="0" w:space="0" w:color="auto"/>
        <w:bottom w:val="none" w:sz="0" w:space="0" w:color="auto"/>
        <w:right w:val="none" w:sz="0" w:space="0" w:color="auto"/>
      </w:divBdr>
    </w:div>
    <w:div w:id="124078880">
      <w:bodyDiv w:val="1"/>
      <w:marLeft w:val="0"/>
      <w:marRight w:val="0"/>
      <w:marTop w:val="0"/>
      <w:marBottom w:val="0"/>
      <w:divBdr>
        <w:top w:val="none" w:sz="0" w:space="0" w:color="auto"/>
        <w:left w:val="none" w:sz="0" w:space="0" w:color="auto"/>
        <w:bottom w:val="none" w:sz="0" w:space="0" w:color="auto"/>
        <w:right w:val="none" w:sz="0" w:space="0" w:color="auto"/>
      </w:divBdr>
    </w:div>
    <w:div w:id="236551278">
      <w:bodyDiv w:val="1"/>
      <w:marLeft w:val="0"/>
      <w:marRight w:val="0"/>
      <w:marTop w:val="0"/>
      <w:marBottom w:val="0"/>
      <w:divBdr>
        <w:top w:val="none" w:sz="0" w:space="0" w:color="auto"/>
        <w:left w:val="none" w:sz="0" w:space="0" w:color="auto"/>
        <w:bottom w:val="none" w:sz="0" w:space="0" w:color="auto"/>
        <w:right w:val="none" w:sz="0" w:space="0" w:color="auto"/>
      </w:divBdr>
    </w:div>
    <w:div w:id="695078397">
      <w:bodyDiv w:val="1"/>
      <w:marLeft w:val="0"/>
      <w:marRight w:val="0"/>
      <w:marTop w:val="0"/>
      <w:marBottom w:val="0"/>
      <w:divBdr>
        <w:top w:val="none" w:sz="0" w:space="0" w:color="auto"/>
        <w:left w:val="none" w:sz="0" w:space="0" w:color="auto"/>
        <w:bottom w:val="none" w:sz="0" w:space="0" w:color="auto"/>
        <w:right w:val="none" w:sz="0" w:space="0" w:color="auto"/>
      </w:divBdr>
    </w:div>
    <w:div w:id="809515557">
      <w:bodyDiv w:val="1"/>
      <w:marLeft w:val="0"/>
      <w:marRight w:val="0"/>
      <w:marTop w:val="0"/>
      <w:marBottom w:val="0"/>
      <w:divBdr>
        <w:top w:val="none" w:sz="0" w:space="0" w:color="auto"/>
        <w:left w:val="none" w:sz="0" w:space="0" w:color="auto"/>
        <w:bottom w:val="none" w:sz="0" w:space="0" w:color="auto"/>
        <w:right w:val="none" w:sz="0" w:space="0" w:color="auto"/>
      </w:divBdr>
    </w:div>
    <w:div w:id="827524307">
      <w:bodyDiv w:val="1"/>
      <w:marLeft w:val="0"/>
      <w:marRight w:val="0"/>
      <w:marTop w:val="0"/>
      <w:marBottom w:val="0"/>
      <w:divBdr>
        <w:top w:val="none" w:sz="0" w:space="0" w:color="auto"/>
        <w:left w:val="none" w:sz="0" w:space="0" w:color="auto"/>
        <w:bottom w:val="none" w:sz="0" w:space="0" w:color="auto"/>
        <w:right w:val="none" w:sz="0" w:space="0" w:color="auto"/>
      </w:divBdr>
    </w:div>
    <w:div w:id="847601636">
      <w:bodyDiv w:val="1"/>
      <w:marLeft w:val="0"/>
      <w:marRight w:val="0"/>
      <w:marTop w:val="0"/>
      <w:marBottom w:val="0"/>
      <w:divBdr>
        <w:top w:val="none" w:sz="0" w:space="0" w:color="auto"/>
        <w:left w:val="none" w:sz="0" w:space="0" w:color="auto"/>
        <w:bottom w:val="none" w:sz="0" w:space="0" w:color="auto"/>
        <w:right w:val="none" w:sz="0" w:space="0" w:color="auto"/>
      </w:divBdr>
    </w:div>
    <w:div w:id="866332713">
      <w:bodyDiv w:val="1"/>
      <w:marLeft w:val="0"/>
      <w:marRight w:val="0"/>
      <w:marTop w:val="0"/>
      <w:marBottom w:val="0"/>
      <w:divBdr>
        <w:top w:val="none" w:sz="0" w:space="0" w:color="auto"/>
        <w:left w:val="none" w:sz="0" w:space="0" w:color="auto"/>
        <w:bottom w:val="none" w:sz="0" w:space="0" w:color="auto"/>
        <w:right w:val="none" w:sz="0" w:space="0" w:color="auto"/>
      </w:divBdr>
    </w:div>
    <w:div w:id="938098268">
      <w:bodyDiv w:val="1"/>
      <w:marLeft w:val="0"/>
      <w:marRight w:val="0"/>
      <w:marTop w:val="0"/>
      <w:marBottom w:val="0"/>
      <w:divBdr>
        <w:top w:val="none" w:sz="0" w:space="0" w:color="auto"/>
        <w:left w:val="none" w:sz="0" w:space="0" w:color="auto"/>
        <w:bottom w:val="none" w:sz="0" w:space="0" w:color="auto"/>
        <w:right w:val="none" w:sz="0" w:space="0" w:color="auto"/>
      </w:divBdr>
    </w:div>
    <w:div w:id="1175147099">
      <w:bodyDiv w:val="1"/>
      <w:marLeft w:val="0"/>
      <w:marRight w:val="0"/>
      <w:marTop w:val="0"/>
      <w:marBottom w:val="0"/>
      <w:divBdr>
        <w:top w:val="none" w:sz="0" w:space="0" w:color="auto"/>
        <w:left w:val="none" w:sz="0" w:space="0" w:color="auto"/>
        <w:bottom w:val="none" w:sz="0" w:space="0" w:color="auto"/>
        <w:right w:val="none" w:sz="0" w:space="0" w:color="auto"/>
      </w:divBdr>
    </w:div>
    <w:div w:id="1287001860">
      <w:bodyDiv w:val="1"/>
      <w:marLeft w:val="0"/>
      <w:marRight w:val="0"/>
      <w:marTop w:val="0"/>
      <w:marBottom w:val="0"/>
      <w:divBdr>
        <w:top w:val="none" w:sz="0" w:space="0" w:color="auto"/>
        <w:left w:val="none" w:sz="0" w:space="0" w:color="auto"/>
        <w:bottom w:val="none" w:sz="0" w:space="0" w:color="auto"/>
        <w:right w:val="none" w:sz="0" w:space="0" w:color="auto"/>
      </w:divBdr>
    </w:div>
    <w:div w:id="1540239448">
      <w:bodyDiv w:val="1"/>
      <w:marLeft w:val="0"/>
      <w:marRight w:val="0"/>
      <w:marTop w:val="0"/>
      <w:marBottom w:val="0"/>
      <w:divBdr>
        <w:top w:val="none" w:sz="0" w:space="0" w:color="auto"/>
        <w:left w:val="none" w:sz="0" w:space="0" w:color="auto"/>
        <w:bottom w:val="none" w:sz="0" w:space="0" w:color="auto"/>
        <w:right w:val="none" w:sz="0" w:space="0" w:color="auto"/>
      </w:divBdr>
    </w:div>
    <w:div w:id="1589803825">
      <w:bodyDiv w:val="1"/>
      <w:marLeft w:val="0"/>
      <w:marRight w:val="0"/>
      <w:marTop w:val="0"/>
      <w:marBottom w:val="0"/>
      <w:divBdr>
        <w:top w:val="none" w:sz="0" w:space="0" w:color="auto"/>
        <w:left w:val="none" w:sz="0" w:space="0" w:color="auto"/>
        <w:bottom w:val="none" w:sz="0" w:space="0" w:color="auto"/>
        <w:right w:val="none" w:sz="0" w:space="0" w:color="auto"/>
      </w:divBdr>
    </w:div>
    <w:div w:id="1656642731">
      <w:bodyDiv w:val="1"/>
      <w:marLeft w:val="0"/>
      <w:marRight w:val="0"/>
      <w:marTop w:val="0"/>
      <w:marBottom w:val="0"/>
      <w:divBdr>
        <w:top w:val="none" w:sz="0" w:space="0" w:color="auto"/>
        <w:left w:val="none" w:sz="0" w:space="0" w:color="auto"/>
        <w:bottom w:val="none" w:sz="0" w:space="0" w:color="auto"/>
        <w:right w:val="none" w:sz="0" w:space="0" w:color="auto"/>
      </w:divBdr>
    </w:div>
    <w:div w:id="1722945214">
      <w:bodyDiv w:val="1"/>
      <w:marLeft w:val="0"/>
      <w:marRight w:val="0"/>
      <w:marTop w:val="0"/>
      <w:marBottom w:val="0"/>
      <w:divBdr>
        <w:top w:val="none" w:sz="0" w:space="0" w:color="auto"/>
        <w:left w:val="none" w:sz="0" w:space="0" w:color="auto"/>
        <w:bottom w:val="none" w:sz="0" w:space="0" w:color="auto"/>
        <w:right w:val="none" w:sz="0" w:space="0" w:color="auto"/>
      </w:divBdr>
    </w:div>
    <w:div w:id="1831828968">
      <w:bodyDiv w:val="1"/>
      <w:marLeft w:val="0"/>
      <w:marRight w:val="0"/>
      <w:marTop w:val="0"/>
      <w:marBottom w:val="0"/>
      <w:divBdr>
        <w:top w:val="none" w:sz="0" w:space="0" w:color="auto"/>
        <w:left w:val="none" w:sz="0" w:space="0" w:color="auto"/>
        <w:bottom w:val="none" w:sz="0" w:space="0" w:color="auto"/>
        <w:right w:val="none" w:sz="0" w:space="0" w:color="auto"/>
      </w:divBdr>
    </w:div>
    <w:div w:id="1933272222">
      <w:bodyDiv w:val="1"/>
      <w:marLeft w:val="0"/>
      <w:marRight w:val="0"/>
      <w:marTop w:val="0"/>
      <w:marBottom w:val="0"/>
      <w:divBdr>
        <w:top w:val="none" w:sz="0" w:space="0" w:color="auto"/>
        <w:left w:val="none" w:sz="0" w:space="0" w:color="auto"/>
        <w:bottom w:val="none" w:sz="0" w:space="0" w:color="auto"/>
        <w:right w:val="none" w:sz="0" w:space="0" w:color="auto"/>
      </w:divBdr>
    </w:div>
    <w:div w:id="2000233818">
      <w:bodyDiv w:val="1"/>
      <w:marLeft w:val="0"/>
      <w:marRight w:val="0"/>
      <w:marTop w:val="0"/>
      <w:marBottom w:val="0"/>
      <w:divBdr>
        <w:top w:val="none" w:sz="0" w:space="0" w:color="auto"/>
        <w:left w:val="none" w:sz="0" w:space="0" w:color="auto"/>
        <w:bottom w:val="none" w:sz="0" w:space="0" w:color="auto"/>
        <w:right w:val="none" w:sz="0" w:space="0" w:color="auto"/>
      </w:divBdr>
    </w:div>
    <w:div w:id="2020546108">
      <w:bodyDiv w:val="1"/>
      <w:marLeft w:val="0"/>
      <w:marRight w:val="0"/>
      <w:marTop w:val="0"/>
      <w:marBottom w:val="0"/>
      <w:divBdr>
        <w:top w:val="none" w:sz="0" w:space="0" w:color="auto"/>
        <w:left w:val="none" w:sz="0" w:space="0" w:color="auto"/>
        <w:bottom w:val="none" w:sz="0" w:space="0" w:color="auto"/>
        <w:right w:val="none" w:sz="0" w:space="0" w:color="auto"/>
      </w:divBdr>
    </w:div>
    <w:div w:id="2133286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bis.org/cpmi/publ/d101.htm" TargetMode="External"/><Relationship Id="rId4" Type="http://schemas.microsoft.com/office/2007/relationships/stylesWithEffects" Target="stylesWithEffects.xml"/><Relationship Id="rId9" Type="http://schemas.openxmlformats.org/officeDocument/2006/relationships/hyperlink" Target="http://www.leiroc.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577D1F-215C-44D5-B72C-6AC881E96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41</Pages>
  <Words>11280</Words>
  <Characters>88214</Characters>
  <Application>Microsoft Office Word</Application>
  <DocSecurity>0</DocSecurity>
  <Lines>1764</Lines>
  <Paragraphs>1036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EBA</Company>
  <LinksUpToDate>false</LinksUpToDate>
  <CharactersWithSpaces>98458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Charles Canonne</dc:creator>
  <cp:lastModifiedBy>SPENS Katharina (DGT)</cp:lastModifiedBy>
  <cp:revision>3</cp:revision>
  <cp:lastPrinted>2017-10-06T17:28:00Z</cp:lastPrinted>
  <dcterms:created xsi:type="dcterms:W3CDTF">2018-09-18T08:30:00Z</dcterms:created>
  <dcterms:modified xsi:type="dcterms:W3CDTF">2018-09-20T12:02:00Z</dcterms:modified>
</cp:coreProperties>
</file>