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Anhang 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Einheitliches Datenpunktmodell</w:t>
      </w:r>
    </w:p>
    <w:p w:rsidR="00301F8C" w:rsidRPr="00757F77" w:rsidRDefault="008E5854" w:rsidP="00301F8C">
      <w:pPr>
        <w:rPr>
          <w:color w:val="000000" w:themeColor="text1"/>
        </w:rPr>
      </w:pPr>
      <w:r>
        <w:rPr>
          <w:color w:val="000000" w:themeColor="text1"/>
        </w:rPr>
        <w:t>Alle im Anhang </w:t>
      </w:r>
      <w:r w:rsidR="00301F8C">
        <w:rPr>
          <w:color w:val="000000" w:themeColor="text1"/>
        </w:rPr>
        <w:t>I dieser Verordnung aufgeführten Daten werden in ein einheitliches Datenpunktmodell überführt, das die Grundlage für einheitliche IT-Systeme der Institute und Abwicklungsbehörden bildet.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Das einheitliche Datenpunktmodell erfüllt die folgenden Kriterien: </w:t>
      </w:r>
    </w:p>
    <w:p w:rsidR="00301F8C" w:rsidRPr="00757F77" w:rsidRDefault="00301F8C" w:rsidP="00441098">
      <w:pPr>
        <w:pStyle w:val="Point0letter"/>
        <w:numPr>
          <w:ilvl w:val="1"/>
          <w:numId w:val="4"/>
        </w:numPr>
        <w:rPr>
          <w:color w:val="000000" w:themeColor="text1"/>
        </w:rPr>
      </w:pPr>
      <w:bookmarkStart w:id="0" w:name="_GoBack"/>
      <w:r>
        <w:rPr>
          <w:color w:val="000000" w:themeColor="text1"/>
        </w:rPr>
        <w:t>es gewährleistet eine strukturierte Darstellung aller im Anhang I aufgeführten Daten,</w:t>
      </w:r>
    </w:p>
    <w:p w:rsidR="00301F8C" w:rsidRPr="00757F77" w:rsidRDefault="00301F8C" w:rsidP="00441098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es erfasst alle im Anhang I aufgeführten Geschäftskonzepte,</w:t>
      </w:r>
    </w:p>
    <w:p w:rsidR="00301F8C" w:rsidRPr="00757F77" w:rsidRDefault="00301F8C" w:rsidP="00441098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es enthält ein Datenwörterbuch, in dem die Tabellen-, Ordinaten-, </w:t>
      </w:r>
      <w:proofErr w:type="spellStart"/>
      <w:r>
        <w:rPr>
          <w:color w:val="000000" w:themeColor="text1"/>
        </w:rPr>
        <w:t>Axen</w:t>
      </w:r>
      <w:proofErr w:type="spellEnd"/>
      <w:r>
        <w:rPr>
          <w:color w:val="000000" w:themeColor="text1"/>
        </w:rPr>
        <w:t xml:space="preserve">-, Domänen-, Dimensionen- und Mitgliedsbezeichnungen erläutert werden, </w:t>
      </w:r>
    </w:p>
    <w:p w:rsidR="00301F8C" w:rsidRPr="00757F77" w:rsidRDefault="00301F8C" w:rsidP="00441098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es enthält Maßzahlen, die die Eigenschaft oder die Menge von Datenpunkten bestimmen, </w:t>
      </w:r>
    </w:p>
    <w:p w:rsidR="00301F8C" w:rsidRPr="00757F77" w:rsidRDefault="00301F8C" w:rsidP="00441098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es liefert Datenpunktdefinitionen (ausgedrückt als Zusammensetzung von Eigenschaften), die eine zweifelsfreie Feststellung des Finanzkonzepts ermöglichen, </w:t>
      </w:r>
    </w:p>
    <w:p w:rsidR="00301F8C" w:rsidRPr="00757F77" w:rsidRDefault="00301F8C" w:rsidP="00441098">
      <w:pPr>
        <w:pStyle w:val="Point0letter"/>
        <w:numPr>
          <w:ilvl w:val="1"/>
          <w:numId w:val="4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es</w:t>
      </w:r>
      <w:proofErr w:type="gramEnd"/>
      <w:r>
        <w:rPr>
          <w:color w:val="000000" w:themeColor="text1"/>
        </w:rPr>
        <w:t xml:space="preserve"> enthält alle erforderlichen maßgeblichen technischen Spezifikationen für die Entwicklung von IT-Lösungen für Datenmeldungen, die einheitliche Daten für die Abwicklungsplanung gewährleisten.</w:t>
      </w:r>
    </w:p>
    <w:bookmarkEnd w:id="0"/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0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DE </w:t>
    </w:r>
    <w:r>
      <w:br/>
      <w:t>ANHANG 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7E8E6F8E"/>
    <w:multiLevelType w:val="multilevel"/>
    <w:tmpl w:val="C1D232A4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301F8C"/>
    <w:rsid w:val="00441098"/>
    <w:rsid w:val="004454D3"/>
    <w:rsid w:val="008E5854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Giuseppina CARTA</cp:lastModifiedBy>
  <cp:revision>5</cp:revision>
  <dcterms:created xsi:type="dcterms:W3CDTF">2018-07-09T09:46:00Z</dcterms:created>
  <dcterms:modified xsi:type="dcterms:W3CDTF">2018-09-14T10:02:00Z</dcterms:modified>
</cp:coreProperties>
</file>