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III pielikums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Vienotais datu punktu modelis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Visus I pielikumā noteiktos datu posteņus pārveido vienotā datu punktu modelī, kas veido pamatu vienādām IT sistēmām iestādēs un noregulējuma iestādēs.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Vienotais datu punktu modelis atbilst šādiem kritērijiem: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tas sniedz strukturētu pārskatu par visiem I pielikumā noteiktajiem datu posteņiem;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tas identificē visas I pielikumā noteiktās darījumdarbības koncepcijas;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tas nodrošina datu vārdnīcu, kurā identificēti tabulas apzīmējumi, ordinātas apzīmējumi, ass apzīmējumi, domēnu apzīmējumi, dimensiju apzīmējumi un elementu apzīmējumi;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tas nodrošina rādītājus, ar ko definē datu punktu īpašības vai apmēru;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tas nodrošina datu punktu definīcijas, kuras izteiktas kā īpašību salikums, kas viennozīmīgi identificē finanšu koncepciju;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tas ietver visas attiecīgās tehniskās specifikācijas, kas nepieciešamas, lai izstrādātu IT pārskatu sniegšanas risinājumus, kas radītu vienotus noregulējuma plānošanas datus.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LV </w:t>
    </w:r>
    <w:r>
      <w:br/>
    </w:r>
    <w:r>
      <w:t>III PIELIKUMS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lv-LV" w:eastAsia="lv-LV" w:bidi="lv-LV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