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Załącznik II: Instrukcje</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124D64" w:rsidRDefault="001D258F">
      <w:pPr>
        <w:pStyle w:val="TOC2"/>
        <w:rPr>
          <w:lang w:val="en-GB" w:eastAsia="en-GB" w:bidi="ar-SA"/>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062575" w:history="1">
        <w:r w:rsidR="00124D64" w:rsidRPr="009A7C35">
          <w:rPr>
            <w:rStyle w:val="Hyperlink"/>
            <w:rFonts w:ascii="Times New Roman" w:hAnsi="Times New Roman" w:cs="Times New Roman"/>
          </w:rPr>
          <w:t>I.</w:t>
        </w:r>
        <w:r w:rsidR="00124D64">
          <w:rPr>
            <w:lang w:val="en-GB" w:eastAsia="en-GB" w:bidi="ar-SA"/>
          </w:rPr>
          <w:tab/>
        </w:r>
        <w:r w:rsidR="00124D64" w:rsidRPr="009A7C35">
          <w:rPr>
            <w:rStyle w:val="Hyperlink"/>
            <w:rFonts w:ascii="Times New Roman" w:hAnsi="Times New Roman"/>
          </w:rPr>
          <w:t>Instrukcje ogólne</w:t>
        </w:r>
        <w:r w:rsidR="00124D64">
          <w:rPr>
            <w:webHidden/>
          </w:rPr>
          <w:tab/>
        </w:r>
        <w:r w:rsidR="00124D64">
          <w:rPr>
            <w:webHidden/>
          </w:rPr>
          <w:fldChar w:fldCharType="begin"/>
        </w:r>
        <w:r w:rsidR="00124D64">
          <w:rPr>
            <w:webHidden/>
          </w:rPr>
          <w:instrText xml:space="preserve"> PAGEREF _Toc525062575 \h </w:instrText>
        </w:r>
        <w:r w:rsidR="00124D64">
          <w:rPr>
            <w:webHidden/>
          </w:rPr>
        </w:r>
        <w:r w:rsidR="00124D64">
          <w:rPr>
            <w:webHidden/>
          </w:rPr>
          <w:fldChar w:fldCharType="separate"/>
        </w:r>
        <w:r w:rsidR="00124D64">
          <w:rPr>
            <w:webHidden/>
          </w:rPr>
          <w:t>2</w:t>
        </w:r>
        <w:r w:rsidR="00124D64">
          <w:rPr>
            <w:webHidden/>
          </w:rPr>
          <w:fldChar w:fldCharType="end"/>
        </w:r>
      </w:hyperlink>
    </w:p>
    <w:p w:rsidR="00124D64" w:rsidRDefault="00754093">
      <w:pPr>
        <w:pStyle w:val="TOC2"/>
        <w:rPr>
          <w:lang w:val="en-GB" w:eastAsia="en-GB" w:bidi="ar-SA"/>
        </w:rPr>
      </w:pPr>
      <w:hyperlink w:anchor="_Toc525062576" w:history="1">
        <w:r w:rsidR="00124D64" w:rsidRPr="009A7C35">
          <w:rPr>
            <w:rStyle w:val="Hyperlink"/>
            <w:rFonts w:ascii="Times New Roman" w:hAnsi="Times New Roman" w:cs="Times New Roman"/>
          </w:rPr>
          <w:t>I.1</w:t>
        </w:r>
        <w:r w:rsidR="00124D64">
          <w:rPr>
            <w:lang w:val="en-GB" w:eastAsia="en-GB" w:bidi="ar-SA"/>
          </w:rPr>
          <w:tab/>
        </w:r>
        <w:r w:rsidR="00124D64" w:rsidRPr="009A7C35">
          <w:rPr>
            <w:rStyle w:val="Hyperlink"/>
            <w:rFonts w:ascii="Times New Roman" w:hAnsi="Times New Roman"/>
          </w:rPr>
          <w:t>Struktura</w:t>
        </w:r>
        <w:r w:rsidR="00124D64">
          <w:rPr>
            <w:webHidden/>
          </w:rPr>
          <w:tab/>
        </w:r>
        <w:r w:rsidR="00124D64">
          <w:rPr>
            <w:webHidden/>
          </w:rPr>
          <w:fldChar w:fldCharType="begin"/>
        </w:r>
        <w:r w:rsidR="00124D64">
          <w:rPr>
            <w:webHidden/>
          </w:rPr>
          <w:instrText xml:space="preserve"> PAGEREF _Toc525062576 \h </w:instrText>
        </w:r>
        <w:r w:rsidR="00124D64">
          <w:rPr>
            <w:webHidden/>
          </w:rPr>
        </w:r>
        <w:r w:rsidR="00124D64">
          <w:rPr>
            <w:webHidden/>
          </w:rPr>
          <w:fldChar w:fldCharType="separate"/>
        </w:r>
        <w:r w:rsidR="00124D64">
          <w:rPr>
            <w:webHidden/>
          </w:rPr>
          <w:t>2</w:t>
        </w:r>
        <w:r w:rsidR="00124D64">
          <w:rPr>
            <w:webHidden/>
          </w:rPr>
          <w:fldChar w:fldCharType="end"/>
        </w:r>
      </w:hyperlink>
    </w:p>
    <w:p w:rsidR="00124D64" w:rsidRDefault="00754093">
      <w:pPr>
        <w:pStyle w:val="TOC2"/>
        <w:rPr>
          <w:lang w:val="en-GB" w:eastAsia="en-GB" w:bidi="ar-SA"/>
        </w:rPr>
      </w:pPr>
      <w:hyperlink w:anchor="_Toc525062577" w:history="1">
        <w:r w:rsidR="00124D64" w:rsidRPr="009A7C35">
          <w:rPr>
            <w:rStyle w:val="Hyperlink"/>
            <w:rFonts w:ascii="Times New Roman" w:hAnsi="Times New Roman" w:cs="Times New Roman"/>
          </w:rPr>
          <w:t>I.2</w:t>
        </w:r>
        <w:r w:rsidR="00124D64">
          <w:rPr>
            <w:lang w:val="en-GB" w:eastAsia="en-GB" w:bidi="ar-SA"/>
          </w:rPr>
          <w:tab/>
        </w:r>
        <w:r w:rsidR="00124D64" w:rsidRPr="009A7C35">
          <w:rPr>
            <w:rStyle w:val="Hyperlink"/>
            <w:rFonts w:ascii="Times New Roman" w:hAnsi="Times New Roman"/>
          </w:rPr>
          <w:t>Odniesienia</w:t>
        </w:r>
        <w:r w:rsidR="00124D64">
          <w:rPr>
            <w:webHidden/>
          </w:rPr>
          <w:tab/>
        </w:r>
        <w:r w:rsidR="00124D64">
          <w:rPr>
            <w:webHidden/>
          </w:rPr>
          <w:fldChar w:fldCharType="begin"/>
        </w:r>
        <w:r w:rsidR="00124D64">
          <w:rPr>
            <w:webHidden/>
          </w:rPr>
          <w:instrText xml:space="preserve"> PAGEREF _Toc525062577 \h </w:instrText>
        </w:r>
        <w:r w:rsidR="00124D64">
          <w:rPr>
            <w:webHidden/>
          </w:rPr>
        </w:r>
        <w:r w:rsidR="00124D64">
          <w:rPr>
            <w:webHidden/>
          </w:rPr>
          <w:fldChar w:fldCharType="separate"/>
        </w:r>
        <w:r w:rsidR="00124D64">
          <w:rPr>
            <w:webHidden/>
          </w:rPr>
          <w:t>2</w:t>
        </w:r>
        <w:r w:rsidR="00124D64">
          <w:rPr>
            <w:webHidden/>
          </w:rPr>
          <w:fldChar w:fldCharType="end"/>
        </w:r>
      </w:hyperlink>
    </w:p>
    <w:p w:rsidR="00124D64" w:rsidRDefault="00754093">
      <w:pPr>
        <w:pStyle w:val="TOC2"/>
        <w:rPr>
          <w:lang w:val="en-GB" w:eastAsia="en-GB" w:bidi="ar-SA"/>
        </w:rPr>
      </w:pPr>
      <w:hyperlink w:anchor="_Toc525062578" w:history="1">
        <w:r w:rsidR="00124D64" w:rsidRPr="009A7C35">
          <w:rPr>
            <w:rStyle w:val="Hyperlink"/>
            <w:rFonts w:ascii="Times New Roman" w:hAnsi="Times New Roman" w:cs="Times New Roman"/>
          </w:rPr>
          <w:t>I.3</w:t>
        </w:r>
        <w:r w:rsidR="00124D64">
          <w:rPr>
            <w:lang w:val="en-GB" w:eastAsia="en-GB" w:bidi="ar-SA"/>
          </w:rPr>
          <w:tab/>
        </w:r>
        <w:r w:rsidR="00124D64" w:rsidRPr="009A7C35">
          <w:rPr>
            <w:rStyle w:val="Hyperlink"/>
            <w:rFonts w:ascii="Times New Roman" w:hAnsi="Times New Roman"/>
          </w:rPr>
          <w:t>Standardy rachunkowości</w:t>
        </w:r>
        <w:r w:rsidR="00124D64">
          <w:rPr>
            <w:webHidden/>
          </w:rPr>
          <w:tab/>
        </w:r>
        <w:r w:rsidR="00124D64">
          <w:rPr>
            <w:webHidden/>
          </w:rPr>
          <w:fldChar w:fldCharType="begin"/>
        </w:r>
        <w:r w:rsidR="00124D64">
          <w:rPr>
            <w:webHidden/>
          </w:rPr>
          <w:instrText xml:space="preserve"> PAGEREF _Toc525062578 \h </w:instrText>
        </w:r>
        <w:r w:rsidR="00124D64">
          <w:rPr>
            <w:webHidden/>
          </w:rPr>
        </w:r>
        <w:r w:rsidR="00124D64">
          <w:rPr>
            <w:webHidden/>
          </w:rPr>
          <w:fldChar w:fldCharType="separate"/>
        </w:r>
        <w:r w:rsidR="00124D64">
          <w:rPr>
            <w:webHidden/>
          </w:rPr>
          <w:t>3</w:t>
        </w:r>
        <w:r w:rsidR="00124D64">
          <w:rPr>
            <w:webHidden/>
          </w:rPr>
          <w:fldChar w:fldCharType="end"/>
        </w:r>
      </w:hyperlink>
    </w:p>
    <w:p w:rsidR="00124D64" w:rsidRDefault="00754093">
      <w:pPr>
        <w:pStyle w:val="TOC2"/>
        <w:rPr>
          <w:lang w:val="en-GB" w:eastAsia="en-GB" w:bidi="ar-SA"/>
        </w:rPr>
      </w:pPr>
      <w:hyperlink w:anchor="_Toc525062579" w:history="1">
        <w:r w:rsidR="00124D64" w:rsidRPr="009A7C35">
          <w:rPr>
            <w:rStyle w:val="Hyperlink"/>
            <w:rFonts w:ascii="Times New Roman" w:hAnsi="Times New Roman" w:cs="Times New Roman"/>
          </w:rPr>
          <w:t>I.4</w:t>
        </w:r>
        <w:r w:rsidR="00124D64">
          <w:rPr>
            <w:lang w:val="en-GB" w:eastAsia="en-GB" w:bidi="ar-SA"/>
          </w:rPr>
          <w:tab/>
        </w:r>
        <w:r w:rsidR="00124D64" w:rsidRPr="009A7C35">
          <w:rPr>
            <w:rStyle w:val="Hyperlink"/>
            <w:rFonts w:ascii="Times New Roman" w:hAnsi="Times New Roman"/>
          </w:rPr>
          <w:t>Zakres konsolidacji</w:t>
        </w:r>
        <w:r w:rsidR="00124D64">
          <w:rPr>
            <w:webHidden/>
          </w:rPr>
          <w:tab/>
        </w:r>
        <w:r w:rsidR="00124D64">
          <w:rPr>
            <w:webHidden/>
          </w:rPr>
          <w:fldChar w:fldCharType="begin"/>
        </w:r>
        <w:r w:rsidR="00124D64">
          <w:rPr>
            <w:webHidden/>
          </w:rPr>
          <w:instrText xml:space="preserve"> PAGEREF _Toc525062579 \h </w:instrText>
        </w:r>
        <w:r w:rsidR="00124D64">
          <w:rPr>
            <w:webHidden/>
          </w:rPr>
        </w:r>
        <w:r w:rsidR="00124D64">
          <w:rPr>
            <w:webHidden/>
          </w:rPr>
          <w:fldChar w:fldCharType="separate"/>
        </w:r>
        <w:r w:rsidR="00124D64">
          <w:rPr>
            <w:webHidden/>
          </w:rPr>
          <w:t>3</w:t>
        </w:r>
        <w:r w:rsidR="00124D64">
          <w:rPr>
            <w:webHidden/>
          </w:rPr>
          <w:fldChar w:fldCharType="end"/>
        </w:r>
      </w:hyperlink>
    </w:p>
    <w:p w:rsidR="00124D64" w:rsidRDefault="00754093">
      <w:pPr>
        <w:pStyle w:val="TOC2"/>
        <w:rPr>
          <w:lang w:val="en-GB" w:eastAsia="en-GB" w:bidi="ar-SA"/>
        </w:rPr>
      </w:pPr>
      <w:hyperlink w:anchor="_Toc525062580" w:history="1">
        <w:r w:rsidR="00124D64" w:rsidRPr="009A7C35">
          <w:rPr>
            <w:rStyle w:val="Hyperlink"/>
            <w:rFonts w:ascii="Times New Roman" w:hAnsi="Times New Roman" w:cs="Times New Roman"/>
          </w:rPr>
          <w:t>I.5</w:t>
        </w:r>
        <w:r w:rsidR="00124D64">
          <w:rPr>
            <w:lang w:val="en-GB" w:eastAsia="en-GB" w:bidi="ar-SA"/>
          </w:rPr>
          <w:tab/>
        </w:r>
        <w:r w:rsidR="00124D64" w:rsidRPr="009A7C35">
          <w:rPr>
            <w:rStyle w:val="Hyperlink"/>
            <w:rFonts w:ascii="Times New Roman" w:hAnsi="Times New Roman"/>
          </w:rPr>
          <w:t>Numeracja</w:t>
        </w:r>
        <w:r w:rsidR="004D7F8C" w:rsidRPr="009A7C35">
          <w:rPr>
            <w:rStyle w:val="Hyperlink"/>
            <w:rFonts w:ascii="Times New Roman" w:hAnsi="Times New Roman"/>
          </w:rPr>
          <w:t xml:space="preserve"> i</w:t>
        </w:r>
        <w:r w:rsidR="004D7F8C">
          <w:rPr>
            <w:rStyle w:val="Hyperlink"/>
            <w:rFonts w:ascii="Times New Roman" w:hAnsi="Times New Roman"/>
          </w:rPr>
          <w:t> </w:t>
        </w:r>
        <w:r w:rsidR="004D7F8C" w:rsidRPr="009A7C35">
          <w:rPr>
            <w:rStyle w:val="Hyperlink"/>
            <w:rFonts w:ascii="Times New Roman" w:hAnsi="Times New Roman"/>
          </w:rPr>
          <w:t>inn</w:t>
        </w:r>
        <w:r w:rsidR="00124D64" w:rsidRPr="009A7C35">
          <w:rPr>
            <w:rStyle w:val="Hyperlink"/>
            <w:rFonts w:ascii="Times New Roman" w:hAnsi="Times New Roman"/>
          </w:rPr>
          <w:t>e konwencje</w:t>
        </w:r>
        <w:r w:rsidR="00124D64">
          <w:rPr>
            <w:webHidden/>
          </w:rPr>
          <w:tab/>
        </w:r>
        <w:r w:rsidR="00124D64">
          <w:rPr>
            <w:webHidden/>
          </w:rPr>
          <w:fldChar w:fldCharType="begin"/>
        </w:r>
        <w:r w:rsidR="00124D64">
          <w:rPr>
            <w:webHidden/>
          </w:rPr>
          <w:instrText xml:space="preserve"> PAGEREF _Toc525062580 \h </w:instrText>
        </w:r>
        <w:r w:rsidR="00124D64">
          <w:rPr>
            <w:webHidden/>
          </w:rPr>
        </w:r>
        <w:r w:rsidR="00124D64">
          <w:rPr>
            <w:webHidden/>
          </w:rPr>
          <w:fldChar w:fldCharType="separate"/>
        </w:r>
        <w:r w:rsidR="00124D64">
          <w:rPr>
            <w:webHidden/>
          </w:rPr>
          <w:t>4</w:t>
        </w:r>
        <w:r w:rsidR="00124D64">
          <w:rPr>
            <w:webHidden/>
          </w:rPr>
          <w:fldChar w:fldCharType="end"/>
        </w:r>
      </w:hyperlink>
    </w:p>
    <w:p w:rsidR="00124D64" w:rsidRDefault="00754093">
      <w:pPr>
        <w:pStyle w:val="TOC2"/>
        <w:rPr>
          <w:lang w:val="en-GB" w:eastAsia="en-GB" w:bidi="ar-SA"/>
        </w:rPr>
      </w:pPr>
      <w:hyperlink w:anchor="_Toc525062581" w:history="1">
        <w:r w:rsidR="00124D64" w:rsidRPr="009A7C35">
          <w:rPr>
            <w:rStyle w:val="Hyperlink"/>
            <w:rFonts w:ascii="Times New Roman" w:hAnsi="Times New Roman" w:cs="Times New Roman"/>
          </w:rPr>
          <w:t>II.</w:t>
        </w:r>
        <w:r w:rsidR="00124D64">
          <w:rPr>
            <w:lang w:val="en-GB" w:eastAsia="en-GB" w:bidi="ar-SA"/>
          </w:rPr>
          <w:tab/>
        </w:r>
        <w:r w:rsidR="00124D64" w:rsidRPr="009A7C35">
          <w:rPr>
            <w:rStyle w:val="Hyperlink"/>
            <w:rFonts w:ascii="Times New Roman" w:hAnsi="Times New Roman"/>
          </w:rPr>
          <w:t>Instrukcje dotyczące poszczególnych szablonów</w:t>
        </w:r>
        <w:r w:rsidR="00124D64">
          <w:rPr>
            <w:webHidden/>
          </w:rPr>
          <w:tab/>
        </w:r>
        <w:r w:rsidR="00124D64">
          <w:rPr>
            <w:webHidden/>
          </w:rPr>
          <w:fldChar w:fldCharType="begin"/>
        </w:r>
        <w:r w:rsidR="00124D64">
          <w:rPr>
            <w:webHidden/>
          </w:rPr>
          <w:instrText xml:space="preserve"> PAGEREF _Toc525062581 \h </w:instrText>
        </w:r>
        <w:r w:rsidR="00124D64">
          <w:rPr>
            <w:webHidden/>
          </w:rPr>
        </w:r>
        <w:r w:rsidR="00124D64">
          <w:rPr>
            <w:webHidden/>
          </w:rPr>
          <w:fldChar w:fldCharType="separate"/>
        </w:r>
        <w:r w:rsidR="00124D64">
          <w:rPr>
            <w:webHidden/>
          </w:rPr>
          <w:t>4</w:t>
        </w:r>
        <w:r w:rsidR="00124D64">
          <w:rPr>
            <w:webHidden/>
          </w:rPr>
          <w:fldChar w:fldCharType="end"/>
        </w:r>
      </w:hyperlink>
    </w:p>
    <w:p w:rsidR="00124D64" w:rsidRDefault="00754093">
      <w:pPr>
        <w:pStyle w:val="TOC2"/>
        <w:rPr>
          <w:lang w:val="en-GB" w:eastAsia="en-GB" w:bidi="ar-SA"/>
        </w:rPr>
      </w:pPr>
      <w:hyperlink w:anchor="_Toc525062582" w:history="1">
        <w:r w:rsidR="00124D64" w:rsidRPr="009A7C35">
          <w:rPr>
            <w:rStyle w:val="Hyperlink"/>
            <w:rFonts w:ascii="Times New Roman" w:hAnsi="Times New Roman" w:cs="Times New Roman"/>
          </w:rPr>
          <w:t>II.1</w:t>
        </w:r>
        <w:r w:rsidR="00124D64">
          <w:rPr>
            <w:lang w:val="en-GB" w:eastAsia="en-GB" w:bidi="ar-SA"/>
          </w:rPr>
          <w:tab/>
        </w:r>
        <w:r w:rsidR="00124D64" w:rsidRPr="009A7C35">
          <w:rPr>
            <w:rStyle w:val="Hyperlink"/>
            <w:rFonts w:ascii="Times New Roman" w:hAnsi="Times New Roman"/>
          </w:rPr>
          <w:t>Z 01.00 – Struktura organizacyjna (ORG)</w:t>
        </w:r>
        <w:r w:rsidR="00124D64">
          <w:rPr>
            <w:webHidden/>
          </w:rPr>
          <w:tab/>
        </w:r>
        <w:r w:rsidR="00124D64">
          <w:rPr>
            <w:webHidden/>
          </w:rPr>
          <w:fldChar w:fldCharType="begin"/>
        </w:r>
        <w:r w:rsidR="00124D64">
          <w:rPr>
            <w:webHidden/>
          </w:rPr>
          <w:instrText xml:space="preserve"> PAGEREF _Toc525062582 \h </w:instrText>
        </w:r>
        <w:r w:rsidR="00124D64">
          <w:rPr>
            <w:webHidden/>
          </w:rPr>
        </w:r>
        <w:r w:rsidR="00124D64">
          <w:rPr>
            <w:webHidden/>
          </w:rPr>
          <w:fldChar w:fldCharType="separate"/>
        </w:r>
        <w:r w:rsidR="00124D64">
          <w:rPr>
            <w:webHidden/>
          </w:rPr>
          <w:t>4</w:t>
        </w:r>
        <w:r w:rsidR="00124D64">
          <w:rPr>
            <w:webHidden/>
          </w:rPr>
          <w:fldChar w:fldCharType="end"/>
        </w:r>
      </w:hyperlink>
    </w:p>
    <w:p w:rsidR="00124D64" w:rsidRDefault="00754093">
      <w:pPr>
        <w:pStyle w:val="TOC2"/>
        <w:rPr>
          <w:lang w:val="en-GB" w:eastAsia="en-GB" w:bidi="ar-SA"/>
        </w:rPr>
      </w:pPr>
      <w:hyperlink w:anchor="_Toc525062583" w:history="1">
        <w:r w:rsidR="00124D64" w:rsidRPr="009A7C35">
          <w:rPr>
            <w:rStyle w:val="Hyperlink"/>
            <w:rFonts w:ascii="Times New Roman" w:hAnsi="Times New Roman" w:cs="Times New Roman"/>
          </w:rPr>
          <w:t>II.2</w:t>
        </w:r>
        <w:r w:rsidR="00124D64">
          <w:rPr>
            <w:lang w:val="en-GB" w:eastAsia="en-GB" w:bidi="ar-SA"/>
          </w:rPr>
          <w:tab/>
        </w:r>
        <w:r w:rsidR="00124D64" w:rsidRPr="009A7C35">
          <w:rPr>
            <w:rStyle w:val="Hyperlink"/>
            <w:rFonts w:ascii="Times New Roman" w:hAnsi="Times New Roman"/>
          </w:rPr>
          <w:t>Z 02.00 – Struktura zobowiązań (LIAB)</w:t>
        </w:r>
        <w:r w:rsidR="00124D64">
          <w:rPr>
            <w:webHidden/>
          </w:rPr>
          <w:tab/>
        </w:r>
        <w:r w:rsidR="00124D64">
          <w:rPr>
            <w:webHidden/>
          </w:rPr>
          <w:fldChar w:fldCharType="begin"/>
        </w:r>
        <w:r w:rsidR="00124D64">
          <w:rPr>
            <w:webHidden/>
          </w:rPr>
          <w:instrText xml:space="preserve"> PAGEREF _Toc525062583 \h </w:instrText>
        </w:r>
        <w:r w:rsidR="00124D64">
          <w:rPr>
            <w:webHidden/>
          </w:rPr>
        </w:r>
        <w:r w:rsidR="00124D64">
          <w:rPr>
            <w:webHidden/>
          </w:rPr>
          <w:fldChar w:fldCharType="separate"/>
        </w:r>
        <w:r w:rsidR="00124D64">
          <w:rPr>
            <w:webHidden/>
          </w:rPr>
          <w:t>7</w:t>
        </w:r>
        <w:r w:rsidR="00124D64">
          <w:rPr>
            <w:webHidden/>
          </w:rPr>
          <w:fldChar w:fldCharType="end"/>
        </w:r>
      </w:hyperlink>
    </w:p>
    <w:p w:rsidR="00124D64" w:rsidRDefault="00754093">
      <w:pPr>
        <w:pStyle w:val="TOC2"/>
        <w:rPr>
          <w:lang w:val="en-GB" w:eastAsia="en-GB" w:bidi="ar-SA"/>
        </w:rPr>
      </w:pPr>
      <w:hyperlink w:anchor="_Toc525062584" w:history="1">
        <w:r w:rsidR="00124D64" w:rsidRPr="009A7C35">
          <w:rPr>
            <w:rStyle w:val="Hyperlink"/>
            <w:rFonts w:ascii="Times New Roman" w:hAnsi="Times New Roman" w:cs="Times New Roman"/>
          </w:rPr>
          <w:t>II.3</w:t>
        </w:r>
        <w:r w:rsidR="00124D64">
          <w:rPr>
            <w:lang w:val="en-GB" w:eastAsia="en-GB" w:bidi="ar-SA"/>
          </w:rPr>
          <w:tab/>
        </w:r>
        <w:r w:rsidR="00124D64" w:rsidRPr="009A7C35">
          <w:rPr>
            <w:rStyle w:val="Hyperlink"/>
            <w:rFonts w:ascii="Times New Roman" w:hAnsi="Times New Roman"/>
          </w:rPr>
          <w:t>Z 03.00 – Wymogi</w:t>
        </w:r>
        <w:r w:rsidR="004D7F8C" w:rsidRPr="009A7C35">
          <w:rPr>
            <w:rStyle w:val="Hyperlink"/>
            <w:rFonts w:ascii="Times New Roman" w:hAnsi="Times New Roman"/>
          </w:rPr>
          <w:t xml:space="preserve"> w</w:t>
        </w:r>
        <w:r w:rsidR="004D7F8C">
          <w:rPr>
            <w:rStyle w:val="Hyperlink"/>
            <w:rFonts w:ascii="Times New Roman" w:hAnsi="Times New Roman"/>
          </w:rPr>
          <w:t> </w:t>
        </w:r>
        <w:r w:rsidR="004D7F8C" w:rsidRPr="009A7C35">
          <w:rPr>
            <w:rStyle w:val="Hyperlink"/>
            <w:rFonts w:ascii="Times New Roman" w:hAnsi="Times New Roman"/>
          </w:rPr>
          <w:t>zak</w:t>
        </w:r>
        <w:r w:rsidR="00124D64" w:rsidRPr="009A7C35">
          <w:rPr>
            <w:rStyle w:val="Hyperlink"/>
            <w:rFonts w:ascii="Times New Roman" w:hAnsi="Times New Roman"/>
          </w:rPr>
          <w:t>resie funduszy własnych (OWN)</w:t>
        </w:r>
        <w:r w:rsidR="00124D64">
          <w:rPr>
            <w:webHidden/>
          </w:rPr>
          <w:tab/>
        </w:r>
        <w:r w:rsidR="00124D64">
          <w:rPr>
            <w:webHidden/>
          </w:rPr>
          <w:fldChar w:fldCharType="begin"/>
        </w:r>
        <w:r w:rsidR="00124D64">
          <w:rPr>
            <w:webHidden/>
          </w:rPr>
          <w:instrText xml:space="preserve"> PAGEREF _Toc525062584 \h </w:instrText>
        </w:r>
        <w:r w:rsidR="00124D64">
          <w:rPr>
            <w:webHidden/>
          </w:rPr>
        </w:r>
        <w:r w:rsidR="00124D64">
          <w:rPr>
            <w:webHidden/>
          </w:rPr>
          <w:fldChar w:fldCharType="separate"/>
        </w:r>
        <w:r w:rsidR="00124D64">
          <w:rPr>
            <w:webHidden/>
          </w:rPr>
          <w:t>14</w:t>
        </w:r>
        <w:r w:rsidR="00124D64">
          <w:rPr>
            <w:webHidden/>
          </w:rPr>
          <w:fldChar w:fldCharType="end"/>
        </w:r>
      </w:hyperlink>
    </w:p>
    <w:p w:rsidR="00124D64" w:rsidRDefault="00754093">
      <w:pPr>
        <w:pStyle w:val="TOC2"/>
        <w:rPr>
          <w:lang w:val="en-GB" w:eastAsia="en-GB" w:bidi="ar-SA"/>
        </w:rPr>
      </w:pPr>
      <w:hyperlink w:anchor="_Toc525062585" w:history="1">
        <w:r w:rsidR="00124D64" w:rsidRPr="009A7C35">
          <w:rPr>
            <w:rStyle w:val="Hyperlink"/>
            <w:rFonts w:ascii="Times New Roman" w:hAnsi="Times New Roman" w:cs="Times New Roman"/>
          </w:rPr>
          <w:t>II.4</w:t>
        </w:r>
        <w:r w:rsidR="00124D64">
          <w:rPr>
            <w:lang w:val="en-GB" w:eastAsia="en-GB" w:bidi="ar-SA"/>
          </w:rPr>
          <w:tab/>
        </w:r>
        <w:r w:rsidR="00124D64" w:rsidRPr="009A7C35">
          <w:rPr>
            <w:rStyle w:val="Hyperlink"/>
            <w:rFonts w:ascii="Times New Roman" w:hAnsi="Times New Roman"/>
          </w:rPr>
          <w:t>Z 04.00 – Wewnątrzgrupowe powiązania finansowe (IFC)</w:t>
        </w:r>
        <w:r w:rsidR="00124D64">
          <w:rPr>
            <w:webHidden/>
          </w:rPr>
          <w:tab/>
        </w:r>
        <w:r w:rsidR="00124D64">
          <w:rPr>
            <w:webHidden/>
          </w:rPr>
          <w:fldChar w:fldCharType="begin"/>
        </w:r>
        <w:r w:rsidR="00124D64">
          <w:rPr>
            <w:webHidden/>
          </w:rPr>
          <w:instrText xml:space="preserve"> PAGEREF _Toc525062585 \h </w:instrText>
        </w:r>
        <w:r w:rsidR="00124D64">
          <w:rPr>
            <w:webHidden/>
          </w:rPr>
        </w:r>
        <w:r w:rsidR="00124D64">
          <w:rPr>
            <w:webHidden/>
          </w:rPr>
          <w:fldChar w:fldCharType="separate"/>
        </w:r>
        <w:r w:rsidR="00124D64">
          <w:rPr>
            <w:webHidden/>
          </w:rPr>
          <w:t>18</w:t>
        </w:r>
        <w:r w:rsidR="00124D64">
          <w:rPr>
            <w:webHidden/>
          </w:rPr>
          <w:fldChar w:fldCharType="end"/>
        </w:r>
      </w:hyperlink>
    </w:p>
    <w:p w:rsidR="00124D64" w:rsidRDefault="00754093">
      <w:pPr>
        <w:pStyle w:val="TOC2"/>
        <w:rPr>
          <w:lang w:val="en-GB" w:eastAsia="en-GB" w:bidi="ar-SA"/>
        </w:rPr>
      </w:pPr>
      <w:hyperlink w:anchor="_Toc525062586" w:history="1">
        <w:r w:rsidR="00124D64" w:rsidRPr="009A7C35">
          <w:rPr>
            <w:rStyle w:val="Hyperlink"/>
            <w:rFonts w:ascii="Times New Roman" w:hAnsi="Times New Roman" w:cs="Times New Roman"/>
          </w:rPr>
          <w:t>II.5</w:t>
        </w:r>
        <w:r w:rsidR="00124D64">
          <w:rPr>
            <w:lang w:val="en-GB" w:eastAsia="en-GB" w:bidi="ar-SA"/>
          </w:rPr>
          <w:tab/>
        </w:r>
        <w:r w:rsidR="00124D64" w:rsidRPr="009A7C35">
          <w:rPr>
            <w:rStyle w:val="Hyperlink"/>
            <w:rFonts w:ascii="Times New Roman" w:hAnsi="Times New Roman"/>
          </w:rPr>
          <w:t>Z 05.01 oraz Z 05.02 – Główni kontrahenci (MCP)</w:t>
        </w:r>
        <w:r w:rsidR="00124D64">
          <w:rPr>
            <w:webHidden/>
          </w:rPr>
          <w:tab/>
        </w:r>
        <w:r w:rsidR="00124D64">
          <w:rPr>
            <w:webHidden/>
          </w:rPr>
          <w:fldChar w:fldCharType="begin"/>
        </w:r>
        <w:r w:rsidR="00124D64">
          <w:rPr>
            <w:webHidden/>
          </w:rPr>
          <w:instrText xml:space="preserve"> PAGEREF _Toc525062586 \h </w:instrText>
        </w:r>
        <w:r w:rsidR="00124D64">
          <w:rPr>
            <w:webHidden/>
          </w:rPr>
        </w:r>
        <w:r w:rsidR="00124D64">
          <w:rPr>
            <w:webHidden/>
          </w:rPr>
          <w:fldChar w:fldCharType="separate"/>
        </w:r>
        <w:r w:rsidR="00124D64">
          <w:rPr>
            <w:webHidden/>
          </w:rPr>
          <w:t>20</w:t>
        </w:r>
        <w:r w:rsidR="00124D64">
          <w:rPr>
            <w:webHidden/>
          </w:rPr>
          <w:fldChar w:fldCharType="end"/>
        </w:r>
      </w:hyperlink>
    </w:p>
    <w:p w:rsidR="00124D64" w:rsidRDefault="00754093">
      <w:pPr>
        <w:pStyle w:val="TOC2"/>
        <w:rPr>
          <w:lang w:val="en-GB" w:eastAsia="en-GB" w:bidi="ar-SA"/>
        </w:rPr>
      </w:pPr>
      <w:hyperlink w:anchor="_Toc525062587" w:history="1">
        <w:r w:rsidR="00124D64" w:rsidRPr="009A7C35">
          <w:rPr>
            <w:rStyle w:val="Hyperlink"/>
            <w:rFonts w:ascii="Times New Roman" w:hAnsi="Times New Roman" w:cs="Times New Roman"/>
          </w:rPr>
          <w:t>II.6</w:t>
        </w:r>
        <w:r w:rsidR="00124D64">
          <w:rPr>
            <w:lang w:val="en-GB" w:eastAsia="en-GB" w:bidi="ar-SA"/>
          </w:rPr>
          <w:tab/>
        </w:r>
        <w:r w:rsidR="00124D64" w:rsidRPr="009A7C35">
          <w:rPr>
            <w:rStyle w:val="Hyperlink"/>
            <w:rFonts w:ascii="Times New Roman" w:hAnsi="Times New Roman"/>
          </w:rPr>
          <w:t>Z 06.00 – Gwarantowanie depozytów (DIS)</w:t>
        </w:r>
        <w:r w:rsidR="00124D64">
          <w:rPr>
            <w:webHidden/>
          </w:rPr>
          <w:tab/>
        </w:r>
        <w:r w:rsidR="00124D64">
          <w:rPr>
            <w:webHidden/>
          </w:rPr>
          <w:fldChar w:fldCharType="begin"/>
        </w:r>
        <w:r w:rsidR="00124D64">
          <w:rPr>
            <w:webHidden/>
          </w:rPr>
          <w:instrText xml:space="preserve"> PAGEREF _Toc525062587 \h </w:instrText>
        </w:r>
        <w:r w:rsidR="00124D64">
          <w:rPr>
            <w:webHidden/>
          </w:rPr>
        </w:r>
        <w:r w:rsidR="00124D64">
          <w:rPr>
            <w:webHidden/>
          </w:rPr>
          <w:fldChar w:fldCharType="separate"/>
        </w:r>
        <w:r w:rsidR="00124D64">
          <w:rPr>
            <w:webHidden/>
          </w:rPr>
          <w:t>23</w:t>
        </w:r>
        <w:r w:rsidR="00124D64">
          <w:rPr>
            <w:webHidden/>
          </w:rPr>
          <w:fldChar w:fldCharType="end"/>
        </w:r>
      </w:hyperlink>
    </w:p>
    <w:p w:rsidR="00124D64" w:rsidRDefault="00754093">
      <w:pPr>
        <w:pStyle w:val="TOC2"/>
        <w:rPr>
          <w:lang w:val="en-GB" w:eastAsia="en-GB" w:bidi="ar-SA"/>
        </w:rPr>
      </w:pPr>
      <w:hyperlink w:anchor="_Toc525062588" w:history="1">
        <w:r w:rsidR="00124D64" w:rsidRPr="009A7C35">
          <w:rPr>
            <w:rStyle w:val="Hyperlink"/>
            <w:rFonts w:ascii="Times New Roman" w:hAnsi="Times New Roman" w:cs="Times New Roman"/>
          </w:rPr>
          <w:t>II.7</w:t>
        </w:r>
        <w:r w:rsidR="00124D64">
          <w:rPr>
            <w:lang w:val="en-GB" w:eastAsia="en-GB" w:bidi="ar-SA"/>
          </w:rPr>
          <w:tab/>
        </w:r>
        <w:r w:rsidR="00124D64" w:rsidRPr="009A7C35">
          <w:rPr>
            <w:rStyle w:val="Hyperlink"/>
            <w:rFonts w:ascii="Times New Roman" w:hAnsi="Times New Roman"/>
          </w:rPr>
          <w:t>Funkcje krytyczne</w:t>
        </w:r>
        <w:r w:rsidR="004D7F8C" w:rsidRPr="009A7C35">
          <w:rPr>
            <w:rStyle w:val="Hyperlink"/>
            <w:rFonts w:ascii="Times New Roman" w:hAnsi="Times New Roman"/>
          </w:rPr>
          <w:t xml:space="preserve"> i</w:t>
        </w:r>
        <w:r w:rsidR="004D7F8C">
          <w:rPr>
            <w:rStyle w:val="Hyperlink"/>
            <w:rFonts w:ascii="Times New Roman" w:hAnsi="Times New Roman"/>
          </w:rPr>
          <w:t> </w:t>
        </w:r>
        <w:r w:rsidR="004D7F8C" w:rsidRPr="009A7C35">
          <w:rPr>
            <w:rStyle w:val="Hyperlink"/>
            <w:rFonts w:ascii="Times New Roman" w:hAnsi="Times New Roman"/>
          </w:rPr>
          <w:t>głó</w:t>
        </w:r>
        <w:r w:rsidR="00124D64" w:rsidRPr="009A7C35">
          <w:rPr>
            <w:rStyle w:val="Hyperlink"/>
            <w:rFonts w:ascii="Times New Roman" w:hAnsi="Times New Roman"/>
          </w:rPr>
          <w:t>wne linie biznesowe</w:t>
        </w:r>
        <w:r w:rsidR="00124D64">
          <w:rPr>
            <w:webHidden/>
          </w:rPr>
          <w:tab/>
        </w:r>
        <w:r w:rsidR="00124D64">
          <w:rPr>
            <w:webHidden/>
          </w:rPr>
          <w:fldChar w:fldCharType="begin"/>
        </w:r>
        <w:r w:rsidR="00124D64">
          <w:rPr>
            <w:webHidden/>
          </w:rPr>
          <w:instrText xml:space="preserve"> PAGEREF _Toc525062588 \h </w:instrText>
        </w:r>
        <w:r w:rsidR="00124D64">
          <w:rPr>
            <w:webHidden/>
          </w:rPr>
        </w:r>
        <w:r w:rsidR="00124D64">
          <w:rPr>
            <w:webHidden/>
          </w:rPr>
          <w:fldChar w:fldCharType="separate"/>
        </w:r>
        <w:r w:rsidR="00124D64">
          <w:rPr>
            <w:webHidden/>
          </w:rPr>
          <w:t>26</w:t>
        </w:r>
        <w:r w:rsidR="00124D64">
          <w:rPr>
            <w:webHidden/>
          </w:rPr>
          <w:fldChar w:fldCharType="end"/>
        </w:r>
      </w:hyperlink>
    </w:p>
    <w:p w:rsidR="00124D64" w:rsidRDefault="00754093">
      <w:pPr>
        <w:pStyle w:val="TOC2"/>
        <w:rPr>
          <w:lang w:val="en-GB" w:eastAsia="en-GB" w:bidi="ar-SA"/>
        </w:rPr>
      </w:pPr>
      <w:hyperlink w:anchor="_Toc525062589" w:history="1">
        <w:r w:rsidR="00124D64" w:rsidRPr="009A7C35">
          <w:rPr>
            <w:rStyle w:val="Hyperlink"/>
            <w:rFonts w:ascii="Times New Roman" w:hAnsi="Times New Roman" w:cs="Times New Roman"/>
          </w:rPr>
          <w:t>II.8</w:t>
        </w:r>
        <w:r w:rsidR="00124D64">
          <w:rPr>
            <w:lang w:val="en-GB" w:eastAsia="en-GB" w:bidi="ar-SA"/>
          </w:rPr>
          <w:tab/>
        </w:r>
        <w:r w:rsidR="00124D64" w:rsidRPr="009A7C35">
          <w:rPr>
            <w:rStyle w:val="Hyperlink"/>
            <w:rFonts w:ascii="Times New Roman" w:hAnsi="Times New Roman"/>
          </w:rPr>
          <w:t>Z 08.00 – Usługi</w:t>
        </w:r>
        <w:r w:rsidR="004D7F8C" w:rsidRPr="009A7C35">
          <w:rPr>
            <w:rStyle w:val="Hyperlink"/>
            <w:rFonts w:ascii="Times New Roman" w:hAnsi="Times New Roman"/>
          </w:rPr>
          <w:t xml:space="preserve"> o</w:t>
        </w:r>
        <w:r w:rsidR="004D7F8C">
          <w:rPr>
            <w:rStyle w:val="Hyperlink"/>
            <w:rFonts w:ascii="Times New Roman" w:hAnsi="Times New Roman"/>
          </w:rPr>
          <w:t> </w:t>
        </w:r>
        <w:r w:rsidR="004D7F8C" w:rsidRPr="009A7C35">
          <w:rPr>
            <w:rStyle w:val="Hyperlink"/>
            <w:rFonts w:ascii="Times New Roman" w:hAnsi="Times New Roman"/>
          </w:rPr>
          <w:t>kry</w:t>
        </w:r>
        <w:r w:rsidR="00124D64" w:rsidRPr="009A7C35">
          <w:rPr>
            <w:rStyle w:val="Hyperlink"/>
            <w:rFonts w:ascii="Times New Roman" w:hAnsi="Times New Roman"/>
          </w:rPr>
          <w:t>tycznym znaczeniu (SERV)</w:t>
        </w:r>
        <w:r w:rsidR="00124D64">
          <w:rPr>
            <w:webHidden/>
          </w:rPr>
          <w:tab/>
        </w:r>
        <w:r w:rsidR="00124D64">
          <w:rPr>
            <w:webHidden/>
          </w:rPr>
          <w:fldChar w:fldCharType="begin"/>
        </w:r>
        <w:r w:rsidR="00124D64">
          <w:rPr>
            <w:webHidden/>
          </w:rPr>
          <w:instrText xml:space="preserve"> PAGEREF _Toc525062589 \h </w:instrText>
        </w:r>
        <w:r w:rsidR="00124D64">
          <w:rPr>
            <w:webHidden/>
          </w:rPr>
        </w:r>
        <w:r w:rsidR="00124D64">
          <w:rPr>
            <w:webHidden/>
          </w:rPr>
          <w:fldChar w:fldCharType="separate"/>
        </w:r>
        <w:r w:rsidR="00124D64">
          <w:rPr>
            <w:webHidden/>
          </w:rPr>
          <w:t>35</w:t>
        </w:r>
        <w:r w:rsidR="00124D64">
          <w:rPr>
            <w:webHidden/>
          </w:rPr>
          <w:fldChar w:fldCharType="end"/>
        </w:r>
      </w:hyperlink>
    </w:p>
    <w:p w:rsidR="00124D64" w:rsidRDefault="00754093">
      <w:pPr>
        <w:pStyle w:val="TOC2"/>
        <w:rPr>
          <w:lang w:val="en-GB" w:eastAsia="en-GB" w:bidi="ar-SA"/>
        </w:rPr>
      </w:pPr>
      <w:hyperlink w:anchor="_Toc525062590" w:history="1">
        <w:r w:rsidR="00124D64" w:rsidRPr="009A7C35">
          <w:rPr>
            <w:rStyle w:val="Hyperlink"/>
            <w:rFonts w:ascii="Times New Roman" w:hAnsi="Times New Roman" w:cs="Times New Roman"/>
          </w:rPr>
          <w:t>II.9</w:t>
        </w:r>
        <w:r w:rsidR="00124D64">
          <w:rPr>
            <w:lang w:val="en-GB" w:eastAsia="en-GB" w:bidi="ar-SA"/>
          </w:rPr>
          <w:tab/>
        </w:r>
        <w:r w:rsidR="00124D64" w:rsidRPr="009A7C35">
          <w:rPr>
            <w:rStyle w:val="Hyperlink"/>
            <w:rFonts w:ascii="Times New Roman" w:hAnsi="Times New Roman"/>
          </w:rPr>
          <w:t>Z 09.00 – Usługi</w:t>
        </w:r>
        <w:r w:rsidR="004D7F8C" w:rsidRPr="009A7C35">
          <w:rPr>
            <w:rStyle w:val="Hyperlink"/>
            <w:rFonts w:ascii="Times New Roman" w:hAnsi="Times New Roman"/>
          </w:rPr>
          <w:t xml:space="preserve"> z</w:t>
        </w:r>
        <w:r w:rsidR="004D7F8C">
          <w:rPr>
            <w:rStyle w:val="Hyperlink"/>
            <w:rFonts w:ascii="Times New Roman" w:hAnsi="Times New Roman"/>
          </w:rPr>
          <w:t> </w:t>
        </w:r>
        <w:r w:rsidR="004D7F8C" w:rsidRPr="009A7C35">
          <w:rPr>
            <w:rStyle w:val="Hyperlink"/>
            <w:rFonts w:ascii="Times New Roman" w:hAnsi="Times New Roman"/>
          </w:rPr>
          <w:t>zak</w:t>
        </w:r>
        <w:r w:rsidR="00124D64" w:rsidRPr="009A7C35">
          <w:rPr>
            <w:rStyle w:val="Hyperlink"/>
            <w:rFonts w:ascii="Times New Roman" w:hAnsi="Times New Roman"/>
          </w:rPr>
          <w:t>resu infrastruktury rynku finansowego – podmioty świadczące</w:t>
        </w:r>
        <w:r w:rsidR="004D7F8C" w:rsidRPr="009A7C35">
          <w:rPr>
            <w:rStyle w:val="Hyperlink"/>
            <w:rFonts w:ascii="Times New Roman" w:hAnsi="Times New Roman"/>
          </w:rPr>
          <w:t xml:space="preserve"> i</w:t>
        </w:r>
        <w:r w:rsidR="004D7F8C">
          <w:rPr>
            <w:rStyle w:val="Hyperlink"/>
            <w:rFonts w:ascii="Times New Roman" w:hAnsi="Times New Roman"/>
          </w:rPr>
          <w:t> </w:t>
        </w:r>
        <w:r w:rsidR="004D7F8C" w:rsidRPr="009A7C35">
          <w:rPr>
            <w:rStyle w:val="Hyperlink"/>
            <w:rFonts w:ascii="Times New Roman" w:hAnsi="Times New Roman"/>
          </w:rPr>
          <w:t>uży</w:t>
        </w:r>
        <w:r w:rsidR="00124D64" w:rsidRPr="009A7C35">
          <w:rPr>
            <w:rStyle w:val="Hyperlink"/>
            <w:rFonts w:ascii="Times New Roman" w:hAnsi="Times New Roman"/>
          </w:rPr>
          <w:t>tkownicy – przyporządkowanie do funkcji krytycznych</w:t>
        </w:r>
        <w:r w:rsidR="00124D64">
          <w:rPr>
            <w:webHidden/>
          </w:rPr>
          <w:tab/>
        </w:r>
        <w:r w:rsidR="00124D64">
          <w:rPr>
            <w:webHidden/>
          </w:rPr>
          <w:fldChar w:fldCharType="begin"/>
        </w:r>
        <w:r w:rsidR="00124D64">
          <w:rPr>
            <w:webHidden/>
          </w:rPr>
          <w:instrText xml:space="preserve"> PAGEREF _Toc525062590 \h </w:instrText>
        </w:r>
        <w:r w:rsidR="00124D64">
          <w:rPr>
            <w:webHidden/>
          </w:rPr>
        </w:r>
        <w:r w:rsidR="00124D64">
          <w:rPr>
            <w:webHidden/>
          </w:rPr>
          <w:fldChar w:fldCharType="separate"/>
        </w:r>
        <w:r w:rsidR="00124D64">
          <w:rPr>
            <w:webHidden/>
          </w:rPr>
          <w:t>39</w:t>
        </w:r>
        <w:r w:rsidR="00124D64">
          <w:rPr>
            <w:webHidden/>
          </w:rPr>
          <w:fldChar w:fldCharType="end"/>
        </w:r>
      </w:hyperlink>
    </w:p>
    <w:p w:rsidR="00124D64" w:rsidRDefault="00754093">
      <w:pPr>
        <w:pStyle w:val="TOC2"/>
        <w:rPr>
          <w:lang w:val="en-GB" w:eastAsia="en-GB" w:bidi="ar-SA"/>
        </w:rPr>
      </w:pPr>
      <w:hyperlink w:anchor="_Toc525062591" w:history="1">
        <w:r w:rsidR="00124D64" w:rsidRPr="009A7C35">
          <w:rPr>
            <w:rStyle w:val="Hyperlink"/>
            <w:rFonts w:ascii="Times New Roman" w:hAnsi="Times New Roman" w:cs="Times New Roman"/>
          </w:rPr>
          <w:t>II.10</w:t>
        </w:r>
        <w:r w:rsidR="00124D64">
          <w:rPr>
            <w:lang w:val="en-GB" w:eastAsia="en-GB" w:bidi="ar-SA"/>
          </w:rPr>
          <w:tab/>
        </w:r>
        <w:r w:rsidR="00124D64" w:rsidRPr="009A7C35">
          <w:rPr>
            <w:rStyle w:val="Hyperlink"/>
            <w:rFonts w:ascii="Times New Roman" w:hAnsi="Times New Roman"/>
          </w:rPr>
          <w:t>Krytyczne systemy informacyjne</w:t>
        </w:r>
        <w:r w:rsidR="00124D64">
          <w:rPr>
            <w:webHidden/>
          </w:rPr>
          <w:tab/>
        </w:r>
        <w:r w:rsidR="00124D64">
          <w:rPr>
            <w:webHidden/>
          </w:rPr>
          <w:fldChar w:fldCharType="begin"/>
        </w:r>
        <w:r w:rsidR="00124D64">
          <w:rPr>
            <w:webHidden/>
          </w:rPr>
          <w:instrText xml:space="preserve"> PAGEREF _Toc525062591 \h </w:instrText>
        </w:r>
        <w:r w:rsidR="00124D64">
          <w:rPr>
            <w:webHidden/>
          </w:rPr>
        </w:r>
        <w:r w:rsidR="00124D64">
          <w:rPr>
            <w:webHidden/>
          </w:rPr>
          <w:fldChar w:fldCharType="separate"/>
        </w:r>
        <w:r w:rsidR="00124D64">
          <w:rPr>
            <w:webHidden/>
          </w:rPr>
          <w:t>42</w:t>
        </w:r>
        <w:r w:rsidR="00124D64">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062575"/>
      <w:r>
        <w:rPr>
          <w:rFonts w:ascii="Times New Roman" w:hAnsi="Times New Roman"/>
        </w:rPr>
        <w:lastRenderedPageBreak/>
        <w:t>Instrukcje ogólne</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062576"/>
      <w:r>
        <w:rPr>
          <w:rFonts w:ascii="Times New Roman" w:hAnsi="Times New Roman"/>
        </w:rPr>
        <w:t>Struktura</w:t>
      </w:r>
      <w:bookmarkEnd w:id="3"/>
      <w:bookmarkEnd w:id="4"/>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Struktura obejmuje 15 szablonów zorganizowanych</w:t>
      </w:r>
      <w:r w:rsidR="004D7F8C">
        <w:rPr>
          <w:rFonts w:ascii="Times New Roman" w:hAnsi="Times New Roman"/>
          <w:sz w:val="20"/>
        </w:rPr>
        <w:t xml:space="preserve"> w 3</w:t>
      </w:r>
      <w:r>
        <w:rPr>
          <w:rFonts w:ascii="Times New Roman" w:hAnsi="Times New Roman"/>
          <w:sz w:val="20"/>
        </w:rPr>
        <w:t xml:space="preserve"> blokach:</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„Informacje ogólne” – blok zawierający ogólny zarys struktury organizacyjnej grupy</w:t>
      </w:r>
      <w:r w:rsidR="004D7F8C">
        <w:rPr>
          <w:rFonts w:ascii="Times New Roman" w:hAnsi="Times New Roman"/>
          <w:color w:val="000000" w:themeColor="text1"/>
          <w:sz w:val="20"/>
        </w:rPr>
        <w:t xml:space="preserve"> i jej</w:t>
      </w:r>
      <w:r>
        <w:rPr>
          <w:rFonts w:ascii="Times New Roman" w:hAnsi="Times New Roman"/>
          <w:color w:val="000000" w:themeColor="text1"/>
          <w:sz w:val="20"/>
        </w:rPr>
        <w:t xml:space="preserve"> podmiotów, rozkład aktywów</w:t>
      </w:r>
      <w:r w:rsidR="004D7F8C">
        <w:rPr>
          <w:rFonts w:ascii="Times New Roman" w:hAnsi="Times New Roman"/>
          <w:color w:val="000000" w:themeColor="text1"/>
          <w:sz w:val="20"/>
        </w:rPr>
        <w:t xml:space="preserve"> i kwo</w:t>
      </w:r>
      <w:r>
        <w:rPr>
          <w:rFonts w:ascii="Times New Roman" w:hAnsi="Times New Roman"/>
          <w:color w:val="000000" w:themeColor="text1"/>
          <w:sz w:val="20"/>
        </w:rPr>
        <w:t>ty ekspozycji na ryzyko. Blok ten obejmuje szablon „Z 01.00 – Struktura organizacyjna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„Informacje na temat pozycji bilansowych</w:t>
      </w:r>
      <w:r w:rsidR="004D7F8C">
        <w:rPr>
          <w:rFonts w:ascii="Times New Roman" w:hAnsi="Times New Roman"/>
          <w:color w:val="000000" w:themeColor="text1"/>
          <w:sz w:val="20"/>
        </w:rPr>
        <w:t xml:space="preserve"> i poz</w:t>
      </w:r>
      <w:r>
        <w:rPr>
          <w:rFonts w:ascii="Times New Roman" w:hAnsi="Times New Roman"/>
          <w:color w:val="000000" w:themeColor="text1"/>
          <w:sz w:val="20"/>
        </w:rPr>
        <w:t>ycji pozabilansowych” – blok zawierający informacje finansowe na temat zobowiązań, funduszy własnych, powiązań finansowych między podmiotami powiązanymi, zobowiązań względem głównych kontrahentów</w:t>
      </w:r>
      <w:r w:rsidR="004D7F8C">
        <w:rPr>
          <w:rFonts w:ascii="Times New Roman" w:hAnsi="Times New Roman"/>
          <w:color w:val="000000" w:themeColor="text1"/>
          <w:sz w:val="20"/>
        </w:rPr>
        <w:t xml:space="preserve"> i poz</w:t>
      </w:r>
      <w:r>
        <w:rPr>
          <w:rFonts w:ascii="Times New Roman" w:hAnsi="Times New Roman"/>
          <w:color w:val="000000" w:themeColor="text1"/>
          <w:sz w:val="20"/>
        </w:rPr>
        <w:t>ycji pozabilansowych otrzymanych od głównych kontrahentów, oraz gwarantowania depozytów. Blok ten obejmuje 6 szablonów:</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Struktura zobowiązań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Wymogi</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funduszy własnych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Wewnątrzgrupowe powiązania finansowe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dwa szablony dotyczące głównych kontrahentów: „Z 05.01 – Główni kontrahenci</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zobowiązań (Z-MCP 1)” oraz „Z 05.02 – Główni kontrahenci</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pozycji pozabilansowych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Gwarantowanie depozytów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„Funkcje krytyczne” – blok zawierający ogólny zarys funkcji krytycznych</w:t>
      </w:r>
      <w:r w:rsidR="004D7F8C">
        <w:rPr>
          <w:rFonts w:ascii="Times New Roman" w:hAnsi="Times New Roman"/>
          <w:color w:val="000000" w:themeColor="text1"/>
          <w:sz w:val="20"/>
        </w:rPr>
        <w:t xml:space="preserve"> i prz</w:t>
      </w:r>
      <w:r>
        <w:rPr>
          <w:rFonts w:ascii="Times New Roman" w:hAnsi="Times New Roman"/>
          <w:color w:val="000000" w:themeColor="text1"/>
          <w:sz w:val="20"/>
        </w:rPr>
        <w:t>yporządkowujący je do podmiotów prawnych, głównych linii biznesowych, usług</w:t>
      </w:r>
      <w:r w:rsidR="004D7F8C">
        <w:rPr>
          <w:rFonts w:ascii="Times New Roman" w:hAnsi="Times New Roman"/>
          <w:color w:val="000000" w:themeColor="text1"/>
          <w:sz w:val="20"/>
        </w:rPr>
        <w:t xml:space="preserve"> o kry</w:t>
      </w:r>
      <w:r>
        <w:rPr>
          <w:rFonts w:ascii="Times New Roman" w:hAnsi="Times New Roman"/>
          <w:color w:val="000000" w:themeColor="text1"/>
          <w:sz w:val="20"/>
        </w:rPr>
        <w:t>tycznym znaczeniu, infrastruktur rynku finansowego</w:t>
      </w:r>
      <w:r w:rsidR="004D7F8C">
        <w:rPr>
          <w:rFonts w:ascii="Times New Roman" w:hAnsi="Times New Roman"/>
          <w:color w:val="000000" w:themeColor="text1"/>
          <w:sz w:val="20"/>
        </w:rPr>
        <w:t xml:space="preserve"> i sys</w:t>
      </w:r>
      <w:r>
        <w:rPr>
          <w:rFonts w:ascii="Times New Roman" w:hAnsi="Times New Roman"/>
          <w:color w:val="000000" w:themeColor="text1"/>
          <w:sz w:val="20"/>
        </w:rPr>
        <w:t>temów informacyjnych. Blok ten obejmuje 7 szablonów:</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cztery szablony dotyczące identyfikacji funkcji krytycznych</w:t>
      </w:r>
      <w:r w:rsidR="004D7F8C">
        <w:rPr>
          <w:rFonts w:ascii="Times New Roman" w:hAnsi="Times New Roman"/>
          <w:color w:val="000000" w:themeColor="text1"/>
          <w:sz w:val="20"/>
        </w:rPr>
        <w:t xml:space="preserve"> i ich</w:t>
      </w:r>
      <w:r>
        <w:rPr>
          <w:rFonts w:ascii="Times New Roman" w:hAnsi="Times New Roman"/>
          <w:color w:val="000000" w:themeColor="text1"/>
          <w:sz w:val="20"/>
        </w:rPr>
        <w:t xml:space="preserve"> przyporządkowania do głównych linii biznesowych</w:t>
      </w:r>
      <w:r w:rsidR="004D7F8C">
        <w:rPr>
          <w:rFonts w:ascii="Times New Roman" w:hAnsi="Times New Roman"/>
          <w:color w:val="000000" w:themeColor="text1"/>
          <w:sz w:val="20"/>
        </w:rPr>
        <w:t xml:space="preserve"> i pod</w:t>
      </w:r>
      <w:r>
        <w:rPr>
          <w:rFonts w:ascii="Times New Roman" w:hAnsi="Times New Roman"/>
          <w:color w:val="000000" w:themeColor="text1"/>
          <w:sz w:val="20"/>
        </w:rPr>
        <w:t>miotów powiązanych: „Z 07.01 – Ocena krytyczności funkcji gospodarczych (Z-FUNC 1)”, „Z 07.02 – Schemat przyporządkowania funkcji krytycznych do podmiotów prawnych (Z-FUNC 2)”, „Z 07.03 – Schemat przyporządkowania głównych linii biznesowych do podmiotów prawnych (Z-FUNC 3)” oraz „Z 07.04 – Schemat przyporządkowania funkcji krytycznych do głównych linii biznesowych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Usługi</w:t>
      </w:r>
      <w:r w:rsidR="004D7F8C">
        <w:rPr>
          <w:rFonts w:ascii="Times New Roman" w:hAnsi="Times New Roman"/>
          <w:color w:val="000000" w:themeColor="text1"/>
          <w:sz w:val="20"/>
        </w:rPr>
        <w:t xml:space="preserve"> o kry</w:t>
      </w:r>
      <w:r>
        <w:rPr>
          <w:rFonts w:ascii="Times New Roman" w:hAnsi="Times New Roman"/>
          <w:color w:val="000000" w:themeColor="text1"/>
          <w:sz w:val="20"/>
        </w:rPr>
        <w:t>tycznym znaczeniu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Usługi</w:t>
      </w:r>
      <w:r w:rsidR="004D7F8C">
        <w:rPr>
          <w:rFonts w:ascii="Times New Roman" w:hAnsi="Times New Roman"/>
          <w:color w:val="000000" w:themeColor="text1"/>
          <w:sz w:val="20"/>
        </w:rPr>
        <w:t xml:space="preserve"> z zak</w:t>
      </w:r>
      <w:r>
        <w:rPr>
          <w:rFonts w:ascii="Times New Roman" w:hAnsi="Times New Roman"/>
          <w:color w:val="000000" w:themeColor="text1"/>
          <w:sz w:val="20"/>
        </w:rPr>
        <w:t>resu infrastruktury rynku finansowego – podmioty świadczące</w:t>
      </w:r>
      <w:r w:rsidR="004D7F8C">
        <w:rPr>
          <w:rFonts w:ascii="Times New Roman" w:hAnsi="Times New Roman"/>
          <w:color w:val="000000" w:themeColor="text1"/>
          <w:sz w:val="20"/>
        </w:rPr>
        <w:t xml:space="preserve"> i uży</w:t>
      </w:r>
      <w:r>
        <w:rPr>
          <w:rFonts w:ascii="Times New Roman" w:hAnsi="Times New Roman"/>
          <w:color w:val="000000" w:themeColor="text1"/>
          <w:sz w:val="20"/>
        </w:rPr>
        <w:t>tkownicy – przyporządkowanie do funkcji krytycznych (FMI)”;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dwa szablony dotyczące systemów informacyjnych: „Z 10.01 – Krytyczne systemy informacyjne (informacje ogólne) (Z-CIS 1)” oraz „Z 10.02 – Schematy przyporządkowania do systemów informacyjnych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062577"/>
      <w:r>
        <w:rPr>
          <w:rFonts w:ascii="Times New Roman" w:hAnsi="Times New Roman"/>
        </w:rPr>
        <w:t>Odniesienia</w:t>
      </w:r>
      <w:bookmarkEnd w:id="5"/>
      <w:bookmarkEnd w:id="6"/>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Na potrzeby niniejszego załącznika stosuje się następujące skróty:</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„BCBS” oznacza Bazylejski Komitet Nadzoru Bankowego Banku Rozrachunków Międzynarodowych;</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„CPMI” oznacza Komitet ds. Systemów Płatności</w:t>
      </w:r>
      <w:r w:rsidR="004D7F8C">
        <w:rPr>
          <w:rFonts w:ascii="Times New Roman" w:hAnsi="Times New Roman"/>
          <w:color w:val="000000" w:themeColor="text1"/>
          <w:sz w:val="20"/>
        </w:rPr>
        <w:t xml:space="preserve"> i Roz</w:t>
      </w:r>
      <w:r>
        <w:rPr>
          <w:rFonts w:ascii="Times New Roman" w:hAnsi="Times New Roman"/>
          <w:color w:val="000000" w:themeColor="text1"/>
          <w:sz w:val="20"/>
        </w:rPr>
        <w:t>rachunku Banku Rozrachunków Międzynarodowych;</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„FINREP” oznacza wzory na potrzeby sprawozdawczości</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informacji finansowych ujęte</w:t>
      </w:r>
      <w:r w:rsidR="004D7F8C">
        <w:rPr>
          <w:rFonts w:ascii="Times New Roman" w:hAnsi="Times New Roman"/>
          <w:color w:val="000000" w:themeColor="text1"/>
          <w:sz w:val="20"/>
        </w:rPr>
        <w:t xml:space="preserve"> w zał</w:t>
      </w:r>
      <w:r>
        <w:rPr>
          <w:rFonts w:ascii="Times New Roman" w:hAnsi="Times New Roman"/>
          <w:color w:val="000000" w:themeColor="text1"/>
          <w:sz w:val="20"/>
        </w:rPr>
        <w:t>ącznikach III i IV</w:t>
      </w:r>
      <w:r w:rsidR="004D7F8C">
        <w:rPr>
          <w:rFonts w:ascii="Times New Roman" w:hAnsi="Times New Roman"/>
          <w:color w:val="000000" w:themeColor="text1"/>
          <w:sz w:val="20"/>
        </w:rPr>
        <w:t xml:space="preserve"> i ins</w:t>
      </w:r>
      <w:r>
        <w:rPr>
          <w:rFonts w:ascii="Times New Roman" w:hAnsi="Times New Roman"/>
          <w:color w:val="000000" w:themeColor="text1"/>
          <w:sz w:val="20"/>
        </w:rPr>
        <w:t>trukcje uzupełniające ujęte</w:t>
      </w:r>
      <w:r w:rsidR="004D7F8C">
        <w:rPr>
          <w:rFonts w:ascii="Times New Roman" w:hAnsi="Times New Roman"/>
          <w:color w:val="000000" w:themeColor="text1"/>
          <w:sz w:val="20"/>
        </w:rPr>
        <w:t xml:space="preserve"> w zał</w:t>
      </w:r>
      <w:r>
        <w:rPr>
          <w:rFonts w:ascii="Times New Roman" w:hAnsi="Times New Roman"/>
          <w:color w:val="000000" w:themeColor="text1"/>
          <w:sz w:val="20"/>
        </w:rPr>
        <w:t xml:space="preserve">ączniku V do rozporządzenia wykonawczego Komisji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6</w:t>
      </w:r>
      <w:r>
        <w:rPr>
          <w:rFonts w:ascii="Times New Roman" w:hAnsi="Times New Roman"/>
          <w:color w:val="000000" w:themeColor="text1"/>
          <w:sz w:val="20"/>
        </w:rPr>
        <w:t>80/2014</w:t>
      </w:r>
      <w:r>
        <w:rPr>
          <w:rStyle w:val="FootnoteReference"/>
          <w:rFonts w:ascii="Times New Roman" w:hAnsi="Times New Roman"/>
          <w:sz w:val="20"/>
        </w:rPr>
        <w:footnoteReference w:id="1"/>
      </w:r>
      <w:r>
        <w:rPr>
          <w:rFonts w:ascii="Times New Roman" w:hAnsi="Times New Roman"/>
          <w:color w:val="000000" w:themeColor="text1"/>
          <w:sz w:val="20"/>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„COREP (FW)” oznacza załączniki I (szablony) i II (instrukcje) do rozporządzenia wykonawczego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6</w:t>
      </w:r>
      <w:r>
        <w:rPr>
          <w:rFonts w:ascii="Times New Roman" w:hAnsi="Times New Roman"/>
          <w:color w:val="000000" w:themeColor="text1"/>
          <w:sz w:val="20"/>
        </w:rPr>
        <w:t>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„COREP (WD)” oznacza załączniki X (szablony) i XI (instrukcje) do rozporządzenia wykonawczego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6</w:t>
      </w:r>
      <w:r>
        <w:rPr>
          <w:rFonts w:ascii="Times New Roman" w:hAnsi="Times New Roman"/>
          <w:color w:val="000000" w:themeColor="text1"/>
          <w:sz w:val="20"/>
        </w:rPr>
        <w:t>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„FSB” oznacza Radę Stabilności Finansowej;</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„MSR” oznacza międzynarodowe standardy rachunkowości zgodnie</w:t>
      </w:r>
      <w:r w:rsidR="004D7F8C">
        <w:rPr>
          <w:rFonts w:ascii="Times New Roman" w:hAnsi="Times New Roman"/>
          <w:color w:val="000000" w:themeColor="text1"/>
          <w:sz w:val="20"/>
        </w:rPr>
        <w:t xml:space="preserve"> z def</w:t>
      </w:r>
      <w:r>
        <w:rPr>
          <w:rFonts w:ascii="Times New Roman" w:hAnsi="Times New Roman"/>
          <w:color w:val="000000" w:themeColor="text1"/>
          <w:sz w:val="20"/>
        </w:rPr>
        <w:t>inicją zawartą</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 rozporządzenia (WE)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606/2002 Parlamentu Europejskiego</w:t>
      </w:r>
      <w:r w:rsidR="004D7F8C">
        <w:rPr>
          <w:rFonts w:ascii="Times New Roman" w:hAnsi="Times New Roman"/>
          <w:color w:val="000000" w:themeColor="text1"/>
          <w:sz w:val="20"/>
        </w:rPr>
        <w:t xml:space="preserve"> i Rad</w:t>
      </w:r>
      <w:r>
        <w:rPr>
          <w:rFonts w:ascii="Times New Roman" w:hAnsi="Times New Roman"/>
          <w:color w:val="000000" w:themeColor="text1"/>
          <w:sz w:val="20"/>
        </w:rPr>
        <w:t>y</w:t>
      </w:r>
      <w:r>
        <w:rPr>
          <w:vertAlign w:val="superscript"/>
        </w:rPr>
        <w:footnoteReference w:id="2"/>
      </w:r>
      <w:r>
        <w:rPr>
          <w:rFonts w:ascii="Times New Roman" w:hAnsi="Times New Roman"/>
          <w:color w:val="000000" w:themeColor="text1"/>
          <w:sz w:val="20"/>
        </w:rPr>
        <w:t>;</w:t>
      </w:r>
    </w:p>
    <w:p w:rsidR="0036168C" w:rsidRPr="004D7F8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„MSSF” oznacza Międzynarodowe Standardy Sprawozdawczości Finansowej zgodnie</w:t>
      </w:r>
      <w:r w:rsidR="004D7F8C">
        <w:rPr>
          <w:rFonts w:ascii="Times New Roman" w:hAnsi="Times New Roman"/>
          <w:color w:val="000000" w:themeColor="text1"/>
          <w:sz w:val="20"/>
        </w:rPr>
        <w:t xml:space="preserve"> z def</w:t>
      </w:r>
      <w:r>
        <w:rPr>
          <w:rFonts w:ascii="Times New Roman" w:hAnsi="Times New Roman"/>
          <w:color w:val="000000" w:themeColor="text1"/>
          <w:sz w:val="20"/>
        </w:rPr>
        <w:t>inicją zawartą</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 rozporządzenia (WE)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4D7F8C" w:rsidP="00715DAB">
      <w:pPr>
        <w:pStyle w:val="ListParagraph"/>
        <w:numPr>
          <w:ilvl w:val="0"/>
          <w:numId w:val="18"/>
        </w:numPr>
        <w:ind w:left="1074"/>
        <w:jc w:val="both"/>
        <w:rPr>
          <w:rFonts w:ascii="Times New Roman" w:hAnsi="Times New Roman"/>
          <w:color w:val="000000" w:themeColor="text1"/>
          <w:sz w:val="20"/>
          <w:szCs w:val="20"/>
        </w:rPr>
      </w:pPr>
      <w:r w:rsidRPr="004D7F8C">
        <w:rPr>
          <w:rFonts w:ascii="Times New Roman" w:hAnsi="Times New Roman"/>
          <w:color w:val="000000" w:themeColor="text1"/>
          <w:sz w:val="20"/>
        </w:rPr>
        <w:t xml:space="preserve"> </w:t>
      </w:r>
      <w:r w:rsidR="00CC130F" w:rsidRPr="004D7F8C">
        <w:rPr>
          <w:rFonts w:ascii="Times New Roman" w:hAnsi="Times New Roman"/>
          <w:color w:val="000000" w:themeColor="text1"/>
          <w:sz w:val="20"/>
        </w:rPr>
        <w:t>„</w:t>
      </w:r>
      <w:r w:rsidR="00CC130F">
        <w:rPr>
          <w:rFonts w:ascii="Times New Roman" w:hAnsi="Times New Roman"/>
          <w:color w:val="000000" w:themeColor="text1"/>
          <w:sz w:val="20"/>
        </w:rPr>
        <w:t>kod LEI” oznacza identyfikator podmiotu prawnego, który ma na celu zapewnienie niepowtarzalnej</w:t>
      </w:r>
      <w:r>
        <w:rPr>
          <w:rFonts w:ascii="Times New Roman" w:hAnsi="Times New Roman"/>
          <w:color w:val="000000" w:themeColor="text1"/>
          <w:sz w:val="20"/>
        </w:rPr>
        <w:t xml:space="preserve"> i glo</w:t>
      </w:r>
      <w:r w:rsidR="00CC130F">
        <w:rPr>
          <w:rFonts w:ascii="Times New Roman" w:hAnsi="Times New Roman"/>
          <w:color w:val="000000" w:themeColor="text1"/>
          <w:sz w:val="20"/>
        </w:rPr>
        <w:t>balnej identyfikacji stron transakcji finansowych, zaproponowany przez Radę Stabilności Finansowej</w:t>
      </w:r>
      <w:r>
        <w:rPr>
          <w:rFonts w:ascii="Times New Roman" w:hAnsi="Times New Roman"/>
          <w:color w:val="000000" w:themeColor="text1"/>
          <w:sz w:val="20"/>
        </w:rPr>
        <w:t xml:space="preserve"> i zat</w:t>
      </w:r>
      <w:r w:rsidR="00CC130F">
        <w:rPr>
          <w:rFonts w:ascii="Times New Roman" w:hAnsi="Times New Roman"/>
          <w:color w:val="000000" w:themeColor="text1"/>
          <w:sz w:val="20"/>
        </w:rPr>
        <w:t xml:space="preserve">wierdzony przez G-20. Do czasu osiągnięcia pełnej operacyjności globalnego systemu LEI kontrahentom nadawane są kody </w:t>
      </w:r>
      <w:proofErr w:type="spellStart"/>
      <w:r w:rsidR="00CC130F">
        <w:rPr>
          <w:rFonts w:ascii="Times New Roman" w:hAnsi="Times New Roman"/>
          <w:color w:val="000000" w:themeColor="text1"/>
          <w:sz w:val="20"/>
        </w:rPr>
        <w:t>pre</w:t>
      </w:r>
      <w:proofErr w:type="spellEnd"/>
      <w:r w:rsidR="00CC130F">
        <w:rPr>
          <w:rFonts w:ascii="Times New Roman" w:hAnsi="Times New Roman"/>
          <w:color w:val="000000" w:themeColor="text1"/>
          <w:sz w:val="20"/>
        </w:rPr>
        <w:t xml:space="preserve">-LEI przez lokalną jednostkę operacyjną autoryzowaną przez komitet nadzoru regulacyjnego (ROC – Regulatory </w:t>
      </w:r>
      <w:proofErr w:type="spellStart"/>
      <w:r w:rsidR="00CC130F">
        <w:rPr>
          <w:rFonts w:ascii="Times New Roman" w:hAnsi="Times New Roman"/>
          <w:color w:val="000000" w:themeColor="text1"/>
          <w:sz w:val="20"/>
        </w:rPr>
        <w:t>Oversight</w:t>
      </w:r>
      <w:proofErr w:type="spellEnd"/>
      <w:r w:rsidR="00CC130F">
        <w:rPr>
          <w:rFonts w:ascii="Times New Roman" w:hAnsi="Times New Roman"/>
          <w:color w:val="000000" w:themeColor="text1"/>
          <w:sz w:val="20"/>
        </w:rPr>
        <w:t xml:space="preserve"> </w:t>
      </w:r>
      <w:proofErr w:type="spellStart"/>
      <w:r w:rsidR="00CC130F">
        <w:rPr>
          <w:rFonts w:ascii="Times New Roman" w:hAnsi="Times New Roman"/>
          <w:color w:val="000000" w:themeColor="text1"/>
          <w:sz w:val="20"/>
        </w:rPr>
        <w:t>Committee</w:t>
      </w:r>
      <w:proofErr w:type="spellEnd"/>
      <w:r w:rsidR="00CC130F">
        <w:rPr>
          <w:rFonts w:ascii="Times New Roman" w:hAnsi="Times New Roman"/>
          <w:color w:val="000000" w:themeColor="text1"/>
          <w:sz w:val="20"/>
        </w:rPr>
        <w:t>; więcej informacji można znaleźć na stronie internetowej:</w:t>
      </w:r>
      <w:r>
        <w:rPr>
          <w:rFonts w:ascii="Times New Roman" w:hAnsi="Times New Roman"/>
          <w:color w:val="000000" w:themeColor="text1"/>
          <w:sz w:val="20"/>
        </w:rPr>
        <w:t xml:space="preserve"> </w:t>
      </w:r>
      <w:hyperlink r:id="rId9">
        <w:r w:rsidR="00CC130F">
          <w:rPr>
            <w:rStyle w:val="Hyperlink"/>
            <w:rFonts w:ascii="Times New Roman" w:hAnsi="Times New Roman"/>
            <w:color w:val="000000" w:themeColor="text1"/>
            <w:sz w:val="20"/>
          </w:rPr>
          <w:t>www.leiroc.org</w:t>
        </w:r>
      </w:hyperlink>
      <w:r w:rsidR="00CC130F">
        <w:rPr>
          <w:rFonts w:ascii="Times New Roman" w:hAnsi="Times New Roman"/>
          <w:color w:val="000000" w:themeColor="text1"/>
          <w:sz w:val="20"/>
        </w:rPr>
        <w:t>)</w:t>
      </w:r>
      <w:r w:rsidR="00CC130F" w:rsidRPr="004D7F8C">
        <w:rPr>
          <w:rFonts w:ascii="Times New Roman" w:hAnsi="Times New Roman"/>
          <w:color w:val="000000" w:themeColor="text1"/>
          <w:sz w:val="20"/>
        </w:rPr>
        <w:t>.</w:t>
      </w:r>
      <w:r w:rsidRPr="004D7F8C">
        <w:rPr>
          <w:rFonts w:ascii="Times New Roman" w:hAnsi="Times New Roman"/>
          <w:color w:val="000000" w:themeColor="text1"/>
          <w:sz w:val="20"/>
        </w:rPr>
        <w:t xml:space="preserve"> </w:t>
      </w:r>
      <w:r w:rsidR="00CC130F" w:rsidRPr="004D7F8C">
        <w:rPr>
          <w:rFonts w:ascii="Times New Roman" w:hAnsi="Times New Roman"/>
          <w:color w:val="000000" w:themeColor="text1"/>
          <w:sz w:val="20"/>
        </w:rPr>
        <w:t>J</w:t>
      </w:r>
      <w:r w:rsidR="00CC130F">
        <w:rPr>
          <w:rFonts w:ascii="Times New Roman" w:hAnsi="Times New Roman"/>
          <w:color w:val="000000" w:themeColor="text1"/>
          <w:sz w:val="20"/>
        </w:rPr>
        <w:t>eśli danemu kontrahentowi jest przypisany identyfikator podmiotu prawnego (kod LEI), kod ten jest stosowany</w:t>
      </w:r>
      <w:r>
        <w:rPr>
          <w:rFonts w:ascii="Times New Roman" w:hAnsi="Times New Roman"/>
          <w:color w:val="000000" w:themeColor="text1"/>
          <w:sz w:val="20"/>
        </w:rPr>
        <w:t xml:space="preserve"> w cel</w:t>
      </w:r>
      <w:r w:rsidR="00CC130F">
        <w:rPr>
          <w:rFonts w:ascii="Times New Roman" w:hAnsi="Times New Roman"/>
          <w:color w:val="000000" w:themeColor="text1"/>
          <w:sz w:val="20"/>
        </w:rPr>
        <w:t>u zidentyfikowania tego kontrahenta;</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„NGAAP” lub „krajowe ogólnie przyjęte zasady rachunkowości” oznaczają krajowe standardy rachunkowości opracowane zgodnie</w:t>
      </w:r>
      <w:r w:rsidR="004D7F8C">
        <w:rPr>
          <w:rFonts w:ascii="Times New Roman" w:hAnsi="Times New Roman"/>
          <w:color w:val="000000" w:themeColor="text1"/>
          <w:sz w:val="20"/>
        </w:rPr>
        <w:t xml:space="preserve"> z dyr</w:t>
      </w:r>
      <w:r>
        <w:rPr>
          <w:rFonts w:ascii="Times New Roman" w:hAnsi="Times New Roman"/>
          <w:color w:val="000000" w:themeColor="text1"/>
          <w:sz w:val="20"/>
        </w:rPr>
        <w:t>ektywą 86/635/EWG</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062578"/>
      <w:r>
        <w:rPr>
          <w:rFonts w:ascii="Times New Roman" w:hAnsi="Times New Roman"/>
        </w:rPr>
        <w:t>Standardy rachunkowości</w:t>
      </w:r>
      <w:bookmarkEnd w:id="7"/>
      <w:bookmarkEnd w:id="8"/>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ile nie określono inaczej</w:t>
      </w:r>
      <w:r w:rsidR="004D7F8C">
        <w:rPr>
          <w:rFonts w:ascii="Times New Roman" w:hAnsi="Times New Roman"/>
          <w:sz w:val="20"/>
        </w:rPr>
        <w:t xml:space="preserve"> w nin</w:t>
      </w:r>
      <w:r>
        <w:rPr>
          <w:rFonts w:ascii="Times New Roman" w:hAnsi="Times New Roman"/>
          <w:sz w:val="20"/>
        </w:rPr>
        <w:t>iejszych instrukcjach, instytucje zgłaszają wszystkie kwoty</w:t>
      </w:r>
      <w:r w:rsidR="004D7F8C">
        <w:rPr>
          <w:rFonts w:ascii="Times New Roman" w:hAnsi="Times New Roman"/>
          <w:sz w:val="20"/>
        </w:rPr>
        <w:t xml:space="preserve"> w opa</w:t>
      </w:r>
      <w:r>
        <w:rPr>
          <w:rFonts w:ascii="Times New Roman" w:hAnsi="Times New Roman"/>
          <w:sz w:val="20"/>
        </w:rPr>
        <w:t>rciu</w:t>
      </w:r>
      <w:r w:rsidR="004D7F8C">
        <w:rPr>
          <w:rFonts w:ascii="Times New Roman" w:hAnsi="Times New Roman"/>
          <w:sz w:val="20"/>
        </w:rPr>
        <w:t xml:space="preserve"> o sta</w:t>
      </w:r>
      <w:r>
        <w:rPr>
          <w:rFonts w:ascii="Times New Roman" w:hAnsi="Times New Roman"/>
          <w:sz w:val="20"/>
        </w:rPr>
        <w:t>ndardy rachunkowości, które stosują do celów sprawozdawczości</w:t>
      </w:r>
      <w:r w:rsidR="004D7F8C">
        <w:rPr>
          <w:rFonts w:ascii="Times New Roman" w:hAnsi="Times New Roman"/>
          <w:sz w:val="20"/>
        </w:rPr>
        <w:t xml:space="preserve"> w zak</w:t>
      </w:r>
      <w:r>
        <w:rPr>
          <w:rFonts w:ascii="Times New Roman" w:hAnsi="Times New Roman"/>
          <w:sz w:val="20"/>
        </w:rPr>
        <w:t>resie informacji finansowych zgodnie</w:t>
      </w:r>
      <w:r w:rsidR="004D7F8C">
        <w:rPr>
          <w:rFonts w:ascii="Times New Roman" w:hAnsi="Times New Roman"/>
          <w:sz w:val="20"/>
        </w:rPr>
        <w:t xml:space="preserve"> z </w:t>
      </w:r>
      <w:r w:rsidR="004D7F8C" w:rsidRPr="004D7F8C">
        <w:rPr>
          <w:rFonts w:ascii="Times New Roman" w:hAnsi="Times New Roman"/>
          <w:sz w:val="20"/>
        </w:rPr>
        <w:t>art</w:t>
      </w:r>
      <w:r w:rsidRPr="004D7F8C">
        <w:rPr>
          <w:rFonts w:ascii="Times New Roman" w:hAnsi="Times New Roman"/>
          <w:sz w:val="20"/>
        </w:rPr>
        <w:t>.</w:t>
      </w:r>
      <w:r w:rsidR="004D7F8C" w:rsidRPr="004D7F8C">
        <w:rPr>
          <w:rFonts w:ascii="Times New Roman" w:hAnsi="Times New Roman"/>
          <w:sz w:val="20"/>
        </w:rPr>
        <w:t> </w:t>
      </w:r>
      <w:r w:rsidRPr="004D7F8C">
        <w:rPr>
          <w:rFonts w:ascii="Times New Roman" w:hAnsi="Times New Roman"/>
          <w:sz w:val="20"/>
        </w:rPr>
        <w:t>9</w:t>
      </w:r>
      <w:r>
        <w:rPr>
          <w:rFonts w:ascii="Times New Roman" w:hAnsi="Times New Roman"/>
          <w:sz w:val="20"/>
        </w:rPr>
        <w:t xml:space="preserve">–11 rozporządzenia wykonawczego (UE) </w:t>
      </w:r>
      <w:r w:rsidRPr="004D7F8C">
        <w:rPr>
          <w:rFonts w:ascii="Times New Roman" w:hAnsi="Times New Roman"/>
          <w:sz w:val="20"/>
        </w:rPr>
        <w:t>nr</w:t>
      </w:r>
      <w:r w:rsidR="004D7F8C" w:rsidRPr="004D7F8C">
        <w:rPr>
          <w:rFonts w:ascii="Times New Roman" w:hAnsi="Times New Roman"/>
          <w:sz w:val="20"/>
        </w:rPr>
        <w:t> </w:t>
      </w:r>
      <w:r w:rsidRPr="004D7F8C">
        <w:rPr>
          <w:rFonts w:ascii="Times New Roman" w:hAnsi="Times New Roman"/>
          <w:sz w:val="20"/>
        </w:rPr>
        <w:t>6</w:t>
      </w:r>
      <w:r>
        <w:rPr>
          <w:rFonts w:ascii="Times New Roman" w:hAnsi="Times New Roman"/>
          <w:sz w:val="20"/>
        </w:rPr>
        <w:t>80/2014. Instytucje nieobjęte obowiązkiem sprawozdawczości</w:t>
      </w:r>
      <w:r w:rsidR="004D7F8C">
        <w:rPr>
          <w:rFonts w:ascii="Times New Roman" w:hAnsi="Times New Roman"/>
          <w:sz w:val="20"/>
        </w:rPr>
        <w:t xml:space="preserve"> w zak</w:t>
      </w:r>
      <w:r>
        <w:rPr>
          <w:rFonts w:ascii="Times New Roman" w:hAnsi="Times New Roman"/>
          <w:sz w:val="20"/>
        </w:rPr>
        <w:t>resie informacji finansowych zgodnie</w:t>
      </w:r>
      <w:r w:rsidR="004D7F8C">
        <w:rPr>
          <w:rFonts w:ascii="Times New Roman" w:hAnsi="Times New Roman"/>
          <w:sz w:val="20"/>
        </w:rPr>
        <w:t xml:space="preserve"> z roz</w:t>
      </w:r>
      <w:r>
        <w:rPr>
          <w:rFonts w:ascii="Times New Roman" w:hAnsi="Times New Roman"/>
          <w:sz w:val="20"/>
        </w:rPr>
        <w:t xml:space="preserve">porządzeniem wykonawczym (UE) </w:t>
      </w:r>
      <w:r w:rsidRPr="004D7F8C">
        <w:rPr>
          <w:rFonts w:ascii="Times New Roman" w:hAnsi="Times New Roman"/>
          <w:sz w:val="20"/>
        </w:rPr>
        <w:t>nr</w:t>
      </w:r>
      <w:r w:rsidR="004D7F8C" w:rsidRPr="004D7F8C">
        <w:rPr>
          <w:rFonts w:ascii="Times New Roman" w:hAnsi="Times New Roman"/>
          <w:sz w:val="20"/>
        </w:rPr>
        <w:t> </w:t>
      </w:r>
      <w:r w:rsidRPr="004D7F8C">
        <w:rPr>
          <w:rFonts w:ascii="Times New Roman" w:hAnsi="Times New Roman"/>
          <w:sz w:val="20"/>
        </w:rPr>
        <w:t>6</w:t>
      </w:r>
      <w:r>
        <w:rPr>
          <w:rFonts w:ascii="Times New Roman" w:hAnsi="Times New Roman"/>
          <w:sz w:val="20"/>
        </w:rPr>
        <w:t xml:space="preserve">80/2014 stosują zasady swoich odpowiednich standardów rachunkowości.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odniesieniu do instytucji, które składają sprawozdania na podstawie MSSF, dołączono odniesienia do odpowiednich MSSF.</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062579"/>
      <w:r>
        <w:rPr>
          <w:rFonts w:ascii="Times New Roman" w:hAnsi="Times New Roman"/>
        </w:rPr>
        <w:t>Zakres konsolidacji</w:t>
      </w:r>
      <w:bookmarkEnd w:id="9"/>
      <w:bookmarkEnd w:id="10"/>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Niniejsza struktura odnosi się,</w:t>
      </w:r>
      <w:r w:rsidR="004D7F8C">
        <w:rPr>
          <w:rFonts w:ascii="Times New Roman" w:hAnsi="Times New Roman"/>
          <w:sz w:val="20"/>
        </w:rPr>
        <w:t xml:space="preserve"> w zal</w:t>
      </w:r>
      <w:r>
        <w:rPr>
          <w:rFonts w:ascii="Times New Roman" w:hAnsi="Times New Roman"/>
          <w:sz w:val="20"/>
        </w:rPr>
        <w:t>eżności od szablonu, do:</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konsolidacji na podstawie konsolidacji rachunkowości (podmioty ujęte</w:t>
      </w:r>
      <w:r w:rsidR="004D7F8C">
        <w:rPr>
          <w:rFonts w:ascii="Times New Roman" w:hAnsi="Times New Roman"/>
          <w:sz w:val="20"/>
        </w:rPr>
        <w:t xml:space="preserve"> w sko</w:t>
      </w:r>
      <w:r>
        <w:rPr>
          <w:rFonts w:ascii="Times New Roman" w:hAnsi="Times New Roman"/>
          <w:sz w:val="20"/>
        </w:rPr>
        <w:t>nsolidowanych sprawozdaniach finansowych zgodnie</w:t>
      </w:r>
      <w:r w:rsidR="004D7F8C">
        <w:rPr>
          <w:rFonts w:ascii="Times New Roman" w:hAnsi="Times New Roman"/>
          <w:sz w:val="20"/>
        </w:rPr>
        <w:t xml:space="preserve"> z maj</w:t>
      </w:r>
      <w:r>
        <w:rPr>
          <w:rFonts w:ascii="Times New Roman" w:hAnsi="Times New Roman"/>
          <w:sz w:val="20"/>
        </w:rPr>
        <w:t>ącymi zastosowanie standardami rachunkowości);</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konsolidacji ostrożnościowej (podmioty wchodzące</w:t>
      </w:r>
      <w:r w:rsidR="004D7F8C">
        <w:rPr>
          <w:rFonts w:ascii="Times New Roman" w:hAnsi="Times New Roman"/>
          <w:sz w:val="20"/>
        </w:rPr>
        <w:t xml:space="preserve"> w zak</w:t>
      </w:r>
      <w:r>
        <w:rPr>
          <w:rFonts w:ascii="Times New Roman" w:hAnsi="Times New Roman"/>
          <w:sz w:val="20"/>
        </w:rPr>
        <w:t>res konsolidacji zgodnie</w:t>
      </w:r>
      <w:r w:rsidR="004D7F8C">
        <w:rPr>
          <w:rFonts w:ascii="Times New Roman" w:hAnsi="Times New Roman"/>
          <w:sz w:val="20"/>
        </w:rPr>
        <w:t xml:space="preserve"> z roz</w:t>
      </w:r>
      <w:r>
        <w:rPr>
          <w:rFonts w:ascii="Times New Roman" w:hAnsi="Times New Roman"/>
          <w:sz w:val="20"/>
        </w:rPr>
        <w:t>działem 2 tytuł II część pierwsza rozporządzenia Parlamentu Europejskiego</w:t>
      </w:r>
      <w:r w:rsidR="004D7F8C">
        <w:rPr>
          <w:rFonts w:ascii="Times New Roman" w:hAnsi="Times New Roman"/>
          <w:sz w:val="20"/>
        </w:rPr>
        <w:t xml:space="preserve"> i Rad</w:t>
      </w:r>
      <w:r>
        <w:rPr>
          <w:rFonts w:ascii="Times New Roman" w:hAnsi="Times New Roman"/>
          <w:sz w:val="20"/>
        </w:rPr>
        <w:t xml:space="preserve">y (UE) </w:t>
      </w:r>
      <w:r w:rsidRPr="004D7F8C">
        <w:rPr>
          <w:rFonts w:ascii="Times New Roman" w:hAnsi="Times New Roman"/>
          <w:sz w:val="20"/>
        </w:rPr>
        <w:t>nr</w:t>
      </w:r>
      <w:r w:rsidR="004D7F8C" w:rsidRPr="004D7F8C">
        <w:rPr>
          <w:rFonts w:ascii="Times New Roman" w:hAnsi="Times New Roman"/>
          <w:sz w:val="20"/>
        </w:rPr>
        <w:t> </w:t>
      </w:r>
      <w:r w:rsidRPr="004D7F8C">
        <w:rPr>
          <w:rFonts w:ascii="Times New Roman" w:hAnsi="Times New Roman"/>
          <w:sz w:val="20"/>
        </w:rPr>
        <w:t>5</w:t>
      </w:r>
      <w:r>
        <w:rPr>
          <w:rFonts w:ascii="Times New Roman" w:hAnsi="Times New Roman"/>
          <w:sz w:val="20"/>
        </w:rPr>
        <w:t>75/2013</w:t>
      </w:r>
      <w:r>
        <w:rPr>
          <w:rStyle w:val="FootnoteReference"/>
        </w:rPr>
        <w:footnoteReference w:id="5"/>
      </w:r>
      <w:r>
        <w:rPr>
          <w:rFonts w:ascii="Times New Roman" w:hAnsi="Times New Roman"/>
          <w:sz w:val="20"/>
        </w:rPr>
        <w:t xml:space="preserve">) na poziomie unijnej jednostki dominującej;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lastRenderedPageBreak/>
        <w:t>konsolidacji na poziomie podmiotu objętego planem restrukturyzacji</w:t>
      </w:r>
      <w:r w:rsidR="004D7F8C">
        <w:rPr>
          <w:rFonts w:ascii="Times New Roman" w:hAnsi="Times New Roman"/>
          <w:sz w:val="20"/>
        </w:rPr>
        <w:t xml:space="preserve"> i upo</w:t>
      </w:r>
      <w:r>
        <w:rPr>
          <w:rFonts w:ascii="Times New Roman" w:hAnsi="Times New Roman"/>
          <w:sz w:val="20"/>
        </w:rPr>
        <w:t>rządkowanej likwidacji</w:t>
      </w:r>
      <w:r w:rsidR="004D7F8C">
        <w:rPr>
          <w:rFonts w:ascii="Times New Roman" w:hAnsi="Times New Roman"/>
          <w:sz w:val="20"/>
        </w:rPr>
        <w:t xml:space="preserve"> w odn</w:t>
      </w:r>
      <w:r>
        <w:rPr>
          <w:rFonts w:ascii="Times New Roman" w:hAnsi="Times New Roman"/>
          <w:sz w:val="20"/>
        </w:rPr>
        <w:t>iesieniu do grupy objętej planem restrukturyzacji</w:t>
      </w:r>
      <w:r w:rsidR="004D7F8C">
        <w:rPr>
          <w:rFonts w:ascii="Times New Roman" w:hAnsi="Times New Roman"/>
          <w:sz w:val="20"/>
        </w:rPr>
        <w:t xml:space="preserve"> i upo</w:t>
      </w:r>
      <w:r>
        <w:rPr>
          <w:rFonts w:ascii="Times New Roman" w:hAnsi="Times New Roman"/>
          <w:sz w:val="20"/>
        </w:rPr>
        <w:t>rządkowanej likwidacji.</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przypadku każdego</w:t>
      </w:r>
      <w:r w:rsidR="004D7F8C">
        <w:rPr>
          <w:rFonts w:ascii="Times New Roman" w:hAnsi="Times New Roman"/>
          <w:sz w:val="20"/>
        </w:rPr>
        <w:t xml:space="preserve"> z sza</w:t>
      </w:r>
      <w:r>
        <w:rPr>
          <w:rFonts w:ascii="Times New Roman" w:hAnsi="Times New Roman"/>
          <w:sz w:val="20"/>
        </w:rPr>
        <w:t>blonów instytucje postępują zgodnie</w:t>
      </w:r>
      <w:r w:rsidR="004D7F8C">
        <w:rPr>
          <w:rFonts w:ascii="Times New Roman" w:hAnsi="Times New Roman"/>
          <w:sz w:val="20"/>
        </w:rPr>
        <w:t xml:space="preserve"> z pod</w:t>
      </w:r>
      <w:r>
        <w:rPr>
          <w:rFonts w:ascii="Times New Roman" w:hAnsi="Times New Roman"/>
          <w:sz w:val="20"/>
        </w:rPr>
        <w:t>stawą lub podstawami konsolidacji mającymi zastosowanie zgodnie</w:t>
      </w:r>
      <w:r w:rsidR="004D7F8C">
        <w:rPr>
          <w:rFonts w:ascii="Times New Roman" w:hAnsi="Times New Roman"/>
          <w:sz w:val="20"/>
        </w:rPr>
        <w:t xml:space="preserve"> z </w:t>
      </w:r>
      <w:r w:rsidR="004D7F8C" w:rsidRPr="004D7F8C">
        <w:rPr>
          <w:rFonts w:ascii="Times New Roman" w:hAnsi="Times New Roman"/>
          <w:sz w:val="20"/>
        </w:rPr>
        <w:t>art</w:t>
      </w:r>
      <w:r w:rsidRPr="004D7F8C">
        <w:rPr>
          <w:rFonts w:ascii="Times New Roman" w:hAnsi="Times New Roman"/>
          <w:sz w:val="20"/>
        </w:rPr>
        <w:t>.</w:t>
      </w:r>
      <w:r w:rsidR="004D7F8C" w:rsidRPr="004D7F8C">
        <w:rPr>
          <w:rFonts w:ascii="Times New Roman" w:hAnsi="Times New Roman"/>
          <w:sz w:val="20"/>
        </w:rPr>
        <w:t> </w:t>
      </w:r>
      <w:r w:rsidRPr="004D7F8C">
        <w:rPr>
          <w:rFonts w:ascii="Times New Roman" w:hAnsi="Times New Roman"/>
          <w:sz w:val="20"/>
        </w:rPr>
        <w:t>4</w:t>
      </w:r>
      <w:r>
        <w:rPr>
          <w:rFonts w:ascii="Times New Roman" w:hAnsi="Times New Roman"/>
          <w:sz w:val="20"/>
        </w:rPr>
        <w:t xml:space="preserve"> niniejszego rozporządzenia.</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062580"/>
      <w:r>
        <w:rPr>
          <w:rFonts w:ascii="Times New Roman" w:hAnsi="Times New Roman"/>
        </w:rPr>
        <w:t>Numeracja</w:t>
      </w:r>
      <w:r w:rsidR="004D7F8C">
        <w:rPr>
          <w:rFonts w:ascii="Times New Roman" w:hAnsi="Times New Roman"/>
        </w:rPr>
        <w:t xml:space="preserve"> i inn</w:t>
      </w:r>
      <w:r>
        <w:rPr>
          <w:rFonts w:ascii="Times New Roman" w:hAnsi="Times New Roman"/>
        </w:rPr>
        <w:t>e konwencje</w:t>
      </w:r>
      <w:bookmarkEnd w:id="11"/>
      <w:bookmarkEnd w:id="12"/>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W przypadku </w:t>
      </w:r>
      <w:proofErr w:type="spellStart"/>
      <w:r>
        <w:rPr>
          <w:rFonts w:ascii="Times New Roman" w:hAnsi="Times New Roman"/>
          <w:sz w:val="20"/>
        </w:rPr>
        <w:t>odwołań</w:t>
      </w:r>
      <w:proofErr w:type="spellEnd"/>
      <w:r>
        <w:rPr>
          <w:rFonts w:ascii="Times New Roman" w:hAnsi="Times New Roman"/>
          <w:sz w:val="20"/>
        </w:rPr>
        <w:t xml:space="preserve"> do kolumn, wierszy</w:t>
      </w:r>
      <w:r w:rsidR="004D7F8C">
        <w:rPr>
          <w:rFonts w:ascii="Times New Roman" w:hAnsi="Times New Roman"/>
          <w:sz w:val="20"/>
        </w:rPr>
        <w:t xml:space="preserve"> i kom</w:t>
      </w:r>
      <w:r>
        <w:rPr>
          <w:rFonts w:ascii="Times New Roman" w:hAnsi="Times New Roman"/>
          <w:sz w:val="20"/>
        </w:rPr>
        <w:t>órek szablonów</w:t>
      </w:r>
      <w:r w:rsidR="004D7F8C">
        <w:rPr>
          <w:rFonts w:ascii="Times New Roman" w:hAnsi="Times New Roman"/>
          <w:sz w:val="20"/>
        </w:rPr>
        <w:t xml:space="preserve"> w nin</w:t>
      </w:r>
      <w:r>
        <w:rPr>
          <w:rFonts w:ascii="Times New Roman" w:hAnsi="Times New Roman"/>
          <w:sz w:val="20"/>
        </w:rPr>
        <w:t>iejszych instrukcjach przestrzega się konwencji oznaczania przedstawionej poniżej. Przedmiotowe kody numeryczne znajdują szerokie zastosowanie</w:t>
      </w:r>
      <w:r w:rsidR="004D7F8C">
        <w:rPr>
          <w:rFonts w:ascii="Times New Roman" w:hAnsi="Times New Roman"/>
          <w:sz w:val="20"/>
        </w:rPr>
        <w:t xml:space="preserve"> w zas</w:t>
      </w:r>
      <w:r>
        <w:rPr>
          <w:rFonts w:ascii="Times New Roman" w:hAnsi="Times New Roman"/>
          <w:sz w:val="20"/>
        </w:rPr>
        <w:t>adach walidacji.</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niniejszych instrukcjach stosuje się następujący ogólny zapis</w:t>
      </w:r>
      <w:r w:rsidR="004D7F8C">
        <w:rPr>
          <w:rFonts w:ascii="Times New Roman" w:hAnsi="Times New Roman"/>
          <w:sz w:val="20"/>
        </w:rPr>
        <w:t xml:space="preserve"> w cel</w:t>
      </w:r>
      <w:r>
        <w:rPr>
          <w:rFonts w:ascii="Times New Roman" w:hAnsi="Times New Roman"/>
          <w:sz w:val="20"/>
        </w:rPr>
        <w:t>u oznaczenia kolumn, wierszy</w:t>
      </w:r>
      <w:r w:rsidR="004D7F8C">
        <w:rPr>
          <w:rFonts w:ascii="Times New Roman" w:hAnsi="Times New Roman"/>
          <w:sz w:val="20"/>
        </w:rPr>
        <w:t xml:space="preserve"> i pól</w:t>
      </w:r>
      <w:r>
        <w:rPr>
          <w:rFonts w:ascii="Times New Roman" w:hAnsi="Times New Roman"/>
          <w:sz w:val="20"/>
        </w:rPr>
        <w:t xml:space="preserve"> szablonu: {</w:t>
      </w:r>
      <w:proofErr w:type="spellStart"/>
      <w:r>
        <w:rPr>
          <w:rFonts w:ascii="Times New Roman" w:hAnsi="Times New Roman"/>
          <w:sz w:val="20"/>
        </w:rPr>
        <w:t>szablon;wiersz;kolumna</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przypadku walidacji wewnątrz szablonu,</w:t>
      </w:r>
      <w:r w:rsidR="004D7F8C">
        <w:rPr>
          <w:rFonts w:ascii="Times New Roman" w:hAnsi="Times New Roman"/>
          <w:sz w:val="20"/>
        </w:rPr>
        <w:t xml:space="preserve"> w któ</w:t>
      </w:r>
      <w:r>
        <w:rPr>
          <w:rFonts w:ascii="Times New Roman" w:hAnsi="Times New Roman"/>
          <w:sz w:val="20"/>
        </w:rPr>
        <w:t>rych stosuje się tylko punkty danych</w:t>
      </w:r>
      <w:r w:rsidR="004D7F8C">
        <w:rPr>
          <w:rFonts w:ascii="Times New Roman" w:hAnsi="Times New Roman"/>
          <w:sz w:val="20"/>
        </w:rPr>
        <w:t xml:space="preserve"> z teg</w:t>
      </w:r>
      <w:r>
        <w:rPr>
          <w:rFonts w:ascii="Times New Roman" w:hAnsi="Times New Roman"/>
          <w:sz w:val="20"/>
        </w:rPr>
        <w:t>o szablonu, adnotacje nie odnoszą się do szablonu: {</w:t>
      </w:r>
      <w:proofErr w:type="spellStart"/>
      <w:r>
        <w:rPr>
          <w:rFonts w:ascii="Times New Roman" w:hAnsi="Times New Roman"/>
          <w:sz w:val="20"/>
        </w:rPr>
        <w:t>wiersz;kolumna</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przypadku szablonów zawierających tylko jedną kolumnę adnotacja odnosi się tylko do wierszy: {</w:t>
      </w:r>
      <w:proofErr w:type="spellStart"/>
      <w:r>
        <w:rPr>
          <w:rFonts w:ascii="Times New Roman" w:hAnsi="Times New Roman"/>
          <w:sz w:val="20"/>
        </w:rPr>
        <w:t>szablon;wiersz</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Znaku gwiazdki używa się do wskazania, że walidacja jest wykonywana dla wcześniej określonych wierszy lub kolumn.</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Jeżeli pozycja informacji nie ma zastosowania do podmiotów,</w:t>
      </w:r>
      <w:r w:rsidR="004D7F8C">
        <w:rPr>
          <w:rFonts w:ascii="Times New Roman" w:hAnsi="Times New Roman"/>
          <w:sz w:val="20"/>
        </w:rPr>
        <w:t xml:space="preserve"> w odn</w:t>
      </w:r>
      <w:r>
        <w:rPr>
          <w:rFonts w:ascii="Times New Roman" w:hAnsi="Times New Roman"/>
          <w:sz w:val="20"/>
        </w:rPr>
        <w:t>iesieniu do których składane jest sprawozdanie, odpowiadające jej pole należy pozostawić puste.</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Jeżeli niniejsze instrukcje odnoszą się do klucza głównego, oznacza to kolumnę lub kombinację kolumn wyznaczone</w:t>
      </w:r>
      <w:r w:rsidR="004D7F8C">
        <w:rPr>
          <w:rFonts w:ascii="Times New Roman" w:hAnsi="Times New Roman"/>
          <w:sz w:val="20"/>
        </w:rPr>
        <w:t xml:space="preserve"> w cel</w:t>
      </w:r>
      <w:r>
        <w:rPr>
          <w:rFonts w:ascii="Times New Roman" w:hAnsi="Times New Roman"/>
          <w:sz w:val="20"/>
        </w:rPr>
        <w:t>u niepowtarzalnej identyfikacji wszystkich rzędów</w:t>
      </w:r>
      <w:r w:rsidR="004D7F8C">
        <w:rPr>
          <w:rFonts w:ascii="Times New Roman" w:hAnsi="Times New Roman"/>
          <w:sz w:val="20"/>
        </w:rPr>
        <w:t xml:space="preserve"> w sza</w:t>
      </w:r>
      <w:r>
        <w:rPr>
          <w:rFonts w:ascii="Times New Roman" w:hAnsi="Times New Roman"/>
          <w:sz w:val="20"/>
        </w:rPr>
        <w:t>blonie. Klucz główny zawiera niepowtarzalną wartość dotyczącą każdego rzędu</w:t>
      </w:r>
      <w:r w:rsidR="004D7F8C">
        <w:rPr>
          <w:rFonts w:ascii="Times New Roman" w:hAnsi="Times New Roman"/>
          <w:sz w:val="20"/>
        </w:rPr>
        <w:t xml:space="preserve"> w sza</w:t>
      </w:r>
      <w:r>
        <w:rPr>
          <w:rFonts w:ascii="Times New Roman" w:hAnsi="Times New Roman"/>
          <w:sz w:val="20"/>
        </w:rPr>
        <w:t>blonie. Nie może on zawierać wartości zerowych.</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062581"/>
      <w:r>
        <w:rPr>
          <w:rFonts w:ascii="Times New Roman" w:hAnsi="Times New Roman"/>
        </w:rPr>
        <w:t>Instrukcje dotyczące poszczególnych szablonów</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062582"/>
      <w:bookmarkEnd w:id="16"/>
      <w:r>
        <w:rPr>
          <w:rFonts w:ascii="Times New Roman" w:hAnsi="Times New Roman"/>
        </w:rPr>
        <w:t>Z 01.00 – Struktura organizacyjna (ORG)</w:t>
      </w:r>
      <w:bookmarkEnd w:id="17"/>
      <w:bookmarkEnd w:id="18"/>
    </w:p>
    <w:p w:rsidR="00E13CE3" w:rsidRPr="00D92B3C" w:rsidRDefault="00E13CE3" w:rsidP="00EC261B">
      <w:pPr>
        <w:pStyle w:val="Instructionsberschrift3"/>
      </w:pPr>
      <w:r>
        <w:t>Uwagi ogólne</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Niniejszy szablon zawiera ogólny zarys struktury prawnej</w:t>
      </w:r>
      <w:r w:rsidR="004D7F8C">
        <w:rPr>
          <w:rFonts w:ascii="Times New Roman" w:hAnsi="Times New Roman"/>
          <w:sz w:val="20"/>
        </w:rPr>
        <w:t xml:space="preserve"> i str</w:t>
      </w:r>
      <w:r>
        <w:rPr>
          <w:rFonts w:ascii="Times New Roman" w:hAnsi="Times New Roman"/>
          <w:sz w:val="20"/>
        </w:rPr>
        <w:t>uktury własności grupy. Należy przedłożyć jeden szablon</w:t>
      </w:r>
      <w:r w:rsidR="004D7F8C">
        <w:rPr>
          <w:rFonts w:ascii="Times New Roman" w:hAnsi="Times New Roman"/>
          <w:sz w:val="20"/>
        </w:rPr>
        <w:t xml:space="preserve"> w odn</w:t>
      </w:r>
      <w:r>
        <w:rPr>
          <w:rFonts w:ascii="Times New Roman" w:hAnsi="Times New Roman"/>
          <w:sz w:val="20"/>
        </w:rPr>
        <w:t>iesieniu do wszystkich podmiotów powiązanych, które osiągają minimalne wartości progowe określone</w:t>
      </w:r>
      <w:r w:rsidR="004D7F8C">
        <w:rPr>
          <w:rFonts w:ascii="Times New Roman" w:hAnsi="Times New Roman"/>
          <w:sz w:val="20"/>
        </w:rPr>
        <w:t xml:space="preserve"> w </w:t>
      </w:r>
      <w:r w:rsidR="004D7F8C" w:rsidRPr="004D7F8C">
        <w:rPr>
          <w:rFonts w:ascii="Times New Roman" w:hAnsi="Times New Roman"/>
          <w:sz w:val="20"/>
        </w:rPr>
        <w:t>art</w:t>
      </w:r>
      <w:r w:rsidRPr="004D7F8C">
        <w:rPr>
          <w:rFonts w:ascii="Times New Roman" w:hAnsi="Times New Roman"/>
          <w:sz w:val="20"/>
        </w:rPr>
        <w:t>.</w:t>
      </w:r>
      <w:r w:rsidR="004D7F8C" w:rsidRPr="004D7F8C">
        <w:rPr>
          <w:rFonts w:ascii="Times New Roman" w:hAnsi="Times New Roman"/>
          <w:sz w:val="20"/>
        </w:rPr>
        <w:t> </w:t>
      </w:r>
      <w:r w:rsidRPr="004D7F8C">
        <w:rPr>
          <w:rFonts w:ascii="Times New Roman" w:hAnsi="Times New Roman"/>
          <w:sz w:val="20"/>
        </w:rPr>
        <w:t>4</w:t>
      </w:r>
      <w:r>
        <w:rPr>
          <w:rFonts w:ascii="Times New Roman" w:hAnsi="Times New Roman"/>
          <w:sz w:val="20"/>
        </w:rPr>
        <w:t xml:space="preserve"> </w:t>
      </w:r>
      <w:r w:rsidRPr="004D7F8C">
        <w:rPr>
          <w:rFonts w:ascii="Times New Roman" w:hAnsi="Times New Roman"/>
          <w:sz w:val="20"/>
        </w:rPr>
        <w:t>ust.</w:t>
      </w:r>
      <w:r w:rsidR="004D7F8C" w:rsidRPr="004D7F8C">
        <w:rPr>
          <w:rFonts w:ascii="Times New Roman" w:hAnsi="Times New Roman"/>
          <w:sz w:val="20"/>
        </w:rPr>
        <w:t> </w:t>
      </w:r>
      <w:r w:rsidRPr="004D7F8C">
        <w:rPr>
          <w:rFonts w:ascii="Times New Roman" w:hAnsi="Times New Roman"/>
          <w:sz w:val="20"/>
        </w:rPr>
        <w:t>2</w:t>
      </w:r>
      <w:r>
        <w:rPr>
          <w:rFonts w:ascii="Times New Roman" w:hAnsi="Times New Roman"/>
          <w:sz w:val="20"/>
        </w:rPr>
        <w:t xml:space="preserve"> </w:t>
      </w:r>
      <w:r w:rsidRPr="004D7F8C">
        <w:rPr>
          <w:rFonts w:ascii="Times New Roman" w:hAnsi="Times New Roman"/>
          <w:sz w:val="20"/>
        </w:rPr>
        <w:t>lit.</w:t>
      </w:r>
      <w:r w:rsidR="004D7F8C" w:rsidRPr="004D7F8C">
        <w:rPr>
          <w:rFonts w:ascii="Times New Roman" w:hAnsi="Times New Roman"/>
          <w:sz w:val="20"/>
        </w:rPr>
        <w:t> </w:t>
      </w:r>
      <w:r w:rsidRPr="004D7F8C">
        <w:rPr>
          <w:rFonts w:ascii="Times New Roman" w:hAnsi="Times New Roman"/>
          <w:sz w:val="20"/>
        </w:rPr>
        <w:t>a)</w:t>
      </w:r>
      <w:r>
        <w:rPr>
          <w:rFonts w:ascii="Times New Roman" w:hAnsi="Times New Roman"/>
          <w:sz w:val="20"/>
        </w:rPr>
        <w:t xml:space="preserve"> niniejszego rozporządzenia</w:t>
      </w:r>
      <w:r w:rsidR="004D7F8C">
        <w:rPr>
          <w:rFonts w:ascii="Times New Roman" w:hAnsi="Times New Roman"/>
          <w:sz w:val="20"/>
        </w:rPr>
        <w:t>. W sza</w:t>
      </w:r>
      <w:r>
        <w:rPr>
          <w:rFonts w:ascii="Times New Roman" w:hAnsi="Times New Roman"/>
          <w:sz w:val="20"/>
        </w:rPr>
        <w:t xml:space="preserve">blonie tym identyfikuje się wyłącznie podmioty prawne. </w:t>
      </w:r>
    </w:p>
    <w:p w:rsidR="00E13CE3" w:rsidRPr="00D92B3C" w:rsidRDefault="00AF189E" w:rsidP="00EC261B">
      <w:pPr>
        <w:pStyle w:val="Instructionsberschrift3"/>
      </w:pPr>
      <w:r>
        <w:t>Instrukcje dotyczące poszczególnych pozycji</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42"/>
        <w:gridCol w:w="8241"/>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Kolumny</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Instrukcje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Podmiot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Nazwa</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Nazwa podmiotu. Oficjalna nazwa, która widnieje</w:t>
            </w:r>
            <w:r w:rsidR="004D7F8C">
              <w:rPr>
                <w:rFonts w:ascii="Times New Roman" w:hAnsi="Times New Roman"/>
                <w:color w:val="000000" w:themeColor="text1"/>
                <w:sz w:val="20"/>
              </w:rPr>
              <w:t xml:space="preserve"> w dok</w:t>
            </w:r>
            <w:r>
              <w:rPr>
                <w:rFonts w:ascii="Times New Roman" w:hAnsi="Times New Roman"/>
                <w:color w:val="000000" w:themeColor="text1"/>
                <w:sz w:val="20"/>
              </w:rPr>
              <w:t>umentach przedsiębiorstwa,</w:t>
            </w:r>
            <w:r w:rsidR="004D7F8C">
              <w:rPr>
                <w:rFonts w:ascii="Times New Roman" w:hAnsi="Times New Roman"/>
                <w:color w:val="000000" w:themeColor="text1"/>
                <w:sz w:val="20"/>
              </w:rPr>
              <w:t xml:space="preserve"> w tym</w:t>
            </w:r>
            <w:r>
              <w:rPr>
                <w:rFonts w:ascii="Times New Roman" w:hAnsi="Times New Roman"/>
                <w:color w:val="000000" w:themeColor="text1"/>
                <w:sz w:val="20"/>
              </w:rPr>
              <w:t xml:space="preserve"> wskazanie formy prawnej.</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Kod</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 podmiotu</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instytucji kod jest 20-cyfrowym alfanumerycznym kodem LEI</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innych podmiotów kod jest 20-cyfrowym alfanumerycznym kodem LEI lub – jeżeli kod taki jest niedostępny – kodem zgodnym</w:t>
            </w:r>
            <w:r w:rsidR="004D7F8C">
              <w:rPr>
                <w:rFonts w:ascii="Times New Roman" w:hAnsi="Times New Roman"/>
                <w:color w:val="000000" w:themeColor="text1"/>
                <w:spacing w:val="-2"/>
                <w:w w:val="95"/>
                <w:sz w:val="20"/>
              </w:rPr>
              <w:t xml:space="preserve"> z jed</w:t>
            </w:r>
            <w:r>
              <w:rPr>
                <w:rFonts w:ascii="Times New Roman" w:hAnsi="Times New Roman"/>
                <w:color w:val="000000" w:themeColor="text1"/>
                <w:spacing w:val="-2"/>
                <w:w w:val="95"/>
                <w:sz w:val="20"/>
              </w:rPr>
              <w:t>nolitą kodyfikacją mającą zastosowanie</w:t>
            </w:r>
            <w:r w:rsidR="004D7F8C">
              <w:rPr>
                <w:rFonts w:ascii="Times New Roman" w:hAnsi="Times New Roman"/>
                <w:color w:val="000000" w:themeColor="text1"/>
                <w:spacing w:val="-2"/>
                <w:w w:val="95"/>
                <w:sz w:val="20"/>
              </w:rPr>
              <w:t xml:space="preserve"> w Uni</w:t>
            </w:r>
            <w:r>
              <w:rPr>
                <w:rFonts w:ascii="Times New Roman" w:hAnsi="Times New Roman"/>
                <w:color w:val="000000" w:themeColor="text1"/>
                <w:spacing w:val="-2"/>
                <w:w w:val="95"/>
                <w:sz w:val="20"/>
              </w:rPr>
              <w:t>i lub – jeżeli kod taki nie jest dostępny – kodem krajowym.</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 jest niepowtarzalny</w:t>
            </w:r>
            <w:r w:rsidR="004D7F8C">
              <w:rPr>
                <w:rFonts w:ascii="Times New Roman" w:hAnsi="Times New Roman"/>
                <w:color w:val="000000" w:themeColor="text1"/>
                <w:spacing w:val="-2"/>
                <w:w w:val="95"/>
                <w:sz w:val="20"/>
              </w:rPr>
              <w:t xml:space="preserve"> i sto</w:t>
            </w:r>
            <w:r>
              <w:rPr>
                <w:rFonts w:ascii="Times New Roman" w:hAnsi="Times New Roman"/>
                <w:color w:val="000000" w:themeColor="text1"/>
                <w:spacing w:val="-2"/>
                <w:w w:val="95"/>
                <w:sz w:val="20"/>
              </w:rPr>
              <w:t>suje się go jednolicie we wszystkich szablonach. Kod zawsze posiada wartość.</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Kod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20-cyfrowy alfanumeryczny kod LEI podmiotu, jeżeli jest dostępny.</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Rodzaj podmiotu</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Zgodnie</w:t>
            </w:r>
            <w:r w:rsidR="004D7F8C">
              <w:rPr>
                <w:rFonts w:ascii="Times New Roman" w:hAnsi="Times New Roman"/>
                <w:color w:val="000000" w:themeColor="text1"/>
                <w:spacing w:val="-1"/>
                <w:w w:val="90"/>
                <w:sz w:val="20"/>
              </w:rPr>
              <w:t xml:space="preserve"> z kol</w:t>
            </w:r>
            <w:r>
              <w:rPr>
                <w:rFonts w:ascii="Times New Roman" w:hAnsi="Times New Roman"/>
                <w:color w:val="000000" w:themeColor="text1"/>
                <w:spacing w:val="-1"/>
                <w:w w:val="90"/>
                <w:sz w:val="20"/>
              </w:rPr>
              <w:t>ejnością pierwszeństwa spłaty jest to jeden</w:t>
            </w:r>
            <w:r w:rsidR="004D7F8C">
              <w:rPr>
                <w:rFonts w:ascii="Times New Roman" w:hAnsi="Times New Roman"/>
                <w:color w:val="000000" w:themeColor="text1"/>
                <w:spacing w:val="-1"/>
                <w:w w:val="90"/>
                <w:sz w:val="20"/>
              </w:rPr>
              <w:t xml:space="preserve"> z pon</w:t>
            </w:r>
            <w:r>
              <w:rPr>
                <w:rFonts w:ascii="Times New Roman" w:hAnsi="Times New Roman"/>
                <w:color w:val="000000" w:themeColor="text1"/>
                <w:spacing w:val="-1"/>
                <w:w w:val="90"/>
                <w:sz w:val="20"/>
              </w:rPr>
              <w:t>iższych rodzajów podmiotu:</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„Instytucja kredytowa”</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Kategoria ta obejmuje instytucje kredytowe zdefiniowane</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r w:rsidR="004D7F8C">
              <w:rPr>
                <w:rFonts w:ascii="Times New Roman" w:hAnsi="Times New Roman"/>
                <w:color w:val="000000" w:themeColor="text1"/>
                <w:sz w:val="20"/>
              </w:rPr>
              <w:t xml:space="preserve"> z wył</w:t>
            </w:r>
            <w:r>
              <w:rPr>
                <w:rFonts w:ascii="Times New Roman" w:hAnsi="Times New Roman"/>
                <w:color w:val="000000" w:themeColor="text1"/>
                <w:sz w:val="20"/>
              </w:rPr>
              <w:t>ączeniem podmiotów,</w:t>
            </w:r>
            <w:r w:rsidR="004D7F8C">
              <w:rPr>
                <w:rFonts w:ascii="Times New Roman" w:hAnsi="Times New Roman"/>
                <w:color w:val="000000" w:themeColor="text1"/>
                <w:sz w:val="20"/>
              </w:rPr>
              <w:t xml:space="preserve"> o któ</w:t>
            </w:r>
            <w:r>
              <w:rPr>
                <w:rFonts w:ascii="Times New Roman" w:hAnsi="Times New Roman"/>
                <w:color w:val="000000" w:themeColor="text1"/>
                <w:sz w:val="20"/>
              </w:rPr>
              <w:t>rych mowa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 xml:space="preserve"> dyrektywy 2013/36/UE</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„Firma inwestycyjna podlegająca wymogowi</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kapitału założycielskiego określonemu</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8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 dyrektywy 2013/36/UE”</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Kategoria ta obejmuje firmy inwestycyjne zdefiniowane</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 które podlegają wymogowi</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kapitału założycielskiego określonemu</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8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 dyrektywy 2013/36/UE.</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„Firma inwestycyjna niepodlegająca wymogowi</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kapitału założycielskiego określonemu</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8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 dyrektywy 2013/36/UE”</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„Instytucja finansowa”</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Kategoria ta obejmuje instytucje finansowe zdefiniowane</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6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 inne niż instytucje sklasyfikowane jako „spółka holdingowa” określona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lit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e)</w:t>
            </w:r>
            <w:r>
              <w:rPr>
                <w:rFonts w:ascii="Times New Roman" w:hAnsi="Times New Roman"/>
                <w:color w:val="000000" w:themeColor="text1"/>
                <w:sz w:val="20"/>
              </w:rPr>
              <w:t xml:space="preserve"> poniżej.</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„Spółka holdingowa”</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Kategoria ta obejmuje jeden</w:t>
            </w:r>
            <w:r w:rsidR="004D7F8C">
              <w:rPr>
                <w:rFonts w:ascii="Times New Roman" w:hAnsi="Times New Roman"/>
                <w:color w:val="000000" w:themeColor="text1"/>
                <w:sz w:val="20"/>
              </w:rPr>
              <w:t xml:space="preserve"> z nas</w:t>
            </w:r>
            <w:r>
              <w:rPr>
                <w:rFonts w:ascii="Times New Roman" w:hAnsi="Times New Roman"/>
                <w:color w:val="000000" w:themeColor="text1"/>
                <w:sz w:val="20"/>
              </w:rPr>
              <w:t>tępujących podmiotów:</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finansowa spółka holdingowa zdefiniowana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0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finansowa spółka holdingowa</w:t>
            </w:r>
            <w:r w:rsidR="004D7F8C">
              <w:rPr>
                <w:rFonts w:ascii="Times New Roman" w:hAnsi="Times New Roman"/>
                <w:color w:val="000000" w:themeColor="text1"/>
                <w:sz w:val="20"/>
              </w:rPr>
              <w:t xml:space="preserve"> o dzi</w:t>
            </w:r>
            <w:r>
              <w:rPr>
                <w:rFonts w:ascii="Times New Roman" w:hAnsi="Times New Roman"/>
                <w:color w:val="000000" w:themeColor="text1"/>
                <w:sz w:val="20"/>
              </w:rPr>
              <w:t>ałalności mieszanej zdefiniowana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1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 mieszany zdefiniowany</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2</w:t>
            </w:r>
            <w:r>
              <w:rPr>
                <w:rFonts w:ascii="Times New Roman" w:hAnsi="Times New Roman"/>
                <w:color w:val="000000" w:themeColor="text1"/>
                <w:sz w:val="20"/>
              </w:rPr>
              <w:t xml:space="preserve">2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dominujące finansowe spółki holdingowe zdefiniowane</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3</w:t>
            </w:r>
            <w:r>
              <w:rPr>
                <w:rFonts w:ascii="Times New Roman" w:hAnsi="Times New Roman"/>
                <w:color w:val="000000" w:themeColor="text1"/>
                <w:sz w:val="20"/>
              </w:rPr>
              <w:t xml:space="preserve">0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unijna dominująca finansowa spółka holdingowa zdefiniowana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3</w:t>
            </w:r>
            <w:r>
              <w:rPr>
                <w:rFonts w:ascii="Times New Roman" w:hAnsi="Times New Roman"/>
                <w:color w:val="000000" w:themeColor="text1"/>
                <w:sz w:val="20"/>
              </w:rPr>
              <w:t xml:space="preserve">1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dominująca finansowa spółka holdingowa</w:t>
            </w:r>
            <w:r w:rsidR="004D7F8C">
              <w:rPr>
                <w:rFonts w:ascii="Times New Roman" w:hAnsi="Times New Roman"/>
                <w:color w:val="000000" w:themeColor="text1"/>
                <w:sz w:val="20"/>
              </w:rPr>
              <w:t xml:space="preserve"> o dzi</w:t>
            </w:r>
            <w:r>
              <w:rPr>
                <w:rFonts w:ascii="Times New Roman" w:hAnsi="Times New Roman"/>
                <w:color w:val="000000" w:themeColor="text1"/>
                <w:sz w:val="20"/>
              </w:rPr>
              <w:t>ałalności mieszanej</w:t>
            </w:r>
            <w:r w:rsidR="004D7F8C">
              <w:rPr>
                <w:rFonts w:ascii="Times New Roman" w:hAnsi="Times New Roman"/>
                <w:color w:val="000000" w:themeColor="text1"/>
                <w:sz w:val="20"/>
              </w:rPr>
              <w:t xml:space="preserve"> z pań</w:t>
            </w:r>
            <w:r>
              <w:rPr>
                <w:rFonts w:ascii="Times New Roman" w:hAnsi="Times New Roman"/>
                <w:color w:val="000000" w:themeColor="text1"/>
                <w:sz w:val="20"/>
              </w:rPr>
              <w:t>stwa członkowskiego zdefiniowana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3</w:t>
            </w:r>
            <w:r>
              <w:rPr>
                <w:rFonts w:ascii="Times New Roman" w:hAnsi="Times New Roman"/>
                <w:color w:val="000000" w:themeColor="text1"/>
                <w:sz w:val="20"/>
              </w:rPr>
              <w:t xml:space="preserve">2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unijne dominujące finansowe spółki holdingowe</w:t>
            </w:r>
            <w:r w:rsidR="004D7F8C">
              <w:rPr>
                <w:rFonts w:ascii="Times New Roman" w:hAnsi="Times New Roman"/>
                <w:color w:val="000000" w:themeColor="text1"/>
                <w:sz w:val="20"/>
              </w:rPr>
              <w:t xml:space="preserve"> o dzi</w:t>
            </w:r>
            <w:r>
              <w:rPr>
                <w:rFonts w:ascii="Times New Roman" w:hAnsi="Times New Roman"/>
                <w:color w:val="000000" w:themeColor="text1"/>
                <w:sz w:val="20"/>
              </w:rPr>
              <w:t>ałalności mieszanej zdefiniowane</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3</w:t>
            </w:r>
            <w:r>
              <w:rPr>
                <w:rFonts w:ascii="Times New Roman" w:hAnsi="Times New Roman"/>
                <w:color w:val="000000" w:themeColor="text1"/>
                <w:sz w:val="20"/>
              </w:rPr>
              <w:t xml:space="preserve">3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„Zakład ubezpieczeń”</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Kategoria ta obejmuje zakłady ubezpieczeń zdefiniowane</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3 dyrektywy Parlamentu Europejskiego</w:t>
            </w:r>
            <w:r w:rsidR="004D7F8C">
              <w:rPr>
                <w:rFonts w:ascii="Times New Roman" w:hAnsi="Times New Roman"/>
                <w:color w:val="000000" w:themeColor="text1"/>
                <w:sz w:val="20"/>
              </w:rPr>
              <w:t xml:space="preserve"> i Rad</w:t>
            </w:r>
            <w:r>
              <w:rPr>
                <w:rFonts w:ascii="Times New Roman" w:hAnsi="Times New Roman"/>
                <w:color w:val="000000" w:themeColor="text1"/>
                <w:sz w:val="20"/>
              </w:rPr>
              <w:t>y 2009/138/WE</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„Inny rodzaj podmiotu”, jeżeli podmiot nie jest ujęty</w:t>
            </w:r>
            <w:r w:rsidR="004D7F8C">
              <w:rPr>
                <w:rFonts w:ascii="Times New Roman" w:hAnsi="Times New Roman"/>
                <w:color w:val="000000" w:themeColor="text1"/>
                <w:sz w:val="20"/>
              </w:rPr>
              <w:t xml:space="preserve"> w żad</w:t>
            </w:r>
            <w:r>
              <w:rPr>
                <w:rFonts w:ascii="Times New Roman" w:hAnsi="Times New Roman"/>
                <w:color w:val="000000" w:themeColor="text1"/>
                <w:sz w:val="20"/>
              </w:rPr>
              <w:t>nej</w:t>
            </w:r>
            <w:r w:rsidR="004D7F8C">
              <w:rPr>
                <w:rFonts w:ascii="Times New Roman" w:hAnsi="Times New Roman"/>
                <w:color w:val="000000" w:themeColor="text1"/>
                <w:sz w:val="20"/>
              </w:rPr>
              <w:t xml:space="preserve"> z pow</w:t>
            </w:r>
            <w:r>
              <w:rPr>
                <w:rFonts w:ascii="Times New Roman" w:hAnsi="Times New Roman"/>
                <w:color w:val="000000" w:themeColor="text1"/>
                <w:sz w:val="20"/>
              </w:rPr>
              <w:t>yższych kategorii.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Państwo</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 ISO 3166-1 alpha-2 kraju założenia podmiotu, który może być państwem członkowskim lub państwem trzecim.</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Ujęty</w:t>
            </w:r>
            <w:r w:rsidR="004D7F8C">
              <w:rPr>
                <w:rFonts w:ascii="Times New Roman" w:hAnsi="Times New Roman"/>
                <w:b/>
                <w:color w:val="000000" w:themeColor="text1"/>
                <w:spacing w:val="-2"/>
                <w:w w:val="95"/>
                <w:sz w:val="20"/>
              </w:rPr>
              <w:t xml:space="preserve"> w gra</w:t>
            </w:r>
            <w:r>
              <w:rPr>
                <w:rFonts w:ascii="Times New Roman" w:hAnsi="Times New Roman"/>
                <w:b/>
                <w:color w:val="000000" w:themeColor="text1"/>
                <w:spacing w:val="-2"/>
                <w:w w:val="95"/>
                <w:sz w:val="20"/>
              </w:rPr>
              <w:t>nicach ostrożnościowych</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następujące skróty:</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 — tak;</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nie.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Odstępstwo od </w:t>
            </w:r>
            <w:r w:rsidRPr="004D7F8C">
              <w:rPr>
                <w:rFonts w:ascii="Times New Roman" w:hAnsi="Times New Roman"/>
                <w:b/>
                <w:color w:val="000000" w:themeColor="text1"/>
                <w:spacing w:val="-2"/>
                <w:w w:val="95"/>
                <w:sz w:val="20"/>
              </w:rPr>
              <w:t>art.</w:t>
            </w:r>
            <w:r w:rsidR="004D7F8C" w:rsidRPr="004D7F8C">
              <w:rPr>
                <w:rFonts w:ascii="Times New Roman" w:hAnsi="Times New Roman"/>
                <w:b/>
                <w:color w:val="000000" w:themeColor="text1"/>
                <w:spacing w:val="-2"/>
                <w:w w:val="95"/>
                <w:sz w:val="20"/>
              </w:rPr>
              <w:t> </w:t>
            </w:r>
            <w:r w:rsidRPr="004D7F8C">
              <w:rPr>
                <w:rFonts w:ascii="Times New Roman" w:hAnsi="Times New Roman"/>
                <w:b/>
                <w:color w:val="000000" w:themeColor="text1"/>
                <w:spacing w:val="-2"/>
                <w:w w:val="95"/>
                <w:sz w:val="20"/>
              </w:rPr>
              <w:t>7</w:t>
            </w:r>
            <w:r>
              <w:rPr>
                <w:rFonts w:ascii="Times New Roman" w:hAnsi="Times New Roman"/>
                <w:b/>
                <w:color w:val="000000" w:themeColor="text1"/>
                <w:spacing w:val="-2"/>
                <w:w w:val="95"/>
                <w:sz w:val="20"/>
              </w:rPr>
              <w:t xml:space="preserve"> CRR</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następujące skróty:</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 – jeżeli właściwy organ odstąpił od stosowania przepisów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w:t>
            </w:r>
            <w:r w:rsidR="004D7F8C">
              <w:rPr>
                <w:rFonts w:ascii="Times New Roman" w:hAnsi="Times New Roman"/>
                <w:color w:val="000000" w:themeColor="text1"/>
                <w:spacing w:val="-2"/>
                <w:w w:val="95"/>
                <w:sz w:val="20"/>
              </w:rPr>
              <w:t xml:space="preserve"> w inn</w:t>
            </w:r>
            <w:r>
              <w:rPr>
                <w:rFonts w:ascii="Times New Roman" w:hAnsi="Times New Roman"/>
                <w:color w:val="000000" w:themeColor="text1"/>
                <w:spacing w:val="-2"/>
                <w:w w:val="95"/>
                <w:sz w:val="20"/>
              </w:rPr>
              <w:t>ym przypadku.</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Odstępstwo od </w:t>
            </w:r>
            <w:r w:rsidRPr="004D7F8C">
              <w:rPr>
                <w:rFonts w:ascii="Times New Roman" w:hAnsi="Times New Roman"/>
                <w:b/>
                <w:color w:val="000000" w:themeColor="text1"/>
                <w:spacing w:val="-2"/>
                <w:w w:val="95"/>
                <w:sz w:val="20"/>
              </w:rPr>
              <w:t>art.</w:t>
            </w:r>
            <w:r w:rsidR="004D7F8C" w:rsidRPr="004D7F8C">
              <w:rPr>
                <w:rFonts w:ascii="Times New Roman" w:hAnsi="Times New Roman"/>
                <w:b/>
                <w:color w:val="000000" w:themeColor="text1"/>
                <w:spacing w:val="-2"/>
                <w:w w:val="95"/>
                <w:sz w:val="20"/>
              </w:rPr>
              <w:t> </w:t>
            </w:r>
            <w:r w:rsidRPr="004D7F8C">
              <w:rPr>
                <w:rFonts w:ascii="Times New Roman" w:hAnsi="Times New Roman"/>
                <w:b/>
                <w:color w:val="000000" w:themeColor="text1"/>
                <w:spacing w:val="-2"/>
                <w:w w:val="95"/>
                <w:sz w:val="20"/>
              </w:rPr>
              <w:t>1</w:t>
            </w:r>
            <w:r>
              <w:rPr>
                <w:rFonts w:ascii="Times New Roman" w:hAnsi="Times New Roman"/>
                <w:b/>
                <w:color w:val="000000" w:themeColor="text1"/>
                <w:spacing w:val="-2"/>
                <w:w w:val="95"/>
                <w:sz w:val="20"/>
              </w:rPr>
              <w:t>0 CRR</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następujące skróty:</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 – jeżeli właściwy organ zastosował odstępstwo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w:t>
            </w:r>
            <w:r w:rsidR="004D7F8C">
              <w:rPr>
                <w:rFonts w:ascii="Times New Roman" w:hAnsi="Times New Roman"/>
                <w:color w:val="000000" w:themeColor="text1"/>
                <w:spacing w:val="-2"/>
                <w:w w:val="95"/>
                <w:sz w:val="20"/>
              </w:rPr>
              <w:t xml:space="preserve"> w inn</w:t>
            </w:r>
            <w:r>
              <w:rPr>
                <w:rFonts w:ascii="Times New Roman" w:hAnsi="Times New Roman"/>
                <w:color w:val="000000" w:themeColor="text1"/>
                <w:spacing w:val="-2"/>
                <w:w w:val="95"/>
                <w:sz w:val="20"/>
              </w:rPr>
              <w:t>ym przypadku.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Aktywa razem</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Aktywa razem zdefiniowane na potrzeby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Łączna kwota ekspozycji na ryzyko</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Łączna kwota ekspozycji na ryzyko zdefiniowana na potrzeby COREP (FW):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Nie należy zgłaszać pozycji</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podmiotów, które nie są instytucjami, ani</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podmiotów korzystających</w:t>
            </w:r>
            <w:r w:rsidR="004D7F8C">
              <w:rPr>
                <w:rFonts w:ascii="Times New Roman" w:hAnsi="Times New Roman"/>
                <w:color w:val="000000" w:themeColor="text1"/>
                <w:spacing w:val="-2"/>
                <w:w w:val="95"/>
                <w:sz w:val="20"/>
              </w:rPr>
              <w:t xml:space="preserve"> z ods</w:t>
            </w:r>
            <w:r>
              <w:rPr>
                <w:rFonts w:ascii="Times New Roman" w:hAnsi="Times New Roman"/>
                <w:color w:val="000000" w:themeColor="text1"/>
                <w:spacing w:val="-2"/>
                <w:w w:val="95"/>
                <w:sz w:val="20"/>
              </w:rPr>
              <w:t>tępstwa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lub</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Ekspozycja wskaźnika dźwigni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Całkowita ekspozycja wskaźnika dźwigni zdefiniowana na potrzeby COREP (WD):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Nie należy zgłaszać pozycji</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podmiotów, które nie są instytucjami, ani</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podmiotów korzystających</w:t>
            </w:r>
            <w:r w:rsidR="004D7F8C">
              <w:rPr>
                <w:rFonts w:ascii="Times New Roman" w:hAnsi="Times New Roman"/>
                <w:color w:val="000000" w:themeColor="text1"/>
                <w:spacing w:val="-2"/>
                <w:w w:val="95"/>
                <w:sz w:val="20"/>
              </w:rPr>
              <w:t xml:space="preserve"> z ods</w:t>
            </w:r>
            <w:r>
              <w:rPr>
                <w:rFonts w:ascii="Times New Roman" w:hAnsi="Times New Roman"/>
                <w:color w:val="000000" w:themeColor="text1"/>
                <w:spacing w:val="-2"/>
                <w:w w:val="95"/>
                <w:sz w:val="20"/>
              </w:rPr>
              <w:t>tępstwa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lub</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Standard rachunkowości</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Standardy rachunkowości stosowane przez podmiot. Należy zgłosić następujące skróty:</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MSSF</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NGAAP</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Wkład</w:t>
            </w:r>
            <w:r w:rsidR="004D7F8C">
              <w:rPr>
                <w:rFonts w:ascii="Times New Roman" w:hAnsi="Times New Roman"/>
                <w:b/>
                <w:color w:val="000000" w:themeColor="text1"/>
                <w:spacing w:val="-2"/>
                <w:w w:val="95"/>
                <w:sz w:val="20"/>
              </w:rPr>
              <w:t xml:space="preserve"> w cał</w:t>
            </w:r>
            <w:r>
              <w:rPr>
                <w:rFonts w:ascii="Times New Roman" w:hAnsi="Times New Roman"/>
                <w:b/>
                <w:color w:val="000000" w:themeColor="text1"/>
                <w:spacing w:val="-2"/>
                <w:w w:val="95"/>
                <w:sz w:val="20"/>
              </w:rPr>
              <w:t>kowitą skonsolidowaną sumę bilansową</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Kwota, jaką podmiot wnosi do całkowitej skonsolidowanej sumy bilansowej grupy, do której odnosi się sprawozdanie.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Wkład</w:t>
            </w:r>
            <w:r w:rsidR="004D7F8C">
              <w:rPr>
                <w:rFonts w:ascii="Times New Roman" w:hAnsi="Times New Roman"/>
                <w:b/>
                <w:color w:val="000000" w:themeColor="text1"/>
                <w:spacing w:val="-2"/>
                <w:w w:val="95"/>
                <w:sz w:val="20"/>
              </w:rPr>
              <w:t xml:space="preserve"> w łąc</w:t>
            </w:r>
            <w:r>
              <w:rPr>
                <w:rFonts w:ascii="Times New Roman" w:hAnsi="Times New Roman"/>
                <w:b/>
                <w:color w:val="000000" w:themeColor="text1"/>
                <w:spacing w:val="-2"/>
                <w:w w:val="95"/>
                <w:sz w:val="20"/>
              </w:rPr>
              <w:t xml:space="preserve">zną skonsolidowaną kwotę ekspozycji na ryzyko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Kwota, jaką podmiot wnosi do łącznej skonsolidowanej kwoty ekspozycji na ryzyko grupy, do której odnosi się sprawozdanie.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Wkład</w:t>
            </w:r>
            <w:r w:rsidR="004D7F8C">
              <w:rPr>
                <w:rFonts w:ascii="Times New Roman" w:hAnsi="Times New Roman"/>
                <w:b/>
                <w:color w:val="000000" w:themeColor="text1"/>
                <w:spacing w:val="-2"/>
                <w:w w:val="95"/>
                <w:sz w:val="20"/>
              </w:rPr>
              <w:t xml:space="preserve"> w sko</w:t>
            </w:r>
            <w:r>
              <w:rPr>
                <w:rFonts w:ascii="Times New Roman" w:hAnsi="Times New Roman"/>
                <w:b/>
                <w:color w:val="000000" w:themeColor="text1"/>
                <w:spacing w:val="-2"/>
                <w:w w:val="95"/>
                <w:sz w:val="20"/>
              </w:rPr>
              <w:t>nsolidowaną ekspozycję wskaźnika dźwigni</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Kwota, jaką podmiot wnosi do całkowitej skonsolidowanej ekspozycji wskaźnika dźwigni grupy, do której odnosi się sprawozdanie.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Właściwy podmiot prawny</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Wskazanie, czy podmiot jest właściwym podmiotem prawnym zgodnie</w:t>
            </w:r>
            <w:r w:rsidR="004D7F8C">
              <w:rPr>
                <w:rFonts w:ascii="Times New Roman" w:hAnsi="Times New Roman"/>
                <w:color w:val="000000" w:themeColor="text1"/>
                <w:spacing w:val="-2"/>
                <w:w w:val="95"/>
                <w:sz w:val="20"/>
              </w:rPr>
              <w:t xml:space="preserve"> z def</w:t>
            </w:r>
            <w:r>
              <w:rPr>
                <w:rFonts w:ascii="Times New Roman" w:hAnsi="Times New Roman"/>
                <w:color w:val="000000" w:themeColor="text1"/>
                <w:spacing w:val="-2"/>
                <w:w w:val="95"/>
                <w:sz w:val="20"/>
              </w:rPr>
              <w:t>inicją zawartą</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niniejszego rozporządzenia.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Bezpośrednia jednostka dominująca</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Bezpośrednia jednostka dominująca podmiotu. Należy zgłaszać wyłącznie bezpośrednią jednostkę dominującą, która posiada ponad </w:t>
            </w:r>
            <w:r w:rsidRPr="004D7F8C">
              <w:rPr>
                <w:rFonts w:ascii="Times New Roman" w:hAnsi="Times New Roman"/>
                <w:color w:val="000000" w:themeColor="text1"/>
                <w:spacing w:val="-2"/>
                <w:w w:val="95"/>
                <w:sz w:val="20"/>
              </w:rPr>
              <w:t>5</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w:t>
            </w:r>
            <w:r>
              <w:rPr>
                <w:rFonts w:ascii="Times New Roman" w:hAnsi="Times New Roman"/>
                <w:color w:val="000000" w:themeColor="text1"/>
                <w:spacing w:val="-2"/>
                <w:w w:val="95"/>
                <w:sz w:val="20"/>
              </w:rPr>
              <w:t xml:space="preserve"> praw głosu</w:t>
            </w:r>
            <w:r w:rsidR="004D7F8C">
              <w:rPr>
                <w:rFonts w:ascii="Times New Roman" w:hAnsi="Times New Roman"/>
                <w:color w:val="000000" w:themeColor="text1"/>
                <w:spacing w:val="-2"/>
                <w:w w:val="95"/>
                <w:sz w:val="20"/>
              </w:rPr>
              <w:t xml:space="preserve"> w pod</w:t>
            </w:r>
            <w:r>
              <w:rPr>
                <w:rFonts w:ascii="Times New Roman" w:hAnsi="Times New Roman"/>
                <w:color w:val="000000" w:themeColor="text1"/>
                <w:spacing w:val="-2"/>
                <w:w w:val="95"/>
                <w:sz w:val="20"/>
              </w:rPr>
              <w:t>miocie.</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jednostka posiada więcej niż jedną bezpośrednią jednostkę dominującą, należy zgłosić tylko bezpośrednią jednostkę dominującą, która posiada najwyższy kapitał lub, jeżeli dotyczy, najwięcej akcji</w:t>
            </w:r>
            <w:r w:rsidR="004D7F8C">
              <w:rPr>
                <w:rFonts w:ascii="Times New Roman" w:hAnsi="Times New Roman"/>
                <w:color w:val="000000" w:themeColor="text1"/>
                <w:spacing w:val="-2"/>
                <w:w w:val="95"/>
                <w:sz w:val="20"/>
              </w:rPr>
              <w:t xml:space="preserve"> z pra</w:t>
            </w:r>
            <w:r>
              <w:rPr>
                <w:rFonts w:ascii="Times New Roman" w:hAnsi="Times New Roman"/>
                <w:color w:val="000000" w:themeColor="text1"/>
                <w:spacing w:val="-2"/>
                <w:w w:val="95"/>
                <w:sz w:val="20"/>
              </w:rPr>
              <w:t>wem głosu.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Nazwa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Nazwa bezpośredniej jednostki dominującej podmiotu.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Kod</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 bezpośredniej jednostki dominującej</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instytucji kod jest 20-cyfrowym alfanumerycznym kodem LEI</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innych podmiotów kod jest 20-cyfrowym alfanumerycznym kodem LEI lub – jeżeli kod taki jest niedostępny – kodem zgodnym</w:t>
            </w:r>
            <w:r w:rsidR="004D7F8C">
              <w:rPr>
                <w:rFonts w:ascii="Times New Roman" w:hAnsi="Times New Roman"/>
                <w:color w:val="000000" w:themeColor="text1"/>
                <w:spacing w:val="-2"/>
                <w:w w:val="95"/>
                <w:sz w:val="20"/>
              </w:rPr>
              <w:t xml:space="preserve"> z jed</w:t>
            </w:r>
            <w:r>
              <w:rPr>
                <w:rFonts w:ascii="Times New Roman" w:hAnsi="Times New Roman"/>
                <w:color w:val="000000" w:themeColor="text1"/>
                <w:spacing w:val="-2"/>
                <w:w w:val="95"/>
                <w:sz w:val="20"/>
              </w:rPr>
              <w:t>nolitą kodyfikacją mającą zastosowanie</w:t>
            </w:r>
            <w:r w:rsidR="004D7F8C">
              <w:rPr>
                <w:rFonts w:ascii="Times New Roman" w:hAnsi="Times New Roman"/>
                <w:color w:val="000000" w:themeColor="text1"/>
                <w:spacing w:val="-2"/>
                <w:w w:val="95"/>
                <w:sz w:val="20"/>
              </w:rPr>
              <w:t xml:space="preserve"> w Uni</w:t>
            </w:r>
            <w:r>
              <w:rPr>
                <w:rFonts w:ascii="Times New Roman" w:hAnsi="Times New Roman"/>
                <w:color w:val="000000" w:themeColor="text1"/>
                <w:spacing w:val="-2"/>
                <w:w w:val="95"/>
                <w:sz w:val="20"/>
              </w:rPr>
              <w:t>i lub – jeżeli kod taki nie jest dostępny – kodem krajowym.</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Kod jest niepowtarzalny</w:t>
            </w:r>
            <w:r w:rsidR="004D7F8C">
              <w:rPr>
                <w:rFonts w:ascii="Times New Roman" w:hAnsi="Times New Roman"/>
                <w:color w:val="000000" w:themeColor="text1"/>
                <w:spacing w:val="-2"/>
                <w:w w:val="95"/>
                <w:sz w:val="20"/>
              </w:rPr>
              <w:t xml:space="preserve"> i sto</w:t>
            </w:r>
            <w:r>
              <w:rPr>
                <w:rFonts w:ascii="Times New Roman" w:hAnsi="Times New Roman"/>
                <w:color w:val="000000" w:themeColor="text1"/>
                <w:spacing w:val="-2"/>
                <w:w w:val="95"/>
                <w:sz w:val="20"/>
              </w:rPr>
              <w:t>suje się go jednolicie we wszystkich szablonach. Kod zawsze posiada wartość.</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Kod LEI</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20-cyfrowy alfanumeryczny kod LEI podmiotu, jeżeli jest dostępny.</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Kapitał zakładowy</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Wysokość kapitału zakładowego będącego</w:t>
            </w:r>
            <w:r w:rsidR="004D7F8C">
              <w:rPr>
                <w:rFonts w:ascii="Times New Roman" w:hAnsi="Times New Roman"/>
                <w:color w:val="000000" w:themeColor="text1"/>
                <w:spacing w:val="-2"/>
                <w:w w:val="95"/>
                <w:sz w:val="20"/>
              </w:rPr>
              <w:t xml:space="preserve"> w pos</w:t>
            </w:r>
            <w:r>
              <w:rPr>
                <w:rFonts w:ascii="Times New Roman" w:hAnsi="Times New Roman"/>
                <w:color w:val="000000" w:themeColor="text1"/>
                <w:spacing w:val="-2"/>
                <w:w w:val="95"/>
                <w:sz w:val="20"/>
              </w:rPr>
              <w:t>iadaniu bezpośredniej jednostki dominującej podmiotu</w:t>
            </w:r>
            <w:r w:rsidR="004D7F8C">
              <w:rPr>
                <w:rFonts w:ascii="Times New Roman" w:hAnsi="Times New Roman"/>
                <w:color w:val="000000" w:themeColor="text1"/>
                <w:spacing w:val="-2"/>
                <w:w w:val="95"/>
                <w:sz w:val="20"/>
              </w:rPr>
              <w:t xml:space="preserve"> z wył</w:t>
            </w:r>
            <w:r>
              <w:rPr>
                <w:rFonts w:ascii="Times New Roman" w:hAnsi="Times New Roman"/>
                <w:color w:val="000000" w:themeColor="text1"/>
                <w:spacing w:val="-2"/>
                <w:w w:val="95"/>
                <w:sz w:val="20"/>
              </w:rPr>
              <w:t>ączeniem rezerw.</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Prawa głosu</w:t>
            </w:r>
            <w:r w:rsidR="004D7F8C">
              <w:rPr>
                <w:rFonts w:ascii="Times New Roman" w:hAnsi="Times New Roman"/>
                <w:b/>
                <w:color w:val="000000" w:themeColor="text1"/>
                <w:spacing w:val="-2"/>
                <w:w w:val="95"/>
                <w:sz w:val="20"/>
              </w:rPr>
              <w:t xml:space="preserve"> w pod</w:t>
            </w:r>
            <w:r>
              <w:rPr>
                <w:rFonts w:ascii="Times New Roman" w:hAnsi="Times New Roman"/>
                <w:b/>
                <w:color w:val="000000" w:themeColor="text1"/>
                <w:spacing w:val="-2"/>
                <w:w w:val="95"/>
                <w:sz w:val="20"/>
              </w:rPr>
              <w:t>miocie</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Odsetek praw głosu, jakie posiada bezpośrednia jednostka dominująca podmiotu.</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Informacja ta wymagana jest wyłącznie</w:t>
            </w:r>
            <w:r w:rsidR="004D7F8C">
              <w:rPr>
                <w:rFonts w:ascii="Times New Roman" w:hAnsi="Times New Roman"/>
                <w:color w:val="000000" w:themeColor="text1"/>
                <w:spacing w:val="-1"/>
                <w:w w:val="95"/>
                <w:sz w:val="20"/>
              </w:rPr>
              <w:t xml:space="preserve"> w prz</w:t>
            </w:r>
            <w:r>
              <w:rPr>
                <w:rFonts w:ascii="Times New Roman" w:hAnsi="Times New Roman"/>
                <w:color w:val="000000" w:themeColor="text1"/>
                <w:spacing w:val="-1"/>
                <w:w w:val="95"/>
                <w:sz w:val="20"/>
              </w:rPr>
              <w:t>ypadku, gdy jedna akcja nie odpowiada jednemu głosowi (zatem prawa głosu nie są równe kapitałowi zakładowemu).</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062583"/>
      <w:r>
        <w:rPr>
          <w:rFonts w:ascii="Times New Roman" w:hAnsi="Times New Roman"/>
        </w:rPr>
        <w:t>Z 02.00 – Struktura zobowiązań (LIAB)</w:t>
      </w:r>
      <w:bookmarkEnd w:id="19"/>
      <w:bookmarkEnd w:id="20"/>
      <w:bookmarkEnd w:id="21"/>
    </w:p>
    <w:p w:rsidR="005B4526" w:rsidRPr="00D92B3C" w:rsidRDefault="005B4526" w:rsidP="00EC261B">
      <w:pPr>
        <w:pStyle w:val="Instructionsberschrift3"/>
      </w:pPr>
      <w:r>
        <w:t>Uwagi ogólne</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tym szablonie wymaga się szczegółowych informacji na temat struktury zobowiązań podmiotu lub grupy. Zobowiązania podzielono na zobowiązania wyłączone</w:t>
      </w:r>
      <w:r w:rsidR="004D7F8C">
        <w:rPr>
          <w:rFonts w:ascii="Times New Roman" w:hAnsi="Times New Roman"/>
          <w:sz w:val="20"/>
        </w:rPr>
        <w:t xml:space="preserve"> z umo</w:t>
      </w:r>
      <w:r>
        <w:rPr>
          <w:rFonts w:ascii="Times New Roman" w:hAnsi="Times New Roman"/>
          <w:sz w:val="20"/>
        </w:rPr>
        <w:t>rzenia lub konwersji długu oraz zobowiązania niewyłączone</w:t>
      </w:r>
      <w:r w:rsidR="004D7F8C">
        <w:rPr>
          <w:rFonts w:ascii="Times New Roman" w:hAnsi="Times New Roman"/>
          <w:sz w:val="20"/>
        </w:rPr>
        <w:t xml:space="preserve"> z umo</w:t>
      </w:r>
      <w:r>
        <w:rPr>
          <w:rFonts w:ascii="Times New Roman" w:hAnsi="Times New Roman"/>
          <w:sz w:val="20"/>
        </w:rPr>
        <w:t>rzenia lub konwersji długu. Podano też dalszy podział na klasy zobowiązań, klasy kontrahentów</w:t>
      </w:r>
      <w:r w:rsidR="004D7F8C">
        <w:rPr>
          <w:rFonts w:ascii="Times New Roman" w:hAnsi="Times New Roman"/>
          <w:sz w:val="20"/>
        </w:rPr>
        <w:t xml:space="preserve"> i ter</w:t>
      </w:r>
      <w:r>
        <w:rPr>
          <w:rFonts w:ascii="Times New Roman" w:hAnsi="Times New Roman"/>
          <w:sz w:val="20"/>
        </w:rPr>
        <w:t>min zapadalności.</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Jeżeli</w:t>
      </w:r>
      <w:r w:rsidR="004D7F8C">
        <w:rPr>
          <w:rFonts w:ascii="Times New Roman" w:hAnsi="Times New Roman"/>
          <w:sz w:val="20"/>
        </w:rPr>
        <w:t xml:space="preserve"> w nin</w:t>
      </w:r>
      <w:r>
        <w:rPr>
          <w:rFonts w:ascii="Times New Roman" w:hAnsi="Times New Roman"/>
          <w:sz w:val="20"/>
        </w:rPr>
        <w:t xml:space="preserve">iejszym szablonie określono podział według terminu zapadalności, rezydualny termin zapadalności jest okresem do momentu umownego terminu zapadalności lub, jeżeli istnieje wyraźne </w:t>
      </w:r>
      <w:r>
        <w:rPr>
          <w:rFonts w:ascii="Times New Roman" w:hAnsi="Times New Roman"/>
          <w:sz w:val="20"/>
        </w:rPr>
        <w:lastRenderedPageBreak/>
        <w:t>lub dorozumiane, umowne lub ustawowe prawo posiadacza instrumentu do wczesnego zwrotu, do pierwszego terminu powstania takiego prawa. Płatności okresowe kwoty głównej dzieli się na odpowiednie klasy zapadalności</w:t>
      </w:r>
      <w:r w:rsidR="004D7F8C">
        <w:rPr>
          <w:rFonts w:ascii="Times New Roman" w:hAnsi="Times New Roman"/>
          <w:sz w:val="20"/>
        </w:rPr>
        <w:t>. W sto</w:t>
      </w:r>
      <w:r>
        <w:rPr>
          <w:rFonts w:ascii="Times New Roman" w:hAnsi="Times New Roman"/>
          <w:sz w:val="20"/>
        </w:rPr>
        <w:t>sownych przypadkach termin zapadalności należy traktować odrębnie</w:t>
      </w:r>
      <w:r w:rsidR="004D7F8C">
        <w:rPr>
          <w:rFonts w:ascii="Times New Roman" w:hAnsi="Times New Roman"/>
          <w:sz w:val="20"/>
        </w:rPr>
        <w:t xml:space="preserve"> w odn</w:t>
      </w:r>
      <w:r>
        <w:rPr>
          <w:rFonts w:ascii="Times New Roman" w:hAnsi="Times New Roman"/>
          <w:sz w:val="20"/>
        </w:rPr>
        <w:t>iesieniu do kwoty głównej i do odsetek naliczonych.</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Kwoty zgłoszone</w:t>
      </w:r>
      <w:r w:rsidR="004D7F8C">
        <w:rPr>
          <w:rFonts w:ascii="Times New Roman" w:hAnsi="Times New Roman"/>
          <w:sz w:val="20"/>
        </w:rPr>
        <w:t xml:space="preserve"> w nin</w:t>
      </w:r>
      <w:r>
        <w:rPr>
          <w:rFonts w:ascii="Times New Roman" w:hAnsi="Times New Roman"/>
          <w:sz w:val="20"/>
        </w:rPr>
        <w:t>iejszym szablonie stanowią domyślnie pozostające kwoty należne. Pozostająca kwota należna roszczenia lub instrumentu jest sumą kwoty głównej roszczenia lub instrumentu</w:t>
      </w:r>
      <w:r w:rsidR="004D7F8C">
        <w:rPr>
          <w:rFonts w:ascii="Times New Roman" w:hAnsi="Times New Roman"/>
          <w:sz w:val="20"/>
        </w:rPr>
        <w:t xml:space="preserve"> i ods</w:t>
      </w:r>
      <w:r>
        <w:rPr>
          <w:rFonts w:ascii="Times New Roman" w:hAnsi="Times New Roman"/>
          <w:sz w:val="20"/>
        </w:rPr>
        <w:t>etek naliczonych od tego roszczenia lub instrumentu. Pozostająca kwota należna jest równa wartości roszczenia, jakie wierzyciel mógł złożyć</w:t>
      </w:r>
      <w:r w:rsidR="004D7F8C">
        <w:rPr>
          <w:rFonts w:ascii="Times New Roman" w:hAnsi="Times New Roman"/>
          <w:sz w:val="20"/>
        </w:rPr>
        <w:t xml:space="preserve"> w ram</w:t>
      </w:r>
      <w:r>
        <w:rPr>
          <w:rFonts w:ascii="Times New Roman" w:hAnsi="Times New Roman"/>
          <w:sz w:val="20"/>
        </w:rPr>
        <w:t xml:space="preserve">ach postępowania upadłościowego.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Na zasadzie odstępstwa od poprzedniego punktu zobowiązania bilansowe wynikające</w:t>
      </w:r>
      <w:r w:rsidR="004D7F8C">
        <w:rPr>
          <w:rFonts w:ascii="Times New Roman" w:hAnsi="Times New Roman"/>
          <w:sz w:val="20"/>
        </w:rPr>
        <w:t xml:space="preserve"> z ins</w:t>
      </w:r>
      <w:r>
        <w:rPr>
          <w:rFonts w:ascii="Times New Roman" w:hAnsi="Times New Roman"/>
          <w:sz w:val="20"/>
        </w:rPr>
        <w:t>trumentów pochodnych (zgłoszone</w:t>
      </w:r>
      <w:r w:rsidR="004D7F8C">
        <w:rPr>
          <w:rFonts w:ascii="Times New Roman" w:hAnsi="Times New Roman"/>
          <w:sz w:val="20"/>
        </w:rPr>
        <w:t xml:space="preserve"> w wie</w:t>
      </w:r>
      <w:r>
        <w:rPr>
          <w:rFonts w:ascii="Times New Roman" w:hAnsi="Times New Roman"/>
          <w:sz w:val="20"/>
        </w:rPr>
        <w:t>rszu 0330) zgłasza się</w:t>
      </w:r>
      <w:r w:rsidR="004D7F8C">
        <w:rPr>
          <w:rFonts w:ascii="Times New Roman" w:hAnsi="Times New Roman"/>
          <w:sz w:val="20"/>
        </w:rPr>
        <w:t xml:space="preserve"> w for</w:t>
      </w:r>
      <w:r>
        <w:rPr>
          <w:rFonts w:ascii="Times New Roman" w:hAnsi="Times New Roman"/>
          <w:sz w:val="20"/>
        </w:rPr>
        <w:t>mie wartości bilansowych. Wartość bilansowa jest wartością bilansową zdefiniowaną do celów FINREP, odpowiednio na podstawie MSSF albo krajowych ogólnie przyjętych zasad rachunkowości</w:t>
      </w:r>
      <w:r w:rsidR="004D7F8C">
        <w:rPr>
          <w:rFonts w:ascii="Times New Roman" w:hAnsi="Times New Roman"/>
          <w:sz w:val="20"/>
        </w:rPr>
        <w:t>. W inn</w:t>
      </w:r>
      <w:r>
        <w:rPr>
          <w:rFonts w:ascii="Times New Roman" w:hAnsi="Times New Roman"/>
          <w:sz w:val="20"/>
        </w:rPr>
        <w:t>ym przypadku należy zastosować wartości na podstawie systemów sprawozdawczości</w:t>
      </w:r>
      <w:r w:rsidR="004D7F8C">
        <w:rPr>
          <w:rFonts w:ascii="Times New Roman" w:hAnsi="Times New Roman"/>
          <w:sz w:val="20"/>
        </w:rPr>
        <w:t xml:space="preserve"> w ram</w:t>
      </w:r>
      <w:r>
        <w:rPr>
          <w:rFonts w:ascii="Times New Roman" w:hAnsi="Times New Roman"/>
          <w:sz w:val="20"/>
        </w:rPr>
        <w:t xml:space="preserve">ach krajowych ogólnie przyjętych zasad rachunkowości. </w:t>
      </w:r>
    </w:p>
    <w:p w:rsidR="00E13CE3" w:rsidRPr="00D92B3C" w:rsidRDefault="00E13CE3" w:rsidP="00EC261B">
      <w:pPr>
        <w:pStyle w:val="Instructionsberschrift3"/>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Kolumny</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Instrukcje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Gospodarstwa domowe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2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f)</w:t>
            </w:r>
            <w:r>
              <w:rPr>
                <w:rFonts w:ascii="Times New Roman" w:hAnsi="Times New Roman"/>
                <w:color w:val="000000" w:themeColor="text1"/>
                <w:spacing w:val="-2"/>
                <w:w w:val="95"/>
                <w:sz w:val="20"/>
              </w:rPr>
              <w:t xml:space="preserve">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Osoby fizyczne lub grupy osób fizycznych będące konsumentami lub będące producentami wyrobów</w:t>
            </w:r>
            <w:r w:rsidR="004D7F8C">
              <w:rPr>
                <w:rFonts w:ascii="Times New Roman" w:hAnsi="Times New Roman"/>
                <w:color w:val="000000" w:themeColor="text1"/>
                <w:spacing w:val="-2"/>
                <w:w w:val="95"/>
                <w:sz w:val="20"/>
              </w:rPr>
              <w:t xml:space="preserve"> i usł</w:t>
            </w:r>
            <w:r>
              <w:rPr>
                <w:rFonts w:ascii="Times New Roman" w:hAnsi="Times New Roman"/>
                <w:color w:val="000000" w:themeColor="text1"/>
                <w:spacing w:val="-2"/>
                <w:w w:val="95"/>
                <w:sz w:val="20"/>
              </w:rPr>
              <w:t>ug niefinansowych wyłącznie na użytek własny lub będące producentami wyrobów rynkowych oraz usług niefinansowych</w:t>
            </w:r>
            <w:r w:rsidR="004D7F8C">
              <w:rPr>
                <w:rFonts w:ascii="Times New Roman" w:hAnsi="Times New Roman"/>
                <w:color w:val="000000" w:themeColor="text1"/>
                <w:spacing w:val="-2"/>
                <w:w w:val="95"/>
                <w:sz w:val="20"/>
              </w:rPr>
              <w:t xml:space="preserve"> i fin</w:t>
            </w:r>
            <w:r>
              <w:rPr>
                <w:rFonts w:ascii="Times New Roman" w:hAnsi="Times New Roman"/>
                <w:color w:val="000000" w:themeColor="text1"/>
                <w:spacing w:val="-2"/>
                <w:w w:val="95"/>
                <w:sz w:val="20"/>
              </w:rPr>
              <w:t>ansowych, pod warunkiem że ich działalność nie jest tożsama</w:t>
            </w:r>
            <w:r w:rsidR="004D7F8C">
              <w:rPr>
                <w:rFonts w:ascii="Times New Roman" w:hAnsi="Times New Roman"/>
                <w:color w:val="000000" w:themeColor="text1"/>
                <w:spacing w:val="-2"/>
                <w:w w:val="95"/>
                <w:sz w:val="20"/>
              </w:rPr>
              <w:t xml:space="preserve"> z dzi</w:t>
            </w:r>
            <w:r>
              <w:rPr>
                <w:rFonts w:ascii="Times New Roman" w:hAnsi="Times New Roman"/>
                <w:color w:val="000000" w:themeColor="text1"/>
                <w:spacing w:val="-2"/>
                <w:w w:val="95"/>
                <w:sz w:val="20"/>
              </w:rPr>
              <w:t>ałalnością jednostek typu przedsiębiorstwo. Do tej kategorii zalicza się instytucje niekomercyjne obsługujące gospodarstwa domowe</w:t>
            </w:r>
            <w:r w:rsidR="004D7F8C">
              <w:rPr>
                <w:rFonts w:ascii="Times New Roman" w:hAnsi="Times New Roman"/>
                <w:color w:val="000000" w:themeColor="text1"/>
                <w:spacing w:val="-2"/>
                <w:w w:val="95"/>
                <w:sz w:val="20"/>
              </w:rPr>
              <w:t xml:space="preserve"> i zaj</w:t>
            </w:r>
            <w:r>
              <w:rPr>
                <w:rFonts w:ascii="Times New Roman" w:hAnsi="Times New Roman"/>
                <w:color w:val="000000" w:themeColor="text1"/>
                <w:spacing w:val="-2"/>
                <w:w w:val="95"/>
                <w:sz w:val="20"/>
              </w:rPr>
              <w:t>mujące się głównie wytwarzaniem towarów</w:t>
            </w:r>
            <w:r w:rsidR="004D7F8C">
              <w:rPr>
                <w:rFonts w:ascii="Times New Roman" w:hAnsi="Times New Roman"/>
                <w:color w:val="000000" w:themeColor="text1"/>
                <w:spacing w:val="-2"/>
                <w:w w:val="95"/>
                <w:sz w:val="20"/>
              </w:rPr>
              <w:t xml:space="preserve"> i usł</w:t>
            </w:r>
            <w:r>
              <w:rPr>
                <w:rFonts w:ascii="Times New Roman" w:hAnsi="Times New Roman"/>
                <w:color w:val="000000" w:themeColor="text1"/>
                <w:spacing w:val="-2"/>
                <w:w w:val="95"/>
                <w:sz w:val="20"/>
              </w:rPr>
              <w:t>ug nierynkowych przeznaczonych dla konkretnych grup gospodarstw domowych.</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Przedsiębiorstwa niefinansowe (MŚP)</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Tytuł I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załącznika do zalecenia Komisji</w:t>
            </w:r>
            <w:r w:rsidR="004D7F8C">
              <w:rPr>
                <w:rFonts w:ascii="Times New Roman" w:hAnsi="Times New Roman"/>
                <w:color w:val="000000" w:themeColor="text1"/>
                <w:spacing w:val="-2"/>
                <w:w w:val="95"/>
                <w:sz w:val="20"/>
              </w:rPr>
              <w:t xml:space="preserve"> z dni</w:t>
            </w:r>
            <w:r>
              <w:rPr>
                <w:rFonts w:ascii="Times New Roman" w:hAnsi="Times New Roman"/>
                <w:color w:val="000000" w:themeColor="text1"/>
                <w:spacing w:val="-2"/>
                <w:w w:val="95"/>
                <w:sz w:val="20"/>
              </w:rPr>
              <w:t>a 6 maja 20</w:t>
            </w:r>
            <w:r w:rsidRPr="004D7F8C">
              <w:rPr>
                <w:rFonts w:ascii="Times New Roman" w:hAnsi="Times New Roman"/>
                <w:color w:val="000000" w:themeColor="text1"/>
                <w:spacing w:val="-2"/>
                <w:w w:val="95"/>
                <w:sz w:val="20"/>
              </w:rPr>
              <w:t>03</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r.</w:t>
            </w:r>
            <w:r>
              <w:rPr>
                <w:rStyle w:val="FootnoteReference"/>
                <w:color w:val="1A171C"/>
                <w:spacing w:val="-2"/>
                <w:w w:val="95"/>
              </w:rPr>
              <w:footnoteReference w:id="8"/>
            </w:r>
            <w:r>
              <w:rPr>
                <w:rFonts w:ascii="Times New Roman" w:hAnsi="Times New Roman"/>
                <w:color w:val="000000" w:themeColor="text1"/>
                <w:spacing w:val="-2"/>
                <w:w w:val="95"/>
                <w:sz w:val="20"/>
              </w:rPr>
              <w:t xml:space="preserve">; 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Przedsiębiorstwa, które zatrudniają mniej niż 250 pracowników</w:t>
            </w:r>
            <w:r w:rsidR="004D7F8C">
              <w:rPr>
                <w:rFonts w:ascii="Times New Roman" w:hAnsi="Times New Roman"/>
                <w:color w:val="000000" w:themeColor="text1"/>
                <w:spacing w:val="-2"/>
                <w:w w:val="95"/>
                <w:sz w:val="20"/>
              </w:rPr>
              <w:t xml:space="preserve"> i któ</w:t>
            </w:r>
            <w:r>
              <w:rPr>
                <w:rFonts w:ascii="Times New Roman" w:hAnsi="Times New Roman"/>
                <w:color w:val="000000" w:themeColor="text1"/>
                <w:spacing w:val="-2"/>
                <w:w w:val="95"/>
                <w:sz w:val="20"/>
              </w:rPr>
              <w:t>rych roczny obrót nie przekracza 50 mln EUR lub których roczna suma bilansowa nie przekracza 43 mln EUR.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Przedsiębiorstwa niefinansowe (inne niż MŚP)</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2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Przedsiębiorstwa</w:t>
            </w:r>
            <w:r w:rsidR="004D7F8C">
              <w:rPr>
                <w:rFonts w:ascii="Times New Roman" w:hAnsi="Times New Roman"/>
                <w:color w:val="000000" w:themeColor="text1"/>
                <w:spacing w:val="-2"/>
                <w:w w:val="95"/>
                <w:sz w:val="20"/>
              </w:rPr>
              <w:t xml:space="preserve"> i jed</w:t>
            </w:r>
            <w:r>
              <w:rPr>
                <w:rFonts w:ascii="Times New Roman" w:hAnsi="Times New Roman"/>
                <w:color w:val="000000" w:themeColor="text1"/>
                <w:spacing w:val="-2"/>
                <w:w w:val="95"/>
                <w:sz w:val="20"/>
              </w:rPr>
              <w:t>nostki typu przedsiębiorstwo niezaangażowane</w:t>
            </w:r>
            <w:r w:rsidR="004D7F8C">
              <w:rPr>
                <w:rFonts w:ascii="Times New Roman" w:hAnsi="Times New Roman"/>
                <w:color w:val="000000" w:themeColor="text1"/>
                <w:spacing w:val="-2"/>
                <w:w w:val="95"/>
                <w:sz w:val="20"/>
              </w:rPr>
              <w:t xml:space="preserve"> w poś</w:t>
            </w:r>
            <w:r>
              <w:rPr>
                <w:rFonts w:ascii="Times New Roman" w:hAnsi="Times New Roman"/>
                <w:color w:val="000000" w:themeColor="text1"/>
                <w:spacing w:val="-2"/>
                <w:w w:val="95"/>
                <w:sz w:val="20"/>
              </w:rPr>
              <w:t>rednictwo finansowe, których podstawową działalnością jest produkcja wyrobów rynkowych</w:t>
            </w:r>
            <w:r w:rsidR="004D7F8C">
              <w:rPr>
                <w:rFonts w:ascii="Times New Roman" w:hAnsi="Times New Roman"/>
                <w:color w:val="000000" w:themeColor="text1"/>
                <w:spacing w:val="-2"/>
                <w:w w:val="95"/>
                <w:sz w:val="20"/>
              </w:rPr>
              <w:t xml:space="preserve"> i usł</w:t>
            </w:r>
            <w:r>
              <w:rPr>
                <w:rFonts w:ascii="Times New Roman" w:hAnsi="Times New Roman"/>
                <w:color w:val="000000" w:themeColor="text1"/>
                <w:spacing w:val="-2"/>
                <w:w w:val="95"/>
                <w:sz w:val="20"/>
              </w:rPr>
              <w:t>ug niefinansowych zgodnie</w:t>
            </w:r>
            <w:r w:rsidR="004D7F8C">
              <w:rPr>
                <w:rFonts w:ascii="Times New Roman" w:hAnsi="Times New Roman"/>
                <w:color w:val="000000" w:themeColor="text1"/>
                <w:spacing w:val="-2"/>
                <w:w w:val="95"/>
                <w:sz w:val="20"/>
              </w:rPr>
              <w:t xml:space="preserve"> z roz</w:t>
            </w:r>
            <w:r>
              <w:rPr>
                <w:rFonts w:ascii="Times New Roman" w:hAnsi="Times New Roman"/>
                <w:color w:val="000000" w:themeColor="text1"/>
                <w:spacing w:val="-2"/>
                <w:w w:val="95"/>
                <w:sz w:val="20"/>
              </w:rPr>
              <w:t xml:space="preserve">porządzeniem Europejskiego Banku Centralnego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071/2013</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 wyłączeniem „MŚP” zgłaszanych</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 xml:space="preserve">umnie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Instytucje kredytowe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2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Instytucje kredytowe</w:t>
            </w:r>
            <w:r w:rsidR="004D7F8C">
              <w:rPr>
                <w:rFonts w:ascii="Times New Roman" w:hAnsi="Times New Roman"/>
                <w:color w:val="000000" w:themeColor="text1"/>
                <w:spacing w:val="-2"/>
                <w:w w:val="95"/>
                <w:sz w:val="20"/>
              </w:rPr>
              <w:t xml:space="preserve"> w zna</w:t>
            </w:r>
            <w:r>
              <w:rPr>
                <w:rFonts w:ascii="Times New Roman" w:hAnsi="Times New Roman"/>
                <w:color w:val="000000" w:themeColor="text1"/>
                <w:spacing w:val="-2"/>
                <w:w w:val="95"/>
                <w:sz w:val="20"/>
              </w:rPr>
              <w:t xml:space="preserve">czeniu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r w:rsidR="004D7F8C">
              <w:rPr>
                <w:rFonts w:ascii="Times New Roman" w:hAnsi="Times New Roman"/>
                <w:color w:val="000000" w:themeColor="text1"/>
                <w:spacing w:val="-2"/>
                <w:w w:val="95"/>
                <w:sz w:val="20"/>
              </w:rPr>
              <w:t xml:space="preserve"> i wie</w:t>
            </w:r>
            <w:r>
              <w:rPr>
                <w:rFonts w:ascii="Times New Roman" w:hAnsi="Times New Roman"/>
                <w:color w:val="000000" w:themeColor="text1"/>
                <w:spacing w:val="-2"/>
                <w:w w:val="95"/>
                <w:sz w:val="20"/>
              </w:rPr>
              <w:t>lostronne banki rozwoju.</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Inne przedsiębiorstwa finansowe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2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Wszystkie instytucje finansowe</w:t>
            </w:r>
            <w:r w:rsidR="004D7F8C">
              <w:rPr>
                <w:rFonts w:ascii="Times New Roman" w:hAnsi="Times New Roman"/>
                <w:color w:val="000000" w:themeColor="text1"/>
                <w:spacing w:val="-2"/>
                <w:w w:val="95"/>
                <w:sz w:val="20"/>
              </w:rPr>
              <w:t xml:space="preserve"> i jed</w:t>
            </w:r>
            <w:r>
              <w:rPr>
                <w:rFonts w:ascii="Times New Roman" w:hAnsi="Times New Roman"/>
                <w:color w:val="000000" w:themeColor="text1"/>
                <w:spacing w:val="-2"/>
                <w:w w:val="95"/>
                <w:sz w:val="20"/>
              </w:rPr>
              <w:t>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w:t>
            </w:r>
            <w:r w:rsidR="004D7F8C">
              <w:rPr>
                <w:rFonts w:ascii="Times New Roman" w:hAnsi="Times New Roman"/>
                <w:color w:val="000000" w:themeColor="text1"/>
                <w:spacing w:val="-2"/>
                <w:w w:val="95"/>
                <w:sz w:val="20"/>
              </w:rPr>
              <w:t xml:space="preserve"> i ins</w:t>
            </w:r>
            <w:r>
              <w:rPr>
                <w:rFonts w:ascii="Times New Roman" w:hAnsi="Times New Roman"/>
                <w:color w:val="000000" w:themeColor="text1"/>
                <w:spacing w:val="-2"/>
                <w:w w:val="95"/>
                <w:sz w:val="20"/>
              </w:rPr>
              <w:t>tytucje finansowe typu „</w:t>
            </w:r>
            <w:proofErr w:type="spellStart"/>
            <w:r>
              <w:rPr>
                <w:rFonts w:ascii="Times New Roman" w:hAnsi="Times New Roman"/>
                <w:color w:val="000000" w:themeColor="text1"/>
                <w:spacing w:val="-2"/>
                <w:w w:val="95"/>
                <w:sz w:val="20"/>
              </w:rPr>
              <w:t>captive</w:t>
            </w:r>
            <w:proofErr w:type="spellEnd"/>
            <w:r>
              <w:rPr>
                <w:rFonts w:ascii="Times New Roman" w:hAnsi="Times New Roman"/>
                <w:color w:val="000000" w:themeColor="text1"/>
                <w:spacing w:val="-2"/>
                <w:w w:val="95"/>
                <w:sz w:val="20"/>
              </w:rPr>
              <w:t>” oraz instytucje udzielające pożyczek.</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Sektor instytucji rządowych</w:t>
            </w:r>
            <w:r w:rsidR="004D7F8C">
              <w:rPr>
                <w:rFonts w:ascii="Times New Roman" w:hAnsi="Times New Roman"/>
                <w:b/>
                <w:color w:val="000000" w:themeColor="text1"/>
                <w:spacing w:val="-2"/>
                <w:w w:val="95"/>
                <w:sz w:val="20"/>
              </w:rPr>
              <w:t xml:space="preserve"> i sam</w:t>
            </w:r>
            <w:r>
              <w:rPr>
                <w:rFonts w:ascii="Times New Roman" w:hAnsi="Times New Roman"/>
                <w:b/>
                <w:color w:val="000000" w:themeColor="text1"/>
                <w:spacing w:val="-2"/>
                <w:w w:val="95"/>
                <w:sz w:val="20"/>
              </w:rPr>
              <w:t>orządowych oraz banki centralne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2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i 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Banki centralne</w:t>
            </w:r>
            <w:r w:rsidR="004D7F8C">
              <w:rPr>
                <w:rFonts w:ascii="Times New Roman" w:hAnsi="Times New Roman"/>
                <w:color w:val="000000" w:themeColor="text1"/>
                <w:spacing w:val="-2"/>
                <w:w w:val="95"/>
                <w:sz w:val="20"/>
              </w:rPr>
              <w:t xml:space="preserve"> i rzą</w:t>
            </w:r>
            <w:r>
              <w:rPr>
                <w:rFonts w:ascii="Times New Roman" w:hAnsi="Times New Roman"/>
                <w:color w:val="000000" w:themeColor="text1"/>
                <w:spacing w:val="-2"/>
                <w:w w:val="95"/>
                <w:sz w:val="20"/>
              </w:rPr>
              <w:t>dy centralne, krajowe lub regionalne</w:t>
            </w:r>
            <w:r w:rsidR="004D7F8C">
              <w:rPr>
                <w:rFonts w:ascii="Times New Roman" w:hAnsi="Times New Roman"/>
                <w:color w:val="000000" w:themeColor="text1"/>
                <w:spacing w:val="-2"/>
                <w:w w:val="95"/>
                <w:sz w:val="20"/>
              </w:rPr>
              <w:t xml:space="preserve"> i sam</w:t>
            </w:r>
            <w:r>
              <w:rPr>
                <w:rFonts w:ascii="Times New Roman" w:hAnsi="Times New Roman"/>
                <w:color w:val="000000" w:themeColor="text1"/>
                <w:spacing w:val="-2"/>
                <w:w w:val="95"/>
                <w:sz w:val="20"/>
              </w:rPr>
              <w:t>orządy lokalne,</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organy administracyjne</w:t>
            </w:r>
            <w:r w:rsidR="004D7F8C">
              <w:rPr>
                <w:rFonts w:ascii="Times New Roman" w:hAnsi="Times New Roman"/>
                <w:color w:val="000000" w:themeColor="text1"/>
                <w:spacing w:val="-2"/>
                <w:w w:val="95"/>
                <w:sz w:val="20"/>
              </w:rPr>
              <w:t xml:space="preserve"> i jed</w:t>
            </w:r>
            <w:r>
              <w:rPr>
                <w:rFonts w:ascii="Times New Roman" w:hAnsi="Times New Roman"/>
                <w:color w:val="000000" w:themeColor="text1"/>
                <w:spacing w:val="-2"/>
                <w:w w:val="95"/>
                <w:sz w:val="20"/>
              </w:rPr>
              <w:t>nostki niekomercyjne,</w:t>
            </w:r>
            <w:r w:rsidR="004D7F8C">
              <w:rPr>
                <w:rFonts w:ascii="Times New Roman" w:hAnsi="Times New Roman"/>
                <w:color w:val="000000" w:themeColor="text1"/>
                <w:spacing w:val="-2"/>
                <w:w w:val="95"/>
                <w:sz w:val="20"/>
              </w:rPr>
              <w:t xml:space="preserve"> z wyj</w:t>
            </w:r>
            <w:r>
              <w:rPr>
                <w:rFonts w:ascii="Times New Roman" w:hAnsi="Times New Roman"/>
                <w:color w:val="000000" w:themeColor="text1"/>
                <w:spacing w:val="-2"/>
                <w:w w:val="95"/>
                <w:sz w:val="20"/>
              </w:rPr>
              <w:t>ątkiem posiadanych przez te organy administracyjne spółek publicznych</w:t>
            </w:r>
            <w:r w:rsidR="004D7F8C">
              <w:rPr>
                <w:rFonts w:ascii="Times New Roman" w:hAnsi="Times New Roman"/>
                <w:color w:val="000000" w:themeColor="text1"/>
                <w:spacing w:val="-2"/>
                <w:w w:val="95"/>
                <w:sz w:val="20"/>
              </w:rPr>
              <w:t xml:space="preserve"> i pry</w:t>
            </w:r>
            <w:r>
              <w:rPr>
                <w:rFonts w:ascii="Times New Roman" w:hAnsi="Times New Roman"/>
                <w:color w:val="000000" w:themeColor="text1"/>
                <w:spacing w:val="-2"/>
                <w:w w:val="95"/>
                <w:sz w:val="20"/>
              </w:rPr>
              <w:t>watnych prowadzących działalność komercyjną (które należy zgłaszać</w:t>
            </w:r>
            <w:r w:rsidR="004D7F8C">
              <w:rPr>
                <w:rFonts w:ascii="Times New Roman" w:hAnsi="Times New Roman"/>
                <w:color w:val="000000" w:themeColor="text1"/>
                <w:spacing w:val="-2"/>
                <w:w w:val="95"/>
                <w:sz w:val="20"/>
              </w:rPr>
              <w:t xml:space="preserve"> w poz</w:t>
            </w:r>
            <w:r>
              <w:rPr>
                <w:rFonts w:ascii="Times New Roman" w:hAnsi="Times New Roman"/>
                <w:color w:val="000000" w:themeColor="text1"/>
                <w:spacing w:val="-2"/>
                <w:w w:val="95"/>
                <w:sz w:val="20"/>
              </w:rPr>
              <w:t>ycji „instytucje kredytowe”, „inne instytucje finansowe” lub „przedsiębiorstwa niefinansowe”</w:t>
            </w:r>
            <w:r w:rsidR="004D7F8C">
              <w:rPr>
                <w:rFonts w:ascii="Times New Roman" w:hAnsi="Times New Roman"/>
                <w:color w:val="000000" w:themeColor="text1"/>
                <w:spacing w:val="-2"/>
                <w:w w:val="95"/>
                <w:sz w:val="20"/>
              </w:rPr>
              <w:t xml:space="preserve"> w zal</w:t>
            </w:r>
            <w:r>
              <w:rPr>
                <w:rFonts w:ascii="Times New Roman" w:hAnsi="Times New Roman"/>
                <w:color w:val="000000" w:themeColor="text1"/>
                <w:spacing w:val="-2"/>
                <w:w w:val="95"/>
                <w:sz w:val="20"/>
              </w:rPr>
              <w:t>eżności od prowadzonej przez nie działalności); fundusze zabezpieczenia społecznego; oraz organizacje międzynarodowe, takie jak instytucje Unii Europejskiej, Międzynarodowy Fundusz Walutowy oraz Bank Rozrachunków Międzynarodowych.</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Niezidentyfikowane, notowane</w:t>
            </w:r>
            <w:r w:rsidR="004D7F8C">
              <w:rPr>
                <w:rFonts w:ascii="Times New Roman" w:hAnsi="Times New Roman"/>
                <w:b/>
                <w:color w:val="000000" w:themeColor="text1"/>
                <w:spacing w:val="-2"/>
                <w:w w:val="95"/>
                <w:sz w:val="20"/>
              </w:rPr>
              <w:t xml:space="preserve"> w sys</w:t>
            </w:r>
            <w:r>
              <w:rPr>
                <w:rFonts w:ascii="Times New Roman" w:hAnsi="Times New Roman"/>
                <w:b/>
                <w:color w:val="000000" w:themeColor="text1"/>
                <w:spacing w:val="-2"/>
                <w:w w:val="95"/>
                <w:sz w:val="20"/>
              </w:rPr>
              <w:t>temie obrotu</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Jeżeli nie jest znana tożsamość posiadacza zabezpieczenia ze względu na to, że instrumenty są notowane</w:t>
            </w:r>
            <w:r w:rsidR="004D7F8C">
              <w:rPr>
                <w:rFonts w:ascii="Times New Roman" w:hAnsi="Times New Roman"/>
                <w:color w:val="000000" w:themeColor="text1"/>
                <w:spacing w:val="-2"/>
                <w:w w:val="95"/>
                <w:sz w:val="20"/>
              </w:rPr>
              <w:t xml:space="preserve"> w sys</w:t>
            </w:r>
            <w:r>
              <w:rPr>
                <w:rFonts w:ascii="Times New Roman" w:hAnsi="Times New Roman"/>
                <w:color w:val="000000" w:themeColor="text1"/>
                <w:spacing w:val="-2"/>
                <w:w w:val="95"/>
                <w:sz w:val="20"/>
              </w:rPr>
              <w:t>temie obrotu zdefiniowanym</w:t>
            </w:r>
            <w:r w:rsidR="004D7F8C">
              <w:rPr>
                <w:rFonts w:ascii="Times New Roman" w:hAnsi="Times New Roman"/>
                <w:color w:val="000000" w:themeColor="text1"/>
                <w:spacing w:val="-2"/>
                <w:w w:val="95"/>
                <w:sz w:val="20"/>
              </w:rPr>
              <w:t xml:space="preserve"> w dyr</w:t>
            </w:r>
            <w:r>
              <w:rPr>
                <w:rFonts w:ascii="Times New Roman" w:hAnsi="Times New Roman"/>
                <w:color w:val="000000" w:themeColor="text1"/>
                <w:spacing w:val="-2"/>
                <w:w w:val="95"/>
                <w:sz w:val="20"/>
              </w:rPr>
              <w:t>ektywie Parlamentu Europejskiego</w:t>
            </w:r>
            <w:r w:rsidR="004D7F8C">
              <w:rPr>
                <w:rFonts w:ascii="Times New Roman" w:hAnsi="Times New Roman"/>
                <w:color w:val="000000" w:themeColor="text1"/>
                <w:spacing w:val="-2"/>
                <w:w w:val="95"/>
                <w:sz w:val="20"/>
              </w:rPr>
              <w:t xml:space="preserve"> i Rad</w:t>
            </w:r>
            <w:r>
              <w:rPr>
                <w:rFonts w:ascii="Times New Roman" w:hAnsi="Times New Roman"/>
                <w:color w:val="000000" w:themeColor="text1"/>
                <w:spacing w:val="-2"/>
                <w:w w:val="95"/>
                <w:sz w:val="20"/>
              </w:rPr>
              <w:t>y 2014/65/UE</w:t>
            </w:r>
            <w:r w:rsidR="004D7F8C">
              <w:rPr>
                <w:rFonts w:ascii="Times New Roman" w:hAnsi="Times New Roman"/>
                <w:color w:val="000000" w:themeColor="text1"/>
                <w:spacing w:val="-2"/>
                <w:w w:val="95"/>
                <w:sz w:val="20"/>
              </w:rPr>
              <w:t xml:space="preserve"> z dni</w:t>
            </w:r>
            <w:r>
              <w:rPr>
                <w:rFonts w:ascii="Times New Roman" w:hAnsi="Times New Roman"/>
                <w:color w:val="000000" w:themeColor="text1"/>
                <w:spacing w:val="-2"/>
                <w:w w:val="95"/>
                <w:sz w:val="20"/>
              </w:rPr>
              <w:t>a 15 maja 20</w:t>
            </w:r>
            <w:r w:rsidRPr="004D7F8C">
              <w:rPr>
                <w:rFonts w:ascii="Times New Roman" w:hAnsi="Times New Roman"/>
                <w:color w:val="000000" w:themeColor="text1"/>
                <w:spacing w:val="-2"/>
                <w:w w:val="95"/>
                <w:sz w:val="20"/>
              </w:rPr>
              <w:t>14</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r.</w:t>
            </w:r>
            <w:r w:rsidR="004D7F8C">
              <w:rPr>
                <w:rFonts w:ascii="Times New Roman" w:hAnsi="Times New Roman"/>
                <w:color w:val="000000" w:themeColor="text1"/>
                <w:spacing w:val="-2"/>
                <w:w w:val="95"/>
                <w:sz w:val="20"/>
              </w:rPr>
              <w:t xml:space="preserve"> w spr</w:t>
            </w:r>
            <w:r>
              <w:rPr>
                <w:rFonts w:ascii="Times New Roman" w:hAnsi="Times New Roman"/>
                <w:color w:val="000000" w:themeColor="text1"/>
                <w:spacing w:val="-2"/>
                <w:w w:val="95"/>
                <w:sz w:val="20"/>
              </w:rPr>
              <w:t>awie rynków instrumentów finansowych, kwoty należy przypisać do niniejszej kolumny.</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Niezidentyfikowane, nienotowane</w:t>
            </w:r>
            <w:r w:rsidR="004D7F8C">
              <w:rPr>
                <w:rFonts w:ascii="Times New Roman" w:hAnsi="Times New Roman"/>
                <w:b/>
                <w:color w:val="000000" w:themeColor="text1"/>
                <w:spacing w:val="-2"/>
                <w:w w:val="95"/>
                <w:sz w:val="20"/>
              </w:rPr>
              <w:t xml:space="preserve"> w sys</w:t>
            </w:r>
            <w:r>
              <w:rPr>
                <w:rFonts w:ascii="Times New Roman" w:hAnsi="Times New Roman"/>
                <w:b/>
                <w:color w:val="000000" w:themeColor="text1"/>
                <w:spacing w:val="-2"/>
                <w:w w:val="95"/>
                <w:sz w:val="20"/>
              </w:rPr>
              <w:t>temie obrotu</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nie jest znana tożsamość posiadacza zabezpieczenia,</w:t>
            </w:r>
            <w:r w:rsidR="004D7F8C">
              <w:rPr>
                <w:rFonts w:ascii="Times New Roman" w:hAnsi="Times New Roman"/>
                <w:color w:val="000000" w:themeColor="text1"/>
                <w:spacing w:val="-2"/>
                <w:w w:val="95"/>
                <w:sz w:val="20"/>
              </w:rPr>
              <w:t xml:space="preserve"> a ins</w:t>
            </w:r>
            <w:r>
              <w:rPr>
                <w:rFonts w:ascii="Times New Roman" w:hAnsi="Times New Roman"/>
                <w:color w:val="000000" w:themeColor="text1"/>
                <w:spacing w:val="-2"/>
                <w:w w:val="95"/>
                <w:sz w:val="20"/>
              </w:rPr>
              <w:t>trumenty nie są notowane</w:t>
            </w:r>
            <w:r w:rsidR="004D7F8C">
              <w:rPr>
                <w:rFonts w:ascii="Times New Roman" w:hAnsi="Times New Roman"/>
                <w:color w:val="000000" w:themeColor="text1"/>
                <w:spacing w:val="-2"/>
                <w:w w:val="95"/>
                <w:sz w:val="20"/>
              </w:rPr>
              <w:t xml:space="preserve"> w sys</w:t>
            </w:r>
            <w:r>
              <w:rPr>
                <w:rFonts w:ascii="Times New Roman" w:hAnsi="Times New Roman"/>
                <w:color w:val="000000" w:themeColor="text1"/>
                <w:spacing w:val="-2"/>
                <w:w w:val="95"/>
                <w:sz w:val="20"/>
              </w:rPr>
              <w:t>temie obrotu, kwoty należy przypisać do niniejszej kolumny bez konieczności dalszego podziału kontrahentów. Podmioty dokładają wszelkich starań, aby zidentyfikować kontrahentów</w:t>
            </w:r>
            <w:r w:rsidR="004D7F8C">
              <w:rPr>
                <w:rFonts w:ascii="Times New Roman" w:hAnsi="Times New Roman"/>
                <w:color w:val="000000" w:themeColor="text1"/>
                <w:spacing w:val="-2"/>
                <w:w w:val="95"/>
                <w:sz w:val="20"/>
              </w:rPr>
              <w:t xml:space="preserve"> i ogr</w:t>
            </w:r>
            <w:r>
              <w:rPr>
                <w:rFonts w:ascii="Times New Roman" w:hAnsi="Times New Roman"/>
                <w:color w:val="000000" w:themeColor="text1"/>
                <w:spacing w:val="-2"/>
                <w:w w:val="95"/>
                <w:sz w:val="20"/>
              </w:rPr>
              <w:t>aniczyć stosowanie niniejszej kolumny do minimum.</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Ogółem</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W tym: wewnątrzgrupowe</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Zobowiązania względem podmiotów ujętych</w:t>
            </w:r>
            <w:r w:rsidR="004D7F8C">
              <w:rPr>
                <w:rFonts w:ascii="Times New Roman" w:hAnsi="Times New Roman"/>
                <w:color w:val="000000" w:themeColor="text1"/>
                <w:spacing w:val="-2"/>
                <w:w w:val="95"/>
                <w:sz w:val="20"/>
              </w:rPr>
              <w:t xml:space="preserve"> w kon</w:t>
            </w:r>
            <w:r>
              <w:rPr>
                <w:rFonts w:ascii="Times New Roman" w:hAnsi="Times New Roman"/>
                <w:color w:val="000000" w:themeColor="text1"/>
                <w:spacing w:val="-2"/>
                <w:w w:val="95"/>
                <w:sz w:val="20"/>
              </w:rPr>
              <w:t xml:space="preserve">solidowanych sprawozdaniach finansowych jednostki dominującej najwyższego szczebla (w przeciwieństwie do zakresu regulacyjnego konsolidacji).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W tym: zobowiązania podlegające prawu państwa trzeciego,</w:t>
            </w:r>
            <w:r w:rsidR="004D7F8C">
              <w:rPr>
                <w:rFonts w:ascii="Times New Roman" w:hAnsi="Times New Roman"/>
                <w:b/>
                <w:color w:val="000000" w:themeColor="text1"/>
                <w:spacing w:val="-2"/>
                <w:w w:val="95"/>
                <w:sz w:val="20"/>
              </w:rPr>
              <w:t xml:space="preserve"> z wył</w:t>
            </w:r>
            <w:r>
              <w:rPr>
                <w:rFonts w:ascii="Times New Roman" w:hAnsi="Times New Roman"/>
                <w:b/>
                <w:color w:val="000000" w:themeColor="text1"/>
                <w:spacing w:val="-2"/>
                <w:w w:val="95"/>
                <w:sz w:val="20"/>
              </w:rPr>
              <w:t>ączeniem wewnątrzgrupowych</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Obejmują one kwoty brutto zobowiązań podlegających prawu państwa trzeciego lub wystawionych przez podmioty powiązane mające siedzibę</w:t>
            </w:r>
            <w:r w:rsidR="004D7F8C">
              <w:rPr>
                <w:rFonts w:ascii="Times New Roman" w:hAnsi="Times New Roman"/>
                <w:color w:val="000000" w:themeColor="text1"/>
                <w:spacing w:val="-2"/>
                <w:w w:val="95"/>
                <w:sz w:val="20"/>
              </w:rPr>
              <w:t xml:space="preserve"> w pań</w:t>
            </w:r>
            <w:r>
              <w:rPr>
                <w:rFonts w:ascii="Times New Roman" w:hAnsi="Times New Roman"/>
                <w:color w:val="000000" w:themeColor="text1"/>
                <w:spacing w:val="-2"/>
                <w:w w:val="95"/>
                <w:sz w:val="20"/>
              </w:rPr>
              <w:t>stwach trzecich. Wyklucza się zobowiązania wewnątrzgrupowe.</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Jeżeli organ ds.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rządkowanej likwidacji jest przekonany,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5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dyrektywy Parlamentu Europejskiego</w:t>
            </w:r>
            <w:r w:rsidR="004D7F8C">
              <w:rPr>
                <w:rFonts w:ascii="Times New Roman" w:hAnsi="Times New Roman"/>
                <w:color w:val="000000" w:themeColor="text1"/>
                <w:spacing w:val="-2"/>
                <w:w w:val="95"/>
                <w:sz w:val="20"/>
              </w:rPr>
              <w:t xml:space="preserve"> i Rad</w:t>
            </w:r>
            <w:r>
              <w:rPr>
                <w:rFonts w:ascii="Times New Roman" w:hAnsi="Times New Roman"/>
                <w:color w:val="000000" w:themeColor="text1"/>
                <w:spacing w:val="-2"/>
                <w:w w:val="95"/>
                <w:sz w:val="20"/>
              </w:rPr>
              <w:t>y 2014/59/UE</w:t>
            </w:r>
            <w:r>
              <w:rPr>
                <w:rStyle w:val="FootnoteReference"/>
                <w:color w:val="000000" w:themeColor="text1"/>
                <w:spacing w:val="-2"/>
                <w:w w:val="95"/>
              </w:rPr>
              <w:footnoteReference w:id="10"/>
            </w:r>
            <w:r>
              <w:rPr>
                <w:rFonts w:ascii="Times New Roman" w:hAnsi="Times New Roman"/>
                <w:color w:val="000000" w:themeColor="text1"/>
                <w:spacing w:val="-2"/>
                <w:w w:val="95"/>
                <w:sz w:val="20"/>
              </w:rPr>
              <w:t>, że każda decyzja organu ds.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rządkowanej likwidacji</w:t>
            </w:r>
            <w:r w:rsidR="004D7F8C">
              <w:rPr>
                <w:rFonts w:ascii="Times New Roman" w:hAnsi="Times New Roman"/>
                <w:color w:val="000000" w:themeColor="text1"/>
                <w:spacing w:val="-2"/>
                <w:w w:val="95"/>
                <w:sz w:val="20"/>
              </w:rPr>
              <w:t xml:space="preserve"> o umo</w:t>
            </w:r>
            <w:r>
              <w:rPr>
                <w:rFonts w:ascii="Times New Roman" w:hAnsi="Times New Roman"/>
                <w:color w:val="000000" w:themeColor="text1"/>
                <w:spacing w:val="-2"/>
                <w:w w:val="95"/>
                <w:sz w:val="20"/>
              </w:rPr>
              <w:t>rzeniu lub konwersji zobowiązania będzie skuteczna na mocy prawa tego państwa trzeciego, zobowiązania tego nie zgłasza się</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tej pozycji.</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Wiersze</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Instrukcje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lastRenderedPageBreak/>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 wyłączone</w:t>
            </w:r>
            <w:r w:rsidR="004D7F8C">
              <w:rPr>
                <w:rFonts w:ascii="Times New Roman" w:hAnsi="Times New Roman"/>
                <w:b/>
                <w:color w:val="000000" w:themeColor="text1"/>
                <w:spacing w:val="-2"/>
                <w:w w:val="95"/>
                <w:sz w:val="20"/>
              </w:rPr>
              <w:t xml:space="preserve"> z umo</w:t>
            </w:r>
            <w:r>
              <w:rPr>
                <w:rFonts w:ascii="Times New Roman" w:hAnsi="Times New Roman"/>
                <w:b/>
                <w:color w:val="000000" w:themeColor="text1"/>
                <w:spacing w:val="-2"/>
                <w:w w:val="95"/>
                <w:sz w:val="20"/>
              </w:rPr>
              <w:t>rzenia lub konwersji długu</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W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2014/59/UE stwierdzono, że „[o]</w:t>
            </w:r>
            <w:proofErr w:type="spellStart"/>
            <w:r>
              <w:rPr>
                <w:rFonts w:ascii="Times New Roman" w:hAnsi="Times New Roman"/>
                <w:color w:val="000000" w:themeColor="text1"/>
                <w:spacing w:val="-2"/>
                <w:w w:val="95"/>
                <w:sz w:val="20"/>
              </w:rPr>
              <w:t>rgany</w:t>
            </w:r>
            <w:proofErr w:type="spellEnd"/>
            <w:r>
              <w:rPr>
                <w:rFonts w:ascii="Times New Roman" w:hAnsi="Times New Roman"/>
                <w:color w:val="000000" w:themeColor="text1"/>
                <w:spacing w:val="-2"/>
                <w:w w:val="95"/>
                <w:sz w:val="20"/>
              </w:rPr>
              <w:t xml:space="preserve"> ds.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rządkowanej likwidacji nie wykonują uprawnień do umorzenia lub konwersji</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następujących zobowiązań niezależnie od faktu czy podlegają ustawodawstwu państwa członkowskiego czy też kraju trzeciego”.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Depozyty gwarantowane</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Kwota gwarantowanych depozytów zdefiniowanych</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dyrektywy Parlamentu Europejskiego</w:t>
            </w:r>
            <w:r w:rsidR="004D7F8C">
              <w:rPr>
                <w:rFonts w:ascii="Times New Roman" w:hAnsi="Times New Roman"/>
                <w:color w:val="000000" w:themeColor="text1"/>
                <w:spacing w:val="-2"/>
                <w:w w:val="95"/>
                <w:sz w:val="20"/>
              </w:rPr>
              <w:t xml:space="preserve"> i Rad</w:t>
            </w:r>
            <w:r>
              <w:rPr>
                <w:rFonts w:ascii="Times New Roman" w:hAnsi="Times New Roman"/>
                <w:color w:val="000000" w:themeColor="text1"/>
                <w:spacing w:val="-2"/>
                <w:w w:val="95"/>
                <w:sz w:val="20"/>
              </w:rPr>
              <w:t>y 2014/49/UE</w:t>
            </w:r>
            <w:r>
              <w:rPr>
                <w:rStyle w:val="FootnoteReference"/>
                <w:color w:val="000000" w:themeColor="text1"/>
              </w:rPr>
              <w:footnoteReference w:id="11"/>
            </w:r>
            <w:r w:rsidR="004D7F8C">
              <w:rPr>
                <w:rFonts w:ascii="Times New Roman" w:hAnsi="Times New Roman"/>
                <w:color w:val="000000" w:themeColor="text1"/>
                <w:spacing w:val="-2"/>
                <w:w w:val="95"/>
                <w:sz w:val="20"/>
              </w:rPr>
              <w:t xml:space="preserve"> z wył</w:t>
            </w:r>
            <w:r>
              <w:rPr>
                <w:rFonts w:ascii="Times New Roman" w:hAnsi="Times New Roman"/>
                <w:color w:val="000000" w:themeColor="text1"/>
                <w:spacing w:val="-2"/>
                <w:w w:val="95"/>
                <w:sz w:val="20"/>
              </w:rPr>
              <w:t>ączeniem tymczasowych wysokich sald zdefiniowanych</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przedmiotowej dyrektywy.</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 zabezpieczone – zabezpieczona część</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b)</w:t>
            </w:r>
            <w:r>
              <w:rPr>
                <w:rFonts w:ascii="Times New Roman" w:hAnsi="Times New Roman"/>
                <w:color w:val="000000" w:themeColor="text1"/>
                <w:spacing w:val="-2"/>
                <w:w w:val="95"/>
                <w:sz w:val="20"/>
              </w:rPr>
              <w:t xml:space="preserve"> dyrektywy 2014/59/UE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Zobowiązania zabezpieczone,</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umowy</w:t>
            </w:r>
            <w:r w:rsidR="004D7F8C">
              <w:rPr>
                <w:rFonts w:ascii="Times New Roman" w:hAnsi="Times New Roman"/>
                <w:color w:val="000000" w:themeColor="text1"/>
                <w:spacing w:val="-2"/>
                <w:w w:val="95"/>
                <w:sz w:val="20"/>
              </w:rPr>
              <w:t xml:space="preserve"> z udz</w:t>
            </w:r>
            <w:r>
              <w:rPr>
                <w:rFonts w:ascii="Times New Roman" w:hAnsi="Times New Roman"/>
                <w:color w:val="000000" w:themeColor="text1"/>
                <w:spacing w:val="-2"/>
                <w:w w:val="95"/>
                <w:sz w:val="20"/>
              </w:rPr>
              <w:t xml:space="preserve">ielonym przyrzeczeniem odkupu (umowy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obligacje zabezpieczone</w:t>
            </w:r>
            <w:r w:rsidR="004D7F8C">
              <w:rPr>
                <w:rFonts w:ascii="Times New Roman" w:hAnsi="Times New Roman"/>
                <w:color w:val="000000" w:themeColor="text1"/>
                <w:spacing w:val="-2"/>
                <w:w w:val="95"/>
                <w:sz w:val="20"/>
              </w:rPr>
              <w:t xml:space="preserve"> i zob</w:t>
            </w:r>
            <w:r>
              <w:rPr>
                <w:rFonts w:ascii="Times New Roman" w:hAnsi="Times New Roman"/>
                <w:color w:val="000000" w:themeColor="text1"/>
                <w:spacing w:val="-2"/>
                <w:w w:val="95"/>
                <w:sz w:val="20"/>
              </w:rPr>
              <w:t>owiązania</w:t>
            </w:r>
            <w:r w:rsidR="004D7F8C">
              <w:rPr>
                <w:rFonts w:ascii="Times New Roman" w:hAnsi="Times New Roman"/>
                <w:color w:val="000000" w:themeColor="text1"/>
                <w:spacing w:val="-2"/>
                <w:w w:val="95"/>
                <w:sz w:val="20"/>
              </w:rPr>
              <w:t xml:space="preserve"> w pos</w:t>
            </w:r>
            <w:r>
              <w:rPr>
                <w:rFonts w:ascii="Times New Roman" w:hAnsi="Times New Roman"/>
                <w:color w:val="000000" w:themeColor="text1"/>
                <w:spacing w:val="-2"/>
                <w:w w:val="95"/>
                <w:sz w:val="20"/>
              </w:rPr>
              <w:t>taci instrumentów finansowych, które stanowią integralną część podstawy zabezpieczenia</w:t>
            </w:r>
            <w:r w:rsidR="004D7F8C">
              <w:rPr>
                <w:rFonts w:ascii="Times New Roman" w:hAnsi="Times New Roman"/>
                <w:color w:val="000000" w:themeColor="text1"/>
                <w:spacing w:val="-2"/>
                <w:w w:val="95"/>
                <w:sz w:val="20"/>
              </w:rPr>
              <w:t xml:space="preserve"> i któ</w:t>
            </w:r>
            <w:r>
              <w:rPr>
                <w:rFonts w:ascii="Times New Roman" w:hAnsi="Times New Roman"/>
                <w:color w:val="000000" w:themeColor="text1"/>
                <w:spacing w:val="-2"/>
                <w:w w:val="95"/>
                <w:sz w:val="20"/>
              </w:rPr>
              <w:t>re zgodnie</w:t>
            </w:r>
            <w:r w:rsidR="004D7F8C">
              <w:rPr>
                <w:rFonts w:ascii="Times New Roman" w:hAnsi="Times New Roman"/>
                <w:color w:val="000000" w:themeColor="text1"/>
                <w:spacing w:val="-2"/>
                <w:w w:val="95"/>
                <w:sz w:val="20"/>
              </w:rPr>
              <w:t xml:space="preserve"> z pra</w:t>
            </w:r>
            <w:r>
              <w:rPr>
                <w:rFonts w:ascii="Times New Roman" w:hAnsi="Times New Roman"/>
                <w:color w:val="000000" w:themeColor="text1"/>
                <w:spacing w:val="-2"/>
                <w:w w:val="95"/>
                <w:sz w:val="20"/>
              </w:rPr>
              <w:t>wem krajowym są zabezpieczone</w:t>
            </w:r>
            <w:r w:rsidR="004D7F8C">
              <w:rPr>
                <w:rFonts w:ascii="Times New Roman" w:hAnsi="Times New Roman"/>
                <w:color w:val="000000" w:themeColor="text1"/>
                <w:spacing w:val="-2"/>
                <w:w w:val="95"/>
                <w:sz w:val="20"/>
              </w:rPr>
              <w:t xml:space="preserve"> w spo</w:t>
            </w:r>
            <w:r>
              <w:rPr>
                <w:rFonts w:ascii="Times New Roman" w:hAnsi="Times New Roman"/>
                <w:color w:val="000000" w:themeColor="text1"/>
                <w:spacing w:val="-2"/>
                <w:w w:val="95"/>
                <w:sz w:val="20"/>
              </w:rPr>
              <w:t>sób podobny do obligacji zabezpieczonych.</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Ani wymóg zapewnienia, aby wszystkie aktywa zabezpieczone związane</w:t>
            </w:r>
            <w:r w:rsidR="004D7F8C">
              <w:rPr>
                <w:rFonts w:ascii="Times New Roman" w:hAnsi="Times New Roman"/>
                <w:color w:val="000000" w:themeColor="text1"/>
                <w:spacing w:val="-2"/>
                <w:w w:val="95"/>
                <w:sz w:val="20"/>
              </w:rPr>
              <w:t xml:space="preserve"> z pul</w:t>
            </w:r>
            <w:r>
              <w:rPr>
                <w:rFonts w:ascii="Times New Roman" w:hAnsi="Times New Roman"/>
                <w:color w:val="000000" w:themeColor="text1"/>
                <w:spacing w:val="-2"/>
                <w:w w:val="95"/>
                <w:sz w:val="20"/>
              </w:rPr>
              <w:t>ą aktywów stanowiących zabezpieczenie obligacji zabezpieczonych pozostały nienaruszone, wyodrębnione</w:t>
            </w:r>
            <w:r w:rsidR="004D7F8C">
              <w:rPr>
                <w:rFonts w:ascii="Times New Roman" w:hAnsi="Times New Roman"/>
                <w:color w:val="000000" w:themeColor="text1"/>
                <w:spacing w:val="-2"/>
                <w:w w:val="95"/>
                <w:sz w:val="20"/>
              </w:rPr>
              <w:t xml:space="preserve"> i aby</w:t>
            </w:r>
            <w:r>
              <w:rPr>
                <w:rFonts w:ascii="Times New Roman" w:hAnsi="Times New Roman"/>
                <w:color w:val="000000" w:themeColor="text1"/>
                <w:spacing w:val="-2"/>
                <w:w w:val="95"/>
                <w:sz w:val="20"/>
              </w:rPr>
              <w:t xml:space="preserve"> posiadały wystarczające ilości funduszy, ani wyłączenie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b)</w:t>
            </w:r>
            <w:r>
              <w:rPr>
                <w:rFonts w:ascii="Times New Roman" w:hAnsi="Times New Roman"/>
                <w:color w:val="000000" w:themeColor="text1"/>
                <w:spacing w:val="-2"/>
                <w:w w:val="95"/>
                <w:sz w:val="20"/>
              </w:rPr>
              <w:t xml:space="preserve"> dyrektywy 2014/59/UE nie uniemożliwiają organom ds.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rządkowanej likwidacji,</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sownych przypadkach, wykonywania tych uprawnień</w:t>
            </w:r>
            <w:r w:rsidR="004D7F8C">
              <w:rPr>
                <w:rFonts w:ascii="Times New Roman" w:hAnsi="Times New Roman"/>
                <w:color w:val="000000" w:themeColor="text1"/>
                <w:spacing w:val="-2"/>
                <w:w w:val="95"/>
                <w:sz w:val="20"/>
              </w:rPr>
              <w:t xml:space="preserve"> w zwi</w:t>
            </w:r>
            <w:r>
              <w:rPr>
                <w:rFonts w:ascii="Times New Roman" w:hAnsi="Times New Roman"/>
                <w:color w:val="000000" w:themeColor="text1"/>
                <w:spacing w:val="-2"/>
                <w:w w:val="95"/>
                <w:sz w:val="20"/>
              </w:rPr>
              <w:t>ązku</w:t>
            </w:r>
            <w:r w:rsidR="004D7F8C">
              <w:rPr>
                <w:rFonts w:ascii="Times New Roman" w:hAnsi="Times New Roman"/>
                <w:color w:val="000000" w:themeColor="text1"/>
                <w:spacing w:val="-2"/>
                <w:w w:val="95"/>
                <w:sz w:val="20"/>
              </w:rPr>
              <w:t xml:space="preserve"> z jak</w:t>
            </w:r>
            <w:r>
              <w:rPr>
                <w:rFonts w:ascii="Times New Roman" w:hAnsi="Times New Roman"/>
                <w:color w:val="000000" w:themeColor="text1"/>
                <w:spacing w:val="-2"/>
                <w:w w:val="95"/>
                <w:sz w:val="20"/>
              </w:rPr>
              <w:t>ąkolwiek częścią zabezpieczonego zobowiązania lub zobowiązania,</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którego ustanowiono zabezpieczenie przekraczające wartość aktywów, zastawu lub zabezpieczenia,</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którego zostało ustanowione. Takiej niezabezpieczonej kwoty przedmiotowych zabezpieczonych zobowiązań nie zgłasza się</w:t>
            </w:r>
            <w:r w:rsidR="004D7F8C">
              <w:rPr>
                <w:rFonts w:ascii="Times New Roman" w:hAnsi="Times New Roman"/>
                <w:color w:val="000000" w:themeColor="text1"/>
                <w:spacing w:val="-2"/>
                <w:w w:val="95"/>
                <w:sz w:val="20"/>
              </w:rPr>
              <w:t xml:space="preserve"> w nin</w:t>
            </w:r>
            <w:r>
              <w:rPr>
                <w:rFonts w:ascii="Times New Roman" w:hAnsi="Times New Roman"/>
                <w:color w:val="000000" w:themeColor="text1"/>
                <w:spacing w:val="-2"/>
                <w:w w:val="95"/>
                <w:sz w:val="20"/>
              </w:rPr>
              <w:t>iejszym wierszu, lecz</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rszu 0340</w:t>
            </w:r>
            <w:r w:rsidR="004D7F8C">
              <w:rPr>
                <w:rFonts w:ascii="Times New Roman" w:hAnsi="Times New Roman"/>
                <w:color w:val="000000" w:themeColor="text1"/>
                <w:spacing w:val="-2"/>
                <w:w w:val="95"/>
                <w:sz w:val="20"/>
              </w:rPr>
              <w:t xml:space="preserve"> z zas</w:t>
            </w:r>
            <w:r>
              <w:rPr>
                <w:rFonts w:ascii="Times New Roman" w:hAnsi="Times New Roman"/>
                <w:color w:val="000000" w:themeColor="text1"/>
                <w:spacing w:val="-2"/>
                <w:w w:val="95"/>
                <w:sz w:val="20"/>
              </w:rPr>
              <w:t>tosowaniem dodatkowego podziału.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Zobowiązania banku centralnego zabezpieczone</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 xml:space="preserve">ach puli zabezpieczeń (np. podstawowe operacje refinansujące, długoterminowa operacja refinansująca, warunkowe długoterminowe operacje refinansujące itp.) traktuje się jako zobowiązania zabezpieczone.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Szczególnym rodzajem zobowiązań są otrzymane</w:t>
            </w:r>
            <w:r w:rsidR="004D7F8C">
              <w:rPr>
                <w:rFonts w:ascii="Times New Roman" w:hAnsi="Times New Roman"/>
                <w:color w:val="000000" w:themeColor="text1"/>
                <w:spacing w:val="-2"/>
                <w:w w:val="95"/>
                <w:sz w:val="20"/>
              </w:rPr>
              <w:t xml:space="preserve"> i udo</w:t>
            </w:r>
            <w:r>
              <w:rPr>
                <w:rFonts w:ascii="Times New Roman" w:hAnsi="Times New Roman"/>
                <w:color w:val="000000" w:themeColor="text1"/>
                <w:spacing w:val="-2"/>
                <w:w w:val="95"/>
                <w:sz w:val="20"/>
              </w:rPr>
              <w:t>kumentowane</w:t>
            </w:r>
            <w:r w:rsidR="004D7F8C">
              <w:rPr>
                <w:rFonts w:ascii="Times New Roman" w:hAnsi="Times New Roman"/>
                <w:color w:val="000000" w:themeColor="text1"/>
                <w:spacing w:val="-2"/>
                <w:w w:val="95"/>
                <w:sz w:val="20"/>
              </w:rPr>
              <w:t xml:space="preserve"> w bil</w:t>
            </w:r>
            <w:r>
              <w:rPr>
                <w:rFonts w:ascii="Times New Roman" w:hAnsi="Times New Roman"/>
                <w:color w:val="000000" w:themeColor="text1"/>
                <w:spacing w:val="-2"/>
                <w:w w:val="95"/>
                <w:sz w:val="20"/>
              </w:rPr>
              <w:t>ansie pozycje zabezpieczenia (np. zabezpieczenie gotówkowe)</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gdy takie pozycje zabezpieczenia są prawnie związane</w:t>
            </w:r>
            <w:r w:rsidR="004D7F8C">
              <w:rPr>
                <w:rFonts w:ascii="Times New Roman" w:hAnsi="Times New Roman"/>
                <w:color w:val="000000" w:themeColor="text1"/>
                <w:spacing w:val="-2"/>
                <w:w w:val="95"/>
                <w:sz w:val="20"/>
              </w:rPr>
              <w:t xml:space="preserve"> z poz</w:t>
            </w:r>
            <w:r>
              <w:rPr>
                <w:rFonts w:ascii="Times New Roman" w:hAnsi="Times New Roman"/>
                <w:color w:val="000000" w:themeColor="text1"/>
                <w:spacing w:val="-2"/>
                <w:w w:val="95"/>
                <w:sz w:val="20"/>
              </w:rPr>
              <w:t>ycją składnika aktywów, do celów niniejszego sprawozdania traktuje się je jako zobowiązania zabezpieczone.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 klienta</w:t>
            </w:r>
            <w:r w:rsidR="004D7F8C">
              <w:rPr>
                <w:rFonts w:ascii="Times New Roman" w:hAnsi="Times New Roman"/>
                <w:b/>
                <w:color w:val="000000" w:themeColor="text1"/>
                <w:spacing w:val="-2"/>
                <w:w w:val="95"/>
                <w:sz w:val="20"/>
              </w:rPr>
              <w:t xml:space="preserve"> w prz</w:t>
            </w:r>
            <w:r>
              <w:rPr>
                <w:rFonts w:ascii="Times New Roman" w:hAnsi="Times New Roman"/>
                <w:b/>
                <w:color w:val="000000" w:themeColor="text1"/>
                <w:spacing w:val="-2"/>
                <w:w w:val="95"/>
                <w:sz w:val="20"/>
              </w:rPr>
              <w:t>ypadku ochrony</w:t>
            </w:r>
            <w:r w:rsidR="004D7F8C">
              <w:rPr>
                <w:rFonts w:ascii="Times New Roman" w:hAnsi="Times New Roman"/>
                <w:b/>
                <w:color w:val="000000" w:themeColor="text1"/>
                <w:spacing w:val="-2"/>
                <w:w w:val="95"/>
                <w:sz w:val="20"/>
              </w:rPr>
              <w:t xml:space="preserve"> w raz</w:t>
            </w:r>
            <w:r>
              <w:rPr>
                <w:rFonts w:ascii="Times New Roman" w:hAnsi="Times New Roman"/>
                <w:b/>
                <w:color w:val="000000" w:themeColor="text1"/>
                <w:spacing w:val="-2"/>
                <w:w w:val="95"/>
                <w:sz w:val="20"/>
              </w:rPr>
              <w:t>ie upadłości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c)</w:t>
            </w:r>
            <w:r>
              <w:rPr>
                <w:rFonts w:ascii="Times New Roman" w:hAnsi="Times New Roman"/>
                <w:color w:val="000000" w:themeColor="text1"/>
                <w:spacing w:val="-2"/>
                <w:w w:val="95"/>
                <w:sz w:val="20"/>
              </w:rPr>
              <w:t xml:space="preserve"> dyrektywy 2014/59/UE</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Wszelkie zobowiązania, które powstają</w:t>
            </w:r>
            <w:r w:rsidR="004D7F8C">
              <w:rPr>
                <w:rFonts w:ascii="Times New Roman" w:hAnsi="Times New Roman"/>
                <w:color w:val="000000" w:themeColor="text1"/>
                <w:spacing w:val="-2"/>
                <w:w w:val="95"/>
                <w:sz w:val="20"/>
              </w:rPr>
              <w:t xml:space="preserve"> w wyn</w:t>
            </w:r>
            <w:r>
              <w:rPr>
                <w:rFonts w:ascii="Times New Roman" w:hAnsi="Times New Roman"/>
                <w:color w:val="000000" w:themeColor="text1"/>
                <w:spacing w:val="-2"/>
                <w:w w:val="95"/>
                <w:sz w:val="20"/>
              </w:rPr>
              <w:t>iku posiadania przez instytucję lub podmiot,</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rym mowa</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b)</w:t>
            </w:r>
            <w:r>
              <w:rPr>
                <w:rFonts w:ascii="Times New Roman" w:hAnsi="Times New Roman"/>
                <w:color w:val="000000" w:themeColor="text1"/>
                <w:spacing w:val="-2"/>
                <w:w w:val="95"/>
                <w:sz w:val="20"/>
              </w:rPr>
              <w:t>, c) lub d) dyrektywy 2014/59/UE, aktywów lub środków pieniężnych należących do klientów,</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aktywów lub środków pieniężnych należących do klientów zdeponowanych</w:t>
            </w:r>
            <w:r w:rsidR="004D7F8C">
              <w:rPr>
                <w:rFonts w:ascii="Times New Roman" w:hAnsi="Times New Roman"/>
                <w:color w:val="000000" w:themeColor="text1"/>
                <w:spacing w:val="-2"/>
                <w:w w:val="95"/>
                <w:sz w:val="20"/>
              </w:rPr>
              <w:t xml:space="preserve"> w imi</w:t>
            </w:r>
            <w:r>
              <w:rPr>
                <w:rFonts w:ascii="Times New Roman" w:hAnsi="Times New Roman"/>
                <w:color w:val="000000" w:themeColor="text1"/>
                <w:spacing w:val="-2"/>
                <w:w w:val="95"/>
                <w:sz w:val="20"/>
              </w:rPr>
              <w:t>eniu UCITS, jak określono</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Parlamentu Europejskiego</w:t>
            </w:r>
            <w:r w:rsidR="004D7F8C">
              <w:rPr>
                <w:rFonts w:ascii="Times New Roman" w:hAnsi="Times New Roman"/>
                <w:color w:val="000000" w:themeColor="text1"/>
                <w:spacing w:val="-2"/>
                <w:w w:val="95"/>
                <w:sz w:val="20"/>
              </w:rPr>
              <w:t xml:space="preserve"> i Rad</w:t>
            </w:r>
            <w:r>
              <w:rPr>
                <w:rFonts w:ascii="Times New Roman" w:hAnsi="Times New Roman"/>
                <w:color w:val="000000" w:themeColor="text1"/>
                <w:spacing w:val="-2"/>
                <w:w w:val="95"/>
                <w:sz w:val="20"/>
              </w:rPr>
              <w:t>y 2009/65/WE</w:t>
            </w:r>
            <w:r>
              <w:rPr>
                <w:rStyle w:val="FootnoteReference"/>
                <w:color w:val="000000" w:themeColor="text1"/>
                <w:spacing w:val="-2"/>
                <w:w w:val="95"/>
              </w:rPr>
              <w:footnoteReference w:id="12"/>
            </w:r>
            <w:r>
              <w:rPr>
                <w:rFonts w:ascii="Times New Roman" w:hAnsi="Times New Roman"/>
                <w:color w:val="000000" w:themeColor="text1"/>
                <w:spacing w:val="-2"/>
                <w:w w:val="95"/>
                <w:sz w:val="20"/>
              </w:rPr>
              <w:t xml:space="preserve"> lub alternatywnych funduszy inwestycyjnych, jak określono</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dyrektywy Parlamentu Europejskiego</w:t>
            </w:r>
            <w:r w:rsidR="004D7F8C">
              <w:rPr>
                <w:rFonts w:ascii="Times New Roman" w:hAnsi="Times New Roman"/>
                <w:color w:val="000000" w:themeColor="text1"/>
                <w:spacing w:val="-2"/>
                <w:w w:val="95"/>
                <w:sz w:val="20"/>
              </w:rPr>
              <w:t xml:space="preserve"> i Rad</w:t>
            </w:r>
            <w:r>
              <w:rPr>
                <w:rFonts w:ascii="Times New Roman" w:hAnsi="Times New Roman"/>
                <w:color w:val="000000" w:themeColor="text1"/>
                <w:spacing w:val="-2"/>
                <w:w w:val="95"/>
                <w:sz w:val="20"/>
              </w:rPr>
              <w:t>y 2011/61/UE</w:t>
            </w:r>
            <w:r>
              <w:rPr>
                <w:rStyle w:val="FootnoteReference"/>
                <w:color w:val="000000" w:themeColor="text1"/>
                <w:spacing w:val="-2"/>
                <w:w w:val="95"/>
              </w:rPr>
              <w:footnoteReference w:id="13"/>
            </w:r>
            <w:r>
              <w:rPr>
                <w:rFonts w:ascii="Times New Roman" w:hAnsi="Times New Roman"/>
                <w:color w:val="000000" w:themeColor="text1"/>
                <w:spacing w:val="-2"/>
                <w:w w:val="95"/>
                <w:sz w:val="20"/>
              </w:rPr>
              <w:t>, pod warunkiem że taki klient podlega ochronie na mocy mającego zastosowanie prawa upadłościowego.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 powiernicze</w:t>
            </w:r>
            <w:r w:rsidR="004D7F8C">
              <w:rPr>
                <w:rFonts w:ascii="Times New Roman" w:hAnsi="Times New Roman"/>
                <w:b/>
                <w:color w:val="000000" w:themeColor="text1"/>
                <w:spacing w:val="-2"/>
                <w:w w:val="95"/>
                <w:sz w:val="20"/>
              </w:rPr>
              <w:t xml:space="preserve"> w prz</w:t>
            </w:r>
            <w:r>
              <w:rPr>
                <w:rFonts w:ascii="Times New Roman" w:hAnsi="Times New Roman"/>
                <w:b/>
                <w:color w:val="000000" w:themeColor="text1"/>
                <w:spacing w:val="-2"/>
                <w:w w:val="95"/>
                <w:sz w:val="20"/>
              </w:rPr>
              <w:t>ypadku ochrony</w:t>
            </w:r>
            <w:r w:rsidR="004D7F8C">
              <w:rPr>
                <w:rFonts w:ascii="Times New Roman" w:hAnsi="Times New Roman"/>
                <w:b/>
                <w:color w:val="000000" w:themeColor="text1"/>
                <w:spacing w:val="-2"/>
                <w:w w:val="95"/>
                <w:sz w:val="20"/>
              </w:rPr>
              <w:t xml:space="preserve"> w raz</w:t>
            </w:r>
            <w:r>
              <w:rPr>
                <w:rFonts w:ascii="Times New Roman" w:hAnsi="Times New Roman"/>
                <w:b/>
                <w:color w:val="000000" w:themeColor="text1"/>
                <w:spacing w:val="-2"/>
                <w:w w:val="95"/>
                <w:sz w:val="20"/>
              </w:rPr>
              <w:t>ie upadłości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d)</w:t>
            </w:r>
            <w:r>
              <w:rPr>
                <w:rFonts w:ascii="Times New Roman" w:hAnsi="Times New Roman"/>
                <w:color w:val="000000" w:themeColor="text1"/>
                <w:spacing w:val="-2"/>
                <w:w w:val="95"/>
                <w:sz w:val="20"/>
              </w:rPr>
              <w:t xml:space="preserve"> dyrektywy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Wszelkie zobowiązania, które powstają</w:t>
            </w:r>
            <w:r w:rsidR="004D7F8C">
              <w:rPr>
                <w:rFonts w:ascii="Times New Roman" w:hAnsi="Times New Roman"/>
                <w:color w:val="000000" w:themeColor="text1"/>
                <w:spacing w:val="-2"/>
                <w:w w:val="95"/>
                <w:sz w:val="20"/>
              </w:rPr>
              <w:t xml:space="preserve"> w wyn</w:t>
            </w:r>
            <w:r>
              <w:rPr>
                <w:rFonts w:ascii="Times New Roman" w:hAnsi="Times New Roman"/>
                <w:color w:val="000000" w:themeColor="text1"/>
                <w:spacing w:val="-2"/>
                <w:w w:val="95"/>
                <w:sz w:val="20"/>
              </w:rPr>
              <w:t>iku stosunku powierniczego między instytucją lub podmiotem,</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rym mowa</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b)</w:t>
            </w:r>
            <w:r>
              <w:rPr>
                <w:rFonts w:ascii="Times New Roman" w:hAnsi="Times New Roman"/>
                <w:color w:val="000000" w:themeColor="text1"/>
                <w:spacing w:val="-2"/>
                <w:w w:val="95"/>
                <w:sz w:val="20"/>
              </w:rPr>
              <w:t>, c) lub d) dyrektywy 2014/59/UE (powiernikiem),</w:t>
            </w:r>
            <w:r w:rsidR="004D7F8C">
              <w:rPr>
                <w:rFonts w:ascii="Times New Roman" w:hAnsi="Times New Roman"/>
                <w:color w:val="000000" w:themeColor="text1"/>
                <w:spacing w:val="-2"/>
                <w:w w:val="95"/>
                <w:sz w:val="20"/>
              </w:rPr>
              <w:t xml:space="preserve"> a inn</w:t>
            </w:r>
            <w:r>
              <w:rPr>
                <w:rFonts w:ascii="Times New Roman" w:hAnsi="Times New Roman"/>
                <w:color w:val="000000" w:themeColor="text1"/>
                <w:spacing w:val="-2"/>
                <w:w w:val="95"/>
                <w:sz w:val="20"/>
              </w:rPr>
              <w:t>ą osobą (beneficjentem), pod warunkiem że taki beneficjent podlega ochronie na mocy mającego zastosowanie prawa upadłościowego lub cywilnego.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Zobowiązania instytucji kredytowej &lt; 7 dni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e)</w:t>
            </w:r>
            <w:r>
              <w:rPr>
                <w:rFonts w:ascii="Times New Roman" w:hAnsi="Times New Roman"/>
                <w:color w:val="000000" w:themeColor="text1"/>
                <w:spacing w:val="-2"/>
                <w:w w:val="95"/>
                <w:sz w:val="20"/>
              </w:rPr>
              <w:t xml:space="preserve"> dyrektywy 2014/59/UE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Zobowiązania wobec instytucji kredytowych,</w:t>
            </w:r>
            <w:r w:rsidR="004D7F8C">
              <w:rPr>
                <w:rFonts w:ascii="Times New Roman" w:hAnsi="Times New Roman"/>
                <w:color w:val="000000" w:themeColor="text1"/>
                <w:spacing w:val="-2"/>
                <w:w w:val="95"/>
                <w:sz w:val="20"/>
              </w:rPr>
              <w:t xml:space="preserve"> z wył</w:t>
            </w:r>
            <w:r>
              <w:rPr>
                <w:rFonts w:ascii="Times New Roman" w:hAnsi="Times New Roman"/>
                <w:color w:val="000000" w:themeColor="text1"/>
                <w:spacing w:val="-2"/>
                <w:w w:val="95"/>
                <w:sz w:val="20"/>
              </w:rPr>
              <w:t>ączeniem podmiotów będących częścią tej samej grupy rozrachunkowej,</w:t>
            </w:r>
            <w:r w:rsidR="004D7F8C">
              <w:rPr>
                <w:rFonts w:ascii="Times New Roman" w:hAnsi="Times New Roman"/>
                <w:color w:val="000000" w:themeColor="text1"/>
                <w:spacing w:val="-2"/>
                <w:w w:val="95"/>
                <w:sz w:val="20"/>
              </w:rPr>
              <w:t xml:space="preserve"> o pie</w:t>
            </w:r>
            <w:r>
              <w:rPr>
                <w:rFonts w:ascii="Times New Roman" w:hAnsi="Times New Roman"/>
                <w:color w:val="000000" w:themeColor="text1"/>
                <w:spacing w:val="-2"/>
                <w:w w:val="95"/>
                <w:sz w:val="20"/>
              </w:rPr>
              <w:t>rwotnym terminie zapadalności poniżej siedmiu dni.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w:t>
            </w:r>
            <w:r w:rsidR="004D7F8C">
              <w:rPr>
                <w:rFonts w:ascii="Times New Roman" w:hAnsi="Times New Roman"/>
                <w:b/>
                <w:color w:val="000000" w:themeColor="text1"/>
                <w:spacing w:val="-2"/>
                <w:w w:val="95"/>
                <w:sz w:val="20"/>
              </w:rPr>
              <w:t xml:space="preserve"> w ram</w:t>
            </w:r>
            <w:r>
              <w:rPr>
                <w:rFonts w:ascii="Times New Roman" w:hAnsi="Times New Roman"/>
                <w:b/>
                <w:color w:val="000000" w:themeColor="text1"/>
                <w:spacing w:val="-2"/>
                <w:w w:val="95"/>
                <w:sz w:val="20"/>
              </w:rPr>
              <w:t>ach systemu (operatora) &lt; 7 dni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f)</w:t>
            </w:r>
            <w:r>
              <w:rPr>
                <w:rFonts w:ascii="Times New Roman" w:hAnsi="Times New Roman"/>
                <w:color w:val="000000" w:themeColor="text1"/>
                <w:spacing w:val="-2"/>
                <w:w w:val="95"/>
                <w:sz w:val="20"/>
              </w:rPr>
              <w:t xml:space="preserve"> dyrektywy 2014/59/UE</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Zobowiązania, których rezydualny termin zapadalności wynosi mniej niż siedem dni, względem systemów lub operatorów systemów wyznaczonych do celów dyrektywy 98/26/WE Parlamentu Europejskiego</w:t>
            </w:r>
            <w:r w:rsidR="004D7F8C">
              <w:rPr>
                <w:rFonts w:ascii="Times New Roman" w:hAnsi="Times New Roman"/>
                <w:color w:val="000000" w:themeColor="text1"/>
                <w:spacing w:val="-2"/>
                <w:w w:val="95"/>
                <w:sz w:val="20"/>
              </w:rPr>
              <w:t xml:space="preserve"> i Rad</w:t>
            </w:r>
            <w:r>
              <w:rPr>
                <w:rFonts w:ascii="Times New Roman" w:hAnsi="Times New Roman"/>
                <w:color w:val="000000" w:themeColor="text1"/>
                <w:spacing w:val="-2"/>
                <w:w w:val="95"/>
                <w:sz w:val="20"/>
              </w:rPr>
              <w:t>y</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lub ich uczestników</w:t>
            </w:r>
            <w:r w:rsidR="004D7F8C">
              <w:rPr>
                <w:rFonts w:ascii="Times New Roman" w:hAnsi="Times New Roman"/>
                <w:color w:val="000000" w:themeColor="text1"/>
                <w:spacing w:val="-2"/>
                <w:w w:val="95"/>
                <w:sz w:val="20"/>
              </w:rPr>
              <w:t xml:space="preserve"> i pow</w:t>
            </w:r>
            <w:r>
              <w:rPr>
                <w:rFonts w:ascii="Times New Roman" w:hAnsi="Times New Roman"/>
                <w:color w:val="000000" w:themeColor="text1"/>
                <w:spacing w:val="-2"/>
                <w:w w:val="95"/>
                <w:sz w:val="20"/>
              </w:rPr>
              <w:t>stałych</w:t>
            </w:r>
            <w:r w:rsidR="004D7F8C">
              <w:rPr>
                <w:rFonts w:ascii="Times New Roman" w:hAnsi="Times New Roman"/>
                <w:color w:val="000000" w:themeColor="text1"/>
                <w:spacing w:val="-2"/>
                <w:w w:val="95"/>
                <w:sz w:val="20"/>
              </w:rPr>
              <w:t xml:space="preserve"> w wyn</w:t>
            </w:r>
            <w:r>
              <w:rPr>
                <w:rFonts w:ascii="Times New Roman" w:hAnsi="Times New Roman"/>
                <w:color w:val="000000" w:themeColor="text1"/>
                <w:spacing w:val="-2"/>
                <w:w w:val="95"/>
                <w:sz w:val="20"/>
              </w:rPr>
              <w:t>iku udziału</w:t>
            </w:r>
            <w:r w:rsidR="004D7F8C">
              <w:rPr>
                <w:rFonts w:ascii="Times New Roman" w:hAnsi="Times New Roman"/>
                <w:color w:val="000000" w:themeColor="text1"/>
                <w:spacing w:val="-2"/>
                <w:w w:val="95"/>
                <w:sz w:val="20"/>
              </w:rPr>
              <w:t xml:space="preserve"> w tak</w:t>
            </w:r>
            <w:r>
              <w:rPr>
                <w:rFonts w:ascii="Times New Roman" w:hAnsi="Times New Roman"/>
                <w:color w:val="000000" w:themeColor="text1"/>
                <w:spacing w:val="-2"/>
                <w:w w:val="95"/>
                <w:sz w:val="20"/>
              </w:rPr>
              <w:t>im systemie.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w:t>
            </w:r>
            <w:r w:rsidR="004D7F8C">
              <w:rPr>
                <w:rFonts w:ascii="Times New Roman" w:hAnsi="Times New Roman"/>
                <w:b/>
                <w:color w:val="000000" w:themeColor="text1"/>
                <w:spacing w:val="-2"/>
                <w:w w:val="95"/>
                <w:sz w:val="20"/>
              </w:rPr>
              <w:t xml:space="preserve"> w sto</w:t>
            </w:r>
            <w:r>
              <w:rPr>
                <w:rFonts w:ascii="Times New Roman" w:hAnsi="Times New Roman"/>
                <w:b/>
                <w:color w:val="000000" w:themeColor="text1"/>
                <w:spacing w:val="-2"/>
                <w:w w:val="95"/>
                <w:sz w:val="20"/>
              </w:rPr>
              <w:t>sunku do pracowników</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g)</w:t>
            </w:r>
            <w:r>
              <w:rPr>
                <w:rFonts w:ascii="Times New Roman" w:hAnsi="Times New Roman"/>
                <w:color w:val="000000" w:themeColor="text1"/>
                <w:spacing w:val="-2"/>
                <w:w w:val="95"/>
                <w:sz w:val="20"/>
              </w:rPr>
              <w:t xml:space="preserve"> ppkt (i) dyrektywy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Zobowiązania</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sunku do pracowników, związane</w:t>
            </w:r>
            <w:r w:rsidR="004D7F8C">
              <w:rPr>
                <w:rFonts w:ascii="Times New Roman" w:hAnsi="Times New Roman"/>
                <w:color w:val="000000" w:themeColor="text1"/>
                <w:spacing w:val="-2"/>
                <w:w w:val="95"/>
                <w:sz w:val="20"/>
              </w:rPr>
              <w:t xml:space="preserve"> z nal</w:t>
            </w:r>
            <w:r>
              <w:rPr>
                <w:rFonts w:ascii="Times New Roman" w:hAnsi="Times New Roman"/>
                <w:color w:val="000000" w:themeColor="text1"/>
                <w:spacing w:val="-2"/>
                <w:w w:val="95"/>
                <w:sz w:val="20"/>
              </w:rPr>
              <w:t>eżnymi płacami, świadczeniami emerytalnymi lub innymi stałymi składnikami wynagrodzenia,</w:t>
            </w:r>
            <w:r w:rsidR="004D7F8C">
              <w:rPr>
                <w:rFonts w:ascii="Times New Roman" w:hAnsi="Times New Roman"/>
                <w:color w:val="000000" w:themeColor="text1"/>
                <w:spacing w:val="-2"/>
                <w:w w:val="95"/>
                <w:sz w:val="20"/>
              </w:rPr>
              <w:t xml:space="preserve"> z wyj</w:t>
            </w:r>
            <w:r>
              <w:rPr>
                <w:rFonts w:ascii="Times New Roman" w:hAnsi="Times New Roman"/>
                <w:color w:val="000000" w:themeColor="text1"/>
                <w:spacing w:val="-2"/>
                <w:w w:val="95"/>
                <w:sz w:val="20"/>
              </w:rPr>
              <w:t>ątkiem zmiennych składników wynagrodzenia, które nie są regulowane przez układ zbiorowy pracy. Nie ma to jednak zastosowania do zmiennych składników wynagrodzenia osób podejmujących istotne ryzyko,</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rych mowa</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 xml:space="preserve">2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2013/36/UE.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 mające krytyczne znaczenie dla prowadzenia bieżącej działalności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g)</w:t>
            </w:r>
            <w:r>
              <w:rPr>
                <w:rFonts w:ascii="Times New Roman" w:hAnsi="Times New Roman"/>
                <w:color w:val="000000" w:themeColor="text1"/>
                <w:spacing w:val="-2"/>
                <w:w w:val="95"/>
                <w:sz w:val="20"/>
              </w:rPr>
              <w:t xml:space="preserve"> ppkt (ii) dyrektywy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Zobowiązania</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sunku do wierzycieli komercyjnych lub handlowych, wynikające</w:t>
            </w:r>
            <w:r w:rsidR="004D7F8C">
              <w:rPr>
                <w:rFonts w:ascii="Times New Roman" w:hAnsi="Times New Roman"/>
                <w:color w:val="000000" w:themeColor="text1"/>
                <w:spacing w:val="-2"/>
                <w:w w:val="95"/>
                <w:sz w:val="20"/>
              </w:rPr>
              <w:t xml:space="preserve"> z dos</w:t>
            </w:r>
            <w:r>
              <w:rPr>
                <w:rFonts w:ascii="Times New Roman" w:hAnsi="Times New Roman"/>
                <w:color w:val="000000" w:themeColor="text1"/>
                <w:spacing w:val="-2"/>
                <w:w w:val="95"/>
                <w:sz w:val="20"/>
              </w:rPr>
              <w:t>tawy dla instytucji lub podmiotu,</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rym mowa</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b)</w:t>
            </w:r>
            <w:r>
              <w:rPr>
                <w:rFonts w:ascii="Times New Roman" w:hAnsi="Times New Roman"/>
                <w:color w:val="000000" w:themeColor="text1"/>
                <w:spacing w:val="-2"/>
                <w:w w:val="95"/>
                <w:sz w:val="20"/>
              </w:rPr>
              <w:t>, c) lub d) dyrektywy 2014/59/UE, towarów</w:t>
            </w:r>
            <w:r w:rsidR="004D7F8C">
              <w:rPr>
                <w:rFonts w:ascii="Times New Roman" w:hAnsi="Times New Roman"/>
                <w:color w:val="000000" w:themeColor="text1"/>
                <w:spacing w:val="-2"/>
                <w:w w:val="95"/>
                <w:sz w:val="20"/>
              </w:rPr>
              <w:t xml:space="preserve"> i świ</w:t>
            </w:r>
            <w:r>
              <w:rPr>
                <w:rFonts w:ascii="Times New Roman" w:hAnsi="Times New Roman"/>
                <w:color w:val="000000" w:themeColor="text1"/>
                <w:spacing w:val="-2"/>
                <w:w w:val="95"/>
                <w:sz w:val="20"/>
              </w:rPr>
              <w:t>adczenia na ich rzecz usług, które mają krytyczne znaczenie dla prowadzenia przez nie bieżącej działalności,</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usług informatycznych, usług użyteczności publicznej oraz usług wynajmu, obsługi</w:t>
            </w:r>
            <w:r w:rsidR="004D7F8C">
              <w:rPr>
                <w:rFonts w:ascii="Times New Roman" w:hAnsi="Times New Roman"/>
                <w:color w:val="000000" w:themeColor="text1"/>
                <w:spacing w:val="-2"/>
                <w:w w:val="95"/>
                <w:sz w:val="20"/>
              </w:rPr>
              <w:t xml:space="preserve"> i utr</w:t>
            </w:r>
            <w:r>
              <w:rPr>
                <w:rFonts w:ascii="Times New Roman" w:hAnsi="Times New Roman"/>
                <w:color w:val="000000" w:themeColor="text1"/>
                <w:spacing w:val="-2"/>
                <w:w w:val="95"/>
                <w:sz w:val="20"/>
              </w:rPr>
              <w:t>zymania budynków</w:t>
            </w:r>
            <w:r w:rsidR="004D7F8C">
              <w:rPr>
                <w:rFonts w:ascii="Times New Roman" w:hAnsi="Times New Roman"/>
                <w:color w:val="000000" w:themeColor="text1"/>
                <w:spacing w:val="-2"/>
                <w:w w:val="95"/>
                <w:sz w:val="20"/>
              </w:rPr>
              <w:t xml:space="preserve"> i pom</w:t>
            </w:r>
            <w:r>
              <w:rPr>
                <w:rFonts w:ascii="Times New Roman" w:hAnsi="Times New Roman"/>
                <w:color w:val="000000" w:themeColor="text1"/>
                <w:spacing w:val="-2"/>
                <w:w w:val="95"/>
                <w:sz w:val="20"/>
              </w:rPr>
              <w:t>ieszczeń.</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w:t>
            </w:r>
            <w:r w:rsidR="004D7F8C">
              <w:rPr>
                <w:rFonts w:ascii="Times New Roman" w:hAnsi="Times New Roman"/>
                <w:b/>
                <w:color w:val="000000" w:themeColor="text1"/>
                <w:spacing w:val="-2"/>
                <w:w w:val="95"/>
                <w:sz w:val="20"/>
              </w:rPr>
              <w:t xml:space="preserve"> w sto</w:t>
            </w:r>
            <w:r>
              <w:rPr>
                <w:rFonts w:ascii="Times New Roman" w:hAnsi="Times New Roman"/>
                <w:b/>
                <w:color w:val="000000" w:themeColor="text1"/>
                <w:spacing w:val="-2"/>
                <w:w w:val="95"/>
                <w:sz w:val="20"/>
              </w:rPr>
              <w:t>sunku do organów podatkowych</w:t>
            </w:r>
            <w:r w:rsidR="004D7F8C">
              <w:rPr>
                <w:rFonts w:ascii="Times New Roman" w:hAnsi="Times New Roman"/>
                <w:b/>
                <w:color w:val="000000" w:themeColor="text1"/>
                <w:spacing w:val="-2"/>
                <w:w w:val="95"/>
                <w:sz w:val="20"/>
              </w:rPr>
              <w:t xml:space="preserve"> i ins</w:t>
            </w:r>
            <w:r>
              <w:rPr>
                <w:rFonts w:ascii="Times New Roman" w:hAnsi="Times New Roman"/>
                <w:b/>
                <w:color w:val="000000" w:themeColor="text1"/>
                <w:spacing w:val="-2"/>
                <w:w w:val="95"/>
                <w:sz w:val="20"/>
              </w:rPr>
              <w:t>tytucji zabezpieczenia społecznego, jeżeli mają uprzywilejowany charakter</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g)</w:t>
            </w:r>
            <w:r>
              <w:rPr>
                <w:rFonts w:ascii="Times New Roman" w:hAnsi="Times New Roman"/>
                <w:color w:val="000000" w:themeColor="text1"/>
                <w:spacing w:val="-2"/>
                <w:w w:val="95"/>
                <w:sz w:val="20"/>
              </w:rPr>
              <w:t xml:space="preserve"> ppkt (iii) dyrektywy 2014/59/UE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Zobowiązania</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sunku do organów podatkowych</w:t>
            </w:r>
            <w:r w:rsidR="004D7F8C">
              <w:rPr>
                <w:rFonts w:ascii="Times New Roman" w:hAnsi="Times New Roman"/>
                <w:color w:val="000000" w:themeColor="text1"/>
                <w:spacing w:val="-2"/>
                <w:w w:val="95"/>
                <w:sz w:val="20"/>
              </w:rPr>
              <w:t xml:space="preserve"> i ins</w:t>
            </w:r>
            <w:r>
              <w:rPr>
                <w:rFonts w:ascii="Times New Roman" w:hAnsi="Times New Roman"/>
                <w:color w:val="000000" w:themeColor="text1"/>
                <w:spacing w:val="-2"/>
                <w:w w:val="95"/>
                <w:sz w:val="20"/>
              </w:rPr>
              <w:t>tytucji zabezpieczenia społecznego, pod warunkiem że zobowiązania te mają uprzywilejowany charakter</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obowiązującego prawa.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w:t>
            </w:r>
            <w:r w:rsidR="004D7F8C">
              <w:rPr>
                <w:rFonts w:ascii="Times New Roman" w:hAnsi="Times New Roman"/>
                <w:b/>
                <w:color w:val="000000" w:themeColor="text1"/>
                <w:spacing w:val="-2"/>
                <w:w w:val="95"/>
                <w:sz w:val="20"/>
              </w:rPr>
              <w:t xml:space="preserve"> w sto</w:t>
            </w:r>
            <w:r>
              <w:rPr>
                <w:rFonts w:ascii="Times New Roman" w:hAnsi="Times New Roman"/>
                <w:b/>
                <w:color w:val="000000" w:themeColor="text1"/>
                <w:spacing w:val="-2"/>
                <w:w w:val="95"/>
                <w:sz w:val="20"/>
              </w:rPr>
              <w:t>sunku do systemów gwarancji depozytów</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g)</w:t>
            </w:r>
            <w:r>
              <w:rPr>
                <w:rFonts w:ascii="Times New Roman" w:hAnsi="Times New Roman"/>
                <w:color w:val="000000" w:themeColor="text1"/>
                <w:spacing w:val="-2"/>
                <w:w w:val="95"/>
                <w:sz w:val="20"/>
              </w:rPr>
              <w:t xml:space="preserve"> ppkt (iv) dyrektywy 2014/59/UE</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Zobowiązania</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sunku do systemów gwarancji depozytów powstałych ze składek należnych zgodnie</w:t>
            </w:r>
            <w:r w:rsidR="004D7F8C">
              <w:rPr>
                <w:rFonts w:ascii="Times New Roman" w:hAnsi="Times New Roman"/>
                <w:color w:val="000000" w:themeColor="text1"/>
                <w:spacing w:val="-2"/>
                <w:w w:val="95"/>
                <w:sz w:val="20"/>
              </w:rPr>
              <w:t xml:space="preserve"> z dyr</w:t>
            </w:r>
            <w:r>
              <w:rPr>
                <w:rFonts w:ascii="Times New Roman" w:hAnsi="Times New Roman"/>
                <w:color w:val="000000" w:themeColor="text1"/>
                <w:spacing w:val="-2"/>
                <w:w w:val="95"/>
                <w:sz w:val="20"/>
              </w:rPr>
              <w:t>ektywą 2014/49/UE.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 niewyłączone</w:t>
            </w:r>
            <w:r w:rsidR="004D7F8C">
              <w:rPr>
                <w:rFonts w:ascii="Times New Roman" w:hAnsi="Times New Roman"/>
                <w:b/>
                <w:color w:val="000000" w:themeColor="text1"/>
                <w:spacing w:val="-2"/>
                <w:w w:val="95"/>
                <w:sz w:val="20"/>
              </w:rPr>
              <w:t xml:space="preserve"> z umo</w:t>
            </w:r>
            <w:r>
              <w:rPr>
                <w:rFonts w:ascii="Times New Roman" w:hAnsi="Times New Roman"/>
                <w:b/>
                <w:color w:val="000000" w:themeColor="text1"/>
                <w:spacing w:val="-2"/>
                <w:w w:val="95"/>
                <w:sz w:val="20"/>
              </w:rPr>
              <w:t>rzenia lub konwersji długu</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Jest to suma wierszy 0310, 0320, 0334, 0340, 0350, 0360, 0365, 0370, 0380, 0390</w:t>
            </w:r>
            <w:r w:rsidR="004D7F8C">
              <w:rPr>
                <w:rFonts w:ascii="Times New Roman" w:hAnsi="Times New Roman"/>
                <w:color w:val="000000" w:themeColor="text1"/>
                <w:spacing w:val="-2"/>
                <w:w w:val="95"/>
                <w:sz w:val="20"/>
              </w:rPr>
              <w:t xml:space="preserve"> i 0</w:t>
            </w:r>
            <w:r>
              <w:rPr>
                <w:rFonts w:ascii="Times New Roman" w:hAnsi="Times New Roman"/>
                <w:color w:val="000000" w:themeColor="text1"/>
                <w:spacing w:val="-2"/>
                <w:w w:val="95"/>
                <w:sz w:val="20"/>
              </w:rPr>
              <w:t>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Depozyty, niegwarantowane, ale na preferencyjnych warunkach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 108 dyrektywy 2014/59/UE</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Depozyty zdefiniowane</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dyrektywy 2014/49/UE, które nie kwalifikują się do wyłączenia</w:t>
            </w:r>
            <w:r w:rsidR="004D7F8C">
              <w:rPr>
                <w:rFonts w:ascii="Times New Roman" w:hAnsi="Times New Roman"/>
                <w:color w:val="000000" w:themeColor="text1"/>
                <w:spacing w:val="-2"/>
                <w:w w:val="95"/>
                <w:sz w:val="20"/>
              </w:rPr>
              <w:t xml:space="preserve"> z umo</w:t>
            </w:r>
            <w:r>
              <w:rPr>
                <w:rFonts w:ascii="Times New Roman" w:hAnsi="Times New Roman"/>
                <w:color w:val="000000" w:themeColor="text1"/>
                <w:spacing w:val="-2"/>
                <w:w w:val="95"/>
                <w:sz w:val="20"/>
              </w:rPr>
              <w:t>rzenia lub konwersji długu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dyrektywy 2014/59/UE),</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sunku do których przewidziano jednak preferencyjne traktowanie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08 dyrektywy 2014/59/UE.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Depozyty, niegwarantowane oraz nie na preferencyjnych warunkach</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Depozyty zdefiniowane</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dyrektywy 2014/49/UE, które nie kwalifikują się do wyłączenia</w:t>
            </w:r>
            <w:r w:rsidR="004D7F8C">
              <w:rPr>
                <w:rFonts w:ascii="Times New Roman" w:hAnsi="Times New Roman"/>
                <w:color w:val="000000" w:themeColor="text1"/>
                <w:spacing w:val="-2"/>
                <w:w w:val="95"/>
                <w:sz w:val="20"/>
              </w:rPr>
              <w:t xml:space="preserve"> z umo</w:t>
            </w:r>
            <w:r>
              <w:rPr>
                <w:rFonts w:ascii="Times New Roman" w:hAnsi="Times New Roman"/>
                <w:color w:val="000000" w:themeColor="text1"/>
                <w:spacing w:val="-2"/>
                <w:w w:val="95"/>
                <w:sz w:val="20"/>
              </w:rPr>
              <w:t xml:space="preserve">rzenia lub konwersji długu lub do preferencyjnego traktowania poprzez zastosowanie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lub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08 dyrektywy 2014/59/UE.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Zobowiązania bilansowe wynikające</w:t>
            </w:r>
            <w:r w:rsidR="004D7F8C">
              <w:rPr>
                <w:rFonts w:ascii="Times New Roman" w:hAnsi="Times New Roman"/>
                <w:b/>
                <w:color w:val="000000" w:themeColor="text1"/>
                <w:spacing w:val="-2"/>
                <w:w w:val="95"/>
                <w:sz w:val="20"/>
              </w:rPr>
              <w:t xml:space="preserve"> z ins</w:t>
            </w:r>
            <w:r>
              <w:rPr>
                <w:rFonts w:ascii="Times New Roman" w:hAnsi="Times New Roman"/>
                <w:b/>
                <w:color w:val="000000" w:themeColor="text1"/>
                <w:spacing w:val="-2"/>
                <w:w w:val="95"/>
                <w:sz w:val="20"/>
              </w:rPr>
              <w:t>trumentów pochodnych</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Wartość księgowa zobowiązań wynikających</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pochodnych</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łącznej kwoty odpowiadającej FINREP: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Suma pozycji zobowiązań netto przy uwzględnieniu umownych pakietów kompensowania, po dostosowaniu wyceny według wartości rynkowej, przed potrąceniem zabezpieczenia</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Domyślnie suma wszystkich wartości rynkowych netto instrumentów pochodnych będących zobowiązaniami przypadających na umowny pakiet kompensowania. Pakiet kompensowania zgłasza się wyłącznie wtedy, gdy wartość rynkowa netto pakietu kompensowania stanowi zobowiązanie</w:t>
            </w:r>
            <w:r w:rsidR="004D7F8C">
              <w:rPr>
                <w:rFonts w:ascii="Times New Roman" w:hAnsi="Times New Roman"/>
                <w:color w:val="000000" w:themeColor="text1"/>
                <w:spacing w:val="-2"/>
                <w:w w:val="95"/>
                <w:sz w:val="20"/>
              </w:rPr>
              <w:t>. W tym</w:t>
            </w:r>
            <w:r>
              <w:rPr>
                <w:rFonts w:ascii="Times New Roman" w:hAnsi="Times New Roman"/>
                <w:color w:val="000000" w:themeColor="text1"/>
                <w:spacing w:val="-2"/>
                <w:w w:val="95"/>
                <w:sz w:val="20"/>
              </w:rPr>
              <w:t xml:space="preserve"> celu instrumenty pochodne, które nie podlegają uzgodnieniom dotyczącym kompensowania traktuje się jako jedną umowę, tj. jak gdyby stanowiły pakiet kompensowania zawierający tylko jeden instrument pochodny.</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Suma pozycji zobowiązań netto przy uwzględnieniu umownych pakietów kompensowania, po dostosowaniu wyceny według wartości rynkowej, po potrąceniu zabezpieczenia</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Wycena określona</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rszu 0331 podlega dostosowaniu</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zabezpieczenia udzielonego</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zabezpieczenia tej ekspozycji, co</w:t>
            </w:r>
            <w:r w:rsidR="004D7F8C">
              <w:rPr>
                <w:rFonts w:ascii="Times New Roman" w:hAnsi="Times New Roman"/>
                <w:color w:val="000000" w:themeColor="text1"/>
                <w:spacing w:val="-2"/>
                <w:w w:val="95"/>
                <w:sz w:val="20"/>
              </w:rPr>
              <w:t xml:space="preserve"> w rez</w:t>
            </w:r>
            <w:r>
              <w:rPr>
                <w:rFonts w:ascii="Times New Roman" w:hAnsi="Times New Roman"/>
                <w:color w:val="000000" w:themeColor="text1"/>
                <w:spacing w:val="-2"/>
                <w:w w:val="95"/>
                <w:sz w:val="20"/>
              </w:rPr>
              <w:t>ultacie daje sumę tych wartości rynkowych netto po potrąceniu zabezpieczenia według wartości rynkowej.</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Suma pozycji zobowiązań netto przy uwzględnieniu umownych pakietów kompensowania, po dostosowaniu wyceny według wartości rynkowej, po potrąceniu zabezpieczenia, włączając szacowane salda zamknięcia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Zgodnie</w:t>
            </w:r>
            <w:r w:rsidR="004D7F8C">
              <w:rPr>
                <w:rFonts w:ascii="Times New Roman" w:hAnsi="Times New Roman"/>
                <w:color w:val="000000" w:themeColor="text1"/>
                <w:spacing w:val="-2"/>
                <w:w w:val="95"/>
                <w:sz w:val="20"/>
              </w:rPr>
              <w:t xml:space="preserve"> z roz</w:t>
            </w:r>
            <w:r>
              <w:rPr>
                <w:rFonts w:ascii="Times New Roman" w:hAnsi="Times New Roman"/>
                <w:color w:val="000000" w:themeColor="text1"/>
                <w:spacing w:val="-2"/>
                <w:w w:val="95"/>
                <w:sz w:val="20"/>
              </w:rPr>
              <w:t>porządzeniem delegowanym Komisji (UE) 2016/1401</w:t>
            </w:r>
            <w:r>
              <w:rPr>
                <w:rStyle w:val="FootnoteReference"/>
                <w:color w:val="1A171C"/>
                <w:spacing w:val="-2"/>
                <w:w w:val="95"/>
              </w:rPr>
              <w:footnoteReference w:id="15"/>
            </w:r>
            <w:r w:rsidR="004D7F8C">
              <w:rPr>
                <w:rFonts w:ascii="Times New Roman" w:hAnsi="Times New Roman"/>
                <w:color w:val="000000" w:themeColor="text1"/>
                <w:spacing w:val="-2"/>
                <w:w w:val="95"/>
                <w:sz w:val="20"/>
              </w:rPr>
              <w:t xml:space="preserve"> w spr</w:t>
            </w:r>
            <w:r>
              <w:rPr>
                <w:rFonts w:ascii="Times New Roman" w:hAnsi="Times New Roman"/>
                <w:color w:val="000000" w:themeColor="text1"/>
                <w:spacing w:val="-2"/>
                <w:w w:val="95"/>
                <w:sz w:val="20"/>
              </w:rPr>
              <w:t>awie wyceny zobowiązań wynikających</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pochodnych dodatkowe salda zamknięcia obejmujące kwotę strat lub kosztów poniesionych przez kontrahentów instrumentów pochodnych, lub uzyskanego przez nich zysku,</w:t>
            </w:r>
            <w:r w:rsidR="004D7F8C">
              <w:rPr>
                <w:rFonts w:ascii="Times New Roman" w:hAnsi="Times New Roman"/>
                <w:color w:val="000000" w:themeColor="text1"/>
                <w:spacing w:val="-2"/>
                <w:w w:val="95"/>
                <w:sz w:val="20"/>
              </w:rPr>
              <w:t xml:space="preserve"> w zwi</w:t>
            </w:r>
            <w:r>
              <w:rPr>
                <w:rFonts w:ascii="Times New Roman" w:hAnsi="Times New Roman"/>
                <w:color w:val="000000" w:themeColor="text1"/>
                <w:spacing w:val="-2"/>
                <w:w w:val="95"/>
                <w:sz w:val="20"/>
              </w:rPr>
              <w:t>ązku</w:t>
            </w:r>
            <w:r w:rsidR="004D7F8C">
              <w:rPr>
                <w:rFonts w:ascii="Times New Roman" w:hAnsi="Times New Roman"/>
                <w:color w:val="000000" w:themeColor="text1"/>
                <w:spacing w:val="-2"/>
                <w:w w:val="95"/>
                <w:sz w:val="20"/>
              </w:rPr>
              <w:t xml:space="preserve"> z odt</w:t>
            </w:r>
            <w:r>
              <w:rPr>
                <w:rFonts w:ascii="Times New Roman" w:hAnsi="Times New Roman"/>
                <w:color w:val="000000" w:themeColor="text1"/>
                <w:spacing w:val="-2"/>
                <w:w w:val="95"/>
                <w:sz w:val="20"/>
              </w:rPr>
              <w:t>worzeniem lub uzyskaniem wartości ekonomicznej równoważnej istotnym warunkom zamkniętych transakcji na instrumentach pochodnych</w:t>
            </w:r>
            <w:r w:rsidR="004D7F8C">
              <w:rPr>
                <w:rFonts w:ascii="Times New Roman" w:hAnsi="Times New Roman"/>
                <w:color w:val="000000" w:themeColor="text1"/>
                <w:spacing w:val="-2"/>
                <w:w w:val="95"/>
                <w:sz w:val="20"/>
              </w:rPr>
              <w:t xml:space="preserve"> i opc</w:t>
            </w:r>
            <w:r>
              <w:rPr>
                <w:rFonts w:ascii="Times New Roman" w:hAnsi="Times New Roman"/>
                <w:color w:val="000000" w:themeColor="text1"/>
                <w:spacing w:val="-2"/>
                <w:w w:val="95"/>
                <w:sz w:val="20"/>
              </w:rPr>
              <w:t>jom przysługującym stronom</w:t>
            </w:r>
            <w:r w:rsidR="004D7F8C">
              <w:rPr>
                <w:rFonts w:ascii="Times New Roman" w:hAnsi="Times New Roman"/>
                <w:color w:val="000000" w:themeColor="text1"/>
                <w:spacing w:val="-2"/>
                <w:w w:val="95"/>
                <w:sz w:val="20"/>
              </w:rPr>
              <w:t xml:space="preserve"> z tyt</w:t>
            </w:r>
            <w:r>
              <w:rPr>
                <w:rFonts w:ascii="Times New Roman" w:hAnsi="Times New Roman"/>
                <w:color w:val="000000" w:themeColor="text1"/>
                <w:spacing w:val="-2"/>
                <w:w w:val="95"/>
                <w:sz w:val="20"/>
              </w:rPr>
              <w:t>ułu tych instrumentów.</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Oszacowanie wymagane</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określenia salda zamknięcia zgodnie ze wspomnianym powyżej rozporządzeniem może okazać się stosunkowo trudne do wykonania na zasadzie indywidualnej</w:t>
            </w:r>
            <w:r w:rsidR="004D7F8C">
              <w:rPr>
                <w:rFonts w:ascii="Times New Roman" w:hAnsi="Times New Roman"/>
                <w:color w:val="000000" w:themeColor="text1"/>
                <w:spacing w:val="-2"/>
                <w:w w:val="95"/>
                <w:sz w:val="20"/>
              </w:rPr>
              <w:t>. W zwi</w:t>
            </w:r>
            <w:r>
              <w:rPr>
                <w:rFonts w:ascii="Times New Roman" w:hAnsi="Times New Roman"/>
                <w:color w:val="000000" w:themeColor="text1"/>
                <w:spacing w:val="-2"/>
                <w:w w:val="95"/>
                <w:sz w:val="20"/>
              </w:rPr>
              <w:t>ązku</w:t>
            </w:r>
            <w:r w:rsidR="004D7F8C">
              <w:rPr>
                <w:rFonts w:ascii="Times New Roman" w:hAnsi="Times New Roman"/>
                <w:color w:val="000000" w:themeColor="text1"/>
                <w:spacing w:val="-2"/>
                <w:w w:val="95"/>
                <w:sz w:val="20"/>
              </w:rPr>
              <w:t xml:space="preserve"> z tym</w:t>
            </w:r>
            <w:r>
              <w:rPr>
                <w:rFonts w:ascii="Times New Roman" w:hAnsi="Times New Roman"/>
                <w:color w:val="000000" w:themeColor="text1"/>
                <w:spacing w:val="-2"/>
                <w:w w:val="95"/>
                <w:sz w:val="20"/>
              </w:rPr>
              <w:t xml:space="preserve"> zamiast niego można zastosować wartości zastępcze, które mogą opierać się na dostępnych danych, takich jak wymogi ostrożnościowe</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ryzyka rynkowego. Jeżeli obliczenie salda zamknięcia dla instrumentów pochodnych będących zobowiązaniami okaże się niemożliwe, zgłoszona kwota musi być równa kwocie zgłoszonej</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rszu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Suma pozycji zobowiązań netto przy uwzględnieniu ostrożnościowych zasad kompensowania</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Należy zgłosić pozycje zobowiązań netto</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instrumentów pochodnych, uwzględniając ostrożnościowe zasady kompensowania ujęte</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29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 (związane</w:t>
            </w:r>
            <w:r w:rsidR="004D7F8C">
              <w:rPr>
                <w:rFonts w:ascii="Times New Roman" w:hAnsi="Times New Roman"/>
                <w:color w:val="000000" w:themeColor="text1"/>
                <w:spacing w:val="-2"/>
                <w:w w:val="95"/>
                <w:sz w:val="20"/>
              </w:rPr>
              <w:t xml:space="preserve"> z obl</w:t>
            </w:r>
            <w:r>
              <w:rPr>
                <w:rFonts w:ascii="Times New Roman" w:hAnsi="Times New Roman"/>
                <w:color w:val="000000" w:themeColor="text1"/>
                <w:spacing w:val="-2"/>
                <w:w w:val="95"/>
                <w:sz w:val="20"/>
              </w:rPr>
              <w:t>iczaniem miary ekspozycji całkowitej wskaźnika dźwigni).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Zobowiązania zabezpieczone nieobjęte zabezpieczeniem</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Kwota zobowiązań zabezpieczonych lub zobowiązań,</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sunku do których zabezpieczenie oddane</w:t>
            </w:r>
            <w:r w:rsidR="004D7F8C">
              <w:rPr>
                <w:rFonts w:ascii="Times New Roman" w:hAnsi="Times New Roman"/>
                <w:color w:val="000000" w:themeColor="text1"/>
                <w:spacing w:val="-2"/>
                <w:w w:val="95"/>
                <w:sz w:val="20"/>
              </w:rPr>
              <w:t xml:space="preserve"> w zas</w:t>
            </w:r>
            <w:r>
              <w:rPr>
                <w:rFonts w:ascii="Times New Roman" w:hAnsi="Times New Roman"/>
                <w:color w:val="000000" w:themeColor="text1"/>
                <w:spacing w:val="-2"/>
                <w:w w:val="95"/>
                <w:sz w:val="20"/>
              </w:rPr>
              <w:t xml:space="preserve">taw przekracza wartość aktywów, zastawu, prawa zastawu lub zabezpieczenia, które stanowią ich zabezpieczenie. Uwzględnia ona część jakiegokolwiek zabezpieczonego zobowiązania objętą zbyt małym zabezpieczeniem, np. część obligacji zabezpieczonych lub operacji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xml:space="preserve"> objętą zbyt małym zabezpieczeniem.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Sekurytyzowane papiery wartościowe</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Sekurytyzowane papiery wartościowe definiuje się do niniejszych celów jako zobowiązania dłużne, które obejmują składnik</w:t>
            </w:r>
            <w:r w:rsidR="004D7F8C">
              <w:rPr>
                <w:rFonts w:ascii="Times New Roman" w:hAnsi="Times New Roman"/>
                <w:color w:val="000000" w:themeColor="text1"/>
                <w:spacing w:val="-2"/>
                <w:w w:val="95"/>
                <w:sz w:val="20"/>
              </w:rPr>
              <w:t xml:space="preserve"> w pos</w:t>
            </w:r>
            <w:r>
              <w:rPr>
                <w:rFonts w:ascii="Times New Roman" w:hAnsi="Times New Roman"/>
                <w:color w:val="000000" w:themeColor="text1"/>
                <w:spacing w:val="-2"/>
                <w:w w:val="95"/>
                <w:sz w:val="20"/>
              </w:rPr>
              <w:t>taci wbudowanego instrumentu pochodnego przy zwrocie</w:t>
            </w:r>
            <w:r w:rsidR="004D7F8C">
              <w:rPr>
                <w:rFonts w:ascii="Times New Roman" w:hAnsi="Times New Roman"/>
                <w:color w:val="000000" w:themeColor="text1"/>
                <w:spacing w:val="-2"/>
                <w:w w:val="95"/>
                <w:sz w:val="20"/>
              </w:rPr>
              <w:t xml:space="preserve"> z inw</w:t>
            </w:r>
            <w:r>
              <w:rPr>
                <w:rFonts w:ascii="Times New Roman" w:hAnsi="Times New Roman"/>
                <w:color w:val="000000" w:themeColor="text1"/>
                <w:spacing w:val="-2"/>
                <w:w w:val="95"/>
                <w:sz w:val="20"/>
              </w:rPr>
              <w:t>estycji związanym</w:t>
            </w:r>
            <w:r w:rsidR="004D7F8C">
              <w:rPr>
                <w:rFonts w:ascii="Times New Roman" w:hAnsi="Times New Roman"/>
                <w:color w:val="000000" w:themeColor="text1"/>
                <w:spacing w:val="-2"/>
                <w:w w:val="95"/>
                <w:sz w:val="20"/>
              </w:rPr>
              <w:t xml:space="preserve"> z baz</w:t>
            </w:r>
            <w:r>
              <w:rPr>
                <w:rFonts w:ascii="Times New Roman" w:hAnsi="Times New Roman"/>
                <w:color w:val="000000" w:themeColor="text1"/>
                <w:spacing w:val="-2"/>
                <w:w w:val="95"/>
                <w:sz w:val="20"/>
              </w:rPr>
              <w:t>owymi papierami wartościowymi lub określonym indeksem (publiczne lub dedykowane, takie jak instrumenty kapitałowe lub obligacje,</w:t>
            </w:r>
            <w:r w:rsidR="004D7F8C">
              <w:rPr>
                <w:rFonts w:ascii="Times New Roman" w:hAnsi="Times New Roman"/>
                <w:color w:val="000000" w:themeColor="text1"/>
                <w:spacing w:val="-2"/>
                <w:w w:val="95"/>
                <w:sz w:val="20"/>
              </w:rPr>
              <w:t xml:space="preserve"> o sta</w:t>
            </w:r>
            <w:r>
              <w:rPr>
                <w:rFonts w:ascii="Times New Roman" w:hAnsi="Times New Roman"/>
                <w:color w:val="000000" w:themeColor="text1"/>
                <w:spacing w:val="-2"/>
                <w:w w:val="95"/>
                <w:sz w:val="20"/>
              </w:rPr>
              <w:t>łym oprocentowaniu lub kredytowe, walutowe, towarowe itp.). Sekurytyzowane papiery wartościowe nie obejmują instrumentów dłużnych uwzględniających wyłącznie opcje kupna lub sprzedaży, tj. wartość instrumentu nie zależy od żadnego składnika</w:t>
            </w:r>
            <w:r w:rsidR="004D7F8C">
              <w:rPr>
                <w:rFonts w:ascii="Times New Roman" w:hAnsi="Times New Roman"/>
                <w:color w:val="000000" w:themeColor="text1"/>
                <w:spacing w:val="-2"/>
                <w:w w:val="95"/>
                <w:sz w:val="20"/>
              </w:rPr>
              <w:t xml:space="preserve"> w pos</w:t>
            </w:r>
            <w:r>
              <w:rPr>
                <w:rFonts w:ascii="Times New Roman" w:hAnsi="Times New Roman"/>
                <w:color w:val="000000" w:themeColor="text1"/>
                <w:spacing w:val="-2"/>
                <w:w w:val="95"/>
                <w:sz w:val="20"/>
              </w:rPr>
              <w:t>taci wbudowanego instrumentu pochodnego.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Niezabezpieczone zobowiązania uprzywilejowane</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Obejmują one wszystkie uprzywilejowane, niezabezpieczone instrumenty, które nie są ujęte</w:t>
            </w:r>
            <w:r w:rsidR="004D7F8C">
              <w:rPr>
                <w:rFonts w:ascii="Times New Roman" w:hAnsi="Times New Roman"/>
                <w:color w:val="000000" w:themeColor="text1"/>
                <w:spacing w:val="-2"/>
                <w:w w:val="95"/>
                <w:sz w:val="20"/>
              </w:rPr>
              <w:t xml:space="preserve"> w kat</w:t>
            </w:r>
            <w:r>
              <w:rPr>
                <w:rFonts w:ascii="Times New Roman" w:hAnsi="Times New Roman"/>
                <w:color w:val="000000" w:themeColor="text1"/>
                <w:spacing w:val="-2"/>
                <w:w w:val="95"/>
                <w:sz w:val="20"/>
              </w:rPr>
              <w:t xml:space="preserve">egorii </w:t>
            </w:r>
            <w:proofErr w:type="spellStart"/>
            <w:r>
              <w:rPr>
                <w:rFonts w:ascii="Times New Roman" w:hAnsi="Times New Roman"/>
                <w:color w:val="000000" w:themeColor="text1"/>
                <w:spacing w:val="-2"/>
                <w:w w:val="95"/>
                <w:sz w:val="20"/>
              </w:rPr>
              <w:t>sekurytyzowanych</w:t>
            </w:r>
            <w:proofErr w:type="spellEnd"/>
            <w:r>
              <w:rPr>
                <w:rFonts w:ascii="Times New Roman" w:hAnsi="Times New Roman"/>
                <w:color w:val="000000" w:themeColor="text1"/>
                <w:spacing w:val="-2"/>
                <w:w w:val="95"/>
                <w:sz w:val="20"/>
              </w:rPr>
              <w:t xml:space="preserve"> papierów wartościowych.</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„Podrzędne” zobowiązania uprzywilejowane</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Kwota któregokolwiek</w:t>
            </w:r>
            <w:r w:rsidR="004D7F8C">
              <w:rPr>
                <w:rFonts w:ascii="Times New Roman" w:hAnsi="Times New Roman"/>
                <w:color w:val="000000" w:themeColor="text1"/>
                <w:spacing w:val="-2"/>
                <w:w w:val="95"/>
                <w:sz w:val="20"/>
              </w:rPr>
              <w:t xml:space="preserve"> z pon</w:t>
            </w:r>
            <w:r>
              <w:rPr>
                <w:rFonts w:ascii="Times New Roman" w:hAnsi="Times New Roman"/>
                <w:color w:val="000000" w:themeColor="text1"/>
                <w:spacing w:val="-2"/>
                <w:w w:val="95"/>
                <w:sz w:val="20"/>
              </w:rPr>
              <w:t>iższych zobowiązań:</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niezabezpieczonych roszczeń wynikających</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dłużnych spełniających warunki określone</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08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b) i c) oraz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08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dyrektywy 2014/59/UE;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niezabezpieczonych roszczeń wynikających</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dłużnych,</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rych mowa</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08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akapit pierwszy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b)</w:t>
            </w:r>
            <w:r>
              <w:rPr>
                <w:rFonts w:ascii="Times New Roman" w:hAnsi="Times New Roman"/>
                <w:color w:val="000000" w:themeColor="text1"/>
                <w:spacing w:val="-2"/>
                <w:w w:val="95"/>
                <w:sz w:val="20"/>
              </w:rPr>
              <w:t xml:space="preserve"> dyrektywy 2014/59/UE; lub</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instrumentów dłużnych</w:t>
            </w:r>
            <w:r w:rsidR="004D7F8C">
              <w:rPr>
                <w:rFonts w:ascii="Times New Roman" w:hAnsi="Times New Roman"/>
                <w:color w:val="000000" w:themeColor="text1"/>
                <w:spacing w:val="-2"/>
                <w:w w:val="95"/>
                <w:sz w:val="20"/>
              </w:rPr>
              <w:t xml:space="preserve"> o naj</w:t>
            </w:r>
            <w:r>
              <w:rPr>
                <w:rFonts w:ascii="Times New Roman" w:hAnsi="Times New Roman"/>
                <w:color w:val="000000" w:themeColor="text1"/>
                <w:spacing w:val="-2"/>
                <w:w w:val="95"/>
                <w:sz w:val="20"/>
              </w:rPr>
              <w:t>niższym stopniu uprzywilejowania spośród zwykłych niezabezpieczonych roszczeń wynikających</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dłużnych,</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rych mowa</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08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dyrektywy 2014/59/UE,</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których państwa członkowskie wprowadziły przepisy, zgodnie</w:t>
            </w:r>
            <w:r w:rsidR="004D7F8C">
              <w:rPr>
                <w:rFonts w:ascii="Times New Roman" w:hAnsi="Times New Roman"/>
                <w:color w:val="000000" w:themeColor="text1"/>
                <w:spacing w:val="-2"/>
                <w:w w:val="95"/>
                <w:sz w:val="20"/>
              </w:rPr>
              <w:t xml:space="preserve"> z prz</w:t>
            </w:r>
            <w:r>
              <w:rPr>
                <w:rFonts w:ascii="Times New Roman" w:hAnsi="Times New Roman"/>
                <w:color w:val="000000" w:themeColor="text1"/>
                <w:spacing w:val="-2"/>
                <w:w w:val="95"/>
                <w:sz w:val="20"/>
              </w:rPr>
              <w:t>edmiotowym ustępem, stanowiące, że mają one ten sam stopień uprzywilejowania co roszczenia, które spełniają warunki określone</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08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b) i c) oraz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08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dyrektywy 2014/59/UE.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Zobowiązania podporządkowane</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Zobowiązania, które zostaną spłacone zgodnie</w:t>
            </w:r>
            <w:r w:rsidR="004D7F8C">
              <w:rPr>
                <w:rFonts w:ascii="Times New Roman" w:hAnsi="Times New Roman"/>
                <w:color w:val="000000" w:themeColor="text1"/>
                <w:spacing w:val="-2"/>
                <w:w w:val="95"/>
                <w:sz w:val="20"/>
              </w:rPr>
              <w:t xml:space="preserve"> z kra</w:t>
            </w:r>
            <w:r>
              <w:rPr>
                <w:rFonts w:ascii="Times New Roman" w:hAnsi="Times New Roman"/>
                <w:color w:val="000000" w:themeColor="text1"/>
                <w:spacing w:val="-2"/>
                <w:w w:val="95"/>
                <w:sz w:val="20"/>
              </w:rPr>
              <w:t>jowym prawem upadłościowym dopiero po pełnym spłaceniu wszystkich klas wierzycieli zwykłych i „podrzędnych” wierzycieli uprzywilejowanych. Obejmują one zarówno zobowiązania podporządkowane uzgodnione</w:t>
            </w:r>
            <w:r w:rsidR="004D7F8C">
              <w:rPr>
                <w:rFonts w:ascii="Times New Roman" w:hAnsi="Times New Roman"/>
                <w:color w:val="000000" w:themeColor="text1"/>
                <w:spacing w:val="-2"/>
                <w:w w:val="95"/>
                <w:sz w:val="20"/>
              </w:rPr>
              <w:t xml:space="preserve"> w umo</w:t>
            </w:r>
            <w:r>
              <w:rPr>
                <w:rFonts w:ascii="Times New Roman" w:hAnsi="Times New Roman"/>
                <w:color w:val="000000" w:themeColor="text1"/>
                <w:spacing w:val="-2"/>
                <w:w w:val="95"/>
                <w:sz w:val="20"/>
              </w:rPr>
              <w:t>wie, jak</w:t>
            </w:r>
            <w:r w:rsidR="004D7F8C">
              <w:rPr>
                <w:rFonts w:ascii="Times New Roman" w:hAnsi="Times New Roman"/>
                <w:color w:val="000000" w:themeColor="text1"/>
                <w:spacing w:val="-2"/>
                <w:w w:val="95"/>
                <w:sz w:val="20"/>
              </w:rPr>
              <w:t xml:space="preserve"> i sta</w:t>
            </w:r>
            <w:r>
              <w:rPr>
                <w:rFonts w:ascii="Times New Roman" w:hAnsi="Times New Roman"/>
                <w:color w:val="000000" w:themeColor="text1"/>
                <w:spacing w:val="-2"/>
                <w:w w:val="95"/>
                <w:sz w:val="20"/>
              </w:rPr>
              <w:t>tutowe</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spółek holdingowych,</w:t>
            </w:r>
            <w:r w:rsidR="004D7F8C">
              <w:rPr>
                <w:rFonts w:ascii="Times New Roman" w:hAnsi="Times New Roman"/>
                <w:color w:val="000000" w:themeColor="text1"/>
                <w:spacing w:val="-2"/>
                <w:w w:val="95"/>
                <w:sz w:val="20"/>
              </w:rPr>
              <w:t xml:space="preserve"> w kat</w:t>
            </w:r>
            <w:r>
              <w:rPr>
                <w:rFonts w:ascii="Times New Roman" w:hAnsi="Times New Roman"/>
                <w:color w:val="000000" w:themeColor="text1"/>
                <w:spacing w:val="-2"/>
                <w:w w:val="95"/>
                <w:sz w:val="20"/>
              </w:rPr>
              <w:t>egorii tej można również zgłosić niepodporządkowane dłużne papiery wartościowe (tj. podporządkowanie strukturalne).</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W kategorii tej ujmuje się wyłącznie instrumenty podporządkowane, które nie zostały ujęte jako fundusze własne.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 wierszu tym ujmuje się również część zobowiązań podporządkowanych, które zasadniczo kwalifikują się jako fundusze własne, ale nie zostały ujęte</w:t>
            </w:r>
            <w:r w:rsidR="004D7F8C">
              <w:rPr>
                <w:rFonts w:ascii="Times New Roman" w:hAnsi="Times New Roman"/>
                <w:color w:val="000000" w:themeColor="text1"/>
                <w:spacing w:val="-2"/>
                <w:w w:val="95"/>
                <w:sz w:val="20"/>
              </w:rPr>
              <w:t xml:space="preserve"> w fun</w:t>
            </w:r>
            <w:r>
              <w:rPr>
                <w:rFonts w:ascii="Times New Roman" w:hAnsi="Times New Roman"/>
                <w:color w:val="000000" w:themeColor="text1"/>
                <w:spacing w:val="-2"/>
                <w:w w:val="95"/>
                <w:sz w:val="20"/>
              </w:rPr>
              <w:t xml:space="preserve">duszach własnych ze względu na przepisy dotyczące stopniowego wycofywania, takie jak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4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75/2013 (rezydualny termin zapadalności) lub część 10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75/2013 (wpływ stosowania zasady praw nabytych).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Inne zobowiązania kwalifikowalne</w:t>
            </w:r>
            <w:r w:rsidR="004D7F8C">
              <w:rPr>
                <w:rFonts w:ascii="Times New Roman" w:hAnsi="Times New Roman"/>
                <w:b/>
                <w:color w:val="000000" w:themeColor="text1"/>
                <w:sz w:val="20"/>
              </w:rPr>
              <w:t xml:space="preserve"> w ram</w:t>
            </w:r>
            <w:r>
              <w:rPr>
                <w:rFonts w:ascii="Times New Roman" w:hAnsi="Times New Roman"/>
                <w:b/>
                <w:color w:val="000000" w:themeColor="text1"/>
                <w:sz w:val="20"/>
              </w:rPr>
              <w:t>ach minimalnego wymogu funduszy własnych</w:t>
            </w:r>
            <w:r w:rsidR="004D7F8C">
              <w:rPr>
                <w:rFonts w:ascii="Times New Roman" w:hAnsi="Times New Roman"/>
                <w:b/>
                <w:color w:val="000000" w:themeColor="text1"/>
                <w:sz w:val="20"/>
              </w:rPr>
              <w:t xml:space="preserve"> i zob</w:t>
            </w:r>
            <w:r>
              <w:rPr>
                <w:rFonts w:ascii="Times New Roman" w:hAnsi="Times New Roman"/>
                <w:b/>
                <w:color w:val="000000" w:themeColor="text1"/>
                <w:sz w:val="20"/>
              </w:rPr>
              <w:t>owiązań kwalifikowanych</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Każdy instrument, który kwalifikuje się</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minimalnego wymogu funduszy własnych</w:t>
            </w:r>
            <w:r w:rsidR="004D7F8C">
              <w:rPr>
                <w:rFonts w:ascii="Times New Roman" w:hAnsi="Times New Roman"/>
                <w:color w:val="000000" w:themeColor="text1"/>
                <w:spacing w:val="-2"/>
                <w:w w:val="95"/>
                <w:sz w:val="20"/>
              </w:rPr>
              <w:t xml:space="preserve"> i zob</w:t>
            </w:r>
            <w:r>
              <w:rPr>
                <w:rFonts w:ascii="Times New Roman" w:hAnsi="Times New Roman"/>
                <w:color w:val="000000" w:themeColor="text1"/>
                <w:spacing w:val="-2"/>
                <w:w w:val="95"/>
                <w:sz w:val="20"/>
              </w:rPr>
              <w:t>owiązań kwalifikowanych, ale nie został ujęty</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rszach 0320</w:t>
            </w:r>
            <w:r w:rsidR="004D7F8C">
              <w:rPr>
                <w:rFonts w:ascii="Times New Roman" w:hAnsi="Times New Roman"/>
                <w:color w:val="000000" w:themeColor="text1"/>
                <w:spacing w:val="-2"/>
                <w:w w:val="95"/>
                <w:sz w:val="20"/>
              </w:rPr>
              <w:t xml:space="preserve"> i 0</w:t>
            </w:r>
            <w:r>
              <w:rPr>
                <w:rFonts w:ascii="Times New Roman" w:hAnsi="Times New Roman"/>
                <w:color w:val="000000" w:themeColor="text1"/>
                <w:spacing w:val="-2"/>
                <w:w w:val="95"/>
                <w:sz w:val="20"/>
              </w:rPr>
              <w:t>340–0370.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Zobowiązania niefinansowe</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 niniejszym wierszu ujmuje się zobowiązania niefinansowe, które nie są związane</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trumentami dłużnymi, co do których posiadacze ze względów praktycznych, takich jak przepisy związane</w:t>
            </w:r>
            <w:r w:rsidR="004D7F8C">
              <w:rPr>
                <w:rFonts w:ascii="Times New Roman" w:hAnsi="Times New Roman"/>
                <w:color w:val="000000" w:themeColor="text1"/>
                <w:spacing w:val="-2"/>
                <w:w w:val="95"/>
                <w:sz w:val="20"/>
              </w:rPr>
              <w:t xml:space="preserve"> z roz</w:t>
            </w:r>
            <w:r>
              <w:rPr>
                <w:rFonts w:ascii="Times New Roman" w:hAnsi="Times New Roman"/>
                <w:color w:val="000000" w:themeColor="text1"/>
                <w:spacing w:val="-2"/>
                <w:w w:val="95"/>
                <w:sz w:val="20"/>
              </w:rPr>
              <w:t xml:space="preserve">strzyganiem sporów, których przedmiotem jest podmiot, mogą zastosować umorzenie lub konwersję </w:t>
            </w:r>
            <w:r>
              <w:rPr>
                <w:rFonts w:ascii="Times New Roman" w:hAnsi="Times New Roman"/>
                <w:color w:val="000000" w:themeColor="text1"/>
                <w:spacing w:val="-2"/>
                <w:w w:val="95"/>
                <w:sz w:val="20"/>
              </w:rPr>
              <w:lastRenderedPageBreak/>
              <w:t xml:space="preserve">długu.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Pozostałe pasywa</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Każde zobowiązanie niezgłoszone</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 xml:space="preserve">rszach 0100–0390.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Fundusze własne</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18 oraz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2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COREP (FW):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Kapitał podstawowy Tier I</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50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COREP (FW):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W tym: instrumenty kapitałowe / kapitał zakładowy</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Instrumenty prawne, które stanowią (część) kapitału podstawowego Tier I</w:t>
            </w:r>
            <w:r w:rsidR="004D7F8C">
              <w:rPr>
                <w:rFonts w:ascii="Times New Roman" w:hAnsi="Times New Roman"/>
                <w:color w:val="000000" w:themeColor="text1"/>
                <w:spacing w:val="-2"/>
                <w:w w:val="95"/>
                <w:sz w:val="20"/>
              </w:rPr>
              <w:t xml:space="preserve"> w for</w:t>
            </w:r>
            <w:r>
              <w:rPr>
                <w:rFonts w:ascii="Times New Roman" w:hAnsi="Times New Roman"/>
                <w:color w:val="000000" w:themeColor="text1"/>
                <w:spacing w:val="-2"/>
                <w:w w:val="95"/>
                <w:sz w:val="20"/>
              </w:rPr>
              <w:t>mie instrumentów kapitałowych / kapitału zakładowego.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W tym: instrumenty</w:t>
            </w:r>
            <w:r w:rsidR="004D7F8C">
              <w:rPr>
                <w:rFonts w:ascii="Times New Roman" w:hAnsi="Times New Roman"/>
                <w:b/>
                <w:color w:val="000000" w:themeColor="text1"/>
                <w:sz w:val="20"/>
              </w:rPr>
              <w:t xml:space="preserve"> o rów</w:t>
            </w:r>
            <w:r>
              <w:rPr>
                <w:rFonts w:ascii="Times New Roman" w:hAnsi="Times New Roman"/>
                <w:b/>
                <w:color w:val="000000" w:themeColor="text1"/>
                <w:sz w:val="20"/>
              </w:rPr>
              <w:t>nym stopniu uprzywilejowania co akcje zwykłe</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Instrumenty prawne, które stanowią (część) funduszy własnych kapitału podstawowego Tier I</w:t>
            </w:r>
            <w:r w:rsidR="004D7F8C">
              <w:rPr>
                <w:rFonts w:ascii="Times New Roman" w:hAnsi="Times New Roman"/>
                <w:color w:val="000000" w:themeColor="text1"/>
                <w:spacing w:val="-2"/>
                <w:w w:val="95"/>
                <w:sz w:val="20"/>
              </w:rPr>
              <w:t xml:space="preserve"> w for</w:t>
            </w:r>
            <w:r>
              <w:rPr>
                <w:rFonts w:ascii="Times New Roman" w:hAnsi="Times New Roman"/>
                <w:color w:val="000000" w:themeColor="text1"/>
                <w:spacing w:val="-2"/>
                <w:w w:val="95"/>
                <w:sz w:val="20"/>
              </w:rPr>
              <w:t>mie instrumentów innych niż instrumenty kapitałowych / kapitał zakładowy, ale</w:t>
            </w:r>
            <w:r w:rsidR="004D7F8C">
              <w:rPr>
                <w:rFonts w:ascii="Times New Roman" w:hAnsi="Times New Roman"/>
                <w:color w:val="000000" w:themeColor="text1"/>
                <w:spacing w:val="-2"/>
                <w:w w:val="95"/>
                <w:sz w:val="20"/>
              </w:rPr>
              <w:t xml:space="preserve"> o rów</w:t>
            </w:r>
            <w:r>
              <w:rPr>
                <w:rFonts w:ascii="Times New Roman" w:hAnsi="Times New Roman"/>
                <w:color w:val="000000" w:themeColor="text1"/>
                <w:spacing w:val="-2"/>
                <w:w w:val="95"/>
                <w:sz w:val="20"/>
              </w:rPr>
              <w:t>nym stopniu uprzywilejowania co instrumenty tej kategorii.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Kapitał dodatkowy Tier I</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61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COREP (FW):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W tym: (część) zobowiązań podporządkowanych ujętych jako fundusze własne</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Instrumenty prawne, które stanowią (część) kapitału dodatkowego Tier 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Kapitał Tier II</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71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COREP (FW):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W tym: (część) zobowiązań podporządkowanych ujętych jako fundusze własne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 podziale tym określa się instrumenty prawne, które stanowią (część) funduszy własnych Tier II.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Zobowiązania razem</w:t>
            </w:r>
            <w:r w:rsidR="004D7F8C">
              <w:rPr>
                <w:rFonts w:ascii="Times New Roman" w:hAnsi="Times New Roman"/>
                <w:b/>
                <w:color w:val="000000" w:themeColor="text1"/>
                <w:sz w:val="20"/>
              </w:rPr>
              <w:t xml:space="preserve"> i fun</w:t>
            </w:r>
            <w:r>
              <w:rPr>
                <w:rFonts w:ascii="Times New Roman" w:hAnsi="Times New Roman"/>
                <w:b/>
                <w:color w:val="000000" w:themeColor="text1"/>
                <w:sz w:val="20"/>
              </w:rPr>
              <w:t>dusze własne,</w:t>
            </w:r>
            <w:r w:rsidR="004D7F8C">
              <w:rPr>
                <w:rFonts w:ascii="Times New Roman" w:hAnsi="Times New Roman"/>
                <w:b/>
                <w:color w:val="000000" w:themeColor="text1"/>
                <w:sz w:val="20"/>
              </w:rPr>
              <w:t xml:space="preserve"> w tym</w:t>
            </w:r>
            <w:r>
              <w:rPr>
                <w:rFonts w:ascii="Times New Roman" w:hAnsi="Times New Roman"/>
                <w:b/>
                <w:color w:val="000000" w:themeColor="text1"/>
                <w:sz w:val="20"/>
              </w:rPr>
              <w:t xml:space="preserve"> instrumenty pochodne będące zobowiązaniami</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Suma wszystkich zobowiązań zgłoszonych</w:t>
            </w:r>
            <w:r w:rsidR="004D7F8C">
              <w:rPr>
                <w:rFonts w:ascii="Times New Roman" w:hAnsi="Times New Roman"/>
                <w:color w:val="000000" w:themeColor="text1"/>
                <w:spacing w:val="-2"/>
                <w:w w:val="95"/>
                <w:sz w:val="20"/>
              </w:rPr>
              <w:t xml:space="preserve"> w nin</w:t>
            </w:r>
            <w:r>
              <w:rPr>
                <w:rFonts w:ascii="Times New Roman" w:hAnsi="Times New Roman"/>
                <w:color w:val="000000" w:themeColor="text1"/>
                <w:spacing w:val="-2"/>
                <w:w w:val="95"/>
                <w:sz w:val="20"/>
              </w:rPr>
              <w:t>iejszym szablonie</w:t>
            </w:r>
            <w:r w:rsidR="004D7F8C">
              <w:rPr>
                <w:rFonts w:ascii="Times New Roman" w:hAnsi="Times New Roman"/>
                <w:color w:val="000000" w:themeColor="text1"/>
                <w:spacing w:val="-2"/>
                <w:w w:val="95"/>
                <w:sz w:val="20"/>
              </w:rPr>
              <w:t xml:space="preserve"> i kwo</w:t>
            </w:r>
            <w:r>
              <w:rPr>
                <w:rFonts w:ascii="Times New Roman" w:hAnsi="Times New Roman"/>
                <w:color w:val="000000" w:themeColor="text1"/>
                <w:spacing w:val="-2"/>
                <w:w w:val="95"/>
                <w:sz w:val="20"/>
              </w:rPr>
              <w:t>ta ustawowych funduszy własnych</w:t>
            </w:r>
            <w:r w:rsidR="004D7F8C">
              <w:rPr>
                <w:rFonts w:ascii="Times New Roman" w:hAnsi="Times New Roman"/>
                <w:color w:val="000000" w:themeColor="text1"/>
                <w:spacing w:val="-2"/>
                <w:w w:val="95"/>
                <w:sz w:val="20"/>
              </w:rPr>
              <w:t>. W tym</w:t>
            </w:r>
            <w:r>
              <w:rPr>
                <w:rFonts w:ascii="Times New Roman" w:hAnsi="Times New Roman"/>
                <w:color w:val="000000" w:themeColor="text1"/>
                <w:spacing w:val="-2"/>
                <w:w w:val="95"/>
                <w:sz w:val="20"/>
              </w:rPr>
              <w:t xml:space="preserve"> celu należy zsumować wszystkie kwoty znajdujące się</w:t>
            </w:r>
            <w:r w:rsidR="004D7F8C">
              <w:rPr>
                <w:rFonts w:ascii="Times New Roman" w:hAnsi="Times New Roman"/>
                <w:color w:val="000000" w:themeColor="text1"/>
                <w:spacing w:val="-2"/>
                <w:w w:val="95"/>
                <w:sz w:val="20"/>
              </w:rPr>
              <w:t xml:space="preserve"> w pow</w:t>
            </w:r>
            <w:r>
              <w:rPr>
                <w:rFonts w:ascii="Times New Roman" w:hAnsi="Times New Roman"/>
                <w:color w:val="000000" w:themeColor="text1"/>
                <w:spacing w:val="-2"/>
                <w:w w:val="95"/>
                <w:sz w:val="20"/>
              </w:rPr>
              <w:t>yższych wierszach</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instrumentów pochodnych należy zastosować wartość znajdującą się</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rszu 0334 „Suma pozycji zobowiązań netto przy uwzględnieniu ostrożnościowych zasad kompensowania”.</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062584"/>
      <w:r>
        <w:rPr>
          <w:rFonts w:ascii="Times New Roman" w:hAnsi="Times New Roman"/>
        </w:rPr>
        <w:t>Z 03.00 – Wymogi</w:t>
      </w:r>
      <w:r w:rsidR="004D7F8C">
        <w:rPr>
          <w:rFonts w:ascii="Times New Roman" w:hAnsi="Times New Roman"/>
        </w:rPr>
        <w:t xml:space="preserve"> w zak</w:t>
      </w:r>
      <w:r>
        <w:rPr>
          <w:rFonts w:ascii="Times New Roman" w:hAnsi="Times New Roman"/>
        </w:rPr>
        <w:t>resie funduszy własnych (OWN)</w:t>
      </w:r>
      <w:bookmarkEnd w:id="22"/>
      <w:bookmarkEnd w:id="23"/>
      <w:bookmarkEnd w:id="24"/>
    </w:p>
    <w:p w:rsidR="00F73F97" w:rsidRPr="00D92B3C" w:rsidRDefault="00F73F97" w:rsidP="00EC261B">
      <w:pPr>
        <w:pStyle w:val="Instructionsberschrift3"/>
      </w:pPr>
      <w:r>
        <w:t>Uwagi ogólne</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niniejszym szablonie gromadzone są informacje dotyczące wymogów</w:t>
      </w:r>
      <w:r w:rsidR="004D7F8C">
        <w:rPr>
          <w:rFonts w:ascii="Times New Roman" w:hAnsi="Times New Roman"/>
          <w:sz w:val="20"/>
        </w:rPr>
        <w:t xml:space="preserve"> w zak</w:t>
      </w:r>
      <w:r>
        <w:rPr>
          <w:rFonts w:ascii="Times New Roman" w:hAnsi="Times New Roman"/>
          <w:sz w:val="20"/>
        </w:rPr>
        <w:t>resie funduszy własnych</w:t>
      </w:r>
      <w:r w:rsidR="004D7F8C">
        <w:rPr>
          <w:rFonts w:ascii="Times New Roman" w:hAnsi="Times New Roman"/>
          <w:sz w:val="20"/>
        </w:rPr>
        <w:t xml:space="preserve"> w odn</w:t>
      </w:r>
      <w:r>
        <w:rPr>
          <w:rFonts w:ascii="Times New Roman" w:hAnsi="Times New Roman"/>
          <w:sz w:val="20"/>
        </w:rPr>
        <w:t>iesieniu do podmiotu lub grupy.</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Wszystkie zgłaszane informacje odzwierciedlają wymogi</w:t>
      </w:r>
      <w:r w:rsidR="004D7F8C">
        <w:rPr>
          <w:rFonts w:ascii="Times New Roman" w:hAnsi="Times New Roman"/>
          <w:sz w:val="20"/>
        </w:rPr>
        <w:t xml:space="preserve"> w zak</w:t>
      </w:r>
      <w:r>
        <w:rPr>
          <w:rFonts w:ascii="Times New Roman" w:hAnsi="Times New Roman"/>
          <w:sz w:val="20"/>
        </w:rPr>
        <w:t>resie funduszy własnych mające zastosowanie</w:t>
      </w:r>
      <w:r w:rsidR="004D7F8C">
        <w:rPr>
          <w:rFonts w:ascii="Times New Roman" w:hAnsi="Times New Roman"/>
          <w:sz w:val="20"/>
        </w:rPr>
        <w:t xml:space="preserve"> w spr</w:t>
      </w:r>
      <w:r>
        <w:rPr>
          <w:rFonts w:ascii="Times New Roman" w:hAnsi="Times New Roman"/>
          <w:sz w:val="20"/>
        </w:rPr>
        <w:t>awozdawczym dniu odniesienia.</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Informacje dotyczące wymogów</w:t>
      </w:r>
      <w:r w:rsidR="004D7F8C">
        <w:rPr>
          <w:rFonts w:ascii="Times New Roman" w:hAnsi="Times New Roman"/>
          <w:sz w:val="20"/>
        </w:rPr>
        <w:t xml:space="preserve"> w zak</w:t>
      </w:r>
      <w:r>
        <w:rPr>
          <w:rFonts w:ascii="Times New Roman" w:hAnsi="Times New Roman"/>
          <w:sz w:val="20"/>
        </w:rPr>
        <w:t>resie 2. filaru zgłaszane</w:t>
      </w:r>
      <w:r w:rsidR="004D7F8C">
        <w:rPr>
          <w:rFonts w:ascii="Times New Roman" w:hAnsi="Times New Roman"/>
          <w:sz w:val="20"/>
        </w:rPr>
        <w:t xml:space="preserve"> w nin</w:t>
      </w:r>
      <w:r>
        <w:rPr>
          <w:rFonts w:ascii="Times New Roman" w:hAnsi="Times New Roman"/>
          <w:sz w:val="20"/>
        </w:rPr>
        <w:t>iejszym szablonie opierają się na ostatnim dostępnym oficjalnym piśmie SREP przekazanym przez właściwy organ.</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Jeżeli podmiot, do którego odnosi się sprawozdanie, nie podlega wymogom kapitałowym na zasadzie indywidualnej, wypełnia jedynie pole</w:t>
      </w:r>
      <w:r w:rsidR="004D7F8C">
        <w:rPr>
          <w:rFonts w:ascii="Times New Roman" w:hAnsi="Times New Roman"/>
          <w:sz w:val="20"/>
        </w:rPr>
        <w:t xml:space="preserve"> w wie</w:t>
      </w:r>
      <w:r>
        <w:rPr>
          <w:rFonts w:ascii="Times New Roman" w:hAnsi="Times New Roman"/>
          <w:sz w:val="20"/>
        </w:rPr>
        <w:t>rszu 0110.</w:t>
      </w:r>
    </w:p>
    <w:p w:rsidR="00E13CE3" w:rsidRPr="00D92B3C" w:rsidRDefault="00E13CE3" w:rsidP="00EC261B">
      <w:pPr>
        <w:pStyle w:val="Instructionsberschrift3"/>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741"/>
        <w:gridCol w:w="8342"/>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Wiersze</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Instrukcje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Łączna kwota ekspozycji na ryzyko</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92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Zob. Z 01.00, kolumna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Łączna kwota ekspozycji na ryzyko zdefiniowana na potrzeby COREP (FW):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Wkład</w:t>
            </w:r>
            <w:r w:rsidR="004D7F8C">
              <w:rPr>
                <w:rFonts w:ascii="Times New Roman" w:hAnsi="Times New Roman"/>
                <w:b/>
                <w:color w:val="000000" w:themeColor="text1"/>
                <w:spacing w:val="-2"/>
                <w:w w:val="95"/>
                <w:sz w:val="20"/>
              </w:rPr>
              <w:t xml:space="preserve"> w łąc</w:t>
            </w:r>
            <w:r>
              <w:rPr>
                <w:rFonts w:ascii="Times New Roman" w:hAnsi="Times New Roman"/>
                <w:b/>
                <w:color w:val="000000" w:themeColor="text1"/>
                <w:spacing w:val="-2"/>
                <w:w w:val="95"/>
                <w:sz w:val="20"/>
              </w:rPr>
              <w:t xml:space="preserve">zną skonsolidowaną kwotę ekspozycji na ryzyko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Zob. Z 01.00, kolumna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Całkowita ekspozycja wskaźnika dźwigni zdefiniowana na potrzeby COREP (WD):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Pozycję tę zgłasza się wyłącznie</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podmiotów, które nie podlegają wymogom kapitałowym na zasadzie indywidualnej.</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Kapitał założycielski</w:t>
            </w:r>
            <w:r w:rsidR="004D7F8C">
              <w:rPr>
                <w:rFonts w:ascii="Times New Roman" w:hAnsi="Times New Roman"/>
                <w:b/>
                <w:color w:val="000000" w:themeColor="text1"/>
                <w:sz w:val="20"/>
              </w:rPr>
              <w:t xml:space="preserve"> i wym</w:t>
            </w:r>
            <w:r>
              <w:rPr>
                <w:rFonts w:ascii="Times New Roman" w:hAnsi="Times New Roman"/>
                <w:b/>
                <w:color w:val="000000" w:themeColor="text1"/>
                <w:sz w:val="20"/>
              </w:rPr>
              <w:t>ogi dotyczące wskaźnika dźwigni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Kapitał założycielski</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 12, 28–31 dyrektywy 2013/36/UE</w:t>
            </w:r>
            <w:r w:rsidR="004D7F8C">
              <w:rPr>
                <w:rFonts w:ascii="Times New Roman" w:hAnsi="Times New Roman"/>
                <w:color w:val="000000" w:themeColor="text1"/>
                <w:spacing w:val="-2"/>
                <w:w w:val="95"/>
                <w:sz w:val="20"/>
              </w:rPr>
              <w:t xml:space="preserve"> i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 xml:space="preserve">3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Kwota kapitału założycielskiego wymagana jako warunek wstępny do udzielenia zezwolenia na rozpoczęcie działalności przez instytucję.</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Wymóg dotyczący wskaźnika dźwigni</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Wymóg dotyczący wskaźnika dźwigni mający zastosowanie do podmiotu lub grupy, wyrażony</w:t>
            </w:r>
            <w:r w:rsidR="004D7F8C">
              <w:rPr>
                <w:rFonts w:ascii="Times New Roman" w:hAnsi="Times New Roman"/>
                <w:color w:val="000000" w:themeColor="text1"/>
                <w:spacing w:val="-2"/>
                <w:w w:val="95"/>
                <w:sz w:val="20"/>
              </w:rPr>
              <w:t xml:space="preserve"> w ods</w:t>
            </w:r>
            <w:r>
              <w:rPr>
                <w:rFonts w:ascii="Times New Roman" w:hAnsi="Times New Roman"/>
                <w:color w:val="000000" w:themeColor="text1"/>
                <w:spacing w:val="-2"/>
                <w:w w:val="95"/>
                <w:sz w:val="20"/>
              </w:rPr>
              <w:t>etku całkowitej ekspozycji wskaźnika dźwigni. Jeżeli nie istnieje żaden formalny wymóg, podmioty pozostawiają tę komórkę pustą.</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Całkowitą ekspozycję wskaźnika dźwigni definiuje się podobnie jak na potrzeby COREP (WD):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Współczynnik całkowitego wymogu kapitałowego SREP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łączny współczynnik kapitałowy (</w:t>
            </w:r>
            <w:r w:rsidRPr="004D7F8C">
              <w:rPr>
                <w:rFonts w:ascii="Times New Roman" w:hAnsi="Times New Roman"/>
                <w:color w:val="000000" w:themeColor="text1"/>
                <w:sz w:val="20"/>
              </w:rPr>
              <w:t>8</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w:t>
            </w:r>
            <w:r>
              <w:rPr>
                <w:rFonts w:ascii="Times New Roman" w:hAnsi="Times New Roman"/>
                <w:color w:val="000000" w:themeColor="text1"/>
                <w:sz w:val="20"/>
              </w:rPr>
              <w:t>) określony</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9</w:t>
            </w:r>
            <w:r>
              <w:rPr>
                <w:rFonts w:ascii="Times New Roman" w:hAnsi="Times New Roman"/>
                <w:color w:val="000000" w:themeColor="text1"/>
                <w:sz w:val="20"/>
              </w:rPr>
              <w:t xml:space="preserve">2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lit.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c)</w:t>
            </w:r>
            <w:r>
              <w:rPr>
                <w:rFonts w:ascii="Times New Roman" w:hAnsi="Times New Roman"/>
                <w:color w:val="000000" w:themeColor="text1"/>
                <w:sz w:val="20"/>
              </w:rPr>
              <w:t xml:space="preserve">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 xml:space="preserve">75/2013;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współczynnik dodatkowych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funduszy własnych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2. filaru – P2R) określony zgodnie</w:t>
            </w:r>
            <w:r w:rsidR="004D7F8C">
              <w:rPr>
                <w:rFonts w:ascii="Times New Roman" w:hAnsi="Times New Roman"/>
                <w:color w:val="000000" w:themeColor="text1"/>
                <w:sz w:val="20"/>
              </w:rPr>
              <w:t xml:space="preserve"> z kry</w:t>
            </w:r>
            <w:r>
              <w:rPr>
                <w:rFonts w:ascii="Times New Roman" w:hAnsi="Times New Roman"/>
                <w:color w:val="000000" w:themeColor="text1"/>
                <w:sz w:val="20"/>
              </w:rPr>
              <w:t>teriami wyszczególnionymi</w:t>
            </w:r>
            <w:r w:rsidR="004D7F8C">
              <w:rPr>
                <w:rFonts w:ascii="Times New Roman" w:hAnsi="Times New Roman"/>
                <w:color w:val="000000" w:themeColor="text1"/>
                <w:sz w:val="20"/>
              </w:rPr>
              <w:t xml:space="preserve"> w </w:t>
            </w:r>
            <w:r w:rsidR="004D7F8C">
              <w:rPr>
                <w:rFonts w:ascii="Times New Roman" w:hAnsi="Times New Roman"/>
                <w:i/>
                <w:color w:val="000000" w:themeColor="text1"/>
                <w:sz w:val="20"/>
              </w:rPr>
              <w:t>Wyt</w:t>
            </w:r>
            <w:r>
              <w:rPr>
                <w:rFonts w:ascii="Times New Roman" w:hAnsi="Times New Roman"/>
                <w:i/>
                <w:color w:val="000000" w:themeColor="text1"/>
                <w:sz w:val="20"/>
              </w:rPr>
              <w:t>ycznych EUNB dotyczących wspólnych procedur</w:t>
            </w:r>
            <w:r w:rsidR="004D7F8C">
              <w:rPr>
                <w:rFonts w:ascii="Times New Roman" w:hAnsi="Times New Roman"/>
                <w:i/>
                <w:color w:val="000000" w:themeColor="text1"/>
                <w:sz w:val="20"/>
              </w:rPr>
              <w:t xml:space="preserve"> i met</w:t>
            </w:r>
            <w:r>
              <w:rPr>
                <w:rFonts w:ascii="Times New Roman" w:hAnsi="Times New Roman"/>
                <w:i/>
                <w:color w:val="000000" w:themeColor="text1"/>
                <w:sz w:val="20"/>
              </w:rPr>
              <w:t>od stosowanych</w:t>
            </w:r>
            <w:r w:rsidR="004D7F8C">
              <w:rPr>
                <w:rFonts w:ascii="Times New Roman" w:hAnsi="Times New Roman"/>
                <w:i/>
                <w:color w:val="000000" w:themeColor="text1"/>
                <w:sz w:val="20"/>
              </w:rPr>
              <w:t xml:space="preserve"> w ram</w:t>
            </w:r>
            <w:r>
              <w:rPr>
                <w:rFonts w:ascii="Times New Roman" w:hAnsi="Times New Roman"/>
                <w:i/>
                <w:color w:val="000000" w:themeColor="text1"/>
                <w:sz w:val="20"/>
              </w:rPr>
              <w:t>ach procesu przeglądu</w:t>
            </w:r>
            <w:r w:rsidR="004D7F8C">
              <w:rPr>
                <w:rFonts w:ascii="Times New Roman" w:hAnsi="Times New Roman"/>
                <w:i/>
                <w:color w:val="000000" w:themeColor="text1"/>
                <w:sz w:val="20"/>
              </w:rPr>
              <w:t xml:space="preserve"> i oce</w:t>
            </w:r>
            <w:r>
              <w:rPr>
                <w:rFonts w:ascii="Times New Roman" w:hAnsi="Times New Roman"/>
                <w:i/>
                <w:color w:val="000000" w:themeColor="text1"/>
                <w:sz w:val="20"/>
              </w:rPr>
              <w:t>ny nadzorczej</w:t>
            </w:r>
            <w:r w:rsidR="004D7F8C">
              <w:rPr>
                <w:rFonts w:ascii="Times New Roman" w:hAnsi="Times New Roman"/>
                <w:i/>
                <w:color w:val="000000" w:themeColor="text1"/>
                <w:sz w:val="20"/>
              </w:rPr>
              <w:t xml:space="preserve"> i nad</w:t>
            </w:r>
            <w:r>
              <w:rPr>
                <w:rFonts w:ascii="Times New Roman" w:hAnsi="Times New Roman"/>
                <w:i/>
                <w:color w:val="000000" w:themeColor="text1"/>
                <w:sz w:val="20"/>
              </w:rPr>
              <w:t>zorczych testów warunków skrajnych</w:t>
            </w:r>
            <w:r>
              <w:rPr>
                <w:rFonts w:ascii="Times New Roman" w:hAnsi="Times New Roman"/>
                <w:color w:val="000000" w:themeColor="text1"/>
                <w:sz w:val="20"/>
              </w:rPr>
              <w:t xml:space="preserve"> (ang. </w:t>
            </w:r>
            <w:r>
              <w:rPr>
                <w:rFonts w:ascii="Times New Roman" w:hAnsi="Times New Roman"/>
                <w:i/>
                <w:color w:val="000000" w:themeColor="text1"/>
                <w:sz w:val="20"/>
              </w:rPr>
              <w:t xml:space="preserve">EBA </w:t>
            </w:r>
            <w:proofErr w:type="spellStart"/>
            <w:r>
              <w:rPr>
                <w:rFonts w:ascii="Times New Roman" w:hAnsi="Times New Roman"/>
                <w:i/>
                <w:color w:val="000000" w:themeColor="text1"/>
                <w:sz w:val="20"/>
              </w:rPr>
              <w:t>Guidelines</w:t>
            </w:r>
            <w:proofErr w:type="spellEnd"/>
            <w:r>
              <w:rPr>
                <w:rFonts w:ascii="Times New Roman" w:hAnsi="Times New Roman"/>
                <w:i/>
                <w:color w:val="000000" w:themeColor="text1"/>
                <w:sz w:val="20"/>
              </w:rPr>
              <w:t xml:space="preserve"> on </w:t>
            </w:r>
            <w:proofErr w:type="spellStart"/>
            <w:r>
              <w:rPr>
                <w:rFonts w:ascii="Times New Roman" w:hAnsi="Times New Roman"/>
                <w:i/>
                <w:color w:val="000000" w:themeColor="text1"/>
                <w:sz w:val="20"/>
              </w:rPr>
              <w:t>common</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procedures</w:t>
            </w:r>
            <w:proofErr w:type="spellEnd"/>
            <w:r>
              <w:rPr>
                <w:rFonts w:ascii="Times New Roman" w:hAnsi="Times New Roman"/>
                <w:i/>
                <w:color w:val="000000" w:themeColor="text1"/>
                <w:sz w:val="20"/>
              </w:rPr>
              <w:t xml:space="preserve"> and </w:t>
            </w:r>
            <w:proofErr w:type="spellStart"/>
            <w:r>
              <w:rPr>
                <w:rFonts w:ascii="Times New Roman" w:hAnsi="Times New Roman"/>
                <w:i/>
                <w:color w:val="000000" w:themeColor="text1"/>
                <w:sz w:val="20"/>
              </w:rPr>
              <w:t>methodologies</w:t>
            </w:r>
            <w:proofErr w:type="spellEnd"/>
            <w:r>
              <w:rPr>
                <w:rFonts w:ascii="Times New Roman" w:hAnsi="Times New Roman"/>
                <w:i/>
                <w:color w:val="000000" w:themeColor="text1"/>
                <w:sz w:val="20"/>
              </w:rPr>
              <w:t xml:space="preserve"> for the </w:t>
            </w:r>
            <w:proofErr w:type="spellStart"/>
            <w:r>
              <w:rPr>
                <w:rFonts w:ascii="Times New Roman" w:hAnsi="Times New Roman"/>
                <w:i/>
                <w:color w:val="000000" w:themeColor="text1"/>
                <w:sz w:val="20"/>
              </w:rPr>
              <w:t>supervisory</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review</w:t>
            </w:r>
            <w:proofErr w:type="spellEnd"/>
            <w:r>
              <w:rPr>
                <w:rFonts w:ascii="Times New Roman" w:hAnsi="Times New Roman"/>
                <w:i/>
                <w:color w:val="000000" w:themeColor="text1"/>
                <w:sz w:val="20"/>
              </w:rPr>
              <w:t xml:space="preserve"> and </w:t>
            </w:r>
            <w:proofErr w:type="spellStart"/>
            <w:r>
              <w:rPr>
                <w:rFonts w:ascii="Times New Roman" w:hAnsi="Times New Roman"/>
                <w:i/>
                <w:color w:val="000000" w:themeColor="text1"/>
                <w:sz w:val="20"/>
              </w:rPr>
              <w:t>evaluation</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process</w:t>
            </w:r>
            <w:proofErr w:type="spellEnd"/>
            <w:r>
              <w:rPr>
                <w:rFonts w:ascii="Times New Roman" w:hAnsi="Times New Roman"/>
                <w:i/>
                <w:color w:val="000000" w:themeColor="text1"/>
                <w:sz w:val="20"/>
              </w:rPr>
              <w:t xml:space="preserve"> and </w:t>
            </w:r>
            <w:proofErr w:type="spellStart"/>
            <w:r>
              <w:rPr>
                <w:rFonts w:ascii="Times New Roman" w:hAnsi="Times New Roman"/>
                <w:i/>
                <w:color w:val="000000" w:themeColor="text1"/>
                <w:sz w:val="20"/>
              </w:rPr>
              <w:t>supervisory</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stress</w:t>
            </w:r>
            <w:proofErr w:type="spellEnd"/>
            <w:r>
              <w:rPr>
                <w:rFonts w:ascii="Times New Roman" w:hAnsi="Times New Roman"/>
                <w:i/>
                <w:color w:val="000000" w:themeColor="text1"/>
                <w:sz w:val="20"/>
              </w:rPr>
              <w:t xml:space="preserve"> </w:t>
            </w:r>
            <w:proofErr w:type="spellStart"/>
            <w:r>
              <w:rPr>
                <w:rFonts w:ascii="Times New Roman" w:hAnsi="Times New Roman"/>
                <w:i/>
                <w:color w:val="000000" w:themeColor="text1"/>
                <w:sz w:val="20"/>
              </w:rPr>
              <w:t>testing</w:t>
            </w:r>
            <w:proofErr w:type="spellEnd"/>
            <w:r>
              <w:rPr>
                <w:rFonts w:ascii="Times New Roman" w:hAnsi="Times New Roman"/>
                <w:color w:val="000000" w:themeColor="text1"/>
                <w:sz w:val="20"/>
              </w:rPr>
              <w:t>, wytyczne EUNB dotyczące SREP).</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Pozycja ta odzwierciedla współczynnik całkowitego wymogu kapitałowego SREP (TSCR) podany do wiadomości instytucji przez właściwy organ. TSCR zdefiniowano</w:t>
            </w:r>
            <w:r w:rsidR="004D7F8C">
              <w:rPr>
                <w:rFonts w:ascii="Times New Roman" w:hAnsi="Times New Roman"/>
                <w:color w:val="000000" w:themeColor="text1"/>
                <w:sz w:val="20"/>
              </w:rPr>
              <w:t xml:space="preserve"> w sek</w:t>
            </w:r>
            <w:r>
              <w:rPr>
                <w:rFonts w:ascii="Times New Roman" w:hAnsi="Times New Roman"/>
                <w:color w:val="000000" w:themeColor="text1"/>
                <w:sz w:val="20"/>
              </w:rPr>
              <w:t>cji 1.2 wytycznych EUNB dotyczących SREP.</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Jeżeli właściwy organ nie podał żadnych dodatkowych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funduszy własnych, należy zgłosić wyłącznie ppkt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mający obejmować kapitał podstawowy Tier I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współczynnik kapitału podstawowego Tier I (4,</w:t>
            </w:r>
            <w:r w:rsidRPr="004D7F8C">
              <w:rPr>
                <w:rFonts w:ascii="Times New Roman" w:hAnsi="Times New Roman"/>
                <w:color w:val="000000" w:themeColor="text1"/>
                <w:sz w:val="20"/>
              </w:rPr>
              <w:t>5</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w:t>
            </w:r>
            <w:r>
              <w:rPr>
                <w:rFonts w:ascii="Times New Roman" w:hAnsi="Times New Roman"/>
                <w:color w:val="000000" w:themeColor="text1"/>
                <w:sz w:val="20"/>
              </w:rPr>
              <w:t>) określony</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9</w:t>
            </w:r>
            <w:r>
              <w:rPr>
                <w:rFonts w:ascii="Times New Roman" w:hAnsi="Times New Roman"/>
                <w:color w:val="000000" w:themeColor="text1"/>
                <w:sz w:val="20"/>
              </w:rPr>
              <w:t xml:space="preserve">2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lit.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a)</w:t>
            </w:r>
            <w:r>
              <w:rPr>
                <w:rFonts w:ascii="Times New Roman" w:hAnsi="Times New Roman"/>
                <w:color w:val="000000" w:themeColor="text1"/>
                <w:sz w:val="20"/>
              </w:rPr>
              <w:t xml:space="preserve">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część współczynnika P2R,</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ppk</w:t>
            </w:r>
            <w:r>
              <w:rPr>
                <w:rFonts w:ascii="Times New Roman" w:hAnsi="Times New Roman"/>
                <w:color w:val="000000" w:themeColor="text1"/>
                <w:sz w:val="20"/>
              </w:rPr>
              <w:t>t (ii)</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300, co do której to części właściwy organ wymaga, aby była</w:t>
            </w:r>
            <w:r w:rsidR="004D7F8C">
              <w:rPr>
                <w:rFonts w:ascii="Times New Roman" w:hAnsi="Times New Roman"/>
                <w:color w:val="000000" w:themeColor="text1"/>
                <w:sz w:val="20"/>
              </w:rPr>
              <w:t xml:space="preserve"> w for</w:t>
            </w:r>
            <w:r>
              <w:rPr>
                <w:rFonts w:ascii="Times New Roman" w:hAnsi="Times New Roman"/>
                <w:color w:val="000000" w:themeColor="text1"/>
                <w:sz w:val="20"/>
              </w:rPr>
              <w:t>mie kapitału podstawowego Tier I.</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Jeżeli właściwy organ nie podał żadnych dodatkowych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funduszy własnych dotyczących posiadania funduszy</w:t>
            </w:r>
            <w:r w:rsidR="004D7F8C">
              <w:rPr>
                <w:rFonts w:ascii="Times New Roman" w:hAnsi="Times New Roman"/>
                <w:color w:val="000000" w:themeColor="text1"/>
                <w:sz w:val="20"/>
              </w:rPr>
              <w:t xml:space="preserve"> w for</w:t>
            </w:r>
            <w:r>
              <w:rPr>
                <w:rFonts w:ascii="Times New Roman" w:hAnsi="Times New Roman"/>
                <w:color w:val="000000" w:themeColor="text1"/>
                <w:sz w:val="20"/>
              </w:rPr>
              <w:t>mie kapitału podstawowego Tier I, należy zgłosić wyłącznie ppkt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mający obejmować kapitał Tier I</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współczynnik kapitału Tier I (</w:t>
            </w:r>
            <w:r w:rsidRPr="004D7F8C">
              <w:rPr>
                <w:rFonts w:ascii="Times New Roman" w:hAnsi="Times New Roman"/>
                <w:color w:val="000000" w:themeColor="text1"/>
                <w:sz w:val="20"/>
              </w:rPr>
              <w:t>6</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w:t>
            </w:r>
            <w:r>
              <w:rPr>
                <w:rFonts w:ascii="Times New Roman" w:hAnsi="Times New Roman"/>
                <w:color w:val="000000" w:themeColor="text1"/>
                <w:sz w:val="20"/>
              </w:rPr>
              <w:t>) określony</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9</w:t>
            </w:r>
            <w:r>
              <w:rPr>
                <w:rFonts w:ascii="Times New Roman" w:hAnsi="Times New Roman"/>
                <w:color w:val="000000" w:themeColor="text1"/>
                <w:sz w:val="20"/>
              </w:rPr>
              <w:t xml:space="preserve">2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w:t>
            </w:r>
            <w:r w:rsidRPr="004D7F8C">
              <w:rPr>
                <w:rFonts w:ascii="Times New Roman" w:hAnsi="Times New Roman"/>
                <w:color w:val="000000" w:themeColor="text1"/>
                <w:sz w:val="20"/>
              </w:rPr>
              <w:t>lit.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b)</w:t>
            </w:r>
            <w:r>
              <w:rPr>
                <w:rFonts w:ascii="Times New Roman" w:hAnsi="Times New Roman"/>
                <w:color w:val="000000" w:themeColor="text1"/>
                <w:sz w:val="20"/>
              </w:rPr>
              <w:t xml:space="preserve">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część współczynnika P2R,</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ppk</w:t>
            </w:r>
            <w:r>
              <w:rPr>
                <w:rFonts w:ascii="Times New Roman" w:hAnsi="Times New Roman"/>
                <w:color w:val="000000" w:themeColor="text1"/>
                <w:sz w:val="20"/>
              </w:rPr>
              <w:t>t (ii)</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300, co do której to części właściwy organ wymaga, aby była</w:t>
            </w:r>
            <w:r w:rsidR="004D7F8C">
              <w:rPr>
                <w:rFonts w:ascii="Times New Roman" w:hAnsi="Times New Roman"/>
                <w:color w:val="000000" w:themeColor="text1"/>
                <w:sz w:val="20"/>
              </w:rPr>
              <w:t xml:space="preserve"> w for</w:t>
            </w:r>
            <w:r>
              <w:rPr>
                <w:rFonts w:ascii="Times New Roman" w:hAnsi="Times New Roman"/>
                <w:color w:val="000000" w:themeColor="text1"/>
                <w:sz w:val="20"/>
              </w:rPr>
              <w:t>mie kapitału Tier I.</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Jeżeli właściwy organ nie podał żadnych dodatkowych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funduszy własnych dotyczących posiadania funduszy</w:t>
            </w:r>
            <w:r w:rsidR="004D7F8C">
              <w:rPr>
                <w:rFonts w:ascii="Times New Roman" w:hAnsi="Times New Roman"/>
                <w:color w:val="000000" w:themeColor="text1"/>
                <w:sz w:val="20"/>
              </w:rPr>
              <w:t xml:space="preserve"> w for</w:t>
            </w:r>
            <w:r>
              <w:rPr>
                <w:rFonts w:ascii="Times New Roman" w:hAnsi="Times New Roman"/>
                <w:color w:val="000000" w:themeColor="text1"/>
                <w:sz w:val="20"/>
              </w:rPr>
              <w:t>mie kapitału Tier I, należy zgłosić wyłącznie ppkt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Wymogi połączonego bufora</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128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dyrektywy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Bufor zabezpieczający</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128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sidR="004D7F8C">
              <w:rPr>
                <w:rFonts w:ascii="Times New Roman" w:hAnsi="Times New Roman"/>
                <w:color w:val="000000" w:themeColor="text1"/>
                <w:spacing w:val="-2"/>
                <w:w w:val="95"/>
                <w:sz w:val="20"/>
              </w:rPr>
              <w:t xml:space="preserve"> i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29 dyrektywy 2013/36/UE</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(FW):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Zgodnie</w:t>
            </w:r>
            <w:r w:rsidR="004D7F8C">
              <w:rPr>
                <w:rFonts w:ascii="Times New Roman" w:hAnsi="Times New Roman"/>
                <w:color w:val="000000" w:themeColor="text1"/>
                <w:sz w:val="20"/>
              </w:rPr>
              <w:t xml:space="preserve"> z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29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 bufor zabezpieczający jest dodatkową kwotą kapitału podstawowego Tier I. Ze względu na fakt, że wynosząca 2,</w:t>
            </w:r>
            <w:r w:rsidRPr="004D7F8C">
              <w:rPr>
                <w:rFonts w:ascii="Times New Roman" w:hAnsi="Times New Roman"/>
                <w:color w:val="000000" w:themeColor="text1"/>
                <w:sz w:val="20"/>
              </w:rPr>
              <w:t>5</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w:t>
            </w:r>
            <w:r>
              <w:rPr>
                <w:rFonts w:ascii="Times New Roman" w:hAnsi="Times New Roman"/>
                <w:color w:val="000000" w:themeColor="text1"/>
                <w:sz w:val="20"/>
              </w:rPr>
              <w:t xml:space="preserve"> wartość bufora zabezpieczającego jest stała, kwotę zgłasza się</w:t>
            </w:r>
            <w:r w:rsidR="004D7F8C">
              <w:rPr>
                <w:rFonts w:ascii="Times New Roman" w:hAnsi="Times New Roman"/>
                <w:color w:val="000000" w:themeColor="text1"/>
                <w:sz w:val="20"/>
              </w:rPr>
              <w:t xml:space="preserve"> w tej</w:t>
            </w:r>
            <w:r>
              <w:rPr>
                <w:rFonts w:ascii="Times New Roman" w:hAnsi="Times New Roman"/>
                <w:color w:val="000000" w:themeColor="text1"/>
                <w:sz w:val="20"/>
              </w:rPr>
              <w:t xml:space="preserve"> komórce.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Bufor zabezpieczający wynikający</w:t>
            </w:r>
            <w:r w:rsidR="004D7F8C">
              <w:rPr>
                <w:rStyle w:val="InstructionsTabelleberschrift"/>
                <w:rFonts w:ascii="Times New Roman" w:hAnsi="Times New Roman"/>
                <w:color w:val="000000" w:themeColor="text1"/>
                <w:u w:val="none"/>
              </w:rPr>
              <w:t xml:space="preserve"> z ryz</w:t>
            </w:r>
            <w:r>
              <w:rPr>
                <w:rStyle w:val="InstructionsTabelleberschrift"/>
                <w:rFonts w:ascii="Times New Roman" w:hAnsi="Times New Roman"/>
                <w:color w:val="000000" w:themeColor="text1"/>
                <w:u w:val="none"/>
              </w:rPr>
              <w:t xml:space="preserve">yka </w:t>
            </w:r>
            <w:proofErr w:type="spellStart"/>
            <w:r>
              <w:rPr>
                <w:rStyle w:val="InstructionsTabelleberschrift"/>
                <w:rFonts w:ascii="Times New Roman" w:hAnsi="Times New Roman"/>
                <w:color w:val="000000" w:themeColor="text1"/>
                <w:u w:val="none"/>
              </w:rPr>
              <w:t>makroostrożnościowego</w:t>
            </w:r>
            <w:proofErr w:type="spellEnd"/>
            <w:r>
              <w:rPr>
                <w:rStyle w:val="InstructionsTabelleberschrift"/>
                <w:rFonts w:ascii="Times New Roman" w:hAnsi="Times New Roman"/>
                <w:color w:val="000000" w:themeColor="text1"/>
                <w:u w:val="none"/>
              </w:rPr>
              <w:t xml:space="preserve"> lub ryzyka systemowego zidentyfikowanego na poziomie państwa członkowskiego</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 xml:space="preserve">Art. 458 </w:t>
            </w:r>
            <w:r w:rsidRPr="004D7F8C">
              <w:rPr>
                <w:rStyle w:val="InstructionsTabelleberschrift"/>
                <w:rFonts w:ascii="Times New Roman" w:hAnsi="Times New Roman"/>
                <w:b w:val="0"/>
                <w:color w:val="000000" w:themeColor="text1"/>
                <w:u w:val="none"/>
              </w:rPr>
              <w:t>ust.</w:t>
            </w:r>
            <w:r w:rsidR="004D7F8C" w:rsidRPr="004D7F8C">
              <w:rPr>
                <w:rStyle w:val="InstructionsTabelleberschrift"/>
                <w:rFonts w:ascii="Times New Roman" w:hAnsi="Times New Roman"/>
                <w:b w:val="0"/>
                <w:color w:val="000000" w:themeColor="text1"/>
                <w:u w:val="none"/>
              </w:rPr>
              <w:t> </w:t>
            </w:r>
            <w:r w:rsidRPr="004D7F8C">
              <w:rPr>
                <w:rStyle w:val="InstructionsTabelleberschrift"/>
                <w:rFonts w:ascii="Times New Roman" w:hAnsi="Times New Roman"/>
                <w:b w:val="0"/>
                <w:color w:val="000000" w:themeColor="text1"/>
                <w:u w:val="none"/>
              </w:rPr>
              <w:t>2</w:t>
            </w:r>
            <w:r>
              <w:rPr>
                <w:rStyle w:val="InstructionsTabelleberschrift"/>
                <w:rFonts w:ascii="Times New Roman" w:hAnsi="Times New Roman"/>
                <w:b w:val="0"/>
                <w:color w:val="000000" w:themeColor="text1"/>
                <w:u w:val="none"/>
              </w:rPr>
              <w:t xml:space="preserve"> </w:t>
            </w:r>
            <w:r w:rsidRPr="004D7F8C">
              <w:rPr>
                <w:rStyle w:val="InstructionsTabelleberschrift"/>
                <w:rFonts w:ascii="Times New Roman" w:hAnsi="Times New Roman"/>
                <w:b w:val="0"/>
                <w:color w:val="000000" w:themeColor="text1"/>
                <w:u w:val="none"/>
              </w:rPr>
              <w:t>lit.</w:t>
            </w:r>
            <w:r w:rsidR="004D7F8C" w:rsidRPr="004D7F8C">
              <w:rPr>
                <w:rStyle w:val="InstructionsTabelleberschrift"/>
                <w:rFonts w:ascii="Times New Roman" w:hAnsi="Times New Roman"/>
                <w:b w:val="0"/>
                <w:color w:val="000000" w:themeColor="text1"/>
                <w:u w:val="none"/>
              </w:rPr>
              <w:t> </w:t>
            </w:r>
            <w:r w:rsidRPr="004D7F8C">
              <w:rPr>
                <w:rStyle w:val="InstructionsTabelleberschrift"/>
                <w:rFonts w:ascii="Times New Roman" w:hAnsi="Times New Roman"/>
                <w:b w:val="0"/>
                <w:color w:val="000000" w:themeColor="text1"/>
                <w:u w:val="none"/>
              </w:rPr>
              <w:t>d)</w:t>
            </w:r>
            <w:r>
              <w:rPr>
                <w:rStyle w:val="InstructionsTabelleberschrift"/>
                <w:rFonts w:ascii="Times New Roman" w:hAnsi="Times New Roman"/>
                <w:b w:val="0"/>
                <w:color w:val="000000" w:themeColor="text1"/>
                <w:u w:val="none"/>
              </w:rPr>
              <w:t xml:space="preserve"> ppkt (iv) rozporządzenia (UE) </w:t>
            </w:r>
            <w:r w:rsidRPr="004D7F8C">
              <w:rPr>
                <w:rStyle w:val="InstructionsTabelleberschrift"/>
                <w:rFonts w:ascii="Times New Roman" w:hAnsi="Times New Roman"/>
                <w:b w:val="0"/>
                <w:color w:val="000000" w:themeColor="text1"/>
                <w:u w:val="none"/>
              </w:rPr>
              <w:t>nr</w:t>
            </w:r>
            <w:r w:rsidR="004D7F8C" w:rsidRPr="004D7F8C">
              <w:rPr>
                <w:rStyle w:val="InstructionsTabelleberschrift"/>
                <w:rFonts w:ascii="Times New Roman" w:hAnsi="Times New Roman"/>
                <w:b w:val="0"/>
                <w:color w:val="000000" w:themeColor="text1"/>
                <w:u w:val="none"/>
              </w:rPr>
              <w:t> </w:t>
            </w:r>
            <w:r w:rsidRPr="004D7F8C">
              <w:rPr>
                <w:rStyle w:val="InstructionsTabelleberschrift"/>
                <w:rFonts w:ascii="Times New Roman" w:hAnsi="Times New Roman"/>
                <w:b w:val="0"/>
                <w:color w:val="000000" w:themeColor="text1"/>
                <w:u w:val="none"/>
              </w:rPr>
              <w:t>5</w:t>
            </w:r>
            <w:r>
              <w:rPr>
                <w:rStyle w:val="InstructionsTabelleberschrift"/>
                <w:rFonts w:ascii="Times New Roman" w:hAnsi="Times New Roman"/>
                <w:b w:val="0"/>
                <w:color w:val="000000" w:themeColor="text1"/>
                <w:u w:val="none"/>
              </w:rPr>
              <w:t>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(FW):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W tej komórce zgłasza się kwotę bufora zabezpieczającego wynikającego</w:t>
            </w:r>
            <w:r w:rsidR="004D7F8C">
              <w:rPr>
                <w:rFonts w:ascii="Times New Roman" w:hAnsi="Times New Roman"/>
                <w:color w:val="000000" w:themeColor="text1"/>
                <w:sz w:val="20"/>
              </w:rPr>
              <w:t xml:space="preserve"> z ryz</w:t>
            </w:r>
            <w:r>
              <w:rPr>
                <w:rFonts w:ascii="Times New Roman" w:hAnsi="Times New Roman"/>
                <w:color w:val="000000" w:themeColor="text1"/>
                <w:sz w:val="20"/>
              </w:rPr>
              <w:t xml:space="preserve">yka </w:t>
            </w:r>
            <w:proofErr w:type="spellStart"/>
            <w:r>
              <w:rPr>
                <w:rFonts w:ascii="Times New Roman" w:hAnsi="Times New Roman"/>
                <w:color w:val="000000" w:themeColor="text1"/>
                <w:sz w:val="20"/>
              </w:rPr>
              <w:t>makroostrożnościowego</w:t>
            </w:r>
            <w:proofErr w:type="spellEnd"/>
            <w:r>
              <w:rPr>
                <w:rFonts w:ascii="Times New Roman" w:hAnsi="Times New Roman"/>
                <w:color w:val="000000" w:themeColor="text1"/>
                <w:sz w:val="20"/>
              </w:rPr>
              <w:t xml:space="preserve"> lub ryzyka systemowego zidentyfikowanego na poziomie państwa członkowskiego, która może być wymagana zgodnie</w:t>
            </w:r>
            <w:r w:rsidR="004D7F8C">
              <w:rPr>
                <w:rFonts w:ascii="Times New Roman" w:hAnsi="Times New Roman"/>
                <w:color w:val="000000" w:themeColor="text1"/>
                <w:sz w:val="20"/>
              </w:rPr>
              <w:t xml:space="preserve"> z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4</w:t>
            </w:r>
            <w:r>
              <w:rPr>
                <w:rFonts w:ascii="Times New Roman" w:hAnsi="Times New Roman"/>
                <w:color w:val="000000" w:themeColor="text1"/>
                <w:sz w:val="20"/>
              </w:rPr>
              <w:t xml:space="preserve">58 rozporządzenia (UE) </w:t>
            </w:r>
            <w:r w:rsidRPr="004D7F8C">
              <w:rPr>
                <w:rFonts w:ascii="Times New Roman" w:hAnsi="Times New Roman"/>
                <w:color w:val="000000" w:themeColor="text1"/>
                <w:sz w:val="20"/>
              </w:rPr>
              <w:t>nr</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5</w:t>
            </w:r>
            <w:r>
              <w:rPr>
                <w:rFonts w:ascii="Times New Roman" w:hAnsi="Times New Roman"/>
                <w:color w:val="000000" w:themeColor="text1"/>
                <w:sz w:val="20"/>
              </w:rPr>
              <w:t>75/2013 oprócz bufora zabezpieczającego.</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Zgłoszona kwota odpowiada kwocie funduszy własnych niezbędnych do spełnienia odpowiednich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buforów kapitałowych na dzień sprawozdawczy.</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Specyficzny dla instytucji bufor antycykliczny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128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sidR="004D7F8C">
              <w:rPr>
                <w:rFonts w:ascii="Times New Roman" w:hAnsi="Times New Roman"/>
                <w:color w:val="000000" w:themeColor="text1"/>
                <w:spacing w:val="-2"/>
                <w:w w:val="95"/>
                <w:sz w:val="20"/>
              </w:rPr>
              <w:t xml:space="preserve"> i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30, 135–140 dyrektywy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(zob. COREP (FW):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Zgłoszona kwota odpowiada kwocie funduszy własnych niezbędnych do spełnienia odpowiednich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buforów kapitałowych na dzień sprawozdawczy.</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Bufor ryzyka systemowego</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128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oraz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33</w:t>
            </w:r>
            <w:r w:rsidR="004D7F8C">
              <w:rPr>
                <w:rFonts w:ascii="Times New Roman" w:hAnsi="Times New Roman"/>
                <w:color w:val="000000" w:themeColor="text1"/>
                <w:spacing w:val="-2"/>
                <w:w w:val="95"/>
                <w:sz w:val="20"/>
              </w:rPr>
              <w:t xml:space="preserve"> i 1</w:t>
            </w:r>
            <w:r>
              <w:rPr>
                <w:rFonts w:ascii="Times New Roman" w:hAnsi="Times New Roman"/>
                <w:color w:val="000000" w:themeColor="text1"/>
                <w:spacing w:val="-2"/>
                <w:w w:val="95"/>
                <w:sz w:val="20"/>
              </w:rPr>
              <w:t>34 dyrektywy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 COREP (FW):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Zgłoszona kwota odpowiada kwocie funduszy własnych niezbędnych do spełnienia odpowiednich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buforów kapitałowych na dzień sprawozdawczy.</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Bufor globalnych instytucji</w:t>
            </w:r>
            <w:r w:rsidR="004D7F8C">
              <w:rPr>
                <w:rFonts w:ascii="Times New Roman" w:hAnsi="Times New Roman"/>
                <w:b/>
                <w:color w:val="000000" w:themeColor="text1"/>
                <w:sz w:val="20"/>
              </w:rPr>
              <w:t xml:space="preserve"> o zna</w:t>
            </w:r>
            <w:r>
              <w:rPr>
                <w:rFonts w:ascii="Times New Roman" w:hAnsi="Times New Roman"/>
                <w:b/>
                <w:color w:val="000000" w:themeColor="text1"/>
                <w:sz w:val="20"/>
              </w:rPr>
              <w:t>czeniu systemowym</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128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sidR="004D7F8C">
              <w:rPr>
                <w:rFonts w:ascii="Times New Roman" w:hAnsi="Times New Roman"/>
                <w:color w:val="000000" w:themeColor="text1"/>
                <w:spacing w:val="-2"/>
                <w:w w:val="95"/>
                <w:sz w:val="20"/>
              </w:rPr>
              <w:t xml:space="preserve"> i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31 dyrektywy 2013/36/UE</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Zgłoszona kwota odpowiada kwocie funduszy własnych niezbędnych do spełnienia odpowiednich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buforów kapitałowych na dzień sprawozdawczy.</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Bufor innych instytucji</w:t>
            </w:r>
            <w:r w:rsidR="004D7F8C">
              <w:rPr>
                <w:rFonts w:ascii="Times New Roman" w:hAnsi="Times New Roman"/>
                <w:b/>
                <w:color w:val="000000" w:themeColor="text1"/>
                <w:sz w:val="20"/>
              </w:rPr>
              <w:t xml:space="preserve"> o zna</w:t>
            </w:r>
            <w:r>
              <w:rPr>
                <w:rFonts w:ascii="Times New Roman" w:hAnsi="Times New Roman"/>
                <w:b/>
                <w:color w:val="000000" w:themeColor="text1"/>
                <w:sz w:val="20"/>
              </w:rPr>
              <w:t>czeniu systemowym</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128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sidR="004D7F8C">
              <w:rPr>
                <w:rFonts w:ascii="Times New Roman" w:hAnsi="Times New Roman"/>
                <w:color w:val="000000" w:themeColor="text1"/>
                <w:spacing w:val="-2"/>
                <w:w w:val="95"/>
                <w:sz w:val="20"/>
              </w:rPr>
              <w:t xml:space="preserve"> i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31 dyrektywy 2013/36/UE</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Zgłoszona kwota odpowiada kwocie funduszy własnych niezbędnych do spełnienia odpowiednich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buforów kapitałowych na dzień sprawozdawczy.</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Współczynnik łącznego wymogu kapitałowego (OCR)</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współczynnik TSCR,</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0300;</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w stopniu,</w:t>
            </w:r>
            <w:r w:rsidR="004D7F8C">
              <w:rPr>
                <w:rFonts w:ascii="Times New Roman" w:hAnsi="Times New Roman"/>
                <w:color w:val="000000" w:themeColor="text1"/>
                <w:sz w:val="20"/>
              </w:rPr>
              <w:t xml:space="preserve"> w jak</w:t>
            </w:r>
            <w:r>
              <w:rPr>
                <w:rFonts w:ascii="Times New Roman" w:hAnsi="Times New Roman"/>
                <w:color w:val="000000" w:themeColor="text1"/>
                <w:sz w:val="20"/>
              </w:rPr>
              <w:t>im ma to prawne zastosowanie, współczynnik wymogu połączonego bufora,</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28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6</w:t>
            </w:r>
            <w:r>
              <w:rPr>
                <w:rFonts w:ascii="Times New Roman" w:hAnsi="Times New Roman"/>
                <w:color w:val="000000" w:themeColor="text1"/>
                <w:sz w:val="20"/>
              </w:rPr>
              <w:t xml:space="preserve"> dyrektywy 2013/36/UE.</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Pozycja ta odzwierciedla współczynnik łącznego wymogu kapitałowego (OCR) zdefiniowany</w:t>
            </w:r>
            <w:r w:rsidR="004D7F8C">
              <w:rPr>
                <w:rFonts w:ascii="Times New Roman" w:hAnsi="Times New Roman"/>
                <w:color w:val="000000" w:themeColor="text1"/>
                <w:sz w:val="20"/>
              </w:rPr>
              <w:t xml:space="preserve"> w sek</w:t>
            </w:r>
            <w:r>
              <w:rPr>
                <w:rFonts w:ascii="Times New Roman" w:hAnsi="Times New Roman"/>
                <w:color w:val="000000" w:themeColor="text1"/>
                <w:sz w:val="20"/>
              </w:rPr>
              <w:t>cji 1.2 wytycznych EUNB dotyczących SREP.</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Jeżeli nie ma zastosowanie żaden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bufora, zgłasza się tylko ppkt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mający obejmować kapitał podstawowy Tier I</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współczynnik TSCR mający obejmować kapitał podstawowy Tier I,</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0310;</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w stopniu,</w:t>
            </w:r>
            <w:r w:rsidR="004D7F8C">
              <w:rPr>
                <w:rFonts w:ascii="Times New Roman" w:hAnsi="Times New Roman"/>
                <w:color w:val="000000" w:themeColor="text1"/>
                <w:sz w:val="20"/>
              </w:rPr>
              <w:t xml:space="preserve"> w jak</w:t>
            </w:r>
            <w:r>
              <w:rPr>
                <w:rFonts w:ascii="Times New Roman" w:hAnsi="Times New Roman"/>
                <w:color w:val="000000" w:themeColor="text1"/>
                <w:sz w:val="20"/>
              </w:rPr>
              <w:t>im ma to prawne zastosowanie, współczynnik wymogu połączonego bufora,</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28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6</w:t>
            </w:r>
            <w:r>
              <w:rPr>
                <w:rFonts w:ascii="Times New Roman" w:hAnsi="Times New Roman"/>
                <w:color w:val="000000" w:themeColor="text1"/>
                <w:sz w:val="20"/>
              </w:rPr>
              <w:t xml:space="preserve"> dyrektywy 2013/36/UE.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Jeżeli nie ma zastosowanie żaden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bufora, zgłasza się tylko ppkt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mający obejmować kapitał Tier I</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współczynnik TSCR mający obejmować kapitał Tier I,</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0320;</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w stopniu,</w:t>
            </w:r>
            <w:r w:rsidR="004D7F8C">
              <w:rPr>
                <w:rFonts w:ascii="Times New Roman" w:hAnsi="Times New Roman"/>
                <w:color w:val="000000" w:themeColor="text1"/>
                <w:sz w:val="20"/>
              </w:rPr>
              <w:t xml:space="preserve"> w jak</w:t>
            </w:r>
            <w:r>
              <w:rPr>
                <w:rFonts w:ascii="Times New Roman" w:hAnsi="Times New Roman"/>
                <w:color w:val="000000" w:themeColor="text1"/>
                <w:sz w:val="20"/>
              </w:rPr>
              <w:t>im ma to prawne zastosowanie, współczynnik wymogu połączonego bufora,</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t>
            </w:r>
            <w:r w:rsidR="004D7F8C" w:rsidRPr="004D7F8C">
              <w:rPr>
                <w:rFonts w:ascii="Times New Roman" w:hAnsi="Times New Roman"/>
                <w:color w:val="000000" w:themeColor="text1"/>
                <w:sz w:val="20"/>
              </w:rPr>
              <w:t>art</w:t>
            </w:r>
            <w:r w:rsidRPr="004D7F8C">
              <w:rPr>
                <w:rFonts w:ascii="Times New Roman" w:hAnsi="Times New Roman"/>
                <w:color w:val="000000" w:themeColor="text1"/>
                <w:sz w:val="20"/>
              </w:rPr>
              <w: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1</w:t>
            </w:r>
            <w:r>
              <w:rPr>
                <w:rFonts w:ascii="Times New Roman" w:hAnsi="Times New Roman"/>
                <w:color w:val="000000" w:themeColor="text1"/>
                <w:sz w:val="20"/>
              </w:rPr>
              <w:t xml:space="preserve">28 </w:t>
            </w:r>
            <w:r w:rsidRPr="004D7F8C">
              <w:rPr>
                <w:rFonts w:ascii="Times New Roman" w:hAnsi="Times New Roman"/>
                <w:color w:val="000000" w:themeColor="text1"/>
                <w:sz w:val="20"/>
              </w:rPr>
              <w:t>pkt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6</w:t>
            </w:r>
            <w:r>
              <w:rPr>
                <w:rFonts w:ascii="Times New Roman" w:hAnsi="Times New Roman"/>
                <w:color w:val="000000" w:themeColor="text1"/>
                <w:sz w:val="20"/>
              </w:rPr>
              <w:t xml:space="preserve"> dyrektywy 2013/36/UE.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lastRenderedPageBreak/>
              <w:t>Jeżeli nie ma zastosowanie żaden wymogów</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bufora, zgłasza się tylko ppkt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w:t>
            </w:r>
            <w:r w:rsidR="004D7F8C">
              <w:rPr>
                <w:rFonts w:ascii="Times New Roman" w:hAnsi="Times New Roman"/>
                <w:b/>
                <w:color w:val="000000" w:themeColor="text1"/>
                <w:sz w:val="20"/>
              </w:rPr>
              <w:t xml:space="preserve"> i wyt</w:t>
            </w:r>
            <w:r>
              <w:rPr>
                <w:rFonts w:ascii="Times New Roman" w:hAnsi="Times New Roman"/>
                <w:b/>
                <w:color w:val="000000" w:themeColor="text1"/>
                <w:sz w:val="20"/>
              </w:rPr>
              <w:t>yczne dotyczące 2. filaru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współczynnik OCR,</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0500;</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w stosownych przypadkach wytyczne dotyczące 2. filaru (P2G) zdefiniowane</w:t>
            </w:r>
            <w:r w:rsidR="004D7F8C">
              <w:rPr>
                <w:rFonts w:ascii="Times New Roman" w:hAnsi="Times New Roman"/>
                <w:color w:val="000000" w:themeColor="text1"/>
                <w:sz w:val="20"/>
              </w:rPr>
              <w:t xml:space="preserve"> w wyt</w:t>
            </w:r>
            <w:r>
              <w:rPr>
                <w:rFonts w:ascii="Times New Roman" w:hAnsi="Times New Roman"/>
                <w:color w:val="000000" w:themeColor="text1"/>
                <w:sz w:val="20"/>
              </w:rPr>
              <w:t>ycznych EUNB dotyczących SREP. P2G włącza się wyłącznie wtedy, gdy zostały podane do wiadomości instytucji przez właściwy organ.</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Jeżeli właściwy organ nie podał P2G, należy zgłosić wyłącznie ppkt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mający obejmować kapitał podstawowy Tier I</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współczynnik OCR mający obejmować kapitał podstawowy Tier I,</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0520;</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w stosownych przypadkach część P2G,</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ppk</w:t>
            </w:r>
            <w:r>
              <w:rPr>
                <w:rFonts w:ascii="Times New Roman" w:hAnsi="Times New Roman"/>
                <w:color w:val="000000" w:themeColor="text1"/>
                <w:sz w:val="20"/>
              </w:rPr>
              <w:t>t (ii)</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0600, co do której to części właściwy organ wymaga, aby była</w:t>
            </w:r>
            <w:r w:rsidR="004D7F8C">
              <w:rPr>
                <w:rFonts w:ascii="Times New Roman" w:hAnsi="Times New Roman"/>
                <w:color w:val="000000" w:themeColor="text1"/>
                <w:sz w:val="20"/>
              </w:rPr>
              <w:t xml:space="preserve"> w for</w:t>
            </w:r>
            <w:r>
              <w:rPr>
                <w:rFonts w:ascii="Times New Roman" w:hAnsi="Times New Roman"/>
                <w:color w:val="000000" w:themeColor="text1"/>
                <w:sz w:val="20"/>
              </w:rPr>
              <w:t>mie kapitału podstawowego Tier I. P2G włącza się wyłącznie wtedy, gdy zostały podane do wiadomości instytucji przez właściwy organ.</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Jeżeli właściwy organ nie podał P2G, należy zgłosić wyłącznie ppkt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i P2G: mające obejmować kapitał Tier I</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(FW):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Suma ppkt (i) oraz (ii)</w:t>
            </w:r>
            <w:r w:rsidR="004D7F8C">
              <w:rPr>
                <w:rFonts w:ascii="Times New Roman" w:hAnsi="Times New Roman"/>
                <w:color w:val="000000" w:themeColor="text1"/>
                <w:sz w:val="20"/>
              </w:rPr>
              <w:t xml:space="preserve"> w spo</w:t>
            </w:r>
            <w:r>
              <w:rPr>
                <w:rFonts w:ascii="Times New Roman" w:hAnsi="Times New Roman"/>
                <w:color w:val="000000" w:themeColor="text1"/>
                <w:sz w:val="20"/>
              </w:rPr>
              <w:t>sób następujący:</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współczynnik OCR mający obejmować kapitał Tier I,</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0520;</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w stosownych przypadkach część P2G,</w:t>
            </w:r>
            <w:r w:rsidR="004D7F8C">
              <w:rPr>
                <w:rFonts w:ascii="Times New Roman" w:hAnsi="Times New Roman"/>
                <w:color w:val="000000" w:themeColor="text1"/>
                <w:sz w:val="20"/>
              </w:rPr>
              <w:t xml:space="preserve"> o któ</w:t>
            </w:r>
            <w:r>
              <w:rPr>
                <w:rFonts w:ascii="Times New Roman" w:hAnsi="Times New Roman"/>
                <w:color w:val="000000" w:themeColor="text1"/>
                <w:sz w:val="20"/>
              </w:rPr>
              <w:t>rym mowa</w:t>
            </w:r>
            <w:r w:rsidR="004D7F8C">
              <w:rPr>
                <w:rFonts w:ascii="Times New Roman" w:hAnsi="Times New Roman"/>
                <w:color w:val="000000" w:themeColor="text1"/>
                <w:sz w:val="20"/>
              </w:rPr>
              <w:t xml:space="preserve"> w ppk</w:t>
            </w:r>
            <w:r>
              <w:rPr>
                <w:rFonts w:ascii="Times New Roman" w:hAnsi="Times New Roman"/>
                <w:color w:val="000000" w:themeColor="text1"/>
                <w:sz w:val="20"/>
              </w:rPr>
              <w:t>t (ii)</w:t>
            </w:r>
            <w:r w:rsidR="004D7F8C">
              <w:rPr>
                <w:rFonts w:ascii="Times New Roman" w:hAnsi="Times New Roman"/>
                <w:color w:val="000000" w:themeColor="text1"/>
                <w:sz w:val="20"/>
              </w:rPr>
              <w:t xml:space="preserve"> w wie</w:t>
            </w:r>
            <w:r>
              <w:rPr>
                <w:rFonts w:ascii="Times New Roman" w:hAnsi="Times New Roman"/>
                <w:color w:val="000000" w:themeColor="text1"/>
                <w:sz w:val="20"/>
              </w:rPr>
              <w:t>rszu 600, co do której to części właściwy organ wymaga, aby była</w:t>
            </w:r>
            <w:r w:rsidR="004D7F8C">
              <w:rPr>
                <w:rFonts w:ascii="Times New Roman" w:hAnsi="Times New Roman"/>
                <w:color w:val="000000" w:themeColor="text1"/>
                <w:sz w:val="20"/>
              </w:rPr>
              <w:t xml:space="preserve"> w for</w:t>
            </w:r>
            <w:r>
              <w:rPr>
                <w:rFonts w:ascii="Times New Roman" w:hAnsi="Times New Roman"/>
                <w:color w:val="000000" w:themeColor="text1"/>
                <w:sz w:val="20"/>
              </w:rPr>
              <w:t>mie kapitału Tier I. P2G włącza się wyłącznie wtedy, gdy zostały podane do wiadomości instytucji przez właściwy organ.</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Jeżeli właściwy organ nie podał P2G, należy zgłosić wyłącznie ppkt (i).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5" w:name="_Toc492542324"/>
      <w:bookmarkStart w:id="26" w:name="_Toc509909042"/>
      <w:bookmarkStart w:id="27" w:name="_Toc525062585"/>
      <w:r>
        <w:rPr>
          <w:rFonts w:ascii="Times New Roman" w:hAnsi="Times New Roman"/>
        </w:rPr>
        <w:t>Z 04.00 – Wewnątrzgrupowe powiązania finansowe (IFC)</w:t>
      </w:r>
      <w:bookmarkEnd w:id="25"/>
      <w:bookmarkEnd w:id="26"/>
      <w:bookmarkEnd w:id="27"/>
    </w:p>
    <w:p w:rsidR="00E13CE3" w:rsidRPr="00D92B3C" w:rsidRDefault="00AD2380" w:rsidP="00EC261B">
      <w:pPr>
        <w:pStyle w:val="Instructionsberschrift3"/>
      </w:pPr>
      <w:r>
        <w:t>Uwagi ogólne</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tym szablonie wymaga się informacji na temat wewnątrzgrupowych zobowiązań niewyłączonych</w:t>
      </w:r>
      <w:r w:rsidR="004D7F8C">
        <w:rPr>
          <w:rFonts w:ascii="Times New Roman" w:hAnsi="Times New Roman"/>
          <w:sz w:val="20"/>
        </w:rPr>
        <w:t xml:space="preserve"> z umo</w:t>
      </w:r>
      <w:r>
        <w:rPr>
          <w:rFonts w:ascii="Times New Roman" w:hAnsi="Times New Roman"/>
          <w:sz w:val="20"/>
        </w:rPr>
        <w:t>rzenia lub konwersji długu, instrumentów kapitałowych</w:t>
      </w:r>
      <w:r w:rsidR="004D7F8C">
        <w:rPr>
          <w:rFonts w:ascii="Times New Roman" w:hAnsi="Times New Roman"/>
          <w:sz w:val="20"/>
        </w:rPr>
        <w:t xml:space="preserve"> i gwa</w:t>
      </w:r>
      <w:r>
        <w:rPr>
          <w:rFonts w:ascii="Times New Roman" w:hAnsi="Times New Roman"/>
          <w:sz w:val="20"/>
        </w:rPr>
        <w:t xml:space="preserve">rancji.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Zgłasza się wszystkie powiązania finansowe między właściwymi podmiotami prawnymi, które to podmioty są ujęte</w:t>
      </w:r>
      <w:r w:rsidR="004D7F8C">
        <w:rPr>
          <w:rFonts w:ascii="Times New Roman" w:hAnsi="Times New Roman"/>
          <w:sz w:val="20"/>
        </w:rPr>
        <w:t xml:space="preserve"> w sko</w:t>
      </w:r>
      <w:r>
        <w:rPr>
          <w:rFonts w:ascii="Times New Roman" w:hAnsi="Times New Roman"/>
          <w:sz w:val="20"/>
        </w:rPr>
        <w:t>nsolidowanym sprawozdaniu finansowym. Zgłoszone kwoty agreguje się, jeżeli dotyczą tych samych kontrahentów (zarówno emitenta lub podmiotu objętego gwarancją, jak</w:t>
      </w:r>
      <w:r w:rsidR="004D7F8C">
        <w:rPr>
          <w:rFonts w:ascii="Times New Roman" w:hAnsi="Times New Roman"/>
          <w:sz w:val="20"/>
        </w:rPr>
        <w:t xml:space="preserve"> i kre</w:t>
      </w:r>
      <w:r>
        <w:rPr>
          <w:rFonts w:ascii="Times New Roman" w:hAnsi="Times New Roman"/>
          <w:sz w:val="20"/>
        </w:rPr>
        <w:t>dytodawcy, posiadacza lub podmiotu przyznającego gwarancję) oraz tego samego rodzaju zobowiązań, instrumentów kapitałowych lub gwarancji.</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Połączenie wartości zgłoszonych</w:t>
      </w:r>
      <w:r w:rsidR="004D7F8C">
        <w:rPr>
          <w:rFonts w:ascii="Times New Roman" w:hAnsi="Times New Roman"/>
          <w:sz w:val="20"/>
        </w:rPr>
        <w:t xml:space="preserve"> w kol</w:t>
      </w:r>
      <w:r>
        <w:rPr>
          <w:rFonts w:ascii="Times New Roman" w:hAnsi="Times New Roman"/>
          <w:sz w:val="20"/>
        </w:rPr>
        <w:t>umnach 0020, 0040</w:t>
      </w:r>
      <w:r w:rsidR="004D7F8C">
        <w:rPr>
          <w:rFonts w:ascii="Times New Roman" w:hAnsi="Times New Roman"/>
          <w:sz w:val="20"/>
        </w:rPr>
        <w:t xml:space="preserve"> i 0</w:t>
      </w:r>
      <w:r>
        <w:rPr>
          <w:rFonts w:ascii="Times New Roman" w:hAnsi="Times New Roman"/>
          <w:sz w:val="20"/>
        </w:rPr>
        <w:t>050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ypadku każdego wiersza szablonu.</w:t>
      </w:r>
    </w:p>
    <w:p w:rsidR="00E13CE3" w:rsidRPr="00D92B3C" w:rsidRDefault="00E13CE3" w:rsidP="00715DAB">
      <w:pPr>
        <w:pStyle w:val="Instructionsberschrift3"/>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Kolumny</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Instrukcje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Emitent lub podmiot objęty gwarancją</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Podmiot prawny, który wystawia zobowiązania bądź instrument kapitałowy lub który jest podmiotem objętym gwarancją.</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Nazwa podmiotu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Musi różnić się od nazwy podmiotu podanej</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 xml:space="preserve">umnie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emitenta lub podmiotu otrzymującego gwarancję</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instytucji kod jest 20-cyfrowym alfanumerycznym kodem LEI</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innych podmiotów kod jest 20-cyfrowym alfanumerycznym kodem LEI lub – jeżeli kod taki jest niedostępny – kodem zgodnym</w:t>
            </w:r>
            <w:r w:rsidR="004D7F8C">
              <w:rPr>
                <w:rFonts w:ascii="Times New Roman" w:hAnsi="Times New Roman"/>
                <w:color w:val="000000" w:themeColor="text1"/>
                <w:spacing w:val="-2"/>
                <w:w w:val="95"/>
                <w:sz w:val="20"/>
              </w:rPr>
              <w:t xml:space="preserve"> z jed</w:t>
            </w:r>
            <w:r>
              <w:rPr>
                <w:rFonts w:ascii="Times New Roman" w:hAnsi="Times New Roman"/>
                <w:color w:val="000000" w:themeColor="text1"/>
                <w:spacing w:val="-2"/>
                <w:w w:val="95"/>
                <w:sz w:val="20"/>
              </w:rPr>
              <w:t>nolitą kodyfikacją mającą zastosowanie</w:t>
            </w:r>
            <w:r w:rsidR="004D7F8C">
              <w:rPr>
                <w:rFonts w:ascii="Times New Roman" w:hAnsi="Times New Roman"/>
                <w:color w:val="000000" w:themeColor="text1"/>
                <w:spacing w:val="-2"/>
                <w:w w:val="95"/>
                <w:sz w:val="20"/>
              </w:rPr>
              <w:t xml:space="preserve"> w Uni</w:t>
            </w:r>
            <w:r>
              <w:rPr>
                <w:rFonts w:ascii="Times New Roman" w:hAnsi="Times New Roman"/>
                <w:color w:val="000000" w:themeColor="text1"/>
                <w:spacing w:val="-2"/>
                <w:w w:val="95"/>
                <w:sz w:val="20"/>
              </w:rPr>
              <w:t>i lub – jeżeli kod taki nie jest dostępny – kodem krajowym.</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jest niepowtarzalny</w:t>
            </w:r>
            <w:r w:rsidR="004D7F8C">
              <w:rPr>
                <w:rFonts w:ascii="Times New Roman" w:hAnsi="Times New Roman"/>
                <w:color w:val="000000" w:themeColor="text1"/>
                <w:spacing w:val="-2"/>
                <w:w w:val="95"/>
                <w:sz w:val="20"/>
              </w:rPr>
              <w:t xml:space="preserve"> i sto</w:t>
            </w:r>
            <w:r>
              <w:rPr>
                <w:rFonts w:ascii="Times New Roman" w:hAnsi="Times New Roman"/>
                <w:color w:val="000000" w:themeColor="text1"/>
                <w:spacing w:val="-2"/>
                <w:w w:val="95"/>
                <w:sz w:val="20"/>
              </w:rPr>
              <w:t>suje się go jednolicie we wszystkich szablonach.</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musi różnić się od kodu podanego</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Kredytodawca, posiadacz lub podmiot przyznający gwarancję</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Podmiot prawny, który jest kredytodawcą zobowiązania, posiada instrument kapitałowy, lub który udziela gwarancji.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Nazwa podmiotu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Musi różnić się od nazwy podmiotu podanej</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 xml:space="preserve">umnie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kredytodawcy, posiadacza lub podmiotu udzielającego gwarancji</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instytucji kod jest 20-cyfrowym alfanumerycznym kodem LEI</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innych podmiotów kod jest 20-cyfrowym alfanumerycznym kodem LEI lub – jeżeli kod taki jest niedostępny – kodem zgodnym</w:t>
            </w:r>
            <w:r w:rsidR="004D7F8C">
              <w:rPr>
                <w:rFonts w:ascii="Times New Roman" w:hAnsi="Times New Roman"/>
                <w:color w:val="000000" w:themeColor="text1"/>
                <w:spacing w:val="-2"/>
                <w:w w:val="95"/>
                <w:sz w:val="20"/>
              </w:rPr>
              <w:t xml:space="preserve"> z jed</w:t>
            </w:r>
            <w:r>
              <w:rPr>
                <w:rFonts w:ascii="Times New Roman" w:hAnsi="Times New Roman"/>
                <w:color w:val="000000" w:themeColor="text1"/>
                <w:spacing w:val="-2"/>
                <w:w w:val="95"/>
                <w:sz w:val="20"/>
              </w:rPr>
              <w:t>nolitą kodyfikacją mającą zastosowanie</w:t>
            </w:r>
            <w:r w:rsidR="004D7F8C">
              <w:rPr>
                <w:rFonts w:ascii="Times New Roman" w:hAnsi="Times New Roman"/>
                <w:color w:val="000000" w:themeColor="text1"/>
                <w:spacing w:val="-2"/>
                <w:w w:val="95"/>
                <w:sz w:val="20"/>
              </w:rPr>
              <w:t xml:space="preserve"> w Uni</w:t>
            </w:r>
            <w:r>
              <w:rPr>
                <w:rFonts w:ascii="Times New Roman" w:hAnsi="Times New Roman"/>
                <w:color w:val="000000" w:themeColor="text1"/>
                <w:spacing w:val="-2"/>
                <w:w w:val="95"/>
                <w:sz w:val="20"/>
              </w:rPr>
              <w:t>i lub – jeżeli kod taki nie jest dostępny – kodem krajowym.</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jest niepowtarzalny</w:t>
            </w:r>
            <w:r w:rsidR="004D7F8C">
              <w:rPr>
                <w:rFonts w:ascii="Times New Roman" w:hAnsi="Times New Roman"/>
                <w:color w:val="000000" w:themeColor="text1"/>
                <w:spacing w:val="-2"/>
                <w:w w:val="95"/>
                <w:sz w:val="20"/>
              </w:rPr>
              <w:t xml:space="preserve"> i sto</w:t>
            </w:r>
            <w:r>
              <w:rPr>
                <w:rFonts w:ascii="Times New Roman" w:hAnsi="Times New Roman"/>
                <w:color w:val="000000" w:themeColor="text1"/>
                <w:spacing w:val="-2"/>
                <w:w w:val="95"/>
                <w:sz w:val="20"/>
              </w:rPr>
              <w:t>suje się go jednolicie we wszystkich szablonach.</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Musi różnić się od kodu podanego</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Powiązania finansowe</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pozycji tej opisuje się powiązania finansowe między właściwymi podmiotami prawnymi.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Rodzaj</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wybrać spośród następującego wykazu:</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Zobowiązania wewnątrzgrupowe</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Depozyty, niegwarantowane, ale na preferencyjnych warunkach.</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Depozyty, niegwarantowane oraz nie na preferencyjnych warunkach.</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Zobowiązania wynikające</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pochodnych (salda zamknięcia).</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Zobowiązania zabezpieczone nieobjęte zabezpieczeniem.</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Sekurytyzowane papiery wartościowe</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Niezabezpieczone zobowiązania uprzywilejowane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„Podrzędne” zobowiązania uprzywilejowane</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Zobowiązania podporządkowane</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Inne zobowiązania kwalifikowalne</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minimalnego wymogu funduszy własnych</w:t>
            </w:r>
            <w:r w:rsidR="004D7F8C">
              <w:rPr>
                <w:rFonts w:ascii="Times New Roman" w:hAnsi="Times New Roman"/>
                <w:color w:val="000000" w:themeColor="text1"/>
                <w:spacing w:val="-2"/>
                <w:w w:val="95"/>
                <w:sz w:val="20"/>
              </w:rPr>
              <w:t xml:space="preserve"> i zob</w:t>
            </w:r>
            <w:r>
              <w:rPr>
                <w:rFonts w:ascii="Times New Roman" w:hAnsi="Times New Roman"/>
                <w:color w:val="000000" w:themeColor="text1"/>
                <w:spacing w:val="-2"/>
                <w:w w:val="95"/>
                <w:sz w:val="20"/>
              </w:rPr>
              <w:t>owiązań kwalifikowanych</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Zobowiązania niefinansowe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Pozostałe pasywa</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0400. Jakiekolwiek zobowiązanie nieujęte</w:t>
            </w:r>
            <w:r w:rsidR="004D7F8C">
              <w:rPr>
                <w:rFonts w:ascii="Times New Roman" w:hAnsi="Times New Roman"/>
                <w:color w:val="000000" w:themeColor="text1"/>
                <w:spacing w:val="-2"/>
                <w:w w:val="95"/>
                <w:sz w:val="20"/>
              </w:rPr>
              <w:t xml:space="preserve"> w żad</w:t>
            </w:r>
            <w:r>
              <w:rPr>
                <w:rFonts w:ascii="Times New Roman" w:hAnsi="Times New Roman"/>
                <w:color w:val="000000" w:themeColor="text1"/>
                <w:spacing w:val="-2"/>
                <w:w w:val="95"/>
                <w:sz w:val="20"/>
              </w:rPr>
              <w:t>nej</w:t>
            </w:r>
            <w:r w:rsidR="004D7F8C">
              <w:rPr>
                <w:rFonts w:ascii="Times New Roman" w:hAnsi="Times New Roman"/>
                <w:color w:val="000000" w:themeColor="text1"/>
                <w:spacing w:val="-2"/>
                <w:w w:val="95"/>
                <w:sz w:val="20"/>
              </w:rPr>
              <w:t xml:space="preserve"> z pop</w:t>
            </w:r>
            <w:r>
              <w:rPr>
                <w:rFonts w:ascii="Times New Roman" w:hAnsi="Times New Roman"/>
                <w:color w:val="000000" w:themeColor="text1"/>
                <w:spacing w:val="-2"/>
                <w:w w:val="95"/>
                <w:sz w:val="20"/>
              </w:rPr>
              <w:t>rzedzających pozycji.</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Kapitał Tier II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Kapitał dodatkowy Tier I</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Kapitał podstawowy Tier 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Taka sama definicja, jak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 02.00 (LIAB), wiersz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Gwarancje wewnątrzgrupowe</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Emisja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Gwarancje na szczególne instrumenty / wystawione zobowiązania.</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Kontrahent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Gwarancje udzielone określonemu kontrahentowi instytucji.</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Nieograniczone</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Gwarancje ogólne nieograniczone do stałej kwoty.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Inne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Każdy rodzaj gwarancji, która nie wchodzi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 xml:space="preserve">res poprzedzających rodzajów.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Pozostająca kwota należna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odniesieniu do zobowiązań (kolumna 0050, rodzaje L.1, L.2 i L.4–L.14) pozostająca kwota należna zobowiązań wewnątrzgrupowych;</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zobowiązań wynikających</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pochodnych (rodzaj L.3), salda zamknięcia zdefiniowane do celów szablonu Z 02.00 (LIAB), wiersz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odniesieniu do gwarancji (kolumna 0050, wartości G.1–G.4), maksymalna potencjalna kwota przyszłych płatności</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 xml:space="preserve">ach gwarancji.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w tym wystawione zgodnie</w:t>
            </w:r>
            <w:r w:rsidR="004D7F8C">
              <w:rPr>
                <w:rFonts w:ascii="Times New Roman" w:hAnsi="Times New Roman"/>
                <w:b/>
                <w:color w:val="000000" w:themeColor="text1"/>
                <w:sz w:val="20"/>
              </w:rPr>
              <w:t xml:space="preserve"> z pra</w:t>
            </w:r>
            <w:r>
              <w:rPr>
                <w:rFonts w:ascii="Times New Roman" w:hAnsi="Times New Roman"/>
                <w:b/>
                <w:color w:val="000000" w:themeColor="text1"/>
                <w:sz w:val="20"/>
              </w:rPr>
              <w:t>wem państwa trzeciego</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Część</w:t>
            </w:r>
            <w:r w:rsidR="004D7F8C">
              <w:rPr>
                <w:rFonts w:ascii="Times New Roman" w:hAnsi="Times New Roman"/>
                <w:color w:val="000000" w:themeColor="text1"/>
                <w:sz w:val="20"/>
              </w:rPr>
              <w:t xml:space="preserve"> w kwo</w:t>
            </w:r>
            <w:r>
              <w:rPr>
                <w:rFonts w:ascii="Times New Roman" w:hAnsi="Times New Roman"/>
                <w:color w:val="000000" w:themeColor="text1"/>
                <w:sz w:val="20"/>
              </w:rPr>
              <w:t>cie pieniężnej pozostającej kwoty należnej, która podlega prawu państwa trzeciego.</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w tym: kwalifikowalne</w:t>
            </w:r>
            <w:r w:rsidR="004D7F8C">
              <w:rPr>
                <w:rFonts w:ascii="Times New Roman" w:hAnsi="Times New Roman"/>
                <w:b/>
                <w:color w:val="000000" w:themeColor="text1"/>
                <w:sz w:val="20"/>
              </w:rPr>
              <w:t xml:space="preserve"> w ram</w:t>
            </w:r>
            <w:r>
              <w:rPr>
                <w:rFonts w:ascii="Times New Roman" w:hAnsi="Times New Roman"/>
                <w:b/>
                <w:color w:val="000000" w:themeColor="text1"/>
                <w:sz w:val="20"/>
              </w:rPr>
              <w:t>ach minimalnego wymogu funduszy własnych</w:t>
            </w:r>
            <w:r w:rsidR="004D7F8C">
              <w:rPr>
                <w:rFonts w:ascii="Times New Roman" w:hAnsi="Times New Roman"/>
                <w:b/>
                <w:color w:val="000000" w:themeColor="text1"/>
                <w:sz w:val="20"/>
              </w:rPr>
              <w:t xml:space="preserve"> i zob</w:t>
            </w:r>
            <w:r>
              <w:rPr>
                <w:rFonts w:ascii="Times New Roman" w:hAnsi="Times New Roman"/>
                <w:b/>
                <w:color w:val="000000" w:themeColor="text1"/>
                <w:sz w:val="20"/>
              </w:rPr>
              <w:t>owiązań kwalifikowanych</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Pozostająca kwota należna zobowiązań kwalifikowalnych</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minimalnego wymogu funduszy własnych</w:t>
            </w:r>
            <w:r w:rsidR="004D7F8C">
              <w:rPr>
                <w:rFonts w:ascii="Times New Roman" w:hAnsi="Times New Roman"/>
                <w:color w:val="000000" w:themeColor="text1"/>
                <w:spacing w:val="-2"/>
                <w:w w:val="95"/>
                <w:sz w:val="20"/>
              </w:rPr>
              <w:t xml:space="preserve"> i zob</w:t>
            </w:r>
            <w:r>
              <w:rPr>
                <w:rFonts w:ascii="Times New Roman" w:hAnsi="Times New Roman"/>
                <w:color w:val="000000" w:themeColor="text1"/>
                <w:spacing w:val="-2"/>
                <w:w w:val="95"/>
                <w:sz w:val="20"/>
              </w:rPr>
              <w:t>owiązań kwalifikowanych obliczana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5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i c)–f) dyrektywy 2014/59/UE</w:t>
            </w:r>
            <w:r w:rsidR="004D7F8C">
              <w:rPr>
                <w:rFonts w:ascii="Times New Roman" w:hAnsi="Times New Roman"/>
                <w:color w:val="000000" w:themeColor="text1"/>
                <w:spacing w:val="-2"/>
                <w:w w:val="95"/>
                <w:sz w:val="20"/>
              </w:rPr>
              <w:t>. W tym</w:t>
            </w:r>
            <w:r>
              <w:rPr>
                <w:rFonts w:ascii="Times New Roman" w:hAnsi="Times New Roman"/>
                <w:color w:val="000000" w:themeColor="text1"/>
                <w:spacing w:val="-2"/>
                <w:w w:val="95"/>
                <w:sz w:val="20"/>
              </w:rPr>
              <w:t xml:space="preserve"> celu</w:t>
            </w:r>
            <w:r w:rsidR="004D7F8C">
              <w:rPr>
                <w:rFonts w:ascii="Times New Roman" w:hAnsi="Times New Roman"/>
                <w:color w:val="000000" w:themeColor="text1"/>
                <w:spacing w:val="-2"/>
                <w:w w:val="95"/>
                <w:sz w:val="20"/>
              </w:rPr>
              <w:t xml:space="preserve"> z obl</w:t>
            </w:r>
            <w:r>
              <w:rPr>
                <w:rFonts w:ascii="Times New Roman" w:hAnsi="Times New Roman"/>
                <w:color w:val="000000" w:themeColor="text1"/>
                <w:spacing w:val="-2"/>
                <w:w w:val="95"/>
                <w:sz w:val="20"/>
              </w:rPr>
              <w:t>iczeń nie należy wykluczać zobowiązań wyłącznie dlatego, że wystawił je podmiot powiązany lub że są</w:t>
            </w:r>
            <w:r w:rsidR="004D7F8C">
              <w:rPr>
                <w:rFonts w:ascii="Times New Roman" w:hAnsi="Times New Roman"/>
                <w:color w:val="000000" w:themeColor="text1"/>
                <w:spacing w:val="-2"/>
                <w:w w:val="95"/>
                <w:sz w:val="20"/>
              </w:rPr>
              <w:t xml:space="preserve"> w pos</w:t>
            </w:r>
            <w:r>
              <w:rPr>
                <w:rFonts w:ascii="Times New Roman" w:hAnsi="Times New Roman"/>
                <w:color w:val="000000" w:themeColor="text1"/>
                <w:spacing w:val="-2"/>
                <w:w w:val="95"/>
                <w:sz w:val="20"/>
              </w:rPr>
              <w:t>iadaniu takiego podmiotu.</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8" w:name="_Toc509909043"/>
      <w:bookmarkStart w:id="29" w:name="_Toc525062586"/>
      <w:r>
        <w:rPr>
          <w:rFonts w:ascii="Times New Roman" w:hAnsi="Times New Roman"/>
        </w:rPr>
        <w:t xml:space="preserve">Z 05.01 oraz Z 05.02 – </w:t>
      </w:r>
      <w:bookmarkStart w:id="30" w:name="_Toc492542325"/>
      <w:r>
        <w:rPr>
          <w:rFonts w:ascii="Times New Roman" w:hAnsi="Times New Roman"/>
        </w:rPr>
        <w:t>Główni kontrahenci (MCP)</w:t>
      </w:r>
      <w:bookmarkEnd w:id="28"/>
      <w:bookmarkEnd w:id="30"/>
      <w:bookmarkEnd w:id="29"/>
    </w:p>
    <w:p w:rsidR="00BF5063" w:rsidRPr="00D92B3C" w:rsidRDefault="00BF5063" w:rsidP="00715DAB">
      <w:pPr>
        <w:pStyle w:val="Instructionsberschrift3"/>
      </w:pPr>
      <w:r>
        <w:t>Uwagi ogólne</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szablonach tych gromadzone są informacje na temat zobowiązań względem głównych kontrahentów (Z 05.01)</w:t>
      </w:r>
      <w:r w:rsidR="004D7F8C">
        <w:rPr>
          <w:rFonts w:ascii="Times New Roman" w:hAnsi="Times New Roman"/>
          <w:sz w:val="20"/>
        </w:rPr>
        <w:t xml:space="preserve"> i poz</w:t>
      </w:r>
      <w:r>
        <w:rPr>
          <w:rFonts w:ascii="Times New Roman" w:hAnsi="Times New Roman"/>
          <w:sz w:val="20"/>
        </w:rPr>
        <w:t>ycji pozabilansowych otrzymywanych od głównych kontrahentów (Z 05.02). Zgłoszone kwoty agreguje się, jeżeli należą one do tego samego kontrahenta</w:t>
      </w:r>
      <w:r w:rsidR="004D7F8C">
        <w:rPr>
          <w:rFonts w:ascii="Times New Roman" w:hAnsi="Times New Roman"/>
          <w:sz w:val="20"/>
        </w:rPr>
        <w:t xml:space="preserve"> i teg</w:t>
      </w:r>
      <w:r>
        <w:rPr>
          <w:rFonts w:ascii="Times New Roman" w:hAnsi="Times New Roman"/>
          <w:sz w:val="20"/>
        </w:rPr>
        <w:t>o samego rodzaju zobowiązań lub pozycji pozabilansowych.</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Zobowiązań</w:t>
      </w:r>
      <w:r w:rsidR="004D7F8C">
        <w:rPr>
          <w:rFonts w:ascii="Times New Roman" w:hAnsi="Times New Roman"/>
          <w:sz w:val="20"/>
        </w:rPr>
        <w:t xml:space="preserve"> i poz</w:t>
      </w:r>
      <w:r>
        <w:rPr>
          <w:rFonts w:ascii="Times New Roman" w:hAnsi="Times New Roman"/>
          <w:sz w:val="20"/>
        </w:rPr>
        <w:t>ycji pozabilansowych,</w:t>
      </w:r>
      <w:r w:rsidR="004D7F8C">
        <w:rPr>
          <w:rFonts w:ascii="Times New Roman" w:hAnsi="Times New Roman"/>
          <w:sz w:val="20"/>
        </w:rPr>
        <w:t xml:space="preserve"> w prz</w:t>
      </w:r>
      <w:r>
        <w:rPr>
          <w:rFonts w:ascii="Times New Roman" w:hAnsi="Times New Roman"/>
          <w:sz w:val="20"/>
        </w:rPr>
        <w:t>ypadku których nie można zidentyfikować kontrahenta, nie zgłasza się</w:t>
      </w:r>
      <w:r w:rsidR="004D7F8C">
        <w:rPr>
          <w:rFonts w:ascii="Times New Roman" w:hAnsi="Times New Roman"/>
          <w:sz w:val="20"/>
        </w:rPr>
        <w:t xml:space="preserve"> w nin</w:t>
      </w:r>
      <w:r>
        <w:rPr>
          <w:rFonts w:ascii="Times New Roman" w:hAnsi="Times New Roman"/>
          <w:sz w:val="20"/>
        </w:rPr>
        <w:t>iejszych szablonach. Nie zgłasza się zobowiązań</w:t>
      </w:r>
      <w:r w:rsidR="004D7F8C">
        <w:rPr>
          <w:rFonts w:ascii="Times New Roman" w:hAnsi="Times New Roman"/>
          <w:sz w:val="20"/>
        </w:rPr>
        <w:t xml:space="preserve"> i poz</w:t>
      </w:r>
      <w:r>
        <w:rPr>
          <w:rFonts w:ascii="Times New Roman" w:hAnsi="Times New Roman"/>
          <w:sz w:val="20"/>
        </w:rPr>
        <w:t>ycji pozabilansowych,</w:t>
      </w:r>
      <w:r w:rsidR="004D7F8C">
        <w:rPr>
          <w:rFonts w:ascii="Times New Roman" w:hAnsi="Times New Roman"/>
          <w:sz w:val="20"/>
        </w:rPr>
        <w:t xml:space="preserve"> w prz</w:t>
      </w:r>
      <w:r>
        <w:rPr>
          <w:rFonts w:ascii="Times New Roman" w:hAnsi="Times New Roman"/>
          <w:sz w:val="20"/>
        </w:rPr>
        <w:t>ypadku których kontrahent jest podmiotem ujętym</w:t>
      </w:r>
      <w:r w:rsidR="004D7F8C">
        <w:rPr>
          <w:rFonts w:ascii="Times New Roman" w:hAnsi="Times New Roman"/>
          <w:sz w:val="20"/>
        </w:rPr>
        <w:t xml:space="preserve"> w sko</w:t>
      </w:r>
      <w:r>
        <w:rPr>
          <w:rFonts w:ascii="Times New Roman" w:hAnsi="Times New Roman"/>
          <w:sz w:val="20"/>
        </w:rPr>
        <w:t>nsolidowanych sprawozdaniach finansowych.</w:t>
      </w:r>
    </w:p>
    <w:p w:rsidR="00DF1EA4" w:rsidRPr="00D92B3C" w:rsidRDefault="00F7117F" w:rsidP="00715DAB">
      <w:pPr>
        <w:pStyle w:val="Instructionsberschrift3"/>
      </w:pPr>
      <w:r>
        <w:lastRenderedPageBreak/>
        <w:t>Z 05.01 – Główni kontrahenci</w:t>
      </w:r>
      <w:r w:rsidR="004D7F8C">
        <w:t xml:space="preserve"> w zak</w:t>
      </w:r>
      <w:r>
        <w:t>resie zobowiązań – Instrukcje dotyczące poszczególnych pozycji</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Połączenie wartości zgłoszonych</w:t>
      </w:r>
      <w:r w:rsidR="004D7F8C">
        <w:rPr>
          <w:rFonts w:ascii="Times New Roman" w:hAnsi="Times New Roman"/>
          <w:sz w:val="20"/>
        </w:rPr>
        <w:t xml:space="preserve"> w kol</w:t>
      </w:r>
      <w:r>
        <w:rPr>
          <w:rFonts w:ascii="Times New Roman" w:hAnsi="Times New Roman"/>
          <w:sz w:val="20"/>
        </w:rPr>
        <w:t>umnach 0020</w:t>
      </w:r>
      <w:r w:rsidR="004D7F8C">
        <w:rPr>
          <w:rFonts w:ascii="Times New Roman" w:hAnsi="Times New Roman"/>
          <w:sz w:val="20"/>
        </w:rPr>
        <w:t xml:space="preserve"> i 0</w:t>
      </w:r>
      <w:r>
        <w:rPr>
          <w:rFonts w:ascii="Times New Roman" w:hAnsi="Times New Roman"/>
          <w:sz w:val="20"/>
        </w:rPr>
        <w:t>060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ypadku każdego wiersza szablonu.</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Kolumny</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Instrukcje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Kontrahent</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Informacje na temat głównego kontrahenta,</w:t>
            </w:r>
            <w:r w:rsidR="004D7F8C">
              <w:rPr>
                <w:rFonts w:ascii="Times New Roman" w:hAnsi="Times New Roman"/>
                <w:color w:val="000000" w:themeColor="text1"/>
                <w:spacing w:val="-2"/>
                <w:w w:val="95"/>
                <w:sz w:val="20"/>
              </w:rPr>
              <w:t xml:space="preserve"> w zwi</w:t>
            </w:r>
            <w:r>
              <w:rPr>
                <w:rFonts w:ascii="Times New Roman" w:hAnsi="Times New Roman"/>
                <w:color w:val="000000" w:themeColor="text1"/>
                <w:spacing w:val="-2"/>
                <w:w w:val="95"/>
                <w:sz w:val="20"/>
              </w:rPr>
              <w:t>ązku</w:t>
            </w:r>
            <w:r w:rsidR="004D7F8C">
              <w:rPr>
                <w:rFonts w:ascii="Times New Roman" w:hAnsi="Times New Roman"/>
                <w:color w:val="000000" w:themeColor="text1"/>
                <w:spacing w:val="-2"/>
                <w:w w:val="95"/>
                <w:sz w:val="20"/>
              </w:rPr>
              <w:t xml:space="preserve"> z któ</w:t>
            </w:r>
            <w:r>
              <w:rPr>
                <w:rFonts w:ascii="Times New Roman" w:hAnsi="Times New Roman"/>
                <w:color w:val="000000" w:themeColor="text1"/>
                <w:spacing w:val="-2"/>
                <w:w w:val="95"/>
                <w:sz w:val="20"/>
              </w:rPr>
              <w:t xml:space="preserve">rym występuje zobowiązanie.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Głównych kontrahentów identyfikuje się, sumując pozostające kwoty należne wszystkich zobowiązań podmiotu lub grupy, których dotyczy zgłaszany szablon,</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każdego kontrahenta lub każdej grupy powiązanych klientów,</w:t>
            </w:r>
            <w:r w:rsidR="004D7F8C">
              <w:rPr>
                <w:rFonts w:ascii="Times New Roman" w:hAnsi="Times New Roman"/>
                <w:color w:val="000000" w:themeColor="text1"/>
                <w:spacing w:val="-2"/>
                <w:w w:val="95"/>
                <w:sz w:val="20"/>
              </w:rPr>
              <w:t xml:space="preserve"> z wył</w:t>
            </w:r>
            <w:r>
              <w:rPr>
                <w:rFonts w:ascii="Times New Roman" w:hAnsi="Times New Roman"/>
                <w:color w:val="000000" w:themeColor="text1"/>
                <w:spacing w:val="-2"/>
                <w:w w:val="95"/>
                <w:sz w:val="20"/>
              </w:rPr>
              <w:t>ączeniem zobowiązań względem podmiotów ujętych</w:t>
            </w:r>
            <w:r w:rsidR="004D7F8C">
              <w:rPr>
                <w:rFonts w:ascii="Times New Roman" w:hAnsi="Times New Roman"/>
                <w:color w:val="000000" w:themeColor="text1"/>
                <w:spacing w:val="-2"/>
                <w:w w:val="95"/>
                <w:sz w:val="20"/>
              </w:rPr>
              <w:t xml:space="preserve"> w sko</w:t>
            </w:r>
            <w:r>
              <w:rPr>
                <w:rFonts w:ascii="Times New Roman" w:hAnsi="Times New Roman"/>
                <w:color w:val="000000" w:themeColor="text1"/>
                <w:spacing w:val="-2"/>
                <w:w w:val="95"/>
                <w:sz w:val="20"/>
              </w:rPr>
              <w:t>nsolidowanych sprawozdaniach finansowych.</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Kontrahenci</w:t>
            </w:r>
            <w:r w:rsidR="004D7F8C">
              <w:rPr>
                <w:rFonts w:ascii="Times New Roman" w:hAnsi="Times New Roman"/>
                <w:color w:val="000000" w:themeColor="text1"/>
                <w:spacing w:val="-2"/>
                <w:w w:val="95"/>
                <w:sz w:val="20"/>
              </w:rPr>
              <w:t xml:space="preserve"> i gru</w:t>
            </w:r>
            <w:r>
              <w:rPr>
                <w:rFonts w:ascii="Times New Roman" w:hAnsi="Times New Roman"/>
                <w:color w:val="000000" w:themeColor="text1"/>
                <w:spacing w:val="-2"/>
                <w:w w:val="95"/>
                <w:sz w:val="20"/>
              </w:rPr>
              <w:t>py powiązanych kontrahentów są następnie szeregowani według zagregowanej pozostającej kwoty należnej</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zidentyfikowania 10 uszeregowanych najwyżej głównych kontrahentów,</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których przedstawia się informacje</w:t>
            </w:r>
            <w:r w:rsidR="004D7F8C">
              <w:rPr>
                <w:rFonts w:ascii="Times New Roman" w:hAnsi="Times New Roman"/>
                <w:color w:val="000000" w:themeColor="text1"/>
                <w:spacing w:val="-2"/>
                <w:w w:val="95"/>
                <w:sz w:val="20"/>
              </w:rPr>
              <w:t xml:space="preserve"> w nin</w:t>
            </w:r>
            <w:r>
              <w:rPr>
                <w:rFonts w:ascii="Times New Roman" w:hAnsi="Times New Roman"/>
                <w:color w:val="000000" w:themeColor="text1"/>
                <w:spacing w:val="-2"/>
                <w:w w:val="95"/>
                <w:sz w:val="20"/>
              </w:rPr>
              <w:t>iejszym szablonie.</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Definicja „grupy powiązanych kontrahentów” jest zgodna</w:t>
            </w:r>
            <w:r w:rsidR="004D7F8C">
              <w:rPr>
                <w:rFonts w:ascii="Times New Roman" w:hAnsi="Times New Roman"/>
                <w:color w:val="000000" w:themeColor="text1"/>
                <w:spacing w:val="-2"/>
                <w:w w:val="95"/>
                <w:sz w:val="20"/>
              </w:rPr>
              <w:t xml:space="preserve"> z def</w:t>
            </w:r>
            <w:r>
              <w:rPr>
                <w:rFonts w:ascii="Times New Roman" w:hAnsi="Times New Roman"/>
                <w:color w:val="000000" w:themeColor="text1"/>
                <w:spacing w:val="-2"/>
                <w:w w:val="95"/>
                <w:sz w:val="20"/>
              </w:rPr>
              <w:t>inicją „grupy powiązanych klientów” określoną</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9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Do celów niniejszego szablonu kontrahent nie może być podmiotem ujętym</w:t>
            </w:r>
            <w:r w:rsidR="004D7F8C">
              <w:rPr>
                <w:rFonts w:ascii="Times New Roman" w:hAnsi="Times New Roman"/>
                <w:color w:val="000000" w:themeColor="text1"/>
                <w:spacing w:val="-2"/>
                <w:w w:val="95"/>
                <w:sz w:val="20"/>
              </w:rPr>
              <w:t xml:space="preserve"> w sko</w:t>
            </w:r>
            <w:r>
              <w:rPr>
                <w:rFonts w:ascii="Times New Roman" w:hAnsi="Times New Roman"/>
                <w:color w:val="000000" w:themeColor="text1"/>
                <w:spacing w:val="-2"/>
                <w:w w:val="95"/>
                <w:sz w:val="20"/>
              </w:rPr>
              <w:t>nsolidowanych sprawozdaniach finansowych.</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podmiotu</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głównego kontrahenta lub,</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sownych przypadkach, nazwa grupy powiązanych klientów.</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grupy powiązanych klientów jest nazwą jednostki dominującej lub – jeżeli grupa powiązanych klientów nie posiada jednostki dominującej – nazwą handlową tej grupy.</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głównego kontrahenta lub grupy powiązanych klientów</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instytucji kod jest 20-cyfrowym alfanumerycznym kodem LEI</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innych podmiotów kod jest 20-cyfrowym alfanumerycznym kodem LEI lub – jeżeli kod taki jest niedostępny – kodem zgodnym</w:t>
            </w:r>
            <w:r w:rsidR="004D7F8C">
              <w:rPr>
                <w:rFonts w:ascii="Times New Roman" w:hAnsi="Times New Roman"/>
                <w:color w:val="000000" w:themeColor="text1"/>
                <w:spacing w:val="-2"/>
                <w:w w:val="95"/>
                <w:sz w:val="20"/>
              </w:rPr>
              <w:t xml:space="preserve"> z jed</w:t>
            </w:r>
            <w:r>
              <w:rPr>
                <w:rFonts w:ascii="Times New Roman" w:hAnsi="Times New Roman"/>
                <w:color w:val="000000" w:themeColor="text1"/>
                <w:spacing w:val="-2"/>
                <w:w w:val="95"/>
                <w:sz w:val="20"/>
              </w:rPr>
              <w:t>nolitą kodyfikacją mającą zastosowanie</w:t>
            </w:r>
            <w:r w:rsidR="004D7F8C">
              <w:rPr>
                <w:rFonts w:ascii="Times New Roman" w:hAnsi="Times New Roman"/>
                <w:color w:val="000000" w:themeColor="text1"/>
                <w:spacing w:val="-2"/>
                <w:w w:val="95"/>
                <w:sz w:val="20"/>
              </w:rPr>
              <w:t xml:space="preserve"> w Uni</w:t>
            </w:r>
            <w:r>
              <w:rPr>
                <w:rFonts w:ascii="Times New Roman" w:hAnsi="Times New Roman"/>
                <w:color w:val="000000" w:themeColor="text1"/>
                <w:spacing w:val="-2"/>
                <w:w w:val="95"/>
                <w:sz w:val="20"/>
              </w:rPr>
              <w:t>i lub – jeżeli kod taki nie jest dostępny – kodem krajowym.</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jest niepowtarzalny</w:t>
            </w:r>
            <w:r w:rsidR="004D7F8C">
              <w:rPr>
                <w:rFonts w:ascii="Times New Roman" w:hAnsi="Times New Roman"/>
                <w:color w:val="000000" w:themeColor="text1"/>
                <w:spacing w:val="-2"/>
                <w:w w:val="95"/>
                <w:sz w:val="20"/>
              </w:rPr>
              <w:t xml:space="preserve"> i sto</w:t>
            </w:r>
            <w:r>
              <w:rPr>
                <w:rFonts w:ascii="Times New Roman" w:hAnsi="Times New Roman"/>
                <w:color w:val="000000" w:themeColor="text1"/>
                <w:spacing w:val="-2"/>
                <w:w w:val="95"/>
                <w:sz w:val="20"/>
              </w:rPr>
              <w:t>suje się go jednolicie we wszystkich szablonach.</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Grupa lub pojedynczy kontrahent</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Instytucja zgłasza „1”</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pojedynczych głównych kontrahentów i „2”</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grup powiązanych klientów.</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Państwo</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ISO 3166-1 alpha-2 kraju założenia kontrahenta. Obejmuje on pseudokody ISO przeznaczone dla organizacji międzynarodowych dostępne</w:t>
            </w:r>
            <w:r w:rsidR="004D7F8C">
              <w:rPr>
                <w:rFonts w:ascii="Times New Roman" w:hAnsi="Times New Roman"/>
                <w:color w:val="000000" w:themeColor="text1"/>
                <w:spacing w:val="-2"/>
                <w:w w:val="95"/>
                <w:sz w:val="20"/>
              </w:rPr>
              <w:t xml:space="preserve"> w naj</w:t>
            </w:r>
            <w:r>
              <w:rPr>
                <w:rFonts w:ascii="Times New Roman" w:hAnsi="Times New Roman"/>
                <w:color w:val="000000" w:themeColor="text1"/>
                <w:spacing w:val="-2"/>
                <w:w w:val="95"/>
                <w:sz w:val="20"/>
              </w:rPr>
              <w:t xml:space="preserve">nowszej wersji „Vademecum bilansu płatności” opublikowanej przez Eurostat.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Państwo określa się</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siedziby statutowej kontrahenta</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grup powiązanych klientów –</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 xml:space="preserve">iesieniu do kraju założenia jednostki dominującej.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 podstawie podziału sektorowego gospodarki pakietu FINREP każdemu kontrahentowi przydziela się jeden sektor (FINREP, załącznik V, część 1 rozdział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Banki centralne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Sektor instytucji rządowych</w:t>
            </w:r>
            <w:r w:rsidR="004D7F8C">
              <w:rPr>
                <w:rFonts w:ascii="Times New Roman" w:hAnsi="Times New Roman"/>
                <w:color w:val="000000" w:themeColor="text1"/>
                <w:spacing w:val="-2"/>
                <w:w w:val="95"/>
                <w:sz w:val="20"/>
              </w:rPr>
              <w:t xml:space="preserve"> i sam</w:t>
            </w:r>
            <w:r>
              <w:rPr>
                <w:rFonts w:ascii="Times New Roman" w:hAnsi="Times New Roman"/>
                <w:color w:val="000000" w:themeColor="text1"/>
                <w:spacing w:val="-2"/>
                <w:w w:val="95"/>
                <w:sz w:val="20"/>
              </w:rPr>
              <w:t>orządowych</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Instytucje kredytowe: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Inne przedsiębiorstwa finansowe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Przedsiębiorstwa niefinansowe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Gospodarstwa domowe</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przypadku grup powiązanych klientów nie zgłasza się żadnego sektora.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Rodzaj</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Rodzaj zobowiązania jest jednym</w:t>
            </w:r>
            <w:r w:rsidR="004D7F8C">
              <w:rPr>
                <w:rFonts w:ascii="Times New Roman" w:hAnsi="Times New Roman"/>
                <w:color w:val="000000" w:themeColor="text1"/>
                <w:spacing w:val="-2"/>
                <w:w w:val="95"/>
                <w:sz w:val="20"/>
              </w:rPr>
              <w:t xml:space="preserve"> z rod</w:t>
            </w:r>
            <w:r>
              <w:rPr>
                <w:rFonts w:ascii="Times New Roman" w:hAnsi="Times New Roman"/>
                <w:color w:val="000000" w:themeColor="text1"/>
                <w:spacing w:val="-2"/>
                <w:w w:val="95"/>
                <w:sz w:val="20"/>
              </w:rPr>
              <w:t>zajów zobowiązań ujętych</w:t>
            </w:r>
            <w:r w:rsidR="004D7F8C">
              <w:rPr>
                <w:rFonts w:ascii="Times New Roman" w:hAnsi="Times New Roman"/>
                <w:color w:val="000000" w:themeColor="text1"/>
                <w:spacing w:val="-2"/>
                <w:w w:val="95"/>
                <w:sz w:val="20"/>
              </w:rPr>
              <w:t xml:space="preserve"> w wyk</w:t>
            </w:r>
            <w:r>
              <w:rPr>
                <w:rFonts w:ascii="Times New Roman" w:hAnsi="Times New Roman"/>
                <w:color w:val="000000" w:themeColor="text1"/>
                <w:spacing w:val="-2"/>
                <w:w w:val="95"/>
                <w:sz w:val="20"/>
              </w:rPr>
              <w:t>azie</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02.00 – Struktura zobowiązań (LIAB), mianowicie: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Zobowiązania wyłączone</w:t>
            </w:r>
            <w:r w:rsidR="004D7F8C">
              <w:rPr>
                <w:rFonts w:ascii="Times New Roman" w:hAnsi="Times New Roman"/>
                <w:color w:val="000000" w:themeColor="text1"/>
                <w:spacing w:val="-2"/>
                <w:w w:val="95"/>
                <w:sz w:val="20"/>
              </w:rPr>
              <w:t xml:space="preserve"> z umo</w:t>
            </w:r>
            <w:r>
              <w:rPr>
                <w:rFonts w:ascii="Times New Roman" w:hAnsi="Times New Roman"/>
                <w:color w:val="000000" w:themeColor="text1"/>
                <w:spacing w:val="-2"/>
                <w:w w:val="95"/>
                <w:sz w:val="20"/>
              </w:rPr>
              <w:t>rzenia lub konwersji długu</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Depozyty, niegwarantowane, ale na preferencyjnych warunkach;</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Depozyty, niegwarantowane oraz nie na preferencyjnych warunkach;</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Zobowiązania wynikające</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pochodnych</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Zobowiązania zabezpieczone nieobjęte zabezpieczeniem</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Sekurytyzowane papiery wartościowe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Niezabezpieczone zobowiązania uprzywilejowane</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„Podrzędne” zobowiązania uprzywilejowane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Zobowiązania podporządkowane (nieujęte jako fundusze własne)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Inne zobowiązania kwalifikowalne</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minimalnego wymogu funduszy własnych</w:t>
            </w:r>
            <w:r w:rsidR="004D7F8C">
              <w:rPr>
                <w:rFonts w:ascii="Times New Roman" w:hAnsi="Times New Roman"/>
                <w:color w:val="000000" w:themeColor="text1"/>
                <w:spacing w:val="-2"/>
                <w:w w:val="95"/>
                <w:sz w:val="20"/>
              </w:rPr>
              <w:t xml:space="preserve"> i zob</w:t>
            </w:r>
            <w:r>
              <w:rPr>
                <w:rFonts w:ascii="Times New Roman" w:hAnsi="Times New Roman"/>
                <w:color w:val="000000" w:themeColor="text1"/>
                <w:spacing w:val="-2"/>
                <w:w w:val="95"/>
                <w:sz w:val="20"/>
              </w:rPr>
              <w:t>owiązań kwalifikowanych</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Zobowiązania niefinansowe</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Pozostałe pasywa</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Jeżeli zobowiązania względem głównego kontrahenta obejmują więcej niż jeden</w:t>
            </w:r>
            <w:r w:rsidR="004D7F8C">
              <w:rPr>
                <w:rFonts w:ascii="Times New Roman" w:hAnsi="Times New Roman"/>
                <w:color w:val="000000" w:themeColor="text1"/>
                <w:spacing w:val="-2"/>
                <w:w w:val="95"/>
                <w:sz w:val="20"/>
              </w:rPr>
              <w:t xml:space="preserve"> z wym</w:t>
            </w:r>
            <w:r>
              <w:rPr>
                <w:rFonts w:ascii="Times New Roman" w:hAnsi="Times New Roman"/>
                <w:color w:val="000000" w:themeColor="text1"/>
                <w:spacing w:val="-2"/>
                <w:w w:val="95"/>
                <w:sz w:val="20"/>
              </w:rPr>
              <w:t>ienionych powyżej rodzajów, każdy rodzaj zobowiązania zgłasza się</w:t>
            </w:r>
            <w:r w:rsidR="004D7F8C">
              <w:rPr>
                <w:rFonts w:ascii="Times New Roman" w:hAnsi="Times New Roman"/>
                <w:color w:val="000000" w:themeColor="text1"/>
                <w:spacing w:val="-2"/>
                <w:w w:val="95"/>
                <w:sz w:val="20"/>
              </w:rPr>
              <w:t xml:space="preserve"> w oso</w:t>
            </w:r>
            <w:r>
              <w:rPr>
                <w:rFonts w:ascii="Times New Roman" w:hAnsi="Times New Roman"/>
                <w:color w:val="000000" w:themeColor="text1"/>
                <w:spacing w:val="-2"/>
                <w:w w:val="95"/>
                <w:sz w:val="20"/>
              </w:rPr>
              <w:t>bnym wierszu.</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Kwota</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Kwota odpowiada definicji „pozostającej kwoty należnej” określonej</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02.00 – Struktura zobowiązań</w:t>
            </w:r>
            <w:r w:rsidR="004D7F8C">
              <w:rPr>
                <w:rFonts w:ascii="Times New Roman" w:hAnsi="Times New Roman"/>
                <w:color w:val="000000" w:themeColor="text1"/>
                <w:spacing w:val="-2"/>
                <w:w w:val="95"/>
                <w:sz w:val="20"/>
              </w:rPr>
              <w:t>. W odn</w:t>
            </w:r>
            <w:r>
              <w:rPr>
                <w:rFonts w:ascii="Times New Roman" w:hAnsi="Times New Roman"/>
                <w:color w:val="000000" w:themeColor="text1"/>
                <w:spacing w:val="-2"/>
                <w:w w:val="95"/>
                <w:sz w:val="20"/>
              </w:rPr>
              <w:t>iesieniu do zobowiązań wynikających</w:t>
            </w:r>
            <w:r w:rsidR="004D7F8C">
              <w:rPr>
                <w:rFonts w:ascii="Times New Roman" w:hAnsi="Times New Roman"/>
                <w:color w:val="000000" w:themeColor="text1"/>
                <w:spacing w:val="-2"/>
                <w:w w:val="95"/>
                <w:sz w:val="20"/>
              </w:rPr>
              <w:t xml:space="preserve"> z ins</w:t>
            </w:r>
            <w:r>
              <w:rPr>
                <w:rFonts w:ascii="Times New Roman" w:hAnsi="Times New Roman"/>
                <w:color w:val="000000" w:themeColor="text1"/>
                <w:spacing w:val="-2"/>
                <w:w w:val="95"/>
                <w:sz w:val="20"/>
              </w:rPr>
              <w:t>trumentów pochodnych (rodzaj L.3) zgłasza się salda zamknięcia zdefiniowane do celów szablonu Z 02.00 wiersz 0333.</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Główni kontrahenci</w:t>
      </w:r>
      <w:r w:rsidR="004D7F8C">
        <w:t xml:space="preserve"> w zak</w:t>
      </w:r>
      <w:r>
        <w:t>resie pozycji pozabilansowych Instrukcje dotyczące poszczególnych pozycji</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Połączenie wartości zgłoszonych</w:t>
      </w:r>
      <w:r w:rsidR="004D7F8C">
        <w:rPr>
          <w:rFonts w:ascii="Times New Roman" w:hAnsi="Times New Roman"/>
          <w:sz w:val="20"/>
        </w:rPr>
        <w:t xml:space="preserve"> w kol</w:t>
      </w:r>
      <w:r>
        <w:rPr>
          <w:rFonts w:ascii="Times New Roman" w:hAnsi="Times New Roman"/>
          <w:sz w:val="20"/>
        </w:rPr>
        <w:t>umnach 0020</w:t>
      </w:r>
      <w:r w:rsidR="004D7F8C">
        <w:rPr>
          <w:rFonts w:ascii="Times New Roman" w:hAnsi="Times New Roman"/>
          <w:sz w:val="20"/>
        </w:rPr>
        <w:t xml:space="preserve"> i 0</w:t>
      </w:r>
      <w:r>
        <w:rPr>
          <w:rFonts w:ascii="Times New Roman" w:hAnsi="Times New Roman"/>
          <w:sz w:val="20"/>
        </w:rPr>
        <w:t>060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ypadku każdego wiersza szablonu.</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Kontrahenci</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Informacje na temat głównych kontrahentów</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pozycji pozabilansowych.</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Głównych kontrahentów</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pozycji pozabilansowych identyfikuje się, sumując łączną kwotę nominalną zobowiązań</w:t>
            </w:r>
            <w:r w:rsidR="004D7F8C">
              <w:rPr>
                <w:rFonts w:ascii="Times New Roman" w:hAnsi="Times New Roman"/>
                <w:color w:val="000000" w:themeColor="text1"/>
                <w:spacing w:val="-2"/>
                <w:w w:val="95"/>
                <w:sz w:val="20"/>
              </w:rPr>
              <w:t xml:space="preserve"> i gwa</w:t>
            </w:r>
            <w:r>
              <w:rPr>
                <w:rFonts w:ascii="Times New Roman" w:hAnsi="Times New Roman"/>
                <w:color w:val="000000" w:themeColor="text1"/>
                <w:spacing w:val="-2"/>
                <w:w w:val="95"/>
                <w:sz w:val="20"/>
              </w:rPr>
              <w:t>rancji finansowych (zdefiniowanych na potrzeby FINREP, szablon F 09) otrzymanych przez podmiot lub podmiot powiązany, których dotyczy zgłaszany szablon, od kontrahentów lub grupy powiązanych klientów. Główni kontrahenci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pozycji pozabilansowych nie obejmują podmiotów ujętych</w:t>
            </w:r>
            <w:r w:rsidR="004D7F8C">
              <w:rPr>
                <w:rFonts w:ascii="Times New Roman" w:hAnsi="Times New Roman"/>
                <w:color w:val="000000" w:themeColor="text1"/>
                <w:spacing w:val="-2"/>
                <w:w w:val="95"/>
                <w:sz w:val="20"/>
              </w:rPr>
              <w:t xml:space="preserve"> w kon</w:t>
            </w:r>
            <w:r>
              <w:rPr>
                <w:rFonts w:ascii="Times New Roman" w:hAnsi="Times New Roman"/>
                <w:color w:val="000000" w:themeColor="text1"/>
                <w:spacing w:val="-2"/>
                <w:w w:val="95"/>
                <w:sz w:val="20"/>
              </w:rPr>
              <w:t>solidowanych sprawozdaniach finansowych grupy. Kontrahenci</w:t>
            </w:r>
            <w:r w:rsidR="004D7F8C">
              <w:rPr>
                <w:rFonts w:ascii="Times New Roman" w:hAnsi="Times New Roman"/>
                <w:color w:val="000000" w:themeColor="text1"/>
                <w:spacing w:val="-2"/>
                <w:w w:val="95"/>
                <w:sz w:val="20"/>
              </w:rPr>
              <w:t xml:space="preserve"> i gru</w:t>
            </w:r>
            <w:r>
              <w:rPr>
                <w:rFonts w:ascii="Times New Roman" w:hAnsi="Times New Roman"/>
                <w:color w:val="000000" w:themeColor="text1"/>
                <w:spacing w:val="-2"/>
                <w:w w:val="95"/>
                <w:sz w:val="20"/>
              </w:rPr>
              <w:t>py powiązanych klientów są następnie szeregowani według zagregowanej kwoty</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zidentyfikowania 10 uszeregowanych najwyżej kontrahentów</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pozycji pozabilansowych,</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 xml:space="preserve">iesieniu do których </w:t>
            </w:r>
            <w:r>
              <w:rPr>
                <w:rFonts w:ascii="Times New Roman" w:hAnsi="Times New Roman"/>
                <w:color w:val="000000" w:themeColor="text1"/>
                <w:spacing w:val="-2"/>
                <w:w w:val="95"/>
                <w:sz w:val="20"/>
              </w:rPr>
              <w:lastRenderedPageBreak/>
              <w:t>przedstawia się informacje</w:t>
            </w:r>
            <w:r w:rsidR="004D7F8C">
              <w:rPr>
                <w:rFonts w:ascii="Times New Roman" w:hAnsi="Times New Roman"/>
                <w:color w:val="000000" w:themeColor="text1"/>
                <w:spacing w:val="-2"/>
                <w:w w:val="95"/>
                <w:sz w:val="20"/>
              </w:rPr>
              <w:t xml:space="preserve"> w nin</w:t>
            </w:r>
            <w:r>
              <w:rPr>
                <w:rFonts w:ascii="Times New Roman" w:hAnsi="Times New Roman"/>
                <w:color w:val="000000" w:themeColor="text1"/>
                <w:spacing w:val="-2"/>
                <w:w w:val="95"/>
                <w:sz w:val="20"/>
              </w:rPr>
              <w:t>iejszym szablonie.</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Do celów niniejszego szablonu zgłasza się wyłącznie kontrahentów, którzy nie są ujęci</w:t>
            </w:r>
            <w:r w:rsidR="004D7F8C">
              <w:rPr>
                <w:rFonts w:ascii="Times New Roman" w:hAnsi="Times New Roman"/>
                <w:color w:val="000000" w:themeColor="text1"/>
                <w:spacing w:val="-2"/>
                <w:w w:val="95"/>
                <w:sz w:val="20"/>
              </w:rPr>
              <w:t xml:space="preserve"> w sko</w:t>
            </w:r>
            <w:r>
              <w:rPr>
                <w:rFonts w:ascii="Times New Roman" w:hAnsi="Times New Roman"/>
                <w:color w:val="000000" w:themeColor="text1"/>
                <w:spacing w:val="-2"/>
                <w:w w:val="95"/>
                <w:sz w:val="20"/>
              </w:rPr>
              <w:t>nsolidowanych sprawozdaniach finansowych.</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podmiotu</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 instrukcje dotyczące kolumny 0010 szablonu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 instrukcje dotyczące kolumny 0020 szablonu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Grupa lub pojedynczy kontrahent</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 instrukcje dotyczące kolumny 0030 szablonu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Państwo</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 instrukcje dotyczące kolumny 0040 szablonu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Zob. instrukcje dotyczące kolumny 0050 szablonu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Rodzaj</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Rodzaj ekspozycji pozabilansowej jest jednym</w:t>
            </w:r>
            <w:r w:rsidR="004D7F8C">
              <w:rPr>
                <w:rFonts w:ascii="Times New Roman" w:hAnsi="Times New Roman"/>
                <w:color w:val="000000" w:themeColor="text1"/>
                <w:spacing w:val="-2"/>
                <w:w w:val="95"/>
                <w:sz w:val="20"/>
              </w:rPr>
              <w:t xml:space="preserve"> z nas</w:t>
            </w:r>
            <w:r>
              <w:rPr>
                <w:rFonts w:ascii="Times New Roman" w:hAnsi="Times New Roman"/>
                <w:color w:val="000000" w:themeColor="text1"/>
                <w:spacing w:val="-2"/>
                <w:w w:val="95"/>
                <w:sz w:val="20"/>
              </w:rPr>
              <w:t>tępujących rodzajów zdefiniowanych w FINREP, szablon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Otrzymane zobowiązania do udzielenia pożyczki</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Otrzymane gwarancje finansowe</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Inne otrzymane zobowiązania</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pozycje pozabilansowe otrzymane od głównego kontrahenta obejmują więcej niż jeden</w:t>
            </w:r>
            <w:r w:rsidR="004D7F8C">
              <w:rPr>
                <w:rFonts w:ascii="Times New Roman" w:hAnsi="Times New Roman"/>
                <w:color w:val="000000" w:themeColor="text1"/>
                <w:spacing w:val="-2"/>
                <w:w w:val="95"/>
                <w:sz w:val="20"/>
              </w:rPr>
              <w:t xml:space="preserve"> z wym</w:t>
            </w:r>
            <w:r>
              <w:rPr>
                <w:rFonts w:ascii="Times New Roman" w:hAnsi="Times New Roman"/>
                <w:color w:val="000000" w:themeColor="text1"/>
                <w:spacing w:val="-2"/>
                <w:w w:val="95"/>
                <w:sz w:val="20"/>
              </w:rPr>
              <w:t>ienionych powyżej rodzajów, każdy rodzaj pozycji pozabilansowej zgłasza się</w:t>
            </w:r>
            <w:r w:rsidR="004D7F8C">
              <w:rPr>
                <w:rFonts w:ascii="Times New Roman" w:hAnsi="Times New Roman"/>
                <w:color w:val="000000" w:themeColor="text1"/>
                <w:spacing w:val="-2"/>
                <w:w w:val="95"/>
                <w:sz w:val="20"/>
              </w:rPr>
              <w:t xml:space="preserve"> w oso</w:t>
            </w:r>
            <w:r>
              <w:rPr>
                <w:rFonts w:ascii="Times New Roman" w:hAnsi="Times New Roman"/>
                <w:color w:val="000000" w:themeColor="text1"/>
                <w:spacing w:val="-2"/>
                <w:w w:val="95"/>
                <w:sz w:val="20"/>
              </w:rPr>
              <w:t>bnym wierszu.</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Kwota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1" w:name="_Toc492542326"/>
      <w:bookmarkStart w:id="32" w:name="_Toc509909044"/>
      <w:bookmarkStart w:id="33" w:name="_Toc525062587"/>
      <w:r>
        <w:rPr>
          <w:rFonts w:ascii="Times New Roman" w:hAnsi="Times New Roman"/>
        </w:rPr>
        <w:t>Z 06.00 – Gwarantowanie depozytów (DIS)</w:t>
      </w:r>
      <w:bookmarkEnd w:id="31"/>
      <w:bookmarkEnd w:id="32"/>
      <w:bookmarkEnd w:id="33"/>
    </w:p>
    <w:p w:rsidR="008F7980" w:rsidRPr="00D92B3C" w:rsidRDefault="006A7DCF" w:rsidP="00715DAB">
      <w:pPr>
        <w:pStyle w:val="Instructionsberschrift3"/>
      </w:pPr>
      <w:r>
        <w:t>Uwagi ogólne</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Niniejszy szablon zawiera ogólny zarys gwarantowania depozytów</w:t>
      </w:r>
      <w:r w:rsidR="004D7F8C">
        <w:rPr>
          <w:rFonts w:ascii="Times New Roman" w:hAnsi="Times New Roman"/>
          <w:sz w:val="20"/>
        </w:rPr>
        <w:t xml:space="preserve"> w gru</w:t>
      </w:r>
      <w:r>
        <w:rPr>
          <w:rFonts w:ascii="Times New Roman" w:hAnsi="Times New Roman"/>
          <w:sz w:val="20"/>
        </w:rPr>
        <w:t>pie</w:t>
      </w:r>
      <w:r w:rsidR="004D7F8C">
        <w:rPr>
          <w:rFonts w:ascii="Times New Roman" w:hAnsi="Times New Roman"/>
          <w:sz w:val="20"/>
        </w:rPr>
        <w:t xml:space="preserve"> i sys</w:t>
      </w:r>
      <w:r>
        <w:rPr>
          <w:rFonts w:ascii="Times New Roman" w:hAnsi="Times New Roman"/>
          <w:sz w:val="20"/>
        </w:rPr>
        <w:t>temów gwarancji depozytów, których członkiem są instytucje kredytowe będące właściwymi podmiotami prawnymi.</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Każdą instytucję kredytową należącą do grupy zgłasza się</w:t>
      </w:r>
      <w:r w:rsidR="004D7F8C">
        <w:rPr>
          <w:rFonts w:ascii="Times New Roman" w:hAnsi="Times New Roman"/>
          <w:sz w:val="20"/>
        </w:rPr>
        <w:t xml:space="preserve"> w oso</w:t>
      </w:r>
      <w:r>
        <w:rPr>
          <w:rFonts w:ascii="Times New Roman" w:hAnsi="Times New Roman"/>
          <w:sz w:val="20"/>
        </w:rPr>
        <w:t>bnym wierszu.</w:t>
      </w:r>
    </w:p>
    <w:p w:rsidR="006A7DCF" w:rsidRPr="00D92B3C" w:rsidRDefault="006A7DCF" w:rsidP="00715DAB">
      <w:pPr>
        <w:pStyle w:val="Instructionsberschrift3"/>
      </w:pPr>
      <w:r>
        <w:t>Instrukcje dotyczące poszczególnych pozycji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Podmiot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podmiotu</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podmiotu zgłoszona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 xml:space="preserve">blonie Z 01.00 – Struktura organizacyjna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podmiotu zgłoszony</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01.00 – Struktura organizacyjna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Stanowi on identyfikator wiersza</w:t>
            </w:r>
            <w:r w:rsidR="004D7F8C">
              <w:rPr>
                <w:rFonts w:ascii="Times New Roman" w:hAnsi="Times New Roman"/>
                <w:color w:val="000000" w:themeColor="text1"/>
                <w:spacing w:val="-2"/>
                <w:w w:val="95"/>
                <w:sz w:val="20"/>
              </w:rPr>
              <w:t xml:space="preserve"> i mus</w:t>
            </w:r>
            <w:r>
              <w:rPr>
                <w:rFonts w:ascii="Times New Roman" w:hAnsi="Times New Roman"/>
                <w:color w:val="000000" w:themeColor="text1"/>
                <w:spacing w:val="-2"/>
                <w:w w:val="95"/>
                <w:sz w:val="20"/>
              </w:rPr>
              <w:t>i być niepowtarzalny dla każdego wiersza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System gwarancji depozytów</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4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dyrektywy 2014/49/UE</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urzędowo uznanego systemu gwarancji depozytów, którego członkiem jest podmiot,</w:t>
            </w:r>
            <w:r w:rsidR="004D7F8C">
              <w:rPr>
                <w:rFonts w:ascii="Times New Roman" w:hAnsi="Times New Roman"/>
                <w:color w:val="000000" w:themeColor="text1"/>
                <w:spacing w:val="-2"/>
                <w:w w:val="95"/>
                <w:sz w:val="20"/>
              </w:rPr>
              <w:t xml:space="preserve"> w zas</w:t>
            </w:r>
            <w:r>
              <w:rPr>
                <w:rFonts w:ascii="Times New Roman" w:hAnsi="Times New Roman"/>
                <w:color w:val="000000" w:themeColor="text1"/>
                <w:spacing w:val="-2"/>
                <w:w w:val="95"/>
                <w:sz w:val="20"/>
              </w:rPr>
              <w:t>tosowaniu dyrektywy 2014/49/UE. Jest to system gwarancji depozytów</w:t>
            </w:r>
            <w:r w:rsidR="004D7F8C">
              <w:rPr>
                <w:rFonts w:ascii="Times New Roman" w:hAnsi="Times New Roman"/>
                <w:color w:val="000000" w:themeColor="text1"/>
                <w:spacing w:val="-2"/>
                <w:w w:val="95"/>
                <w:sz w:val="20"/>
              </w:rPr>
              <w:t xml:space="preserve"> w pań</w:t>
            </w:r>
            <w:r>
              <w:rPr>
                <w:rFonts w:ascii="Times New Roman" w:hAnsi="Times New Roman"/>
                <w:color w:val="000000" w:themeColor="text1"/>
                <w:spacing w:val="-2"/>
                <w:w w:val="95"/>
                <w:sz w:val="20"/>
              </w:rPr>
              <w:t>stwie członkowskim założenia podmiotu,</w:t>
            </w:r>
            <w:r w:rsidR="004D7F8C">
              <w:rPr>
                <w:rFonts w:ascii="Times New Roman" w:hAnsi="Times New Roman"/>
                <w:color w:val="000000" w:themeColor="text1"/>
                <w:spacing w:val="-2"/>
                <w:w w:val="95"/>
                <w:sz w:val="20"/>
              </w:rPr>
              <w:t xml:space="preserve"> z wył</w:t>
            </w:r>
            <w:r>
              <w:rPr>
                <w:rFonts w:ascii="Times New Roman" w:hAnsi="Times New Roman"/>
                <w:color w:val="000000" w:themeColor="text1"/>
                <w:spacing w:val="-2"/>
                <w:w w:val="95"/>
                <w:sz w:val="20"/>
              </w:rPr>
              <w:t>ączeniem systemów gwarancji depozytów, które</w:t>
            </w:r>
            <w:r w:rsidR="004D7F8C">
              <w:rPr>
                <w:rFonts w:ascii="Times New Roman" w:hAnsi="Times New Roman"/>
                <w:color w:val="000000" w:themeColor="text1"/>
                <w:spacing w:val="-2"/>
                <w:w w:val="95"/>
                <w:sz w:val="20"/>
              </w:rPr>
              <w:t xml:space="preserve"> w inn</w:t>
            </w:r>
            <w:r>
              <w:rPr>
                <w:rFonts w:ascii="Times New Roman" w:hAnsi="Times New Roman"/>
                <w:color w:val="000000" w:themeColor="text1"/>
                <w:spacing w:val="-2"/>
                <w:w w:val="95"/>
                <w:sz w:val="20"/>
              </w:rPr>
              <w:t>ych państwach członkowskich mogą zapewnić dodatkową ochronę („dopłatę”) klientom podmiotu</w:t>
            </w:r>
            <w:r w:rsidR="004D7F8C">
              <w:rPr>
                <w:rFonts w:ascii="Times New Roman" w:hAnsi="Times New Roman"/>
                <w:color w:val="000000" w:themeColor="text1"/>
                <w:spacing w:val="-2"/>
                <w:w w:val="95"/>
                <w:sz w:val="20"/>
              </w:rPr>
              <w:t xml:space="preserve"> w odd</w:t>
            </w:r>
            <w:r>
              <w:rPr>
                <w:rFonts w:ascii="Times New Roman" w:hAnsi="Times New Roman"/>
                <w:color w:val="000000" w:themeColor="text1"/>
                <w:spacing w:val="-2"/>
                <w:w w:val="95"/>
                <w:sz w:val="20"/>
              </w:rPr>
              <w:t>ziale</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państwie członkowskim. Jeżeli instytucja jest członkiem instytucjonalnego systemu ochrony, który jest również urzędowo uznanym systemem gwarancji depozytów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2014/49/UE, nazwa systemu gwarancji depozytów jest identyczna</w:t>
            </w:r>
            <w:r w:rsidR="004D7F8C">
              <w:rPr>
                <w:rFonts w:ascii="Times New Roman" w:hAnsi="Times New Roman"/>
                <w:color w:val="000000" w:themeColor="text1"/>
                <w:spacing w:val="-2"/>
                <w:w w:val="95"/>
                <w:sz w:val="20"/>
              </w:rPr>
              <w:t xml:space="preserve"> z naz</w:t>
            </w:r>
            <w:r>
              <w:rPr>
                <w:rFonts w:ascii="Times New Roman" w:hAnsi="Times New Roman"/>
                <w:color w:val="000000" w:themeColor="text1"/>
                <w:spacing w:val="-2"/>
                <w:w w:val="95"/>
                <w:sz w:val="20"/>
              </w:rPr>
              <w:t>wą instytucjonalnego systemu ochrony</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rszu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odniesieniu do każdego kraju założenia podmiotu należy wybrać system gwarancji depozytów spośród następujących systemów:</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Austria</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„Einlagensicherung der Banken und Bankiers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„Sparkassen-Haftungs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„Österreichische Raiffeisen-Einlagensicherung eGen”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„Volksbank Einlagensicherung eG”</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„Hypo Haftungs-Gesellschaft m.b.H.”</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„Garantiefonds voor financiële diensten / Fonds de garantie pour les services financiers”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Bułgaria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„Фондът за гарантиране на влоговете в банките”</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Chorwacja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„Državna agencija za osiguranje štednih uloga</w:t>
            </w:r>
            <w:r w:rsidR="004D7F8C">
              <w:rPr>
                <w:rFonts w:ascii="Times New Roman" w:hAnsi="Times New Roman"/>
                <w:color w:val="000000" w:themeColor="text1"/>
                <w:spacing w:val="-2"/>
                <w:w w:val="95"/>
                <w:sz w:val="20"/>
              </w:rPr>
              <w:t xml:space="preserve"> i san</w:t>
            </w:r>
            <w:r>
              <w:rPr>
                <w:rFonts w:ascii="Times New Roman" w:hAnsi="Times New Roman"/>
                <w:color w:val="000000" w:themeColor="text1"/>
                <w:spacing w:val="-2"/>
                <w:w w:val="95"/>
                <w:sz w:val="20"/>
              </w:rPr>
              <w:t>aciju banaka”</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Cypr</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„Σύστημα Εγγύησης των Καταθέσεων και Εξυγίανσης Πιστωτικών και Άλλων Ιδρυμάτων”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Czechy</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„Garanční systém finančního trhu”</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Dania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„Garantiformuen”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Estonia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„Tagastisfond”</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Finlandia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„Talletussuojarahasto”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Francja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„Fonds de Garantie des Dépôts et de Résolution”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Niemcy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„Entschädigungseinrichtung deutscher Banken GmbH”</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„Entschädigungseinrichtung des Bundesverbandes Öffentlicher Banken Deutschlands GmbH”</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„Sicherungseinrichtung des Deutschen Sparkassen- und Giroverbandes (DSGV-Haftungsverbund)”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„BVR Institutssicherung GmbH”</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„Gibraltar Deposit Guarantee Scheme”</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 xml:space="preserve">Grecja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„Τα</w:t>
            </w:r>
            <w:proofErr w:type="spellStart"/>
            <w:r>
              <w:rPr>
                <w:rFonts w:ascii="Times New Roman" w:hAnsi="Times New Roman"/>
                <w:color w:val="000000" w:themeColor="text1"/>
                <w:spacing w:val="-2"/>
                <w:w w:val="95"/>
                <w:sz w:val="20"/>
              </w:rPr>
              <w:t>μείο</w:t>
            </w:r>
            <w:bookmarkStart w:id="34" w:name="_GoBack"/>
            <w:bookmarkEnd w:id="34"/>
            <w:proofErr w:type="spellEnd"/>
            <w:r>
              <w:rPr>
                <w:rFonts w:ascii="Times New Roman" w:hAnsi="Times New Roman"/>
                <w:color w:val="000000" w:themeColor="text1"/>
                <w:spacing w:val="-2"/>
                <w:w w:val="95"/>
                <w:sz w:val="20"/>
              </w:rPr>
              <w:t xml:space="preserve"> Εγγύησης Καταθέσεων και Επ</w:t>
            </w:r>
            <w:proofErr w:type="spellStart"/>
            <w:r>
              <w:rPr>
                <w:rFonts w:ascii="Times New Roman" w:hAnsi="Times New Roman"/>
                <w:color w:val="000000" w:themeColor="text1"/>
                <w:spacing w:val="-2"/>
                <w:w w:val="95"/>
                <w:sz w:val="20"/>
              </w:rPr>
              <w:t>ενδύσεων</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Węgry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Irlandia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Irish</w:t>
            </w:r>
            <w:proofErr w:type="spellEnd"/>
            <w:r>
              <w:rPr>
                <w:rFonts w:ascii="Times New Roman" w:hAnsi="Times New Roman"/>
                <w:color w:val="000000" w:themeColor="text1"/>
                <w:spacing w:val="-2"/>
                <w:w w:val="95"/>
                <w:sz w:val="20"/>
              </w:rPr>
              <w:t xml:space="preserve"> Deposit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Scheme”</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Włochy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w:t>
            </w:r>
            <w:proofErr w:type="spellStart"/>
            <w:r>
              <w:rPr>
                <w:rFonts w:ascii="Times New Roman" w:hAnsi="Times New Roman"/>
                <w:color w:val="000000" w:themeColor="text1"/>
                <w:spacing w:val="-2"/>
                <w:w w:val="95"/>
                <w:sz w:val="20"/>
              </w:rPr>
              <w:t>Interbancario</w:t>
            </w:r>
            <w:proofErr w:type="spellEnd"/>
            <w:r>
              <w:rPr>
                <w:rFonts w:ascii="Times New Roman" w:hAnsi="Times New Roman"/>
                <w:color w:val="000000" w:themeColor="text1"/>
                <w:spacing w:val="-2"/>
                <w:w w:val="95"/>
                <w:sz w:val="20"/>
              </w:rPr>
              <w:t xml:space="preserve"> di Tutela dei </w:t>
            </w:r>
            <w:proofErr w:type="spellStart"/>
            <w:r>
              <w:rPr>
                <w:rFonts w:ascii="Times New Roman" w:hAnsi="Times New Roman"/>
                <w:color w:val="000000" w:themeColor="text1"/>
                <w:spacing w:val="-2"/>
                <w:w w:val="95"/>
                <w:sz w:val="20"/>
              </w:rPr>
              <w:t>Depositi</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di </w:t>
            </w:r>
            <w:proofErr w:type="spellStart"/>
            <w:r>
              <w:rPr>
                <w:rFonts w:ascii="Times New Roman" w:hAnsi="Times New Roman"/>
                <w:color w:val="000000" w:themeColor="text1"/>
                <w:spacing w:val="-2"/>
                <w:w w:val="95"/>
                <w:sz w:val="20"/>
              </w:rPr>
              <w:t>Garanzia</w:t>
            </w:r>
            <w:proofErr w:type="spellEnd"/>
            <w:r>
              <w:rPr>
                <w:rFonts w:ascii="Times New Roman" w:hAnsi="Times New Roman"/>
                <w:color w:val="000000" w:themeColor="text1"/>
                <w:spacing w:val="-2"/>
                <w:w w:val="95"/>
                <w:sz w:val="20"/>
              </w:rPr>
              <w:t xml:space="preserve"> dei </w:t>
            </w:r>
            <w:proofErr w:type="spellStart"/>
            <w:r>
              <w:rPr>
                <w:rFonts w:ascii="Times New Roman" w:hAnsi="Times New Roman"/>
                <w:color w:val="000000" w:themeColor="text1"/>
                <w:spacing w:val="-2"/>
                <w:w w:val="95"/>
                <w:sz w:val="20"/>
              </w:rPr>
              <w:t>Depositanti</w:t>
            </w:r>
            <w:proofErr w:type="spellEnd"/>
            <w:r>
              <w:rPr>
                <w:rFonts w:ascii="Times New Roman" w:hAnsi="Times New Roman"/>
                <w:color w:val="000000" w:themeColor="text1"/>
                <w:spacing w:val="-2"/>
                <w:w w:val="95"/>
                <w:sz w:val="20"/>
              </w:rPr>
              <w:t xml:space="preserve"> del Credito </w:t>
            </w:r>
            <w:proofErr w:type="spellStart"/>
            <w:r>
              <w:rPr>
                <w:rFonts w:ascii="Times New Roman" w:hAnsi="Times New Roman"/>
                <w:color w:val="000000" w:themeColor="text1"/>
                <w:spacing w:val="-2"/>
                <w:w w:val="95"/>
                <w:sz w:val="20"/>
              </w:rPr>
              <w:t>Cooperativo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Łotwa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Liechtenstein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und </w:t>
            </w:r>
            <w:proofErr w:type="spellStart"/>
            <w:r>
              <w:rPr>
                <w:rFonts w:ascii="Times New Roman" w:hAnsi="Times New Roman"/>
                <w:color w:val="000000" w:themeColor="text1"/>
                <w:spacing w:val="-2"/>
                <w:w w:val="95"/>
                <w:sz w:val="20"/>
              </w:rPr>
              <w:t>Anlegerentschädigungs-Stiftung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Litwa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Luksemburg</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de garantie des Dépôts </w:t>
            </w:r>
            <w:proofErr w:type="spellStart"/>
            <w:r>
              <w:rPr>
                <w:rFonts w:ascii="Times New Roman" w:hAnsi="Times New Roman"/>
                <w:color w:val="000000" w:themeColor="text1"/>
                <w:spacing w:val="-2"/>
                <w:w w:val="95"/>
                <w:sz w:val="20"/>
              </w:rPr>
              <w:t>Luxembourg</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Scheme”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Niderlandy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Bank, </w:t>
            </w:r>
            <w:proofErr w:type="spellStart"/>
            <w:r>
              <w:rPr>
                <w:rFonts w:ascii="Times New Roman" w:hAnsi="Times New Roman"/>
                <w:color w:val="000000" w:themeColor="text1"/>
                <w:spacing w:val="-2"/>
                <w:w w:val="95"/>
                <w:sz w:val="20"/>
              </w:rPr>
              <w:t>Depositogarantiestelsel</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Norwegia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„Bankowy Fundusz Gwarancyjny”</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„Fundo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„Fundo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do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Agrícola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Mútuo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Rumunia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sidR="004D7F8C">
              <w:rPr>
                <w:rFonts w:ascii="Times New Roman" w:hAnsi="Times New Roman"/>
                <w:color w:val="000000" w:themeColor="text1"/>
                <w:spacing w:val="-2"/>
                <w:w w:val="95"/>
                <w:sz w:val="20"/>
              </w:rPr>
              <w:t xml:space="preserve"> a </w:t>
            </w:r>
            <w:proofErr w:type="spellStart"/>
            <w:r w:rsidR="004D7F8C">
              <w:rPr>
                <w:rFonts w:ascii="Times New Roman" w:hAnsi="Times New Roman"/>
                <w:color w:val="000000" w:themeColor="text1"/>
                <w:spacing w:val="-2"/>
                <w:w w:val="95"/>
                <w:sz w:val="20"/>
              </w:rPr>
              <w:t>Dep</w:t>
            </w:r>
            <w:r>
              <w:rPr>
                <w:rFonts w:ascii="Times New Roman" w:hAnsi="Times New Roman"/>
                <w:color w:val="000000" w:themeColor="text1"/>
                <w:spacing w:val="-2"/>
                <w:w w:val="95"/>
                <w:sz w:val="20"/>
              </w:rPr>
              <w:t>ozitelor</w:t>
            </w:r>
            <w:proofErr w:type="spellEnd"/>
            <w:r>
              <w:rPr>
                <w:rFonts w:ascii="Times New Roman" w:hAnsi="Times New Roman"/>
                <w:color w:val="000000" w:themeColor="text1"/>
                <w:spacing w:val="-2"/>
                <w:w w:val="95"/>
                <w:sz w:val="20"/>
              </w:rPr>
              <w:t xml:space="preserve"> in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Słowacja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ochrany </w:t>
            </w:r>
            <w:proofErr w:type="spellStart"/>
            <w:r>
              <w:rPr>
                <w:rFonts w:ascii="Times New Roman" w:hAnsi="Times New Roman"/>
                <w:color w:val="000000" w:themeColor="text1"/>
                <w:spacing w:val="-2"/>
                <w:w w:val="95"/>
                <w:sz w:val="20"/>
              </w:rPr>
              <w:t>vkladov</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Słowenia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„Banka </w:t>
            </w:r>
            <w:proofErr w:type="spellStart"/>
            <w:r>
              <w:rPr>
                <w:rFonts w:ascii="Times New Roman" w:hAnsi="Times New Roman"/>
                <w:color w:val="000000" w:themeColor="text1"/>
                <w:spacing w:val="-2"/>
                <w:w w:val="95"/>
                <w:sz w:val="20"/>
              </w:rPr>
              <w:t>Slovenije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Hiszpania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Szwecja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Riksgälden</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Zjednoczone Królestwo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„Financial Services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Scheme”</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urzędowo uznany system gwarancji depozytów, którego członkiem jest podmiot, nie jest ujęty</w:t>
            </w:r>
            <w:r w:rsidR="004D7F8C">
              <w:rPr>
                <w:rFonts w:ascii="Times New Roman" w:hAnsi="Times New Roman"/>
                <w:color w:val="000000" w:themeColor="text1"/>
                <w:spacing w:val="-2"/>
                <w:w w:val="95"/>
                <w:sz w:val="20"/>
              </w:rPr>
              <w:t xml:space="preserve"> w pow</w:t>
            </w:r>
            <w:r>
              <w:rPr>
                <w:rFonts w:ascii="Times New Roman" w:hAnsi="Times New Roman"/>
                <w:color w:val="000000" w:themeColor="text1"/>
                <w:spacing w:val="-2"/>
                <w:w w:val="95"/>
                <w:sz w:val="20"/>
              </w:rPr>
              <w:t>yższym wykazie, zgłasza się „inny”.</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Kwota depozytów gwarantowanych</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2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sidR="004D7F8C">
              <w:rPr>
                <w:rFonts w:ascii="Times New Roman" w:hAnsi="Times New Roman"/>
                <w:color w:val="000000" w:themeColor="text1"/>
                <w:spacing w:val="-2"/>
                <w:w w:val="95"/>
                <w:sz w:val="20"/>
              </w:rPr>
              <w:t xml:space="preserve"> i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2014/49/UE</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Kwota gwarantowanych depozytów zdefiniowanych</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sidR="004D7F8C">
              <w:rPr>
                <w:rFonts w:ascii="Times New Roman" w:hAnsi="Times New Roman"/>
                <w:color w:val="000000" w:themeColor="text1"/>
                <w:spacing w:val="-2"/>
                <w:w w:val="95"/>
                <w:sz w:val="20"/>
              </w:rPr>
              <w:t xml:space="preserve"> w zwi</w:t>
            </w:r>
            <w:r>
              <w:rPr>
                <w:rFonts w:ascii="Times New Roman" w:hAnsi="Times New Roman"/>
                <w:color w:val="000000" w:themeColor="text1"/>
                <w:spacing w:val="-2"/>
                <w:w w:val="95"/>
                <w:sz w:val="20"/>
              </w:rPr>
              <w:t>ązku</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dyrektywy 2014/49/UE, gwarantowanych</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systemu gwarancji depozytów</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rszu 00030,</w:t>
            </w:r>
            <w:r w:rsidR="004D7F8C">
              <w:rPr>
                <w:rFonts w:ascii="Times New Roman" w:hAnsi="Times New Roman"/>
                <w:color w:val="000000" w:themeColor="text1"/>
                <w:spacing w:val="-2"/>
                <w:w w:val="95"/>
                <w:sz w:val="20"/>
              </w:rPr>
              <w:t xml:space="preserve"> z wył</w:t>
            </w:r>
            <w:r>
              <w:rPr>
                <w:rFonts w:ascii="Times New Roman" w:hAnsi="Times New Roman"/>
                <w:color w:val="000000" w:themeColor="text1"/>
                <w:spacing w:val="-2"/>
                <w:w w:val="95"/>
                <w:sz w:val="20"/>
              </w:rPr>
              <w:t>ączeniem tymczasowych wysokich sald zdefiniowanych</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2014/49/UE.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Instytucjonalny system ochrony</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113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instytucjonalnego systemu ochrony,</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rym mowa</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13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7</w:t>
            </w:r>
            <w:r>
              <w:rPr>
                <w:rFonts w:ascii="Times New Roman" w:hAnsi="Times New Roman"/>
                <w:color w:val="000000" w:themeColor="text1"/>
                <w:spacing w:val="-2"/>
                <w:w w:val="95"/>
                <w:sz w:val="20"/>
              </w:rPr>
              <w:t xml:space="preserve">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75/2013, którego członkiem jest podmiot. Jeżeli podmiot nie jest członkiem instytucjonalnego systemu ochrony, nie należy nic zgłaszać. Jeżeli podmiot jest członkiem instytucjonalnego systemu ochrony, który jest również urzędowo uznanym systemem gwarancji depozytów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2014/49/UE, nazwa instytucjonalnego systemu ochrony jest identyczna</w:t>
            </w:r>
            <w:r w:rsidR="004D7F8C">
              <w:rPr>
                <w:rFonts w:ascii="Times New Roman" w:hAnsi="Times New Roman"/>
                <w:color w:val="000000" w:themeColor="text1"/>
                <w:spacing w:val="-2"/>
                <w:w w:val="95"/>
                <w:sz w:val="20"/>
              </w:rPr>
              <w:t xml:space="preserve"> z naz</w:t>
            </w:r>
            <w:r>
              <w:rPr>
                <w:rFonts w:ascii="Times New Roman" w:hAnsi="Times New Roman"/>
                <w:color w:val="000000" w:themeColor="text1"/>
                <w:spacing w:val="-2"/>
                <w:w w:val="95"/>
                <w:sz w:val="20"/>
              </w:rPr>
              <w:t>wą systemu gwarancji depozytów</w:t>
            </w:r>
            <w:r w:rsidR="004D7F8C">
              <w:rPr>
                <w:rFonts w:ascii="Times New Roman" w:hAnsi="Times New Roman"/>
                <w:color w:val="000000" w:themeColor="text1"/>
                <w:spacing w:val="-2"/>
                <w:w w:val="95"/>
                <w:sz w:val="20"/>
              </w:rPr>
              <w:t xml:space="preserve"> w wie</w:t>
            </w:r>
            <w:r>
              <w:rPr>
                <w:rFonts w:ascii="Times New Roman" w:hAnsi="Times New Roman"/>
                <w:color w:val="000000" w:themeColor="text1"/>
                <w:spacing w:val="-2"/>
                <w:w w:val="95"/>
                <w:sz w:val="20"/>
              </w:rPr>
              <w:t>rszu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Dodatkowa ochrona</w:t>
            </w:r>
            <w:r w:rsidR="004D7F8C">
              <w:rPr>
                <w:rFonts w:ascii="Times New Roman" w:hAnsi="Times New Roman"/>
                <w:b/>
                <w:color w:val="000000" w:themeColor="text1"/>
                <w:sz w:val="20"/>
              </w:rPr>
              <w:t xml:space="preserve"> w ram</w:t>
            </w:r>
            <w:r>
              <w:rPr>
                <w:rFonts w:ascii="Times New Roman" w:hAnsi="Times New Roman"/>
                <w:b/>
                <w:color w:val="000000" w:themeColor="text1"/>
                <w:sz w:val="20"/>
              </w:rPr>
              <w:t>ach systemu umownego</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1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dyrektywy 2014/49/UE</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Kwota depozytów podmiotu zabezpieczonych</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systemu umownego.</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062588"/>
      <w:r>
        <w:rPr>
          <w:rFonts w:ascii="Times New Roman" w:hAnsi="Times New Roman"/>
        </w:rPr>
        <w:t>Funkcje krytyczne</w:t>
      </w:r>
      <w:r w:rsidR="004D7F8C">
        <w:rPr>
          <w:rFonts w:ascii="Times New Roman" w:hAnsi="Times New Roman"/>
        </w:rPr>
        <w:t xml:space="preserve"> i głó</w:t>
      </w:r>
      <w:r>
        <w:rPr>
          <w:rFonts w:ascii="Times New Roman" w:hAnsi="Times New Roman"/>
        </w:rPr>
        <w:t>wne linie biznesowe</w:t>
      </w:r>
      <w:bookmarkEnd w:id="35"/>
      <w:bookmarkEnd w:id="36"/>
      <w:bookmarkEnd w:id="37"/>
    </w:p>
    <w:p w:rsidR="00AA4026" w:rsidRPr="00D92B3C" w:rsidRDefault="00AA4026" w:rsidP="00715DAB">
      <w:pPr>
        <w:pStyle w:val="Instructionsberschrift3"/>
      </w:pPr>
      <w:r>
        <w:t>Uwagi ogólne</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Cztery szablony znajdujące się</w:t>
      </w:r>
      <w:r w:rsidR="004D7F8C">
        <w:rPr>
          <w:rFonts w:ascii="Times New Roman" w:hAnsi="Times New Roman"/>
          <w:sz w:val="20"/>
        </w:rPr>
        <w:t xml:space="preserve"> w nin</w:t>
      </w:r>
      <w:r>
        <w:rPr>
          <w:rFonts w:ascii="Times New Roman" w:hAnsi="Times New Roman"/>
          <w:sz w:val="20"/>
        </w:rPr>
        <w:t>iejszej sekcji zawierają kluczowe dane</w:t>
      </w:r>
      <w:r w:rsidR="004D7F8C">
        <w:rPr>
          <w:rFonts w:ascii="Times New Roman" w:hAnsi="Times New Roman"/>
          <w:sz w:val="20"/>
        </w:rPr>
        <w:t xml:space="preserve"> i oce</w:t>
      </w:r>
      <w:r>
        <w:rPr>
          <w:rFonts w:ascii="Times New Roman" w:hAnsi="Times New Roman"/>
          <w:sz w:val="20"/>
        </w:rPr>
        <w:t>nę jakościową wpływu, substytucyjności</w:t>
      </w:r>
      <w:r w:rsidR="004D7F8C">
        <w:rPr>
          <w:rFonts w:ascii="Times New Roman" w:hAnsi="Times New Roman"/>
          <w:sz w:val="20"/>
        </w:rPr>
        <w:t xml:space="preserve"> i kry</w:t>
      </w:r>
      <w:r>
        <w:rPr>
          <w:rFonts w:ascii="Times New Roman" w:hAnsi="Times New Roman"/>
          <w:sz w:val="20"/>
        </w:rPr>
        <w:t>tyczności zapewnianych przez grupę funkcji gospodarczych, uzupełnione przyporządkowaniem tych funkcji krytycznych do głównych linii biznesowych</w:t>
      </w:r>
      <w:r w:rsidR="004D7F8C">
        <w:rPr>
          <w:rFonts w:ascii="Times New Roman" w:hAnsi="Times New Roman"/>
          <w:sz w:val="20"/>
        </w:rPr>
        <w:t xml:space="preserve"> i pod</w:t>
      </w:r>
      <w:r>
        <w:rPr>
          <w:rFonts w:ascii="Times New Roman" w:hAnsi="Times New Roman"/>
          <w:sz w:val="20"/>
        </w:rPr>
        <w:t>miotów prawnych.</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bardziej szczegółowym ujęciu szablony są dedykowane następującym tematom:</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szablon Z 07.01 – Ocena krytyczności funkcji gospodarczych (FUNC 1),</w:t>
      </w:r>
      <w:r w:rsidR="004D7F8C">
        <w:rPr>
          <w:rFonts w:ascii="Times New Roman" w:hAnsi="Times New Roman"/>
          <w:sz w:val="20"/>
        </w:rPr>
        <w:t xml:space="preserve"> w któ</w:t>
      </w:r>
      <w:r>
        <w:rPr>
          <w:rFonts w:ascii="Times New Roman" w:hAnsi="Times New Roman"/>
          <w:sz w:val="20"/>
        </w:rPr>
        <w:t>rym określa się,</w:t>
      </w:r>
      <w:r w:rsidR="004D7F8C">
        <w:rPr>
          <w:rFonts w:ascii="Times New Roman" w:hAnsi="Times New Roman"/>
          <w:sz w:val="20"/>
        </w:rPr>
        <w:t xml:space="preserve"> w opa</w:t>
      </w:r>
      <w:r>
        <w:rPr>
          <w:rFonts w:ascii="Times New Roman" w:hAnsi="Times New Roman"/>
          <w:sz w:val="20"/>
        </w:rPr>
        <w:t>rciu</w:t>
      </w:r>
      <w:r w:rsidR="004D7F8C">
        <w:rPr>
          <w:rFonts w:ascii="Times New Roman" w:hAnsi="Times New Roman"/>
          <w:sz w:val="20"/>
        </w:rPr>
        <w:t xml:space="preserve"> o wsk</w:t>
      </w:r>
      <w:r>
        <w:rPr>
          <w:rFonts w:ascii="Times New Roman" w:hAnsi="Times New Roman"/>
          <w:sz w:val="20"/>
        </w:rPr>
        <w:t>aźniki ilościowe</w:t>
      </w:r>
      <w:r w:rsidR="004D7F8C">
        <w:rPr>
          <w:rFonts w:ascii="Times New Roman" w:hAnsi="Times New Roman"/>
          <w:sz w:val="20"/>
        </w:rPr>
        <w:t xml:space="preserve"> i jak</w:t>
      </w:r>
      <w:r>
        <w:rPr>
          <w:rFonts w:ascii="Times New Roman" w:hAnsi="Times New Roman"/>
          <w:sz w:val="20"/>
        </w:rPr>
        <w:t>ościowe, funkcje krytyczne</w:t>
      </w:r>
      <w:r w:rsidR="004D7F8C">
        <w:rPr>
          <w:rFonts w:ascii="Times New Roman" w:hAnsi="Times New Roman"/>
          <w:sz w:val="20"/>
        </w:rPr>
        <w:t xml:space="preserve"> i inn</w:t>
      </w:r>
      <w:r>
        <w:rPr>
          <w:rFonts w:ascii="Times New Roman" w:hAnsi="Times New Roman"/>
          <w:sz w:val="20"/>
        </w:rPr>
        <w:t>e niż krytyczne pełnione przez grupę</w:t>
      </w:r>
      <w:r w:rsidR="004D7F8C">
        <w:rPr>
          <w:rFonts w:ascii="Times New Roman" w:hAnsi="Times New Roman"/>
          <w:sz w:val="20"/>
        </w:rPr>
        <w:t xml:space="preserve"> w odn</w:t>
      </w:r>
      <w:r>
        <w:rPr>
          <w:rFonts w:ascii="Times New Roman" w:hAnsi="Times New Roman"/>
          <w:sz w:val="20"/>
        </w:rPr>
        <w:t>iesieniu do każdego państwa członkowskiego,</w:t>
      </w:r>
      <w:r w:rsidR="004D7F8C">
        <w:rPr>
          <w:rFonts w:ascii="Times New Roman" w:hAnsi="Times New Roman"/>
          <w:sz w:val="20"/>
        </w:rPr>
        <w:t xml:space="preserve"> w któ</w:t>
      </w:r>
      <w:r>
        <w:rPr>
          <w:rFonts w:ascii="Times New Roman" w:hAnsi="Times New Roman"/>
          <w:sz w:val="20"/>
        </w:rPr>
        <w:t>rym grupa prowadzi działania;</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szablon Z 07.02 – Schemat przyporządkowania funkcji krytycznych do podmiotów prawnych (FUNC 2),</w:t>
      </w:r>
      <w:r w:rsidR="004D7F8C">
        <w:rPr>
          <w:rFonts w:ascii="Times New Roman" w:hAnsi="Times New Roman"/>
          <w:sz w:val="20"/>
        </w:rPr>
        <w:t xml:space="preserve"> w któ</w:t>
      </w:r>
      <w:r>
        <w:rPr>
          <w:rFonts w:ascii="Times New Roman" w:hAnsi="Times New Roman"/>
          <w:sz w:val="20"/>
        </w:rPr>
        <w:t>rym przyporządkowuje się zidentyfikowane funkcje krytyczne do podmiotów prawnych</w:t>
      </w:r>
      <w:r w:rsidR="004D7F8C">
        <w:rPr>
          <w:rFonts w:ascii="Times New Roman" w:hAnsi="Times New Roman"/>
          <w:sz w:val="20"/>
        </w:rPr>
        <w:t xml:space="preserve"> i oce</w:t>
      </w:r>
      <w:r>
        <w:rPr>
          <w:rFonts w:ascii="Times New Roman" w:hAnsi="Times New Roman"/>
          <w:sz w:val="20"/>
        </w:rPr>
        <w:t>nia się, czy każdy podmiot prawny uznawany jest za istotny</w:t>
      </w:r>
      <w:r w:rsidR="004D7F8C">
        <w:rPr>
          <w:rFonts w:ascii="Times New Roman" w:hAnsi="Times New Roman"/>
          <w:sz w:val="20"/>
        </w:rPr>
        <w:t xml:space="preserve"> w peł</w:t>
      </w:r>
      <w:r>
        <w:rPr>
          <w:rFonts w:ascii="Times New Roman" w:hAnsi="Times New Roman"/>
          <w:sz w:val="20"/>
        </w:rPr>
        <w:t>nieniu funkcji krytycznej;</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szablon Z 07.03 – Schemat przyporządkowania głównych linii biznesowych do podmiotów prawnych (FUNC 3),</w:t>
      </w:r>
      <w:r w:rsidR="004D7F8C">
        <w:rPr>
          <w:rFonts w:ascii="Times New Roman" w:hAnsi="Times New Roman"/>
          <w:sz w:val="20"/>
        </w:rPr>
        <w:t xml:space="preserve"> w któ</w:t>
      </w:r>
      <w:r>
        <w:rPr>
          <w:rFonts w:ascii="Times New Roman" w:hAnsi="Times New Roman"/>
          <w:sz w:val="20"/>
        </w:rPr>
        <w:t>rym podaje się pełną listę głównych linii biznesowych</w:t>
      </w:r>
      <w:r w:rsidR="004D7F8C">
        <w:rPr>
          <w:rFonts w:ascii="Times New Roman" w:hAnsi="Times New Roman"/>
          <w:sz w:val="20"/>
        </w:rPr>
        <w:t xml:space="preserve"> i prz</w:t>
      </w:r>
      <w:r>
        <w:rPr>
          <w:rFonts w:ascii="Times New Roman" w:hAnsi="Times New Roman"/>
          <w:sz w:val="20"/>
        </w:rPr>
        <w:t>yporządkowuje się je do podmiotów prawnych;</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szablon Z 07.04 – Schemat przyporządkowania funkcji krytycznych do głównych linii biznesowych (FUNC 4),</w:t>
      </w:r>
      <w:r w:rsidR="004D7F8C">
        <w:rPr>
          <w:rFonts w:ascii="Times New Roman" w:hAnsi="Times New Roman"/>
          <w:sz w:val="20"/>
        </w:rPr>
        <w:t xml:space="preserve"> w któ</w:t>
      </w:r>
      <w:r>
        <w:rPr>
          <w:rFonts w:ascii="Times New Roman" w:hAnsi="Times New Roman"/>
          <w:sz w:val="20"/>
        </w:rPr>
        <w:t>rym przyporządkowuje się zidentyfikowane funkcje krytyczne do linii biznesowych.</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Zgodnie</w:t>
      </w:r>
      <w:r w:rsidR="004D7F8C">
        <w:rPr>
          <w:rFonts w:ascii="Times New Roman" w:hAnsi="Times New Roman"/>
          <w:sz w:val="20"/>
        </w:rPr>
        <w:t xml:space="preserve"> z </w:t>
      </w:r>
      <w:r w:rsidR="004D7F8C" w:rsidRPr="004D7F8C">
        <w:rPr>
          <w:rFonts w:ascii="Times New Roman" w:hAnsi="Times New Roman"/>
          <w:sz w:val="20"/>
        </w:rPr>
        <w:t>art</w:t>
      </w:r>
      <w:r w:rsidRPr="004D7F8C">
        <w:rPr>
          <w:rFonts w:ascii="Times New Roman" w:hAnsi="Times New Roman"/>
          <w:sz w:val="20"/>
        </w:rPr>
        <w:t>.</w:t>
      </w:r>
      <w:r w:rsidR="004D7F8C" w:rsidRPr="004D7F8C">
        <w:rPr>
          <w:rFonts w:ascii="Times New Roman" w:hAnsi="Times New Roman"/>
          <w:sz w:val="20"/>
        </w:rPr>
        <w:t> </w:t>
      </w:r>
      <w:r w:rsidRPr="004D7F8C">
        <w:rPr>
          <w:rFonts w:ascii="Times New Roman" w:hAnsi="Times New Roman"/>
          <w:sz w:val="20"/>
        </w:rPr>
        <w:t>2</w:t>
      </w:r>
      <w:r>
        <w:rPr>
          <w:rFonts w:ascii="Times New Roman" w:hAnsi="Times New Roman"/>
          <w:sz w:val="20"/>
        </w:rPr>
        <w:t xml:space="preserve"> </w:t>
      </w:r>
      <w:r w:rsidRPr="004D7F8C">
        <w:rPr>
          <w:rFonts w:ascii="Times New Roman" w:hAnsi="Times New Roman"/>
          <w:sz w:val="20"/>
        </w:rPr>
        <w:t>ust.</w:t>
      </w:r>
      <w:r w:rsidR="004D7F8C" w:rsidRPr="004D7F8C">
        <w:rPr>
          <w:rFonts w:ascii="Times New Roman" w:hAnsi="Times New Roman"/>
          <w:sz w:val="20"/>
        </w:rPr>
        <w:t> </w:t>
      </w:r>
      <w:r w:rsidRPr="004D7F8C">
        <w:rPr>
          <w:rFonts w:ascii="Times New Roman" w:hAnsi="Times New Roman"/>
          <w:sz w:val="20"/>
        </w:rPr>
        <w:t>1</w:t>
      </w:r>
      <w:r>
        <w:rPr>
          <w:rFonts w:ascii="Times New Roman" w:hAnsi="Times New Roman"/>
          <w:sz w:val="20"/>
        </w:rPr>
        <w:t xml:space="preserve"> </w:t>
      </w:r>
      <w:r w:rsidRPr="004D7F8C">
        <w:rPr>
          <w:rFonts w:ascii="Times New Roman" w:hAnsi="Times New Roman"/>
          <w:sz w:val="20"/>
        </w:rPr>
        <w:t>pkt</w:t>
      </w:r>
      <w:r w:rsidR="004D7F8C" w:rsidRPr="004D7F8C">
        <w:rPr>
          <w:rFonts w:ascii="Times New Roman" w:hAnsi="Times New Roman"/>
          <w:sz w:val="20"/>
        </w:rPr>
        <w:t> </w:t>
      </w:r>
      <w:r w:rsidRPr="004D7F8C">
        <w:rPr>
          <w:rFonts w:ascii="Times New Roman" w:hAnsi="Times New Roman"/>
          <w:sz w:val="20"/>
        </w:rPr>
        <w:t>3</w:t>
      </w:r>
      <w:r>
        <w:rPr>
          <w:rFonts w:ascii="Times New Roman" w:hAnsi="Times New Roman"/>
          <w:sz w:val="20"/>
        </w:rPr>
        <w:t>5 dyrektywy 2014/59/UE funkcje krytyczne oznaczają działania, usługi lub operacje, których zaprzestanie mogłoby prowadzić</w:t>
      </w:r>
      <w:r w:rsidR="004D7F8C">
        <w:rPr>
          <w:rFonts w:ascii="Times New Roman" w:hAnsi="Times New Roman"/>
          <w:sz w:val="20"/>
        </w:rPr>
        <w:t xml:space="preserve"> w jed</w:t>
      </w:r>
      <w:r>
        <w:rPr>
          <w:rFonts w:ascii="Times New Roman" w:hAnsi="Times New Roman"/>
          <w:sz w:val="20"/>
        </w:rPr>
        <w:t>nym lub większej liczbie państw członkowskich do zaburzeń</w:t>
      </w:r>
      <w:r w:rsidR="004D7F8C">
        <w:rPr>
          <w:rFonts w:ascii="Times New Roman" w:hAnsi="Times New Roman"/>
          <w:sz w:val="20"/>
        </w:rPr>
        <w:t xml:space="preserve"> w usł</w:t>
      </w:r>
      <w:r>
        <w:rPr>
          <w:rFonts w:ascii="Times New Roman" w:hAnsi="Times New Roman"/>
          <w:sz w:val="20"/>
        </w:rPr>
        <w:t>ugach kluczowych dla gospodarki realnej lub mogłoby zakłócić stabilność finansową ze względu na wielkość instytucji lub grupy lub ich udział</w:t>
      </w:r>
      <w:r w:rsidR="004D7F8C">
        <w:rPr>
          <w:rFonts w:ascii="Times New Roman" w:hAnsi="Times New Roman"/>
          <w:sz w:val="20"/>
        </w:rPr>
        <w:t xml:space="preserve"> w ryn</w:t>
      </w:r>
      <w:r>
        <w:rPr>
          <w:rFonts w:ascii="Times New Roman" w:hAnsi="Times New Roman"/>
          <w:sz w:val="20"/>
        </w:rPr>
        <w:t>ku, wzajemne powiązania zewnętrzne</w:t>
      </w:r>
      <w:r w:rsidR="004D7F8C">
        <w:rPr>
          <w:rFonts w:ascii="Times New Roman" w:hAnsi="Times New Roman"/>
          <w:sz w:val="20"/>
        </w:rPr>
        <w:t xml:space="preserve"> i wew</w:t>
      </w:r>
      <w:r>
        <w:rPr>
          <w:rFonts w:ascii="Times New Roman" w:hAnsi="Times New Roman"/>
          <w:sz w:val="20"/>
        </w:rPr>
        <w:t xml:space="preserve">nętrzne, złożoność lub działalność transgraniczną, zwłaszcza uwzględniając substytucyjność tych działań, usług lub operacji.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Zgodnie</w:t>
      </w:r>
      <w:r w:rsidR="004D7F8C">
        <w:rPr>
          <w:rFonts w:ascii="Times New Roman" w:hAnsi="Times New Roman"/>
          <w:sz w:val="20"/>
        </w:rPr>
        <w:t xml:space="preserve"> z </w:t>
      </w:r>
      <w:r w:rsidR="004D7F8C" w:rsidRPr="004D7F8C">
        <w:rPr>
          <w:rFonts w:ascii="Times New Roman" w:hAnsi="Times New Roman"/>
          <w:sz w:val="20"/>
        </w:rPr>
        <w:t>art</w:t>
      </w:r>
      <w:r w:rsidRPr="004D7F8C">
        <w:rPr>
          <w:rFonts w:ascii="Times New Roman" w:hAnsi="Times New Roman"/>
          <w:sz w:val="20"/>
        </w:rPr>
        <w:t>.</w:t>
      </w:r>
      <w:r w:rsidR="004D7F8C" w:rsidRPr="004D7F8C">
        <w:rPr>
          <w:rFonts w:ascii="Times New Roman" w:hAnsi="Times New Roman"/>
          <w:sz w:val="20"/>
        </w:rPr>
        <w:t> </w:t>
      </w:r>
      <w:r w:rsidRPr="004D7F8C">
        <w:rPr>
          <w:rFonts w:ascii="Times New Roman" w:hAnsi="Times New Roman"/>
          <w:sz w:val="20"/>
        </w:rPr>
        <w:t>6</w:t>
      </w:r>
      <w:r>
        <w:rPr>
          <w:rFonts w:ascii="Times New Roman" w:hAnsi="Times New Roman"/>
          <w:sz w:val="20"/>
        </w:rPr>
        <w:t xml:space="preserve"> </w:t>
      </w:r>
      <w:r w:rsidRPr="004D7F8C">
        <w:rPr>
          <w:rFonts w:ascii="Times New Roman" w:hAnsi="Times New Roman"/>
          <w:sz w:val="20"/>
        </w:rPr>
        <w:t>ust.</w:t>
      </w:r>
      <w:r w:rsidR="004D7F8C" w:rsidRPr="004D7F8C">
        <w:rPr>
          <w:rFonts w:ascii="Times New Roman" w:hAnsi="Times New Roman"/>
          <w:sz w:val="20"/>
        </w:rPr>
        <w:t> </w:t>
      </w:r>
      <w:r w:rsidRPr="004D7F8C">
        <w:rPr>
          <w:rFonts w:ascii="Times New Roman" w:hAnsi="Times New Roman"/>
          <w:sz w:val="20"/>
        </w:rPr>
        <w:t>1</w:t>
      </w:r>
      <w:r>
        <w:rPr>
          <w:rFonts w:ascii="Times New Roman" w:hAnsi="Times New Roman"/>
          <w:sz w:val="20"/>
        </w:rPr>
        <w:t xml:space="preserve"> rozporządzenia Komisji (UE) 2016/778</w:t>
      </w:r>
      <w:r>
        <w:rPr>
          <w:rFonts w:ascii="Times New Roman" w:hAnsi="Times New Roman"/>
          <w:vertAlign w:val="superscript"/>
        </w:rPr>
        <w:footnoteReference w:id="16"/>
      </w:r>
      <w:r>
        <w:rPr>
          <w:rFonts w:ascii="Times New Roman" w:hAnsi="Times New Roman"/>
          <w:sz w:val="20"/>
        </w:rPr>
        <w:t xml:space="preserve"> funkcję uznaje się za krytyczną, jeżeli spełnia oba</w:t>
      </w:r>
      <w:r w:rsidR="004D7F8C">
        <w:rPr>
          <w:rFonts w:ascii="Times New Roman" w:hAnsi="Times New Roman"/>
          <w:sz w:val="20"/>
        </w:rPr>
        <w:t xml:space="preserve"> z nas</w:t>
      </w:r>
      <w:r>
        <w:rPr>
          <w:rFonts w:ascii="Times New Roman" w:hAnsi="Times New Roman"/>
          <w:sz w:val="20"/>
        </w:rPr>
        <w:t>tępujących kryteriów:</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funkcja ta jest pełniona przez instytucję na rzecz osób trzecich niepowiązanych</w:t>
      </w:r>
      <w:r w:rsidR="004D7F8C">
        <w:rPr>
          <w:rFonts w:ascii="Times New Roman" w:hAnsi="Times New Roman"/>
          <w:color w:val="000000" w:themeColor="text1"/>
          <w:sz w:val="20"/>
        </w:rPr>
        <w:t xml:space="preserve"> z ins</w:t>
      </w:r>
      <w:r>
        <w:rPr>
          <w:rFonts w:ascii="Times New Roman" w:hAnsi="Times New Roman"/>
          <w:color w:val="000000" w:themeColor="text1"/>
          <w:sz w:val="20"/>
        </w:rPr>
        <w:t>tytucją ani grupą; oraz</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nagłe zaburzenie prawdopodobnie wywarłoby istotny negatywny wpływ na osoby trzecie, zapoczątkowałoby efekt domina lub podważyłoby ogólne zaufanie uczestników rynku</w:t>
      </w:r>
      <w:r w:rsidR="004D7F8C">
        <w:rPr>
          <w:rFonts w:ascii="Times New Roman" w:hAnsi="Times New Roman"/>
          <w:color w:val="000000" w:themeColor="text1"/>
          <w:sz w:val="20"/>
        </w:rPr>
        <w:t xml:space="preserve"> z pow</w:t>
      </w:r>
      <w:r>
        <w:rPr>
          <w:rFonts w:ascii="Times New Roman" w:hAnsi="Times New Roman"/>
          <w:color w:val="000000" w:themeColor="text1"/>
          <w:sz w:val="20"/>
        </w:rPr>
        <w:t>odu znaczenia systemowego tej funkcji dla osób trzecich oraz znaczenia systemowego danej instytucji lub grupy</w:t>
      </w:r>
      <w:r w:rsidR="004D7F8C">
        <w:rPr>
          <w:rFonts w:ascii="Times New Roman" w:hAnsi="Times New Roman"/>
          <w:color w:val="000000" w:themeColor="text1"/>
          <w:sz w:val="20"/>
        </w:rPr>
        <w:t xml:space="preserve"> w peł</w:t>
      </w:r>
      <w:r>
        <w:rPr>
          <w:rFonts w:ascii="Times New Roman" w:hAnsi="Times New Roman"/>
          <w:color w:val="000000" w:themeColor="text1"/>
          <w:sz w:val="20"/>
        </w:rPr>
        <w:t>nieniu tej funkcji.</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Zgodnie</w:t>
      </w:r>
      <w:r w:rsidR="004D7F8C">
        <w:rPr>
          <w:rFonts w:ascii="Times New Roman" w:hAnsi="Times New Roman"/>
          <w:sz w:val="20"/>
        </w:rPr>
        <w:t xml:space="preserve"> z </w:t>
      </w:r>
      <w:r w:rsidR="004D7F8C" w:rsidRPr="004D7F8C">
        <w:rPr>
          <w:rFonts w:ascii="Times New Roman" w:hAnsi="Times New Roman"/>
          <w:sz w:val="20"/>
        </w:rPr>
        <w:t>art</w:t>
      </w:r>
      <w:r w:rsidRPr="004D7F8C">
        <w:rPr>
          <w:rFonts w:ascii="Times New Roman" w:hAnsi="Times New Roman"/>
          <w:sz w:val="20"/>
        </w:rPr>
        <w:t>.</w:t>
      </w:r>
      <w:r w:rsidR="004D7F8C" w:rsidRPr="004D7F8C">
        <w:rPr>
          <w:rFonts w:ascii="Times New Roman" w:hAnsi="Times New Roman"/>
          <w:sz w:val="20"/>
        </w:rPr>
        <w:t> </w:t>
      </w:r>
      <w:r w:rsidRPr="004D7F8C">
        <w:rPr>
          <w:rFonts w:ascii="Times New Roman" w:hAnsi="Times New Roman"/>
          <w:sz w:val="20"/>
        </w:rPr>
        <w:t>2</w:t>
      </w:r>
      <w:r>
        <w:rPr>
          <w:rFonts w:ascii="Times New Roman" w:hAnsi="Times New Roman"/>
          <w:sz w:val="20"/>
        </w:rPr>
        <w:t xml:space="preserve"> </w:t>
      </w:r>
      <w:r w:rsidRPr="004D7F8C">
        <w:rPr>
          <w:rFonts w:ascii="Times New Roman" w:hAnsi="Times New Roman"/>
          <w:sz w:val="20"/>
        </w:rPr>
        <w:t>ust.</w:t>
      </w:r>
      <w:r w:rsidR="004D7F8C" w:rsidRPr="004D7F8C">
        <w:rPr>
          <w:rFonts w:ascii="Times New Roman" w:hAnsi="Times New Roman"/>
          <w:sz w:val="20"/>
        </w:rPr>
        <w:t> </w:t>
      </w:r>
      <w:r w:rsidRPr="004D7F8C">
        <w:rPr>
          <w:rFonts w:ascii="Times New Roman" w:hAnsi="Times New Roman"/>
          <w:sz w:val="20"/>
        </w:rPr>
        <w:t>1</w:t>
      </w:r>
      <w:r>
        <w:rPr>
          <w:rFonts w:ascii="Times New Roman" w:hAnsi="Times New Roman"/>
          <w:sz w:val="20"/>
        </w:rPr>
        <w:t xml:space="preserve"> </w:t>
      </w:r>
      <w:r w:rsidRPr="004D7F8C">
        <w:rPr>
          <w:rFonts w:ascii="Times New Roman" w:hAnsi="Times New Roman"/>
          <w:sz w:val="20"/>
        </w:rPr>
        <w:t>pkt</w:t>
      </w:r>
      <w:r w:rsidR="004D7F8C" w:rsidRPr="004D7F8C">
        <w:rPr>
          <w:rFonts w:ascii="Times New Roman" w:hAnsi="Times New Roman"/>
          <w:sz w:val="20"/>
        </w:rPr>
        <w:t> </w:t>
      </w:r>
      <w:r w:rsidRPr="004D7F8C">
        <w:rPr>
          <w:rFonts w:ascii="Times New Roman" w:hAnsi="Times New Roman"/>
          <w:sz w:val="20"/>
        </w:rPr>
        <w:t>3</w:t>
      </w:r>
      <w:r>
        <w:rPr>
          <w:rFonts w:ascii="Times New Roman" w:hAnsi="Times New Roman"/>
          <w:sz w:val="20"/>
        </w:rPr>
        <w:t>6 dyrektywy 2014/59/UE „główne linie biznesowe” oznaczają linie biznesowe wraz</w:t>
      </w:r>
      <w:r w:rsidR="004D7F8C">
        <w:rPr>
          <w:rFonts w:ascii="Times New Roman" w:hAnsi="Times New Roman"/>
          <w:sz w:val="20"/>
        </w:rPr>
        <w:t xml:space="preserve"> z pow</w:t>
      </w:r>
      <w:r>
        <w:rPr>
          <w:rFonts w:ascii="Times New Roman" w:hAnsi="Times New Roman"/>
          <w:sz w:val="20"/>
        </w:rPr>
        <w:t>iązanymi usługami, które stanowią dla instytucji lub grupy,</w:t>
      </w:r>
      <w:r w:rsidR="004D7F8C">
        <w:rPr>
          <w:rFonts w:ascii="Times New Roman" w:hAnsi="Times New Roman"/>
          <w:sz w:val="20"/>
        </w:rPr>
        <w:t xml:space="preserve"> w któ</w:t>
      </w:r>
      <w:r>
        <w:rPr>
          <w:rFonts w:ascii="Times New Roman" w:hAnsi="Times New Roman"/>
          <w:sz w:val="20"/>
        </w:rPr>
        <w:t>rej skład wchodzi instytucja, istotne źródła przychodów, zysku lub wartości koncesji.</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Do celów niniejszego szablonu funkcje gospodarcze odnoszą się do funkcji ujętych</w:t>
      </w:r>
      <w:r w:rsidR="004D7F8C">
        <w:rPr>
          <w:rFonts w:ascii="Times New Roman" w:hAnsi="Times New Roman"/>
          <w:sz w:val="20"/>
        </w:rPr>
        <w:t xml:space="preserve"> w tab</w:t>
      </w:r>
      <w:r>
        <w:rPr>
          <w:rFonts w:ascii="Times New Roman" w:hAnsi="Times New Roman"/>
          <w:sz w:val="20"/>
        </w:rPr>
        <w:t>eli poniżej.</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odniesieniu do każdej kategorii funkcji gospodarczych można wybrać „inną” funkcję gospodarczą, jeżeli pozostałe określone funkcje jej nie obejmują.</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Kontrahentów,</w:t>
      </w:r>
      <w:r w:rsidR="004D7F8C">
        <w:rPr>
          <w:rFonts w:ascii="Times New Roman" w:hAnsi="Times New Roman"/>
          <w:sz w:val="20"/>
        </w:rPr>
        <w:t xml:space="preserve"> o któ</w:t>
      </w:r>
      <w:r>
        <w:rPr>
          <w:rFonts w:ascii="Times New Roman" w:hAnsi="Times New Roman"/>
          <w:sz w:val="20"/>
        </w:rPr>
        <w:t>rych mowa</w:t>
      </w:r>
      <w:r w:rsidR="004D7F8C">
        <w:rPr>
          <w:rFonts w:ascii="Times New Roman" w:hAnsi="Times New Roman"/>
          <w:sz w:val="20"/>
        </w:rPr>
        <w:t xml:space="preserve"> w wie</w:t>
      </w:r>
      <w:r>
        <w:rPr>
          <w:rFonts w:ascii="Times New Roman" w:hAnsi="Times New Roman"/>
          <w:sz w:val="20"/>
        </w:rPr>
        <w:t>rszach 0010–0070</w:t>
      </w:r>
      <w:r w:rsidR="004D7F8C">
        <w:rPr>
          <w:rFonts w:ascii="Times New Roman" w:hAnsi="Times New Roman"/>
          <w:sz w:val="20"/>
        </w:rPr>
        <w:t xml:space="preserve"> i w wie</w:t>
      </w:r>
      <w:r>
        <w:rPr>
          <w:rFonts w:ascii="Times New Roman" w:hAnsi="Times New Roman"/>
          <w:sz w:val="20"/>
        </w:rPr>
        <w:t>rszach 0080–0150, definiuje się identycznie, jak</w:t>
      </w:r>
      <w:r w:rsidR="004D7F8C">
        <w:rPr>
          <w:rFonts w:ascii="Times New Roman" w:hAnsi="Times New Roman"/>
          <w:sz w:val="20"/>
        </w:rPr>
        <w:t xml:space="preserve"> w prz</w:t>
      </w:r>
      <w:r>
        <w:rPr>
          <w:rFonts w:ascii="Times New Roman" w:hAnsi="Times New Roman"/>
          <w:sz w:val="20"/>
        </w:rPr>
        <w:t xml:space="preserve">ypadku sektorów kontrahentów określonych w FINREP, załącznik V, część 1, rozdział 6. „MŚP” odnosi się do MŚP zdefiniowanych w FINREP, załącznik V część 1 </w:t>
      </w:r>
      <w:r w:rsidRPr="004D7F8C">
        <w:rPr>
          <w:rFonts w:ascii="Times New Roman" w:hAnsi="Times New Roman"/>
          <w:sz w:val="20"/>
        </w:rPr>
        <w:t>pkt</w:t>
      </w:r>
      <w:r w:rsidR="004D7F8C" w:rsidRPr="004D7F8C">
        <w:rPr>
          <w:rFonts w:ascii="Times New Roman" w:hAnsi="Times New Roman"/>
          <w:sz w:val="20"/>
        </w:rPr>
        <w:t> </w:t>
      </w:r>
      <w:r w:rsidRPr="004D7F8C">
        <w:rPr>
          <w:rFonts w:ascii="Times New Roman" w:hAnsi="Times New Roman"/>
          <w:sz w:val="20"/>
        </w:rPr>
        <w:t>5</w:t>
      </w:r>
      <w:r>
        <w:rPr>
          <w:rFonts w:ascii="Times New Roman" w:hAnsi="Times New Roman"/>
          <w:sz w:val="20"/>
        </w:rPr>
        <w:t xml:space="preserve"> ppkt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Nr identyfikacyjny</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Funkcja gospodarcza</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Depozyty</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Przyjmowanie depozytu odnosi się do akceptacji depozytów od pośredników niefinansowych. Nie obejmuje ono pożyczania od innych pośredników finansowych, które jest ujęte oddzielnie</w:t>
            </w:r>
            <w:r w:rsidR="004D7F8C">
              <w:rPr>
                <w:rFonts w:ascii="Times New Roman" w:hAnsi="Times New Roman"/>
                <w:color w:val="000000" w:themeColor="text1"/>
                <w:spacing w:val="-2"/>
                <w:w w:val="95"/>
                <w:sz w:val="20"/>
              </w:rPr>
              <w:t xml:space="preserve"> w kat</w:t>
            </w:r>
            <w:r>
              <w:rPr>
                <w:rFonts w:ascii="Times New Roman" w:hAnsi="Times New Roman"/>
                <w:color w:val="000000" w:themeColor="text1"/>
                <w:spacing w:val="-2"/>
                <w:w w:val="95"/>
                <w:sz w:val="20"/>
              </w:rPr>
              <w:t xml:space="preserve">egorii „finansowanie na rynku międzybankowym”.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Depozyty obejmują: (i) rachunki bieżące / depozyty bieżące; (ii) lokaty</w:t>
            </w:r>
            <w:r w:rsidR="004D7F8C">
              <w:rPr>
                <w:rFonts w:ascii="Times New Roman" w:hAnsi="Times New Roman"/>
                <w:color w:val="000000" w:themeColor="text1"/>
                <w:spacing w:val="-2"/>
                <w:w w:val="95"/>
                <w:sz w:val="20"/>
              </w:rPr>
              <w:t xml:space="preserve"> o ust</w:t>
            </w:r>
            <w:r>
              <w:rPr>
                <w:rFonts w:ascii="Times New Roman" w:hAnsi="Times New Roman"/>
                <w:color w:val="000000" w:themeColor="text1"/>
                <w:spacing w:val="-2"/>
                <w:w w:val="95"/>
                <w:sz w:val="20"/>
              </w:rPr>
              <w:t>alonym terminie zapadalności; oraz (iii) depozyty zwrotne za wypowiedzeniem,</w:t>
            </w:r>
            <w:r w:rsidR="004D7F8C">
              <w:rPr>
                <w:rFonts w:ascii="Times New Roman" w:hAnsi="Times New Roman"/>
                <w:color w:val="000000" w:themeColor="text1"/>
                <w:spacing w:val="-2"/>
                <w:w w:val="95"/>
                <w:sz w:val="20"/>
              </w:rPr>
              <w:t xml:space="preserve"> a nie</w:t>
            </w:r>
            <w:r>
              <w:rPr>
                <w:rFonts w:ascii="Times New Roman" w:hAnsi="Times New Roman"/>
                <w:color w:val="000000" w:themeColor="text1"/>
                <w:spacing w:val="-2"/>
                <w:w w:val="95"/>
                <w:sz w:val="20"/>
              </w:rPr>
              <w:t xml:space="preserve"> obejmują umów</w:t>
            </w:r>
            <w:r w:rsidR="004D7F8C">
              <w:rPr>
                <w:rFonts w:ascii="Times New Roman" w:hAnsi="Times New Roman"/>
                <w:color w:val="000000" w:themeColor="text1"/>
                <w:spacing w:val="-2"/>
                <w:w w:val="95"/>
                <w:sz w:val="20"/>
              </w:rPr>
              <w:t xml:space="preserve"> z udz</w:t>
            </w:r>
            <w:r>
              <w:rPr>
                <w:rFonts w:ascii="Times New Roman" w:hAnsi="Times New Roman"/>
                <w:color w:val="000000" w:themeColor="text1"/>
                <w:spacing w:val="-2"/>
                <w:w w:val="95"/>
                <w:sz w:val="20"/>
              </w:rPr>
              <w:t>ielonym przyrzeczeniem odkupu.</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Odniesienia: Wytyczne Rady Stabilności Finansowej</w:t>
            </w:r>
            <w:r w:rsidR="004D7F8C">
              <w:rPr>
                <w:rFonts w:ascii="Times New Roman" w:hAnsi="Times New Roman"/>
                <w:color w:val="000000" w:themeColor="text1"/>
                <w:spacing w:val="-2"/>
                <w:w w:val="95"/>
                <w:sz w:val="20"/>
              </w:rPr>
              <w:t xml:space="preserve"> w spr</w:t>
            </w:r>
            <w:r>
              <w:rPr>
                <w:rFonts w:ascii="Times New Roman" w:hAnsi="Times New Roman"/>
                <w:color w:val="000000" w:themeColor="text1"/>
                <w:spacing w:val="-2"/>
                <w:w w:val="95"/>
                <w:sz w:val="20"/>
              </w:rPr>
              <w:t>awie funkcji krytycznych</w:t>
            </w:r>
            <w:r w:rsidR="004D7F8C">
              <w:rPr>
                <w:rFonts w:ascii="Times New Roman" w:hAnsi="Times New Roman"/>
                <w:color w:val="000000" w:themeColor="text1"/>
                <w:spacing w:val="-2"/>
                <w:w w:val="95"/>
                <w:sz w:val="20"/>
              </w:rPr>
              <w:t xml:space="preserve"> i usł</w:t>
            </w:r>
            <w:r>
              <w:rPr>
                <w:rFonts w:ascii="Times New Roman" w:hAnsi="Times New Roman"/>
                <w:color w:val="000000" w:themeColor="text1"/>
                <w:spacing w:val="-2"/>
                <w:w w:val="95"/>
                <w:sz w:val="20"/>
              </w:rPr>
              <w:t>ug dzielonych</w:t>
            </w:r>
            <w:r w:rsidR="004D7F8C">
              <w:rPr>
                <w:rFonts w:ascii="Times New Roman" w:hAnsi="Times New Roman"/>
                <w:color w:val="000000" w:themeColor="text1"/>
                <w:spacing w:val="-2"/>
                <w:w w:val="95"/>
                <w:sz w:val="20"/>
              </w:rPr>
              <w:t xml:space="preserve"> o kry</w:t>
            </w:r>
            <w:r>
              <w:rPr>
                <w:rFonts w:ascii="Times New Roman" w:hAnsi="Times New Roman"/>
                <w:color w:val="000000" w:themeColor="text1"/>
                <w:spacing w:val="-2"/>
                <w:w w:val="95"/>
                <w:sz w:val="20"/>
              </w:rPr>
              <w:t xml:space="preserve">tycznym znaczeniu (ang. </w:t>
            </w:r>
            <w:r>
              <w:rPr>
                <w:rFonts w:ascii="Times New Roman" w:hAnsi="Times New Roman"/>
                <w:i/>
                <w:color w:val="000000" w:themeColor="text1"/>
                <w:spacing w:val="-2"/>
                <w:w w:val="95"/>
                <w:sz w:val="20"/>
              </w:rPr>
              <w:t xml:space="preserve">FSB </w:t>
            </w:r>
            <w:proofErr w:type="spellStart"/>
            <w:r>
              <w:rPr>
                <w:rFonts w:ascii="Times New Roman" w:hAnsi="Times New Roman"/>
                <w:i/>
                <w:color w:val="000000" w:themeColor="text1"/>
                <w:spacing w:val="-2"/>
                <w:w w:val="95"/>
                <w:sz w:val="20"/>
              </w:rPr>
              <w:t>Guidance</w:t>
            </w:r>
            <w:proofErr w:type="spellEnd"/>
            <w:r>
              <w:rPr>
                <w:rFonts w:ascii="Times New Roman" w:hAnsi="Times New Roman"/>
                <w:i/>
                <w:color w:val="000000" w:themeColor="text1"/>
                <w:spacing w:val="-2"/>
                <w:w w:val="95"/>
                <w:sz w:val="20"/>
              </w:rPr>
              <w:t xml:space="preserve"> on </w:t>
            </w:r>
            <w:proofErr w:type="spellStart"/>
            <w:r>
              <w:rPr>
                <w:rFonts w:ascii="Times New Roman" w:hAnsi="Times New Roman"/>
                <w:i/>
                <w:color w:val="000000" w:themeColor="text1"/>
                <w:spacing w:val="-2"/>
                <w:w w:val="95"/>
                <w:sz w:val="20"/>
              </w:rPr>
              <w:t>Identification</w:t>
            </w:r>
            <w:proofErr w:type="spellEnd"/>
            <w:r>
              <w:rPr>
                <w:rFonts w:ascii="Times New Roman" w:hAnsi="Times New Roman"/>
                <w:i/>
                <w:color w:val="000000" w:themeColor="text1"/>
                <w:spacing w:val="-2"/>
                <w:w w:val="95"/>
                <w:sz w:val="20"/>
              </w:rPr>
              <w:t xml:space="preserve"> of Critical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and Critical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Services</w:t>
            </w:r>
            <w:r>
              <w:rPr>
                <w:rFonts w:ascii="Times New Roman" w:hAnsi="Times New Roman"/>
                <w:color w:val="000000" w:themeColor="text1"/>
                <w:spacing w:val="-2"/>
                <w:w w:val="95"/>
                <w:sz w:val="20"/>
              </w:rPr>
              <w:t>) (2013), s. 14; część 2 pozycje 9.1, 9.2</w:t>
            </w:r>
            <w:r w:rsidR="004D7F8C">
              <w:rPr>
                <w:rFonts w:ascii="Times New Roman" w:hAnsi="Times New Roman"/>
                <w:color w:val="000000" w:themeColor="text1"/>
                <w:spacing w:val="-2"/>
                <w:w w:val="95"/>
                <w:sz w:val="20"/>
              </w:rPr>
              <w:t xml:space="preserve"> i 9</w:t>
            </w:r>
            <w:r>
              <w:rPr>
                <w:rFonts w:ascii="Times New Roman" w:hAnsi="Times New Roman"/>
                <w:color w:val="000000" w:themeColor="text1"/>
                <w:spacing w:val="-2"/>
                <w:w w:val="95"/>
                <w:sz w:val="20"/>
              </w:rPr>
              <w:t xml:space="preserve">.3 załącznika II do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Gospodarstwa domowe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Przedsiębiorstwa niefinansowe (MŚP)</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Przedsiębiorstwa niefinansowe (inne niż MŚP)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Sektor instytucji rządowych</w:t>
            </w:r>
            <w:r w:rsidR="004D7F8C">
              <w:rPr>
                <w:rFonts w:ascii="Times New Roman" w:hAnsi="Times New Roman"/>
                <w:b/>
                <w:color w:val="000000" w:themeColor="text1"/>
                <w:sz w:val="20"/>
              </w:rPr>
              <w:t xml:space="preserve"> i sam</w:t>
            </w:r>
            <w:r>
              <w:rPr>
                <w:rFonts w:ascii="Times New Roman" w:hAnsi="Times New Roman"/>
                <w:b/>
                <w:color w:val="000000" w:themeColor="text1"/>
                <w:sz w:val="20"/>
              </w:rPr>
              <w:t>orządowych</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Pozostałe sektory / pozostali kontrahenci (1), (2) i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Udzielone kredyty</w:t>
            </w:r>
            <w:r w:rsidR="004D7F8C">
              <w:rPr>
                <w:rFonts w:ascii="Times New Roman" w:hAnsi="Times New Roman"/>
                <w:b/>
                <w:color w:val="000000" w:themeColor="text1"/>
                <w:sz w:val="20"/>
              </w:rPr>
              <w:t xml:space="preserve"> i poż</w:t>
            </w:r>
            <w:r>
              <w:rPr>
                <w:rFonts w:ascii="Times New Roman" w:hAnsi="Times New Roman"/>
                <w:b/>
                <w:color w:val="000000" w:themeColor="text1"/>
                <w:sz w:val="20"/>
              </w:rPr>
              <w:t>yczki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Udzielone 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 odnoszą się do zapewniania funduszy kontrahentom niefinansowym, takim jak klienci korporacyjni lub detaliczni. Udzielanie kredytów</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yczek kontrahentom finansowym stanowi odrębną działalność</w:t>
            </w:r>
            <w:r w:rsidR="004D7F8C">
              <w:rPr>
                <w:rFonts w:ascii="Times New Roman" w:hAnsi="Times New Roman"/>
                <w:color w:val="000000" w:themeColor="text1"/>
                <w:spacing w:val="-2"/>
                <w:w w:val="95"/>
                <w:sz w:val="20"/>
              </w:rPr>
              <w:t xml:space="preserve"> i pod</w:t>
            </w:r>
            <w:r>
              <w:rPr>
                <w:rFonts w:ascii="Times New Roman" w:hAnsi="Times New Roman"/>
                <w:color w:val="000000" w:themeColor="text1"/>
                <w:spacing w:val="-2"/>
                <w:w w:val="95"/>
                <w:sz w:val="20"/>
              </w:rPr>
              <w:t>lega ocenie</w:t>
            </w:r>
            <w:r w:rsidR="004D7F8C">
              <w:rPr>
                <w:rFonts w:ascii="Times New Roman" w:hAnsi="Times New Roman"/>
                <w:color w:val="000000" w:themeColor="text1"/>
                <w:spacing w:val="-2"/>
                <w:w w:val="95"/>
                <w:sz w:val="20"/>
              </w:rPr>
              <w:t xml:space="preserve"> w kat</w:t>
            </w:r>
            <w:r>
              <w:rPr>
                <w:rFonts w:ascii="Times New Roman" w:hAnsi="Times New Roman"/>
                <w:color w:val="000000" w:themeColor="text1"/>
                <w:spacing w:val="-2"/>
                <w:w w:val="95"/>
                <w:sz w:val="20"/>
              </w:rPr>
              <w:t>egorii „finansowanie na rynku międzybankowym”. 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 obejmują instrumenty dłużne będące</w:t>
            </w:r>
            <w:r w:rsidR="004D7F8C">
              <w:rPr>
                <w:rFonts w:ascii="Times New Roman" w:hAnsi="Times New Roman"/>
                <w:color w:val="000000" w:themeColor="text1"/>
                <w:spacing w:val="-2"/>
                <w:w w:val="95"/>
                <w:sz w:val="20"/>
              </w:rPr>
              <w:t xml:space="preserve"> w pos</w:t>
            </w:r>
            <w:r>
              <w:rPr>
                <w:rFonts w:ascii="Times New Roman" w:hAnsi="Times New Roman"/>
                <w:color w:val="000000" w:themeColor="text1"/>
                <w:spacing w:val="-2"/>
                <w:w w:val="95"/>
                <w:sz w:val="20"/>
              </w:rPr>
              <w:t>iadaniu instytucji, nie obejmują jednak instrumentów dłużnych będących papierami wartościowymi, niezależnie od ich klasyfikacji księgowej (np. utrzymywany do upływu terminu zapadalności lub dostępny do sprzedaży).</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Odniesienia: Wytyczne Rady Stabilności Finansowej</w:t>
            </w:r>
            <w:r w:rsidR="004D7F8C">
              <w:rPr>
                <w:rFonts w:ascii="Times New Roman" w:hAnsi="Times New Roman"/>
                <w:color w:val="000000" w:themeColor="text1"/>
                <w:spacing w:val="-2"/>
                <w:w w:val="95"/>
                <w:sz w:val="20"/>
              </w:rPr>
              <w:t xml:space="preserve"> w spr</w:t>
            </w:r>
            <w:r>
              <w:rPr>
                <w:rFonts w:ascii="Times New Roman" w:hAnsi="Times New Roman"/>
                <w:color w:val="000000" w:themeColor="text1"/>
                <w:spacing w:val="-2"/>
                <w:w w:val="95"/>
                <w:sz w:val="20"/>
              </w:rPr>
              <w:t>awie funkcji krytycznych</w:t>
            </w:r>
            <w:r w:rsidR="004D7F8C">
              <w:rPr>
                <w:rFonts w:ascii="Times New Roman" w:hAnsi="Times New Roman"/>
                <w:color w:val="000000" w:themeColor="text1"/>
                <w:spacing w:val="-2"/>
                <w:w w:val="95"/>
                <w:sz w:val="20"/>
              </w:rPr>
              <w:t xml:space="preserve"> i usł</w:t>
            </w:r>
            <w:r>
              <w:rPr>
                <w:rFonts w:ascii="Times New Roman" w:hAnsi="Times New Roman"/>
                <w:color w:val="000000" w:themeColor="text1"/>
                <w:spacing w:val="-2"/>
                <w:w w:val="95"/>
                <w:sz w:val="20"/>
              </w:rPr>
              <w:t>ug dzielonych</w:t>
            </w:r>
            <w:r w:rsidR="004D7F8C">
              <w:rPr>
                <w:rFonts w:ascii="Times New Roman" w:hAnsi="Times New Roman"/>
                <w:color w:val="000000" w:themeColor="text1"/>
                <w:spacing w:val="-2"/>
                <w:w w:val="95"/>
                <w:sz w:val="20"/>
              </w:rPr>
              <w:t xml:space="preserve"> o kry</w:t>
            </w:r>
            <w:r>
              <w:rPr>
                <w:rFonts w:ascii="Times New Roman" w:hAnsi="Times New Roman"/>
                <w:color w:val="000000" w:themeColor="text1"/>
                <w:spacing w:val="-2"/>
                <w:w w:val="95"/>
                <w:sz w:val="20"/>
              </w:rPr>
              <w:t xml:space="preserve">tycznym znaczeniu (2013), s. 17; część 2 pozycja 2 załącznika II do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Gospodarstwa domowe – udzielone kredyty</w:t>
            </w:r>
            <w:r w:rsidR="004D7F8C">
              <w:rPr>
                <w:rFonts w:ascii="Times New Roman" w:hAnsi="Times New Roman"/>
                <w:b/>
                <w:color w:val="000000" w:themeColor="text1"/>
                <w:sz w:val="20"/>
              </w:rPr>
              <w:t xml:space="preserve"> i poż</w:t>
            </w:r>
            <w:r>
              <w:rPr>
                <w:rFonts w:ascii="Times New Roman" w:hAnsi="Times New Roman"/>
                <w:b/>
                <w:color w:val="000000" w:themeColor="text1"/>
                <w:sz w:val="20"/>
              </w:rPr>
              <w:t>yczki na zakup nieruchomości mieszkalnej</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Udzielone 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 na zakup nieruchomości mieszkalnej oznaczają 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 udzielane gospodarstwom domowym na inwestycję</w:t>
            </w:r>
            <w:r w:rsidR="004D7F8C">
              <w:rPr>
                <w:rFonts w:ascii="Times New Roman" w:hAnsi="Times New Roman"/>
                <w:color w:val="000000" w:themeColor="text1"/>
                <w:spacing w:val="-2"/>
                <w:w w:val="95"/>
                <w:sz w:val="20"/>
              </w:rPr>
              <w:t xml:space="preserve"> w nie</w:t>
            </w:r>
            <w:r>
              <w:rPr>
                <w:rFonts w:ascii="Times New Roman" w:hAnsi="Times New Roman"/>
                <w:color w:val="000000" w:themeColor="text1"/>
                <w:spacing w:val="-2"/>
                <w:w w:val="95"/>
                <w:sz w:val="20"/>
              </w:rPr>
              <w:t>ruchomości mieszkalne na własny użytek i na wynajem,</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na budowę</w:t>
            </w:r>
            <w:r w:rsidR="004D7F8C">
              <w:rPr>
                <w:rFonts w:ascii="Times New Roman" w:hAnsi="Times New Roman"/>
                <w:color w:val="000000" w:themeColor="text1"/>
                <w:spacing w:val="-2"/>
                <w:w w:val="95"/>
                <w:sz w:val="20"/>
              </w:rPr>
              <w:t xml:space="preserve"> i rem</w:t>
            </w:r>
            <w:r>
              <w:rPr>
                <w:rFonts w:ascii="Times New Roman" w:hAnsi="Times New Roman"/>
                <w:color w:val="000000" w:themeColor="text1"/>
                <w:spacing w:val="-2"/>
                <w:w w:val="95"/>
                <w:sz w:val="20"/>
              </w:rPr>
              <w:t>onty.</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Gospodarstwa domowe – inne udzielone kredyty</w:t>
            </w:r>
            <w:r w:rsidR="004D7F8C">
              <w:rPr>
                <w:rFonts w:ascii="Times New Roman" w:hAnsi="Times New Roman"/>
                <w:b/>
                <w:color w:val="000000" w:themeColor="text1"/>
                <w:sz w:val="20"/>
              </w:rPr>
              <w:t xml:space="preserve"> i poż</w:t>
            </w:r>
            <w:r>
              <w:rPr>
                <w:rFonts w:ascii="Times New Roman" w:hAnsi="Times New Roman"/>
                <w:b/>
                <w:color w:val="000000" w:themeColor="text1"/>
                <w:sz w:val="20"/>
              </w:rPr>
              <w:t>yczki</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Przedsiębiorstwa niefinansowe – MŚP</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Przedsiębiorstwa niefinansowe – inne niż MŚP</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 instytucji rządowych</w:t>
            </w:r>
            <w:r w:rsidR="004D7F8C">
              <w:rPr>
                <w:rFonts w:ascii="Times New Roman" w:hAnsi="Times New Roman"/>
                <w:b/>
                <w:color w:val="000000" w:themeColor="text1"/>
                <w:sz w:val="20"/>
              </w:rPr>
              <w:t xml:space="preserve"> i sam</w:t>
            </w:r>
            <w:r>
              <w:rPr>
                <w:rFonts w:ascii="Times New Roman" w:hAnsi="Times New Roman"/>
                <w:b/>
                <w:color w:val="000000" w:themeColor="text1"/>
                <w:sz w:val="20"/>
              </w:rPr>
              <w:t>orządowych</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Pozostałe sektory / pozostali kontrahenci (1), (2) i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Usługi</w:t>
            </w:r>
            <w:r w:rsidR="004D7F8C">
              <w:rPr>
                <w:rFonts w:ascii="Times New Roman" w:hAnsi="Times New Roman"/>
                <w:b/>
                <w:color w:val="000000" w:themeColor="text1"/>
                <w:sz w:val="20"/>
              </w:rPr>
              <w:t xml:space="preserve"> w zak</w:t>
            </w:r>
            <w:r>
              <w:rPr>
                <w:rFonts w:ascii="Times New Roman" w:hAnsi="Times New Roman"/>
                <w:b/>
                <w:color w:val="000000" w:themeColor="text1"/>
                <w:sz w:val="20"/>
              </w:rPr>
              <w:t>resie płatności, środków pieniężnych, rozrachunku, rozliczenia, powiernictwa</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Odniesienie: Wytyczne Rady Stabilności Finansowej</w:t>
            </w:r>
            <w:r w:rsidR="004D7F8C">
              <w:rPr>
                <w:rFonts w:ascii="Times New Roman" w:hAnsi="Times New Roman"/>
                <w:color w:val="000000" w:themeColor="text1"/>
                <w:spacing w:val="-2"/>
                <w:w w:val="95"/>
                <w:sz w:val="20"/>
              </w:rPr>
              <w:t xml:space="preserve"> w spr</w:t>
            </w:r>
            <w:r>
              <w:rPr>
                <w:rFonts w:ascii="Times New Roman" w:hAnsi="Times New Roman"/>
                <w:color w:val="000000" w:themeColor="text1"/>
                <w:spacing w:val="-2"/>
                <w:w w:val="95"/>
                <w:sz w:val="20"/>
              </w:rPr>
              <w:t>awie funkcji krytycznych</w:t>
            </w:r>
            <w:r w:rsidR="004D7F8C">
              <w:rPr>
                <w:rFonts w:ascii="Times New Roman" w:hAnsi="Times New Roman"/>
                <w:color w:val="000000" w:themeColor="text1"/>
                <w:spacing w:val="-2"/>
                <w:w w:val="95"/>
                <w:sz w:val="20"/>
              </w:rPr>
              <w:t xml:space="preserve"> i usł</w:t>
            </w:r>
            <w:r>
              <w:rPr>
                <w:rFonts w:ascii="Times New Roman" w:hAnsi="Times New Roman"/>
                <w:color w:val="000000" w:themeColor="text1"/>
                <w:spacing w:val="-2"/>
                <w:w w:val="95"/>
                <w:sz w:val="20"/>
              </w:rPr>
              <w:t>ug dzielonych</w:t>
            </w:r>
            <w:r w:rsidR="004D7F8C">
              <w:rPr>
                <w:rFonts w:ascii="Times New Roman" w:hAnsi="Times New Roman"/>
                <w:color w:val="000000" w:themeColor="text1"/>
                <w:spacing w:val="-2"/>
                <w:w w:val="95"/>
                <w:sz w:val="20"/>
              </w:rPr>
              <w:t xml:space="preserve"> o kry</w:t>
            </w:r>
            <w:r>
              <w:rPr>
                <w:rFonts w:ascii="Times New Roman" w:hAnsi="Times New Roman"/>
                <w:color w:val="000000" w:themeColor="text1"/>
                <w:spacing w:val="-2"/>
                <w:w w:val="95"/>
                <w:sz w:val="20"/>
              </w:rPr>
              <w:t>tycznym znaczeniu (2013), s.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Funkcje gospodarcze ujęte pod tym tytułem obejmują świadczenie usług</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płatności, środków pieniężnych, rozrachunku, rozliczenia, powiernictwa przez instytucje kredytowe</w:t>
            </w:r>
            <w:r w:rsidR="004D7F8C">
              <w:rPr>
                <w:rFonts w:ascii="Times New Roman" w:hAnsi="Times New Roman"/>
                <w:color w:val="000000" w:themeColor="text1"/>
                <w:spacing w:val="-2"/>
                <w:w w:val="95"/>
                <w:sz w:val="20"/>
              </w:rPr>
              <w:t xml:space="preserve"> w cha</w:t>
            </w:r>
            <w:r>
              <w:rPr>
                <w:rFonts w:ascii="Times New Roman" w:hAnsi="Times New Roman"/>
                <w:color w:val="000000" w:themeColor="text1"/>
                <w:spacing w:val="-2"/>
                <w:w w:val="95"/>
                <w:sz w:val="20"/>
              </w:rPr>
              <w:t>rakterze pośrednika między własnymi klientami lub</w:t>
            </w:r>
            <w:r w:rsidR="004D7F8C">
              <w:rPr>
                <w:rFonts w:ascii="Times New Roman" w:hAnsi="Times New Roman"/>
                <w:color w:val="000000" w:themeColor="text1"/>
                <w:spacing w:val="-2"/>
                <w:w w:val="95"/>
                <w:sz w:val="20"/>
              </w:rPr>
              <w:t xml:space="preserve"> w cha</w:t>
            </w:r>
            <w:r>
              <w:rPr>
                <w:rFonts w:ascii="Times New Roman" w:hAnsi="Times New Roman"/>
                <w:color w:val="000000" w:themeColor="text1"/>
                <w:spacing w:val="-2"/>
                <w:w w:val="95"/>
                <w:sz w:val="20"/>
              </w:rPr>
              <w:t>rakterze pośrednika między klientem a co najmniej jedną odpowiednią infrastrukturą rynku finansowego, lub zapewnianie (pośredniego) dostępu do infrastruktur rynku finansowego innym bankom. Zgodnie</w:t>
            </w:r>
            <w:r w:rsidR="004D7F8C">
              <w:rPr>
                <w:rFonts w:ascii="Times New Roman" w:hAnsi="Times New Roman"/>
                <w:color w:val="000000" w:themeColor="text1"/>
                <w:spacing w:val="-2"/>
                <w:w w:val="95"/>
                <w:sz w:val="20"/>
              </w:rPr>
              <w:t xml:space="preserve"> z wyt</w:t>
            </w:r>
            <w:r>
              <w:rPr>
                <w:rFonts w:ascii="Times New Roman" w:hAnsi="Times New Roman"/>
                <w:color w:val="000000" w:themeColor="text1"/>
                <w:spacing w:val="-2"/>
                <w:w w:val="95"/>
                <w:sz w:val="20"/>
              </w:rPr>
              <w:t>ycznymi Rady Stabilności Finansowej</w:t>
            </w:r>
            <w:r w:rsidR="004D7F8C">
              <w:rPr>
                <w:rFonts w:ascii="Times New Roman" w:hAnsi="Times New Roman"/>
                <w:color w:val="000000" w:themeColor="text1"/>
                <w:spacing w:val="-2"/>
                <w:w w:val="95"/>
                <w:sz w:val="20"/>
              </w:rPr>
              <w:t xml:space="preserve"> w spr</w:t>
            </w:r>
            <w:r>
              <w:rPr>
                <w:rFonts w:ascii="Times New Roman" w:hAnsi="Times New Roman"/>
                <w:color w:val="000000" w:themeColor="text1"/>
                <w:spacing w:val="-2"/>
                <w:w w:val="95"/>
                <w:sz w:val="20"/>
              </w:rPr>
              <w:t>awie funkcji krytycznych</w:t>
            </w:r>
            <w:r w:rsidR="004D7F8C">
              <w:rPr>
                <w:rFonts w:ascii="Times New Roman" w:hAnsi="Times New Roman"/>
                <w:color w:val="000000" w:themeColor="text1"/>
                <w:spacing w:val="-2"/>
                <w:w w:val="95"/>
                <w:sz w:val="20"/>
              </w:rPr>
              <w:t xml:space="preserve"> i usł</w:t>
            </w:r>
            <w:r>
              <w:rPr>
                <w:rFonts w:ascii="Times New Roman" w:hAnsi="Times New Roman"/>
                <w:color w:val="000000" w:themeColor="text1"/>
                <w:spacing w:val="-2"/>
                <w:w w:val="95"/>
                <w:sz w:val="20"/>
              </w:rPr>
              <w:t>ug dzielonych</w:t>
            </w:r>
            <w:r w:rsidR="004D7F8C">
              <w:rPr>
                <w:rFonts w:ascii="Times New Roman" w:hAnsi="Times New Roman"/>
                <w:color w:val="000000" w:themeColor="text1"/>
                <w:spacing w:val="-2"/>
                <w:w w:val="95"/>
                <w:sz w:val="20"/>
              </w:rPr>
              <w:t xml:space="preserve"> o kry</w:t>
            </w:r>
            <w:r>
              <w:rPr>
                <w:rFonts w:ascii="Times New Roman" w:hAnsi="Times New Roman"/>
                <w:color w:val="000000" w:themeColor="text1"/>
                <w:spacing w:val="-2"/>
                <w:w w:val="95"/>
                <w:sz w:val="20"/>
              </w:rPr>
              <w:t>tycznym znaczeniu, funkcja płatności, rozliczania</w:t>
            </w:r>
            <w:r w:rsidR="004D7F8C">
              <w:rPr>
                <w:rFonts w:ascii="Times New Roman" w:hAnsi="Times New Roman"/>
                <w:color w:val="000000" w:themeColor="text1"/>
                <w:spacing w:val="-2"/>
                <w:w w:val="95"/>
                <w:sz w:val="20"/>
              </w:rPr>
              <w:t xml:space="preserve"> i roz</w:t>
            </w:r>
            <w:r>
              <w:rPr>
                <w:rFonts w:ascii="Times New Roman" w:hAnsi="Times New Roman"/>
                <w:color w:val="000000" w:themeColor="text1"/>
                <w:spacing w:val="-2"/>
                <w:w w:val="95"/>
                <w:sz w:val="20"/>
              </w:rPr>
              <w:t>rachunku jest ograniczona do usług świadczonych przez banki na rzecz ich klientów. Kategoria ta nie obejmuje usług świadczonych przez dostawców (wyłącznie) infrastruktury rynku finansowego. Do celów niniejszego szablonu infrastruktury rynku finansowego obejmują systemy płatności, systemy rozrachunku papierów wartościowych, centralne depozyty papierów wartościowych</w:t>
            </w:r>
            <w:r w:rsidR="004D7F8C">
              <w:rPr>
                <w:rFonts w:ascii="Times New Roman" w:hAnsi="Times New Roman"/>
                <w:color w:val="000000" w:themeColor="text1"/>
                <w:spacing w:val="-2"/>
                <w:w w:val="95"/>
                <w:sz w:val="20"/>
              </w:rPr>
              <w:t xml:space="preserve"> i kon</w:t>
            </w:r>
            <w:r>
              <w:rPr>
                <w:rFonts w:ascii="Times New Roman" w:hAnsi="Times New Roman"/>
                <w:color w:val="000000" w:themeColor="text1"/>
                <w:spacing w:val="-2"/>
                <w:w w:val="95"/>
                <w:sz w:val="20"/>
              </w:rPr>
              <w:t>trahentów centralnych (nie obejmują zaś repozytoriów transakcji).</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„Usługa płatnicza”, „transakcja płatnicza” i „system płatności” mają takie samo znaczenie, jak określono</w:t>
            </w:r>
            <w:r w:rsidR="004D7F8C">
              <w:rPr>
                <w:rFonts w:ascii="Times New Roman" w:hAnsi="Times New Roman"/>
                <w:color w:val="000000" w:themeColor="text1"/>
                <w:spacing w:val="-2"/>
                <w:w w:val="95"/>
                <w:sz w:val="20"/>
              </w:rPr>
              <w:t xml:space="preserve"> w def</w:t>
            </w:r>
            <w:r>
              <w:rPr>
                <w:rFonts w:ascii="Times New Roman" w:hAnsi="Times New Roman"/>
                <w:color w:val="000000" w:themeColor="text1"/>
                <w:spacing w:val="-2"/>
                <w:w w:val="95"/>
                <w:sz w:val="20"/>
              </w:rPr>
              <w:t>inicji odpowiednio</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5</w:t>
            </w:r>
            <w:r w:rsidR="004D7F8C">
              <w:rPr>
                <w:rFonts w:ascii="Times New Roman" w:hAnsi="Times New Roman"/>
                <w:color w:val="000000" w:themeColor="text1"/>
                <w:spacing w:val="-2"/>
                <w:w w:val="95"/>
                <w:sz w:val="20"/>
              </w:rPr>
              <w:t xml:space="preserve"> i 7</w:t>
            </w:r>
            <w:r>
              <w:rPr>
                <w:rFonts w:ascii="Times New Roman" w:hAnsi="Times New Roman"/>
                <w:color w:val="000000" w:themeColor="text1"/>
                <w:spacing w:val="-2"/>
                <w:w w:val="95"/>
                <w:sz w:val="20"/>
              </w:rPr>
              <w:t xml:space="preserve"> dyrektywy (UE) 2015/2366</w:t>
            </w:r>
            <w:r w:rsidR="004D7F8C">
              <w:rPr>
                <w:rFonts w:ascii="Times New Roman" w:hAnsi="Times New Roman"/>
                <w:color w:val="000000" w:themeColor="text1"/>
                <w:spacing w:val="-2"/>
                <w:w w:val="95"/>
                <w:sz w:val="20"/>
              </w:rPr>
              <w:t xml:space="preserve"> w spr</w:t>
            </w:r>
            <w:r>
              <w:rPr>
                <w:rFonts w:ascii="Times New Roman" w:hAnsi="Times New Roman"/>
                <w:color w:val="000000" w:themeColor="text1"/>
                <w:spacing w:val="-2"/>
                <w:w w:val="95"/>
                <w:sz w:val="20"/>
              </w:rPr>
              <w:t>awie usług płatniczych</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rynku wewnętrznego</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Usługi płatnicze na rzecz MIF</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Wiersz ten obejmuje usługi płatnicze oferowane na rzecz monetarnych instytucji finansowych (MIF)</w:t>
            </w:r>
            <w:r w:rsidR="004D7F8C">
              <w:rPr>
                <w:rFonts w:ascii="Times New Roman" w:hAnsi="Times New Roman"/>
                <w:color w:val="000000" w:themeColor="text1"/>
                <w:spacing w:val="-2"/>
                <w:w w:val="95"/>
                <w:sz w:val="20"/>
              </w:rPr>
              <w:t xml:space="preserve"> z zas</w:t>
            </w:r>
            <w:r>
              <w:rPr>
                <w:rFonts w:ascii="Times New Roman" w:hAnsi="Times New Roman"/>
                <w:color w:val="000000" w:themeColor="text1"/>
                <w:spacing w:val="-2"/>
                <w:w w:val="95"/>
                <w:sz w:val="20"/>
              </w:rPr>
              <w:t>tosowaniem zewnętrznych systemów płatności lub bez ich zastosowania. Obejmuje on również odpowiadające usługi bankowe (płatności związane</w:t>
            </w:r>
            <w:r w:rsidR="004D7F8C">
              <w:rPr>
                <w:rFonts w:ascii="Times New Roman" w:hAnsi="Times New Roman"/>
                <w:color w:val="000000" w:themeColor="text1"/>
                <w:spacing w:val="-2"/>
                <w:w w:val="95"/>
                <w:sz w:val="20"/>
              </w:rPr>
              <w:t xml:space="preserve"> z tym</w:t>
            </w:r>
            <w:r>
              <w:rPr>
                <w:rFonts w:ascii="Times New Roman" w:hAnsi="Times New Roman"/>
                <w:color w:val="000000" w:themeColor="text1"/>
                <w:spacing w:val="-2"/>
                <w:w w:val="95"/>
                <w:sz w:val="20"/>
              </w:rPr>
              <w:t>i usługami). MIF obejmuje wszystkie jednostki instytucjonalne wchodzące</w:t>
            </w:r>
            <w:r w:rsidR="004D7F8C">
              <w:rPr>
                <w:rFonts w:ascii="Times New Roman" w:hAnsi="Times New Roman"/>
                <w:color w:val="000000" w:themeColor="text1"/>
                <w:spacing w:val="-2"/>
                <w:w w:val="95"/>
                <w:sz w:val="20"/>
              </w:rPr>
              <w:t xml:space="preserve"> w skł</w:t>
            </w:r>
            <w:r>
              <w:rPr>
                <w:rFonts w:ascii="Times New Roman" w:hAnsi="Times New Roman"/>
                <w:color w:val="000000" w:themeColor="text1"/>
                <w:spacing w:val="-2"/>
                <w:w w:val="95"/>
                <w:sz w:val="20"/>
              </w:rPr>
              <w:t xml:space="preserve">ad podsektorów: (i) bank centralny; (ii) instytucje </w:t>
            </w:r>
            <w:r>
              <w:rPr>
                <w:rFonts w:ascii="Times New Roman" w:hAnsi="Times New Roman"/>
                <w:color w:val="000000" w:themeColor="text1"/>
                <w:spacing w:val="-2"/>
                <w:w w:val="95"/>
                <w:sz w:val="20"/>
              </w:rPr>
              <w:lastRenderedPageBreak/>
              <w:t>przyjmujące depozyty,</w:t>
            </w:r>
            <w:r w:rsidR="004D7F8C">
              <w:rPr>
                <w:rFonts w:ascii="Times New Roman" w:hAnsi="Times New Roman"/>
                <w:color w:val="000000" w:themeColor="text1"/>
                <w:spacing w:val="-2"/>
                <w:w w:val="95"/>
                <w:sz w:val="20"/>
              </w:rPr>
              <w:t xml:space="preserve"> z wyj</w:t>
            </w:r>
            <w:r>
              <w:rPr>
                <w:rFonts w:ascii="Times New Roman" w:hAnsi="Times New Roman"/>
                <w:color w:val="000000" w:themeColor="text1"/>
                <w:spacing w:val="-2"/>
                <w:w w:val="95"/>
                <w:sz w:val="20"/>
              </w:rPr>
              <w:t>ątkiem banku centralnego; oraz (iii) fundusze rynku pieniężnego.</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Usługi płatnicze na rzecz instytucji niebędących MIF</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 płatnicze oferowane na rzecz klientów</w:t>
            </w:r>
            <w:r w:rsidR="004D7F8C">
              <w:rPr>
                <w:rFonts w:ascii="Times New Roman" w:hAnsi="Times New Roman"/>
                <w:color w:val="000000" w:themeColor="text1"/>
                <w:spacing w:val="-2"/>
                <w:w w:val="95"/>
                <w:sz w:val="20"/>
              </w:rPr>
              <w:t xml:space="preserve"> z zas</w:t>
            </w:r>
            <w:r>
              <w:rPr>
                <w:rFonts w:ascii="Times New Roman" w:hAnsi="Times New Roman"/>
                <w:color w:val="000000" w:themeColor="text1"/>
                <w:spacing w:val="-2"/>
                <w:w w:val="95"/>
                <w:sz w:val="20"/>
              </w:rPr>
              <w:t>tosowaniem zewnętrznych systemów płatności lub bez ich zastosowania. Obejmują one wyłącznie osoby fizyczne lub prawne, które nie należą do sektora MIF. Dostawcy usług płatniczych również nie należą do sektora „instytucji niebędących MIF”.</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Usługi</w:t>
            </w:r>
            <w:r w:rsidR="004D7F8C">
              <w:rPr>
                <w:rFonts w:ascii="Times New Roman" w:hAnsi="Times New Roman"/>
                <w:b/>
                <w:color w:val="000000" w:themeColor="text1"/>
                <w:sz w:val="20"/>
              </w:rPr>
              <w:t xml:space="preserve"> w zak</w:t>
            </w:r>
            <w:r>
              <w:rPr>
                <w:rFonts w:ascii="Times New Roman" w:hAnsi="Times New Roman"/>
                <w:b/>
                <w:color w:val="000000" w:themeColor="text1"/>
                <w:sz w:val="20"/>
              </w:rPr>
              <w:t>resie środków pieniężnych</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Świadczenie usług</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środków pieniężnych na rzecz klientów (zarówno klientów indywidualnych, jak</w:t>
            </w:r>
            <w:r w:rsidR="004D7F8C">
              <w:rPr>
                <w:rFonts w:ascii="Times New Roman" w:hAnsi="Times New Roman"/>
                <w:color w:val="000000" w:themeColor="text1"/>
                <w:spacing w:val="-2"/>
                <w:w w:val="95"/>
                <w:sz w:val="20"/>
              </w:rPr>
              <w:t xml:space="preserve"> i prz</w:t>
            </w:r>
            <w:r>
              <w:rPr>
                <w:rFonts w:ascii="Times New Roman" w:hAnsi="Times New Roman"/>
                <w:color w:val="000000" w:themeColor="text1"/>
                <w:spacing w:val="-2"/>
                <w:w w:val="95"/>
                <w:sz w:val="20"/>
              </w:rPr>
              <w:t>edsiębiorstw, tylko niebędących MIF). Usługi te odnoszą się do wypłat</w:t>
            </w:r>
            <w:r w:rsidR="004D7F8C">
              <w:rPr>
                <w:rFonts w:ascii="Times New Roman" w:hAnsi="Times New Roman"/>
                <w:color w:val="000000" w:themeColor="text1"/>
                <w:spacing w:val="-2"/>
                <w:w w:val="95"/>
                <w:sz w:val="20"/>
              </w:rPr>
              <w:t xml:space="preserve"> z ban</w:t>
            </w:r>
            <w:r>
              <w:rPr>
                <w:rFonts w:ascii="Times New Roman" w:hAnsi="Times New Roman"/>
                <w:color w:val="000000" w:themeColor="text1"/>
                <w:spacing w:val="-2"/>
                <w:w w:val="95"/>
                <w:sz w:val="20"/>
              </w:rPr>
              <w:t>komatów</w:t>
            </w:r>
            <w:r w:rsidR="004D7F8C">
              <w:rPr>
                <w:rFonts w:ascii="Times New Roman" w:hAnsi="Times New Roman"/>
                <w:color w:val="000000" w:themeColor="text1"/>
                <w:spacing w:val="-2"/>
                <w:w w:val="95"/>
                <w:sz w:val="20"/>
              </w:rPr>
              <w:t xml:space="preserve"> i w oki</w:t>
            </w:r>
            <w:r>
              <w:rPr>
                <w:rFonts w:ascii="Times New Roman" w:hAnsi="Times New Roman"/>
                <w:color w:val="000000" w:themeColor="text1"/>
                <w:spacing w:val="-2"/>
                <w:w w:val="95"/>
                <w:sz w:val="20"/>
              </w:rPr>
              <w:t>enkach oddziałów</w:t>
            </w:r>
            <w:r w:rsidR="004D7F8C">
              <w:rPr>
                <w:rFonts w:ascii="Times New Roman" w:hAnsi="Times New Roman"/>
                <w:color w:val="000000" w:themeColor="text1"/>
                <w:spacing w:val="-2"/>
                <w:w w:val="95"/>
                <w:sz w:val="20"/>
              </w:rPr>
              <w:t xml:space="preserve"> i nie</w:t>
            </w:r>
            <w:r>
              <w:rPr>
                <w:rFonts w:ascii="Times New Roman" w:hAnsi="Times New Roman"/>
                <w:color w:val="000000" w:themeColor="text1"/>
                <w:spacing w:val="-2"/>
                <w:w w:val="95"/>
                <w:sz w:val="20"/>
              </w:rPr>
              <w:t xml:space="preserve"> obejmują innych usług</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środków pieniężnych (takich jak usługi transportu gotówki na rzecz masowych sprzedawców detalicznych). Obejmują wypłatę gotówki przy pomocy czeków</w:t>
            </w:r>
            <w:r w:rsidR="004D7F8C">
              <w:rPr>
                <w:rFonts w:ascii="Times New Roman" w:hAnsi="Times New Roman"/>
                <w:color w:val="000000" w:themeColor="text1"/>
                <w:spacing w:val="-2"/>
                <w:w w:val="95"/>
                <w:sz w:val="20"/>
              </w:rPr>
              <w:t xml:space="preserve"> i w oki</w:t>
            </w:r>
            <w:r>
              <w:rPr>
                <w:rFonts w:ascii="Times New Roman" w:hAnsi="Times New Roman"/>
                <w:color w:val="000000" w:themeColor="text1"/>
                <w:spacing w:val="-2"/>
                <w:w w:val="95"/>
                <w:sz w:val="20"/>
              </w:rPr>
              <w:t>enkach oddziałów przy pomocy formularzy bankowych (tam gdzie można użyć karty jako środka identyfikacji).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Usługi</w:t>
            </w:r>
            <w:r w:rsidR="004D7F8C">
              <w:rPr>
                <w:rFonts w:ascii="Times New Roman" w:hAnsi="Times New Roman"/>
                <w:b/>
                <w:color w:val="000000" w:themeColor="text1"/>
                <w:sz w:val="20"/>
              </w:rPr>
              <w:t xml:space="preserve"> w zak</w:t>
            </w:r>
            <w:r>
              <w:rPr>
                <w:rFonts w:ascii="Times New Roman" w:hAnsi="Times New Roman"/>
                <w:b/>
                <w:color w:val="000000" w:themeColor="text1"/>
                <w:sz w:val="20"/>
              </w:rPr>
              <w:t>resie rozrachunku papierów wartościowych</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 oferowane na rzecz klientów</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potwierdzenia, rozliczenia</w:t>
            </w:r>
            <w:r w:rsidR="004D7F8C">
              <w:rPr>
                <w:rFonts w:ascii="Times New Roman" w:hAnsi="Times New Roman"/>
                <w:color w:val="000000" w:themeColor="text1"/>
                <w:spacing w:val="-2"/>
                <w:w w:val="95"/>
                <w:sz w:val="20"/>
              </w:rPr>
              <w:t xml:space="preserve"> i roz</w:t>
            </w:r>
            <w:r>
              <w:rPr>
                <w:rFonts w:ascii="Times New Roman" w:hAnsi="Times New Roman"/>
                <w:color w:val="000000" w:themeColor="text1"/>
                <w:spacing w:val="-2"/>
                <w:w w:val="95"/>
                <w:sz w:val="20"/>
              </w:rPr>
              <w:t>rachunku transakcji na papierach wartościowych,</w:t>
            </w:r>
            <w:r w:rsidR="004D7F8C">
              <w:rPr>
                <w:rFonts w:ascii="Times New Roman" w:hAnsi="Times New Roman"/>
                <w:color w:val="000000" w:themeColor="text1"/>
                <w:spacing w:val="-2"/>
                <w:w w:val="95"/>
                <w:sz w:val="20"/>
              </w:rPr>
              <w:t xml:space="preserve"> z zas</w:t>
            </w:r>
            <w:r>
              <w:rPr>
                <w:rFonts w:ascii="Times New Roman" w:hAnsi="Times New Roman"/>
                <w:color w:val="000000" w:themeColor="text1"/>
                <w:spacing w:val="-2"/>
                <w:w w:val="95"/>
                <w:sz w:val="20"/>
              </w:rPr>
              <w:t>tosowaniem systemów rozrachunku papierów wartościowych lub bez ich zastosowania. „Rozrachunek” oznacza zrealizowanie transakcji na papierach wartościowych każdorazowo, gdy jest ona przeprowadzana</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wykonania zobowiązań stron danej transakcji poprzez transfer środków pieniężnych lub papierów wartościowych.</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Usługi rozliczeniowe świadczone przez kontrahenta centralnego</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 rozliczania transakcji na papierach wartościowych</w:t>
            </w:r>
            <w:r w:rsidR="004D7F8C">
              <w:rPr>
                <w:rFonts w:ascii="Times New Roman" w:hAnsi="Times New Roman"/>
                <w:color w:val="000000" w:themeColor="text1"/>
                <w:spacing w:val="-2"/>
                <w:w w:val="95"/>
                <w:sz w:val="20"/>
              </w:rPr>
              <w:t xml:space="preserve"> i ins</w:t>
            </w:r>
            <w:r>
              <w:rPr>
                <w:rFonts w:ascii="Times New Roman" w:hAnsi="Times New Roman"/>
                <w:color w:val="000000" w:themeColor="text1"/>
                <w:spacing w:val="-2"/>
                <w:w w:val="95"/>
                <w:sz w:val="20"/>
              </w:rPr>
              <w:t>trumentach pochodnych świadczone na rzecz klientów. Obejmują one również zapewnianie pośredniego dostępu do kontrahenta centralnego (CCP).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Usługi powiernictwa</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przechowywania instrumentów finansowych</w:t>
            </w:r>
            <w:r w:rsidR="004D7F8C">
              <w:rPr>
                <w:rFonts w:ascii="Times New Roman" w:hAnsi="Times New Roman"/>
                <w:color w:val="000000" w:themeColor="text1"/>
                <w:spacing w:val="-2"/>
                <w:w w:val="95"/>
                <w:sz w:val="20"/>
              </w:rPr>
              <w:t xml:space="preserve"> i adm</w:t>
            </w:r>
            <w:r>
              <w:rPr>
                <w:rFonts w:ascii="Times New Roman" w:hAnsi="Times New Roman"/>
                <w:color w:val="000000" w:themeColor="text1"/>
                <w:spacing w:val="-2"/>
                <w:w w:val="95"/>
                <w:sz w:val="20"/>
              </w:rPr>
              <w:t>inistrowania nimi na rzecz klientów oraz usługi pokrewne do powierniczych, takie jak zarządzanie środkami pieniężnymi</w:t>
            </w:r>
            <w:r w:rsidR="004D7F8C">
              <w:rPr>
                <w:rFonts w:ascii="Times New Roman" w:hAnsi="Times New Roman"/>
                <w:color w:val="000000" w:themeColor="text1"/>
                <w:spacing w:val="-2"/>
                <w:w w:val="95"/>
                <w:sz w:val="20"/>
              </w:rPr>
              <w:t xml:space="preserve"> i zab</w:t>
            </w:r>
            <w:r>
              <w:rPr>
                <w:rFonts w:ascii="Times New Roman" w:hAnsi="Times New Roman"/>
                <w:color w:val="000000" w:themeColor="text1"/>
                <w:spacing w:val="-2"/>
                <w:w w:val="95"/>
                <w:sz w:val="20"/>
              </w:rPr>
              <w:t>ezpieczeniem.</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Pozostałe usługi / działania / funkcje (1), (2) i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Rynki kapitałowe</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Działania</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rynków kapitałowych odnoszą się do emisji</w:t>
            </w:r>
            <w:r w:rsidR="004D7F8C">
              <w:rPr>
                <w:rFonts w:ascii="Times New Roman" w:hAnsi="Times New Roman"/>
                <w:color w:val="000000" w:themeColor="text1"/>
                <w:spacing w:val="-2"/>
                <w:w w:val="95"/>
                <w:sz w:val="20"/>
              </w:rPr>
              <w:t xml:space="preserve"> i obr</w:t>
            </w:r>
            <w:r>
              <w:rPr>
                <w:rFonts w:ascii="Times New Roman" w:hAnsi="Times New Roman"/>
                <w:color w:val="000000" w:themeColor="text1"/>
                <w:spacing w:val="-2"/>
                <w:w w:val="95"/>
                <w:sz w:val="20"/>
              </w:rPr>
              <w:t>otu papierami wartościowymi, powiązanych usług doradczych</w:t>
            </w:r>
            <w:r w:rsidR="004D7F8C">
              <w:rPr>
                <w:rFonts w:ascii="Times New Roman" w:hAnsi="Times New Roman"/>
                <w:color w:val="000000" w:themeColor="text1"/>
                <w:spacing w:val="-2"/>
                <w:w w:val="95"/>
                <w:sz w:val="20"/>
              </w:rPr>
              <w:t xml:space="preserve"> i pow</w:t>
            </w:r>
            <w:r>
              <w:rPr>
                <w:rFonts w:ascii="Times New Roman" w:hAnsi="Times New Roman"/>
                <w:color w:val="000000" w:themeColor="text1"/>
                <w:spacing w:val="-2"/>
                <w:w w:val="95"/>
                <w:sz w:val="20"/>
              </w:rPr>
              <w:t>iązanych usług takich jak usługi brokerskie</w:t>
            </w:r>
            <w:r w:rsidR="004D7F8C">
              <w:rPr>
                <w:rFonts w:ascii="Times New Roman" w:hAnsi="Times New Roman"/>
                <w:color w:val="000000" w:themeColor="text1"/>
                <w:spacing w:val="-2"/>
                <w:w w:val="95"/>
                <w:sz w:val="20"/>
              </w:rPr>
              <w:t xml:space="preserve"> i dzi</w:t>
            </w:r>
            <w:r>
              <w:rPr>
                <w:rFonts w:ascii="Times New Roman" w:hAnsi="Times New Roman"/>
                <w:color w:val="000000" w:themeColor="text1"/>
                <w:spacing w:val="-2"/>
                <w:w w:val="95"/>
                <w:sz w:val="20"/>
              </w:rPr>
              <w:t xml:space="preserve">ałalność animatora rynku.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Instrumenty pochodne przeznaczone do obrotu (transakcje pozagiełdowe)</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Art. 2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sidR="004D7F8C">
              <w:rPr>
                <w:rFonts w:ascii="Times New Roman" w:hAnsi="Times New Roman"/>
                <w:color w:val="000000" w:themeColor="text1"/>
                <w:spacing w:val="-2"/>
                <w:w w:val="95"/>
                <w:sz w:val="20"/>
              </w:rPr>
              <w:t xml:space="preserve"> i 7</w:t>
            </w:r>
            <w:r>
              <w:rPr>
                <w:rFonts w:ascii="Times New Roman" w:hAnsi="Times New Roman"/>
                <w:color w:val="000000" w:themeColor="text1"/>
                <w:spacing w:val="-2"/>
                <w:w w:val="95"/>
                <w:sz w:val="20"/>
              </w:rPr>
              <w:t xml:space="preserve">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 pochodny lub kontrakt pochodny oznacza instrument finansowy wymieniony</w:t>
            </w:r>
            <w:r w:rsidR="004D7F8C">
              <w:rPr>
                <w:rFonts w:ascii="Times New Roman" w:hAnsi="Times New Roman"/>
                <w:color w:val="000000" w:themeColor="text1"/>
                <w:spacing w:val="-2"/>
                <w:w w:val="95"/>
                <w:sz w:val="20"/>
              </w:rPr>
              <w:t xml:space="preserve"> w sek</w:t>
            </w:r>
            <w:r>
              <w:rPr>
                <w:rFonts w:ascii="Times New Roman" w:hAnsi="Times New Roman"/>
                <w:color w:val="000000" w:themeColor="text1"/>
                <w:spacing w:val="-2"/>
                <w:w w:val="95"/>
                <w:sz w:val="20"/>
              </w:rPr>
              <w:t xml:space="preserve">cji C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–10 załącznika I do dyrektywy 2014/65/UE</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określony</w:t>
            </w:r>
            <w:r w:rsidR="004D7F8C">
              <w:rPr>
                <w:rFonts w:ascii="Times New Roman" w:hAnsi="Times New Roman"/>
                <w:color w:val="000000" w:themeColor="text1"/>
                <w:spacing w:val="-2"/>
                <w:w w:val="95"/>
                <w:sz w:val="20"/>
              </w:rPr>
              <w:t xml:space="preserve"> w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8</w:t>
            </w:r>
            <w:r w:rsidR="004D7F8C">
              <w:rPr>
                <w:rFonts w:ascii="Times New Roman" w:hAnsi="Times New Roman"/>
                <w:color w:val="000000" w:themeColor="text1"/>
                <w:spacing w:val="-2"/>
                <w:w w:val="95"/>
                <w:sz w:val="20"/>
              </w:rPr>
              <w:t xml:space="preserve"> i 3</w:t>
            </w:r>
            <w:r>
              <w:rPr>
                <w:rFonts w:ascii="Times New Roman" w:hAnsi="Times New Roman"/>
                <w:color w:val="000000" w:themeColor="text1"/>
                <w:spacing w:val="-2"/>
                <w:w w:val="95"/>
                <w:sz w:val="20"/>
              </w:rPr>
              <w:t xml:space="preserve">9 rozporządzenia (WE)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Instrumenty pochodne będące przedmiotem obrotu poza rynkiem regulowanym lub kontrakty pochodne będące przedmiotem obrotu poza rynkiem regulowanym oznaczają kontrakty pochodne, które nie są zawierane na rynku regulowanym</w:t>
            </w:r>
            <w:r w:rsidR="004D7F8C">
              <w:rPr>
                <w:rFonts w:ascii="Times New Roman" w:hAnsi="Times New Roman"/>
                <w:color w:val="000000" w:themeColor="text1"/>
                <w:spacing w:val="-2"/>
                <w:w w:val="95"/>
                <w:sz w:val="20"/>
              </w:rPr>
              <w:t xml:space="preserve"> w roz</w:t>
            </w:r>
            <w:r>
              <w:rPr>
                <w:rFonts w:ascii="Times New Roman" w:hAnsi="Times New Roman"/>
                <w:color w:val="000000" w:themeColor="text1"/>
                <w:spacing w:val="-2"/>
                <w:w w:val="95"/>
                <w:sz w:val="20"/>
              </w:rPr>
              <w:t xml:space="preserve">umieniu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1 dyrektywy 2014/65/UE lub na rynku państwa trzeciego, który uznaje się za równoważny rynkowi regulowanemu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a rozporządzenia (UE) </w:t>
            </w:r>
            <w:r w:rsidRPr="004D7F8C">
              <w:rPr>
                <w:rFonts w:ascii="Times New Roman" w:hAnsi="Times New Roman"/>
                <w:color w:val="000000" w:themeColor="text1"/>
                <w:spacing w:val="-2"/>
                <w:w w:val="95"/>
                <w:sz w:val="20"/>
              </w:rPr>
              <w:t>nr</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6</w:t>
            </w:r>
            <w:r>
              <w:rPr>
                <w:rFonts w:ascii="Times New Roman" w:hAnsi="Times New Roman"/>
                <w:color w:val="000000" w:themeColor="text1"/>
                <w:spacing w:val="-2"/>
                <w:w w:val="95"/>
                <w:sz w:val="20"/>
              </w:rPr>
              <w:t>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Kwota, którą należy zgłosić, obejmuje wyłącznie instrumenty pochodne będące przedmiotem obrotu na </w:t>
            </w:r>
            <w:r>
              <w:rPr>
                <w:rFonts w:ascii="Times New Roman" w:hAnsi="Times New Roman"/>
                <w:color w:val="000000" w:themeColor="text1"/>
                <w:spacing w:val="-2"/>
                <w:w w:val="95"/>
                <w:sz w:val="20"/>
              </w:rPr>
              <w:lastRenderedPageBreak/>
              <w:t>rynku pozagiełdowym.</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Instrumenty pochodne przeznaczone do obrotu (transakcje inne niż pozagiełdowe)</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Wszystkie instrumenty pochodne przeznaczone do obrotu</w:t>
            </w:r>
            <w:r w:rsidR="004D7F8C">
              <w:rPr>
                <w:rFonts w:ascii="Times New Roman" w:hAnsi="Times New Roman"/>
                <w:color w:val="000000" w:themeColor="text1"/>
                <w:spacing w:val="-2"/>
                <w:w w:val="95"/>
                <w:sz w:val="20"/>
              </w:rPr>
              <w:t xml:space="preserve"> z wył</w:t>
            </w:r>
            <w:r>
              <w:rPr>
                <w:rFonts w:ascii="Times New Roman" w:hAnsi="Times New Roman"/>
                <w:color w:val="000000" w:themeColor="text1"/>
                <w:spacing w:val="-2"/>
                <w:w w:val="95"/>
                <w:sz w:val="20"/>
              </w:rPr>
              <w:t>ączeniem przeznaczonych do obrotu instrumentów pochodnych będących przedmiotem obrotu poza rynkiem regulowanym.</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Rynki wtórne / obrót na rynkach wtórnych:</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Rynki wtórne są rynkami, na których inwestorzy kupują</w:t>
            </w:r>
            <w:r w:rsidR="004D7F8C">
              <w:rPr>
                <w:rFonts w:ascii="Times New Roman" w:hAnsi="Times New Roman"/>
                <w:color w:val="000000" w:themeColor="text1"/>
                <w:spacing w:val="-2"/>
                <w:w w:val="95"/>
                <w:sz w:val="20"/>
              </w:rPr>
              <w:t xml:space="preserve"> i spr</w:t>
            </w:r>
            <w:r>
              <w:rPr>
                <w:rFonts w:ascii="Times New Roman" w:hAnsi="Times New Roman"/>
                <w:color w:val="000000" w:themeColor="text1"/>
                <w:spacing w:val="-2"/>
                <w:w w:val="95"/>
                <w:sz w:val="20"/>
              </w:rPr>
              <w:t>zedają papiery wartościowe. Funkcja ta ma zastosowanie do całości portfela handlowego (tj. instrumentów kapitałowych, kredytów korporacyjnych, długu państwowego).</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Kwota, którą należy zgłosić, obejmuje wartość papierów wartościowych mierzoną jako łączną kwotę papierów wartościowych przeznaczonych do obrotu. Papiery wartościowe zgłasza się</w:t>
            </w:r>
            <w:r w:rsidR="004D7F8C">
              <w:rPr>
                <w:rFonts w:ascii="Times New Roman" w:hAnsi="Times New Roman"/>
                <w:color w:val="000000" w:themeColor="text1"/>
                <w:spacing w:val="-2"/>
                <w:w w:val="95"/>
                <w:sz w:val="20"/>
              </w:rPr>
              <w:t xml:space="preserve"> w war</w:t>
            </w:r>
            <w:r>
              <w:rPr>
                <w:rFonts w:ascii="Times New Roman" w:hAnsi="Times New Roman"/>
                <w:color w:val="000000" w:themeColor="text1"/>
                <w:spacing w:val="-2"/>
                <w:w w:val="95"/>
                <w:sz w:val="20"/>
              </w:rPr>
              <w:t>tości godziwej na dzień sprawozdawczy.</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Kwota ta nie obejmuje kredytów</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yczek, instrumentów pochodnych</w:t>
            </w:r>
            <w:r w:rsidR="004D7F8C">
              <w:rPr>
                <w:rFonts w:ascii="Times New Roman" w:hAnsi="Times New Roman"/>
                <w:color w:val="000000" w:themeColor="text1"/>
                <w:spacing w:val="-2"/>
                <w:w w:val="95"/>
                <w:sz w:val="20"/>
              </w:rPr>
              <w:t xml:space="preserve"> i skł</w:t>
            </w:r>
            <w:r>
              <w:rPr>
                <w:rFonts w:ascii="Times New Roman" w:hAnsi="Times New Roman"/>
                <w:color w:val="000000" w:themeColor="text1"/>
                <w:spacing w:val="-2"/>
                <w:w w:val="95"/>
                <w:sz w:val="20"/>
              </w:rPr>
              <w:t>adników aktywów niepodlegających obrotowi (np. należności).</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Rynki pierwotne / subemisja</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Rynki pierwotne oznaczają rynki, na których przedsiębiorstwa, rządy</w:t>
            </w:r>
            <w:r w:rsidR="004D7F8C">
              <w:rPr>
                <w:rFonts w:ascii="Times New Roman" w:hAnsi="Times New Roman"/>
                <w:color w:val="000000" w:themeColor="text1"/>
                <w:spacing w:val="-2"/>
                <w:w w:val="95"/>
                <w:sz w:val="20"/>
              </w:rPr>
              <w:t xml:space="preserve"> i inn</w:t>
            </w:r>
            <w:r>
              <w:rPr>
                <w:rFonts w:ascii="Times New Roman" w:hAnsi="Times New Roman"/>
                <w:color w:val="000000" w:themeColor="text1"/>
                <w:spacing w:val="-2"/>
                <w:w w:val="95"/>
                <w:sz w:val="20"/>
              </w:rPr>
              <w:t>e grupy wystawiają do obrotu nowe papiery wartościowe</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otrzymania finansowania za pośrednictwem dłużnych papierów wartościowych lub udziałowych papierów wartościowych (takich jak akcje zwykłe</w:t>
            </w:r>
            <w:r w:rsidR="004D7F8C">
              <w:rPr>
                <w:rFonts w:ascii="Times New Roman" w:hAnsi="Times New Roman"/>
                <w:color w:val="000000" w:themeColor="text1"/>
                <w:spacing w:val="-2"/>
                <w:w w:val="95"/>
                <w:sz w:val="20"/>
              </w:rPr>
              <w:t xml:space="preserve"> i pre</w:t>
            </w:r>
            <w:r>
              <w:rPr>
                <w:rFonts w:ascii="Times New Roman" w:hAnsi="Times New Roman"/>
                <w:color w:val="000000" w:themeColor="text1"/>
                <w:spacing w:val="-2"/>
                <w:w w:val="95"/>
                <w:sz w:val="20"/>
              </w:rPr>
              <w:t>ferowane, obligacje korporacyjne, papiery dłużne, weksle, obligacje państwowe). Działania na rynkach pierwotnych ułatwiają grupy ubezpieczeniowe zawierające porozumienie</w:t>
            </w:r>
            <w:r w:rsidR="004D7F8C">
              <w:rPr>
                <w:rFonts w:ascii="Times New Roman" w:hAnsi="Times New Roman"/>
                <w:color w:val="000000" w:themeColor="text1"/>
                <w:spacing w:val="-2"/>
                <w:w w:val="95"/>
                <w:sz w:val="20"/>
              </w:rPr>
              <w:t xml:space="preserve"> o pod</w:t>
            </w:r>
            <w:r>
              <w:rPr>
                <w:rFonts w:ascii="Times New Roman" w:hAnsi="Times New Roman"/>
                <w:color w:val="000000" w:themeColor="text1"/>
                <w:spacing w:val="-2"/>
                <w:w w:val="95"/>
                <w:sz w:val="20"/>
              </w:rPr>
              <w:t>ziale ryzyka.</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Pozostałe usługi / działania / funkcje (1), (2) i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Finansowanie na rynku międzybankowym</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Udzielanie</w:t>
            </w:r>
            <w:r w:rsidR="004D7F8C">
              <w:rPr>
                <w:rFonts w:ascii="Times New Roman" w:hAnsi="Times New Roman"/>
                <w:color w:val="000000" w:themeColor="text1"/>
                <w:spacing w:val="-2"/>
                <w:w w:val="95"/>
                <w:sz w:val="20"/>
              </w:rPr>
              <w:t xml:space="preserve"> i zac</w:t>
            </w:r>
            <w:r>
              <w:rPr>
                <w:rFonts w:ascii="Times New Roman" w:hAnsi="Times New Roman"/>
                <w:color w:val="000000" w:themeColor="text1"/>
                <w:spacing w:val="-2"/>
                <w:w w:val="95"/>
                <w:sz w:val="20"/>
              </w:rPr>
              <w:t>iąganie kredytów</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yczek na rynku międzybankowym od kontrahentów finansowych i na ich rzecz (instytucje kredytowe</w:t>
            </w:r>
            <w:r w:rsidR="004D7F8C">
              <w:rPr>
                <w:rFonts w:ascii="Times New Roman" w:hAnsi="Times New Roman"/>
                <w:color w:val="000000" w:themeColor="text1"/>
                <w:spacing w:val="-2"/>
                <w:w w:val="95"/>
                <w:sz w:val="20"/>
              </w:rPr>
              <w:t xml:space="preserve"> i inn</w:t>
            </w:r>
            <w:r>
              <w:rPr>
                <w:rFonts w:ascii="Times New Roman" w:hAnsi="Times New Roman"/>
                <w:color w:val="000000" w:themeColor="text1"/>
                <w:spacing w:val="-2"/>
                <w:w w:val="95"/>
                <w:sz w:val="20"/>
              </w:rPr>
              <w:t>e przedsiębiorstwa finansowe).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Zaciągnięte kredyty</w:t>
            </w:r>
            <w:r w:rsidR="004D7F8C">
              <w:rPr>
                <w:rFonts w:ascii="Times New Roman" w:hAnsi="Times New Roman"/>
                <w:b/>
                <w:color w:val="000000" w:themeColor="text1"/>
                <w:sz w:val="20"/>
              </w:rPr>
              <w:t xml:space="preserve"> i poż</w:t>
            </w:r>
            <w:r>
              <w:rPr>
                <w:rFonts w:ascii="Times New Roman" w:hAnsi="Times New Roman"/>
                <w:b/>
                <w:color w:val="000000" w:themeColor="text1"/>
                <w:sz w:val="20"/>
              </w:rPr>
              <w:t>yczki</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 xml:space="preserve">yczki zaciągnięte od kontrahentów finansowych na rynku międzybankowym (w tym poprzez umowy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międzybankowe zaciąganie kredytów</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yczek, papiery komercyjne, certyfikaty depozytowe, fundusze rynku pieniężnego, linie kredytowe, papiery dłużne przedsiębiorstw zabezpieczone aktywami</w:t>
            </w:r>
            <w:r w:rsidR="004D7F8C">
              <w:rPr>
                <w:rFonts w:ascii="Times New Roman" w:hAnsi="Times New Roman"/>
                <w:color w:val="000000" w:themeColor="text1"/>
                <w:spacing w:val="-2"/>
                <w:w w:val="95"/>
                <w:sz w:val="20"/>
              </w:rPr>
              <w:t xml:space="preserve"> i dep</w:t>
            </w:r>
            <w:r>
              <w:rPr>
                <w:rFonts w:ascii="Times New Roman" w:hAnsi="Times New Roman"/>
                <w:color w:val="000000" w:themeColor="text1"/>
                <w:spacing w:val="-2"/>
                <w:w w:val="95"/>
                <w:sz w:val="20"/>
              </w:rPr>
              <w:t>ozyty powiernicze).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Instrumenty pochodne (aktywa)</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Wszystkie instrumenty pochodne, które kontrahenci finansowi mają</w:t>
            </w:r>
            <w:r w:rsidR="004D7F8C">
              <w:rPr>
                <w:rFonts w:ascii="Times New Roman" w:hAnsi="Times New Roman"/>
                <w:color w:val="000000" w:themeColor="text1"/>
                <w:spacing w:val="-2"/>
                <w:w w:val="95"/>
                <w:sz w:val="20"/>
              </w:rPr>
              <w:t xml:space="preserve"> w bil</w:t>
            </w:r>
            <w:r>
              <w:rPr>
                <w:rFonts w:ascii="Times New Roman" w:hAnsi="Times New Roman"/>
                <w:color w:val="000000" w:themeColor="text1"/>
                <w:spacing w:val="-2"/>
                <w:w w:val="95"/>
                <w:sz w:val="20"/>
              </w:rPr>
              <w:t>ansie po stronie aktywów</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eciwieństwie do „rynków kapitałowych” instrumenty pochodne</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finansowania na rynku międzybankowym obejmują wszystkie kontrakty na instrumenty pochodne zawierane</w:t>
            </w:r>
            <w:r w:rsidR="004D7F8C">
              <w:rPr>
                <w:rFonts w:ascii="Times New Roman" w:hAnsi="Times New Roman"/>
                <w:color w:val="000000" w:themeColor="text1"/>
                <w:spacing w:val="-2"/>
                <w:w w:val="95"/>
                <w:sz w:val="20"/>
              </w:rPr>
              <w:t xml:space="preserve"> z kon</w:t>
            </w:r>
            <w:r>
              <w:rPr>
                <w:rFonts w:ascii="Times New Roman" w:hAnsi="Times New Roman"/>
                <w:color w:val="000000" w:themeColor="text1"/>
                <w:spacing w:val="-2"/>
                <w:w w:val="95"/>
                <w:sz w:val="20"/>
              </w:rPr>
              <w:t>trahentami finansowymi (nie ograniczające się do HFT).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Udzielone kredyty</w:t>
            </w:r>
            <w:r w:rsidR="004D7F8C">
              <w:rPr>
                <w:rFonts w:ascii="Times New Roman" w:hAnsi="Times New Roman"/>
                <w:b/>
                <w:color w:val="000000" w:themeColor="text1"/>
                <w:sz w:val="20"/>
              </w:rPr>
              <w:t xml:space="preserve"> i poż</w:t>
            </w:r>
            <w:r>
              <w:rPr>
                <w:rFonts w:ascii="Times New Roman" w:hAnsi="Times New Roman"/>
                <w:b/>
                <w:color w:val="000000" w:themeColor="text1"/>
                <w:sz w:val="20"/>
              </w:rPr>
              <w:t>yczki</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 udzielone kontrahentom finansowym na rynkach międzybankowych (w tym poprzez kredyty</w:t>
            </w:r>
            <w:r w:rsidR="004D7F8C">
              <w:rPr>
                <w:rFonts w:ascii="Times New Roman" w:hAnsi="Times New Roman"/>
                <w:color w:val="000000" w:themeColor="text1"/>
                <w:spacing w:val="-2"/>
                <w:w w:val="95"/>
                <w:sz w:val="20"/>
              </w:rPr>
              <w:t xml:space="preserve"> z otr</w:t>
            </w:r>
            <w:r>
              <w:rPr>
                <w:rFonts w:ascii="Times New Roman" w:hAnsi="Times New Roman"/>
                <w:color w:val="000000" w:themeColor="text1"/>
                <w:spacing w:val="-2"/>
                <w:w w:val="95"/>
                <w:sz w:val="20"/>
              </w:rPr>
              <w:t>zymanym przyrzeczeniem odkupu, papiery komercyjne, certyfikaty depozytowe, fundusze rynku pieniężnego, linie kredytowe, papiery dłużne przedsiębiorstw zabezpieczone aktywami</w:t>
            </w:r>
            <w:r w:rsidR="004D7F8C">
              <w:rPr>
                <w:rFonts w:ascii="Times New Roman" w:hAnsi="Times New Roman"/>
                <w:color w:val="000000" w:themeColor="text1"/>
                <w:spacing w:val="-2"/>
                <w:w w:val="95"/>
                <w:sz w:val="20"/>
              </w:rPr>
              <w:t xml:space="preserve"> i dep</w:t>
            </w:r>
            <w:r>
              <w:rPr>
                <w:rFonts w:ascii="Times New Roman" w:hAnsi="Times New Roman"/>
                <w:color w:val="000000" w:themeColor="text1"/>
                <w:spacing w:val="-2"/>
                <w:w w:val="95"/>
                <w:sz w:val="20"/>
              </w:rPr>
              <w:t>ozyty powiernicze).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Instrumenty pochodne (zobowiązania)</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Wszystkie instrumenty pochodne, które kontrahenci finansowi mają</w:t>
            </w:r>
            <w:r w:rsidR="004D7F8C">
              <w:rPr>
                <w:rFonts w:ascii="Times New Roman" w:hAnsi="Times New Roman"/>
                <w:color w:val="000000" w:themeColor="text1"/>
                <w:spacing w:val="-2"/>
                <w:w w:val="95"/>
                <w:sz w:val="20"/>
              </w:rPr>
              <w:t xml:space="preserve"> w bil</w:t>
            </w:r>
            <w:r>
              <w:rPr>
                <w:rFonts w:ascii="Times New Roman" w:hAnsi="Times New Roman"/>
                <w:color w:val="000000" w:themeColor="text1"/>
                <w:spacing w:val="-2"/>
                <w:w w:val="95"/>
                <w:sz w:val="20"/>
              </w:rPr>
              <w:t xml:space="preserve">ansie po stronie zobowiązań.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Pozostałe rodzaje produktów (1), (2) i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Jakakolwiek funkcja gospodarczej funkcji „finansowanie na rynku międzybankowym”, której nie ujęto powyżej.</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lastRenderedPageBreak/>
        <w:t>Z 07.01 – Ocena krytyczności funkcji gospodarczych (FUNC 1)</w:t>
      </w:r>
      <w:r w:rsidRPr="004D7F8C">
        <w:rPr>
          <w:rFonts w:ascii="Times New Roman" w:hAnsi="Times New Roman"/>
          <w:b w:val="0"/>
          <w:color w:val="000000" w:themeColor="text1"/>
          <w:sz w:val="20"/>
          <w:u w:val="single"/>
        </w:rPr>
        <w:t>:</w:t>
      </w:r>
      <w:r w:rsidR="004D7F8C" w:rsidRPr="004D7F8C">
        <w:rPr>
          <w:rFonts w:ascii="Times New Roman" w:hAnsi="Times New Roman"/>
          <w:b w:val="0"/>
          <w:color w:val="000000" w:themeColor="text1"/>
          <w:sz w:val="20"/>
          <w:u w:val="single"/>
        </w:rPr>
        <w:t xml:space="preserve"> </w:t>
      </w:r>
      <w:r w:rsidRPr="004D7F8C">
        <w:rPr>
          <w:rFonts w:ascii="Times New Roman" w:hAnsi="Times New Roman"/>
          <w:b w:val="0"/>
          <w:color w:val="000000" w:themeColor="text1"/>
          <w:sz w:val="20"/>
          <w:u w:val="single"/>
        </w:rPr>
        <w:t>I</w:t>
      </w:r>
      <w:r>
        <w:rPr>
          <w:rFonts w:ascii="Times New Roman" w:hAnsi="Times New Roman"/>
          <w:b w:val="0"/>
          <w:color w:val="000000" w:themeColor="text1"/>
          <w:sz w:val="20"/>
          <w:u w:val="single"/>
        </w:rPr>
        <w:t>nstrukcje dotyczące poszczególnych pozycji</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Niniejszy szablon zgłasza się raz</w:t>
      </w:r>
      <w:r w:rsidR="004D7F8C">
        <w:rPr>
          <w:rFonts w:ascii="Times New Roman" w:hAnsi="Times New Roman"/>
          <w:sz w:val="20"/>
        </w:rPr>
        <w:t xml:space="preserve"> w odn</w:t>
      </w:r>
      <w:r>
        <w:rPr>
          <w:rFonts w:ascii="Times New Roman" w:hAnsi="Times New Roman"/>
          <w:sz w:val="20"/>
        </w:rPr>
        <w:t>iesieniu do każdego państwa członkowskiego (określonego jako „państwo”),</w:t>
      </w:r>
      <w:r w:rsidR="004D7F8C">
        <w:rPr>
          <w:rFonts w:ascii="Times New Roman" w:hAnsi="Times New Roman"/>
          <w:sz w:val="20"/>
        </w:rPr>
        <w:t xml:space="preserve"> w któ</w:t>
      </w:r>
      <w:r>
        <w:rPr>
          <w:rFonts w:ascii="Times New Roman" w:hAnsi="Times New Roman"/>
          <w:sz w:val="20"/>
        </w:rPr>
        <w:t>rym grupa prowadzi działalność.</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Obejmuje on wszystkie funkcje gospodarcze pełnione przez podmiot powiązany</w:t>
      </w:r>
      <w:r w:rsidR="004D7F8C">
        <w:rPr>
          <w:rFonts w:ascii="Times New Roman" w:hAnsi="Times New Roman"/>
          <w:sz w:val="20"/>
        </w:rPr>
        <w:t xml:space="preserve"> w tym</w:t>
      </w:r>
      <w:r>
        <w:rPr>
          <w:rFonts w:ascii="Times New Roman" w:hAnsi="Times New Roman"/>
          <w:sz w:val="20"/>
        </w:rPr>
        <w:t xml:space="preserve"> państwie członkowskim, niezależnie od tego, czy funkcja ta jest funkcją krytyczną.</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Wiersze</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Funkcje gospodarcze</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Funkcje gospodarcze zdefiniowane powyżej</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 funkcji gospodarczej</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funkcja gospodarcza znajduje się</w:t>
            </w:r>
            <w:r w:rsidR="004D7F8C">
              <w:rPr>
                <w:rFonts w:ascii="Times New Roman" w:hAnsi="Times New Roman"/>
                <w:color w:val="000000" w:themeColor="text1"/>
                <w:spacing w:val="-2"/>
                <w:w w:val="95"/>
                <w:sz w:val="20"/>
              </w:rPr>
              <w:t xml:space="preserve"> w kat</w:t>
            </w:r>
            <w:r>
              <w:rPr>
                <w:rFonts w:ascii="Times New Roman" w:hAnsi="Times New Roman"/>
                <w:color w:val="000000" w:themeColor="text1"/>
                <w:spacing w:val="-2"/>
                <w:w w:val="95"/>
                <w:sz w:val="20"/>
              </w:rPr>
              <w:t xml:space="preserve">egorii „inne” (funkcje 1.5–1.7, 2.6–2.8, 3.7–3.9, 4.5–4.7, 5.5–5.7), należy podać opis tej funkcji.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Udział</w:t>
            </w:r>
            <w:r w:rsidR="004D7F8C">
              <w:rPr>
                <w:rFonts w:ascii="Times New Roman" w:hAnsi="Times New Roman"/>
                <w:b/>
                <w:color w:val="000000" w:themeColor="text1"/>
                <w:sz w:val="20"/>
              </w:rPr>
              <w:t xml:space="preserve"> w ryn</w:t>
            </w:r>
            <w:r>
              <w:rPr>
                <w:rFonts w:ascii="Times New Roman" w:hAnsi="Times New Roman"/>
                <w:b/>
                <w:color w:val="000000" w:themeColor="text1"/>
                <w:sz w:val="20"/>
              </w:rPr>
              <w:t xml:space="preserve">ku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Szacunki udziału</w:t>
            </w:r>
            <w:r w:rsidR="004D7F8C">
              <w:rPr>
                <w:rFonts w:ascii="Times New Roman" w:hAnsi="Times New Roman"/>
                <w:color w:val="000000" w:themeColor="text1"/>
                <w:spacing w:val="-2"/>
                <w:w w:val="95"/>
                <w:sz w:val="20"/>
              </w:rPr>
              <w:t xml:space="preserve"> w ryn</w:t>
            </w:r>
            <w:r>
              <w:rPr>
                <w:rFonts w:ascii="Times New Roman" w:hAnsi="Times New Roman"/>
                <w:color w:val="000000" w:themeColor="text1"/>
                <w:spacing w:val="-2"/>
                <w:w w:val="95"/>
                <w:sz w:val="20"/>
              </w:rPr>
              <w:t>ku instytucji lub grupy</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funkcji gospodarczej</w:t>
            </w:r>
            <w:r w:rsidR="004D7F8C">
              <w:rPr>
                <w:rFonts w:ascii="Times New Roman" w:hAnsi="Times New Roman"/>
                <w:color w:val="000000" w:themeColor="text1"/>
                <w:spacing w:val="-2"/>
                <w:w w:val="95"/>
                <w:sz w:val="20"/>
              </w:rPr>
              <w:t xml:space="preserve"> w odp</w:t>
            </w:r>
            <w:r>
              <w:rPr>
                <w:rFonts w:ascii="Times New Roman" w:hAnsi="Times New Roman"/>
                <w:color w:val="000000" w:themeColor="text1"/>
                <w:spacing w:val="-2"/>
                <w:w w:val="95"/>
                <w:sz w:val="20"/>
              </w:rPr>
              <w:t>owiednim państwie. Podane jako odsetek całkowitego rynku pod względem kwoty pieniężnej.</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Kwota pieniężna</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Zawartość tej kolumny zależy od podanej funkcji gospodarczej:</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Depozyty</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Wartość bilansowa przyjętych depozytów (w tym odsetki naliczone).</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Odniesienia: FINREP, załączniki III i IV, szablon F 08.01 oraz załącznik V część 2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9</w:t>
            </w:r>
            <w:r>
              <w:rPr>
                <w:rFonts w:ascii="Times New Roman" w:hAnsi="Times New Roman"/>
                <w:color w:val="000000" w:themeColor="text1"/>
                <w:spacing w:val="-2"/>
                <w:w w:val="95"/>
                <w:sz w:val="20"/>
              </w:rPr>
              <w:t>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Udzielone 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Wartość bilansowa brutto niezagrożonych</w:t>
            </w:r>
            <w:r w:rsidR="004D7F8C">
              <w:rPr>
                <w:rFonts w:ascii="Times New Roman" w:hAnsi="Times New Roman"/>
                <w:color w:val="000000" w:themeColor="text1"/>
                <w:spacing w:val="-2"/>
                <w:w w:val="95"/>
                <w:sz w:val="20"/>
              </w:rPr>
              <w:t xml:space="preserve"> i zag</w:t>
            </w:r>
            <w:r>
              <w:rPr>
                <w:rFonts w:ascii="Times New Roman" w:hAnsi="Times New Roman"/>
                <w:color w:val="000000" w:themeColor="text1"/>
                <w:spacing w:val="-2"/>
                <w:w w:val="95"/>
                <w:sz w:val="20"/>
              </w:rPr>
              <w:t>rożonych kredytów</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yczek</w:t>
            </w:r>
            <w:r w:rsidR="004D7F8C">
              <w:rPr>
                <w:rFonts w:ascii="Times New Roman" w:hAnsi="Times New Roman"/>
                <w:color w:val="000000" w:themeColor="text1"/>
                <w:spacing w:val="-2"/>
                <w:w w:val="95"/>
                <w:sz w:val="20"/>
              </w:rPr>
              <w:t xml:space="preserve"> i zal</w:t>
            </w:r>
            <w:r>
              <w:rPr>
                <w:rFonts w:ascii="Times New Roman" w:hAnsi="Times New Roman"/>
                <w:color w:val="000000" w:themeColor="text1"/>
                <w:spacing w:val="-2"/>
                <w:w w:val="95"/>
                <w:sz w:val="20"/>
              </w:rPr>
              <w:t>iczek (w tym odsetek naliczonych). Udzielanie pożyczek papierów wartościowych uznaje się za wskaźnik zastępczy dotyczący spodziewanego przyszłego udzielania kredytów</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 xml:space="preserve">yczek.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Odniesienia: FINREP, załączniki III i IV, szablon F 04.04.01 oraz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 xml:space="preserve">4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b)</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płatności, środków pieniężnych, rozrachunku, rozliczenia, powiernictwa.</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Zasadniczo należy zgłosić średnią wartość dziennych transakcji</w:t>
            </w:r>
            <w:r w:rsidR="004D7F8C">
              <w:rPr>
                <w:rFonts w:ascii="Times New Roman" w:hAnsi="Times New Roman"/>
                <w:color w:val="000000" w:themeColor="text1"/>
                <w:spacing w:val="-2"/>
                <w:w w:val="95"/>
                <w:sz w:val="20"/>
              </w:rPr>
              <w:t xml:space="preserve"> w cią</w:t>
            </w:r>
            <w:r>
              <w:rPr>
                <w:rFonts w:ascii="Times New Roman" w:hAnsi="Times New Roman"/>
                <w:color w:val="000000" w:themeColor="text1"/>
                <w:spacing w:val="-2"/>
                <w:w w:val="95"/>
                <w:sz w:val="20"/>
              </w:rPr>
              <w:t>gu roku. Jeżeli dane takie nie są dostępne, można zgłosić średnią wartość</w:t>
            </w:r>
            <w:r w:rsidR="004D7F8C">
              <w:rPr>
                <w:rFonts w:ascii="Times New Roman" w:hAnsi="Times New Roman"/>
                <w:color w:val="000000" w:themeColor="text1"/>
                <w:spacing w:val="-2"/>
                <w:w w:val="95"/>
                <w:sz w:val="20"/>
              </w:rPr>
              <w:t xml:space="preserve"> w cią</w:t>
            </w:r>
            <w:r>
              <w:rPr>
                <w:rFonts w:ascii="Times New Roman" w:hAnsi="Times New Roman"/>
                <w:color w:val="000000" w:themeColor="text1"/>
                <w:spacing w:val="-2"/>
                <w:w w:val="95"/>
                <w:sz w:val="20"/>
              </w:rPr>
              <w:t>gu krótszego okresu (np. kilku miesięcy).</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Szczególnie</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 xml:space="preserve">ypadku poszczególnych funkcji należy rozważyć następujące środki: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Usługi płatnicze (3.1–3.2): wartość przesłanych transakcji.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 xml:space="preserve">(Odniesienia: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dyrektywy (UE) 2015/2366; EBC/2013/43)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środków pieniężnych (3.3): wartość transakcji bankomatowych zdefiniowanych w EBC/2013/43</w:t>
            </w:r>
            <w:r w:rsidR="004D7F8C">
              <w:rPr>
                <w:rFonts w:ascii="Times New Roman" w:hAnsi="Times New Roman"/>
                <w:color w:val="000000" w:themeColor="text1"/>
                <w:spacing w:val="-2"/>
                <w:w w:val="95"/>
                <w:sz w:val="20"/>
              </w:rPr>
              <w:t xml:space="preserve"> w tab</w:t>
            </w:r>
            <w:r>
              <w:rPr>
                <w:rFonts w:ascii="Times New Roman" w:hAnsi="Times New Roman"/>
                <w:color w:val="000000" w:themeColor="text1"/>
                <w:spacing w:val="-2"/>
                <w:w w:val="95"/>
                <w:sz w:val="20"/>
              </w:rPr>
              <w:t>eli 5a, jak również wypłata gotówki poza rynkiem regulowanym zdefiniowane w EBC/2014/15</w:t>
            </w:r>
            <w:r w:rsidR="004D7F8C">
              <w:rPr>
                <w:rFonts w:ascii="Times New Roman" w:hAnsi="Times New Roman"/>
                <w:color w:val="000000" w:themeColor="text1"/>
                <w:spacing w:val="-2"/>
                <w:w w:val="95"/>
                <w:sz w:val="20"/>
              </w:rPr>
              <w:t xml:space="preserve"> w tab</w:t>
            </w:r>
            <w:r>
              <w:rPr>
                <w:rFonts w:ascii="Times New Roman" w:hAnsi="Times New Roman"/>
                <w:color w:val="000000" w:themeColor="text1"/>
                <w:spacing w:val="-2"/>
                <w:w w:val="95"/>
                <w:sz w:val="20"/>
              </w:rPr>
              <w:t>eli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rozrachunku papierów wartościowych (3.4): wartość przeniesień papierów wartościowych wykonywanych</w:t>
            </w:r>
            <w:r w:rsidR="004D7F8C">
              <w:rPr>
                <w:rFonts w:ascii="Times New Roman" w:hAnsi="Times New Roman"/>
                <w:color w:val="000000" w:themeColor="text1"/>
                <w:spacing w:val="-2"/>
                <w:w w:val="95"/>
                <w:sz w:val="20"/>
              </w:rPr>
              <w:t xml:space="preserve"> w imi</w:t>
            </w:r>
            <w:r>
              <w:rPr>
                <w:rFonts w:ascii="Times New Roman" w:hAnsi="Times New Roman"/>
                <w:color w:val="000000" w:themeColor="text1"/>
                <w:spacing w:val="-2"/>
                <w:w w:val="95"/>
                <w:sz w:val="20"/>
              </w:rPr>
              <w:t>eniu klientów. Obejmuje to transakcje rozliczane</w:t>
            </w:r>
            <w:r w:rsidR="004D7F8C">
              <w:rPr>
                <w:rFonts w:ascii="Times New Roman" w:hAnsi="Times New Roman"/>
                <w:color w:val="000000" w:themeColor="text1"/>
                <w:spacing w:val="-2"/>
                <w:w w:val="95"/>
                <w:sz w:val="20"/>
              </w:rPr>
              <w:t xml:space="preserve"> w sys</w:t>
            </w:r>
            <w:r>
              <w:rPr>
                <w:rFonts w:ascii="Times New Roman" w:hAnsi="Times New Roman"/>
                <w:color w:val="000000" w:themeColor="text1"/>
                <w:spacing w:val="-2"/>
                <w:w w:val="95"/>
                <w:sz w:val="20"/>
              </w:rPr>
              <w:t>temie rozrachunku papierów wartościowych lub rozliczane wewnętrznie przez instytucje sprawozdające,</w:t>
            </w:r>
            <w:r w:rsidR="004D7F8C">
              <w:rPr>
                <w:rFonts w:ascii="Times New Roman" w:hAnsi="Times New Roman"/>
                <w:color w:val="000000" w:themeColor="text1"/>
                <w:spacing w:val="-2"/>
                <w:w w:val="95"/>
                <w:sz w:val="20"/>
              </w:rPr>
              <w:t xml:space="preserve"> a tak</w:t>
            </w:r>
            <w:r>
              <w:rPr>
                <w:rFonts w:ascii="Times New Roman" w:hAnsi="Times New Roman"/>
                <w:color w:val="000000" w:themeColor="text1"/>
                <w:spacing w:val="-2"/>
                <w:w w:val="95"/>
                <w:sz w:val="20"/>
              </w:rPr>
              <w:t>że transakcje nieobejmujące płatności.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 rozliczeniowe świadczone przez kontrahenta centralnego (3.5): pozycje (ekspozycja), które kontrahenci centralni, których członkiem jest instytucja, podejmują wraz z tą instytucją</w:t>
            </w:r>
            <w:r w:rsidR="004D7F8C">
              <w:rPr>
                <w:rFonts w:ascii="Times New Roman" w:hAnsi="Times New Roman"/>
                <w:color w:val="000000" w:themeColor="text1"/>
                <w:spacing w:val="-2"/>
                <w:w w:val="95"/>
                <w:sz w:val="20"/>
              </w:rPr>
              <w:t xml:space="preserve"> w imi</w:t>
            </w:r>
            <w:r>
              <w:rPr>
                <w:rFonts w:ascii="Times New Roman" w:hAnsi="Times New Roman"/>
                <w:color w:val="000000" w:themeColor="text1"/>
                <w:spacing w:val="-2"/>
                <w:w w:val="95"/>
                <w:sz w:val="20"/>
              </w:rPr>
              <w:t>eniu klientów. Należy zgłosić średnią dzienną wartość pozycji otwartych związanych</w:t>
            </w:r>
            <w:r w:rsidR="004D7F8C">
              <w:rPr>
                <w:rFonts w:ascii="Times New Roman" w:hAnsi="Times New Roman"/>
                <w:color w:val="000000" w:themeColor="text1"/>
                <w:spacing w:val="-2"/>
                <w:w w:val="95"/>
                <w:sz w:val="20"/>
              </w:rPr>
              <w:t xml:space="preserve"> z akt</w:t>
            </w:r>
            <w:r>
              <w:rPr>
                <w:rFonts w:ascii="Times New Roman" w:hAnsi="Times New Roman"/>
                <w:color w:val="000000" w:themeColor="text1"/>
                <w:spacing w:val="-2"/>
                <w:w w:val="95"/>
                <w:sz w:val="20"/>
              </w:rPr>
              <w:t>ywnością klienta na poziomie kontrahentów centralnych. Jeżeli dane takie nie są dostępne, można zgłosić średnią wartość</w:t>
            </w:r>
            <w:r w:rsidR="004D7F8C">
              <w:rPr>
                <w:rFonts w:ascii="Times New Roman" w:hAnsi="Times New Roman"/>
                <w:color w:val="000000" w:themeColor="text1"/>
                <w:spacing w:val="-2"/>
                <w:w w:val="95"/>
                <w:sz w:val="20"/>
              </w:rPr>
              <w:t xml:space="preserve"> w cią</w:t>
            </w:r>
            <w:r>
              <w:rPr>
                <w:rFonts w:ascii="Times New Roman" w:hAnsi="Times New Roman"/>
                <w:color w:val="000000" w:themeColor="text1"/>
                <w:spacing w:val="-2"/>
                <w:w w:val="95"/>
                <w:sz w:val="20"/>
              </w:rPr>
              <w:t>gu krótszego okresu (np. kilku miesięcy).</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 powiernictwa (3.6): wartość aktywów podlegających powiernictwu według wartości godziwej. Jeżeli wartość godziwa nie jest dostępna, można skorzystać</w:t>
            </w:r>
            <w:r w:rsidR="004D7F8C">
              <w:rPr>
                <w:rFonts w:ascii="Times New Roman" w:hAnsi="Times New Roman"/>
                <w:color w:val="000000" w:themeColor="text1"/>
                <w:spacing w:val="-2"/>
                <w:w w:val="95"/>
                <w:sz w:val="20"/>
              </w:rPr>
              <w:t xml:space="preserve"> z inn</w:t>
            </w:r>
            <w:r>
              <w:rPr>
                <w:rFonts w:ascii="Times New Roman" w:hAnsi="Times New Roman"/>
                <w:color w:val="000000" w:themeColor="text1"/>
                <w:spacing w:val="-2"/>
                <w:w w:val="95"/>
                <w:sz w:val="20"/>
              </w:rPr>
              <w:t>ych podstaw wyceny,</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wartości nominalnej. Jeżeli instytucja świadczy usługi na rzecz podmiotów takich jak przedsiębiorstwa zbiorowego inwestowania</w:t>
            </w:r>
            <w:r w:rsidR="004D7F8C">
              <w:rPr>
                <w:rFonts w:ascii="Times New Roman" w:hAnsi="Times New Roman"/>
                <w:color w:val="000000" w:themeColor="text1"/>
                <w:spacing w:val="-2"/>
                <w:w w:val="95"/>
                <w:sz w:val="20"/>
              </w:rPr>
              <w:t xml:space="preserve"> i fun</w:t>
            </w:r>
            <w:r>
              <w:rPr>
                <w:rFonts w:ascii="Times New Roman" w:hAnsi="Times New Roman"/>
                <w:color w:val="000000" w:themeColor="text1"/>
                <w:spacing w:val="-2"/>
                <w:w w:val="95"/>
                <w:sz w:val="20"/>
              </w:rPr>
              <w:t>dusze emerytalne, przedmiotowe aktywa można wykazać według wartości, po której podmioty te ujmują aktywa</w:t>
            </w:r>
            <w:r w:rsidR="004D7F8C">
              <w:rPr>
                <w:rFonts w:ascii="Times New Roman" w:hAnsi="Times New Roman"/>
                <w:color w:val="000000" w:themeColor="text1"/>
                <w:spacing w:val="-2"/>
                <w:w w:val="95"/>
                <w:sz w:val="20"/>
              </w:rPr>
              <w:t xml:space="preserve"> w swo</w:t>
            </w:r>
            <w:r>
              <w:rPr>
                <w:rFonts w:ascii="Times New Roman" w:hAnsi="Times New Roman"/>
                <w:color w:val="000000" w:themeColor="text1"/>
                <w:spacing w:val="-2"/>
                <w:w w:val="95"/>
                <w:sz w:val="20"/>
              </w:rPr>
              <w:t>im bilansie. Zgłoszone kwoty obejmują,</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 xml:space="preserve">sownych przypadkach, odsetki naliczone.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(Odniesienie: FINREP, załączniki III i IV, szablon F 22.02, kolumna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Rynki kapitałowe</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Kwota referencyjna – zgłaszana wyłącznie</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instrumentów pochodnych (4.1–4.2): kwota nominalna brutto wszystkich zawartych transakcji, które nie były jeszcze rozliczone</w:t>
            </w:r>
            <w:r w:rsidR="004D7F8C">
              <w:rPr>
                <w:rFonts w:ascii="Times New Roman" w:hAnsi="Times New Roman"/>
                <w:color w:val="000000" w:themeColor="text1"/>
                <w:spacing w:val="-2"/>
                <w:w w:val="95"/>
                <w:sz w:val="20"/>
              </w:rPr>
              <w:t xml:space="preserve"> w dni</w:t>
            </w:r>
            <w:r>
              <w:rPr>
                <w:rFonts w:ascii="Times New Roman" w:hAnsi="Times New Roman"/>
                <w:color w:val="000000" w:themeColor="text1"/>
                <w:spacing w:val="-2"/>
                <w:w w:val="95"/>
                <w:sz w:val="20"/>
              </w:rPr>
              <w:t xml:space="preserve">u odniesienia.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Odniesienia: FINREP, załącznik V część 2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33</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definicji;</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danych FINREP, załącznik III, IV i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Instrumenty pochodne łącznie (4.1–4.2): szablon F 10.00 kolumna 030 wiersz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Instrumenty pochodne będące przedmiotem obrotu poza rynkiem regulowanym (4.1): szablon F 10.00 kolumna 030 wiersze 300+310+320.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Działania na rynku wtórnym (4.3). Wartość bilansowa aktywów – wartość bilansowa, którą należy zgłosić po stronie aktywów bilansu,</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odsetki naliczone [FINREP: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7]</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instrumentów udziałowych</w:t>
            </w:r>
            <w:r w:rsidR="004D7F8C">
              <w:rPr>
                <w:rFonts w:ascii="Times New Roman" w:hAnsi="Times New Roman"/>
                <w:color w:val="000000" w:themeColor="text1"/>
                <w:spacing w:val="-2"/>
                <w:w w:val="95"/>
                <w:sz w:val="20"/>
              </w:rPr>
              <w:t xml:space="preserve"> i dłu</w:t>
            </w:r>
            <w:r>
              <w:rPr>
                <w:rFonts w:ascii="Times New Roman" w:hAnsi="Times New Roman"/>
                <w:color w:val="000000" w:themeColor="text1"/>
                <w:spacing w:val="-2"/>
                <w:w w:val="95"/>
                <w:sz w:val="20"/>
              </w:rPr>
              <w:t xml:space="preserve">żnych papierów wartościowych [FINREP: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1], sklasyfikowane jako „przeznaczone do obrotu” [FINREP</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z</w:t>
            </w:r>
            <w:r>
              <w:rPr>
                <w:rFonts w:ascii="Times New Roman" w:hAnsi="Times New Roman"/>
                <w:color w:val="000000" w:themeColor="text1"/>
                <w:spacing w:val="-2"/>
                <w:w w:val="95"/>
                <w:sz w:val="20"/>
              </w:rPr>
              <w:t xml:space="preserve">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5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 xml:space="preserve"> oraz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6 </w:t>
            </w:r>
            <w:r w:rsidRPr="004D7F8C">
              <w:rPr>
                <w:rFonts w:ascii="Times New Roman" w:hAnsi="Times New Roman"/>
                <w:color w:val="000000" w:themeColor="text1"/>
                <w:spacing w:val="-2"/>
                <w:w w:val="95"/>
                <w:sz w:val="20"/>
              </w:rPr>
              <w:t>lit.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a)</w:t>
            </w:r>
            <w:r>
              <w:rPr>
                <w:rFonts w:ascii="Times New Roman" w:hAnsi="Times New Roman"/>
                <w:color w:val="000000" w:themeColor="text1"/>
                <w:spacing w:val="-2"/>
                <w:w w:val="95"/>
                <w:sz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Odniesienie: FINREP: załącznik III szablon F 04.01 kolumna 010 wiersze 010+060+120.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Rynki pierwotne (4.4): dochód</w:t>
            </w:r>
            <w:r w:rsidR="004D7F8C">
              <w:rPr>
                <w:rFonts w:ascii="Times New Roman" w:hAnsi="Times New Roman"/>
                <w:color w:val="000000" w:themeColor="text1"/>
                <w:spacing w:val="-2"/>
                <w:w w:val="95"/>
                <w:sz w:val="20"/>
              </w:rPr>
              <w:t xml:space="preserve"> z opł</w:t>
            </w:r>
            <w:r>
              <w:rPr>
                <w:rFonts w:ascii="Times New Roman" w:hAnsi="Times New Roman"/>
                <w:color w:val="000000" w:themeColor="text1"/>
                <w:spacing w:val="-2"/>
                <w:w w:val="95"/>
                <w:sz w:val="20"/>
              </w:rPr>
              <w:t>at – opłaty</w:t>
            </w:r>
            <w:r w:rsidR="004D7F8C">
              <w:rPr>
                <w:rFonts w:ascii="Times New Roman" w:hAnsi="Times New Roman"/>
                <w:color w:val="000000" w:themeColor="text1"/>
                <w:spacing w:val="-2"/>
                <w:w w:val="95"/>
                <w:sz w:val="20"/>
              </w:rPr>
              <w:t xml:space="preserve"> i pro</w:t>
            </w:r>
            <w:r>
              <w:rPr>
                <w:rFonts w:ascii="Times New Roman" w:hAnsi="Times New Roman"/>
                <w:color w:val="000000" w:themeColor="text1"/>
                <w:spacing w:val="-2"/>
                <w:w w:val="95"/>
                <w:sz w:val="20"/>
              </w:rPr>
              <w:t>wizje otrzymane za zaangażowanie</w:t>
            </w:r>
            <w:r w:rsidR="004D7F8C">
              <w:rPr>
                <w:rFonts w:ascii="Times New Roman" w:hAnsi="Times New Roman"/>
                <w:color w:val="000000" w:themeColor="text1"/>
                <w:spacing w:val="-2"/>
                <w:w w:val="95"/>
                <w:sz w:val="20"/>
              </w:rPr>
              <w:t xml:space="preserve"> w two</w:t>
            </w:r>
            <w:r>
              <w:rPr>
                <w:rFonts w:ascii="Times New Roman" w:hAnsi="Times New Roman"/>
                <w:color w:val="000000" w:themeColor="text1"/>
                <w:spacing w:val="-2"/>
                <w:w w:val="95"/>
                <w:sz w:val="20"/>
              </w:rPr>
              <w:t>rzenie lub emisję papierów wartościowych, które nie zostały utworzone ani wyemitowane przez instytucję.</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Odniesienie: FINREP: załącznik III, IV szablon F 22.01 kolumna 010 wiersze 030+180.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Finansowanie na rynku międzybankowym</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Należy stosować wartość bilansową brutto zdefiniowaną do celów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Odniesienia: FINREP: załącznik V część 1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4, FINREP: załącznik III, IV, szablony:</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Zaciągnięte 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 (5.1): szablon F 20.06 kolumna 010 wiersze 100+110, wszystkie państwa.</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Instrumenty pochodne (aktywa) (5.2): szablon F 20.04 kolumna 010 wiersz 010, wszystkie państwa.</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Udzielone 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 (5.3): szablon F 20.04 kolumna 010 wiersze 170+180, wszystkie państwa.</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Instrumenty pochodne (zobowiązania) (5.4): szablon F 20.06 kolumna 010 wiersz 010, wszystkie państwa.</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Wskaźnik numeryczny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Zawartość tej kolumny zależy od podanej funkcji gospodarczej.</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Depozyty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Łączna liczba klientów, którzy zdeponowali wartości zgłoszone</w:t>
            </w:r>
            <w:r w:rsidR="004D7F8C">
              <w:rPr>
                <w:rFonts w:ascii="Times New Roman" w:hAnsi="Times New Roman"/>
                <w:color w:val="000000" w:themeColor="text1"/>
                <w:spacing w:val="-2"/>
                <w:w w:val="95"/>
                <w:sz w:val="20"/>
              </w:rPr>
              <w:t xml:space="preserve"> w kwo</w:t>
            </w:r>
            <w:r>
              <w:rPr>
                <w:rFonts w:ascii="Times New Roman" w:hAnsi="Times New Roman"/>
                <w:color w:val="000000" w:themeColor="text1"/>
                <w:spacing w:val="-2"/>
                <w:w w:val="95"/>
                <w:sz w:val="20"/>
              </w:rPr>
              <w:t>cie pieniężnej. Jeżeli jeden klient korzysta</w:t>
            </w:r>
            <w:r w:rsidR="004D7F8C">
              <w:rPr>
                <w:rFonts w:ascii="Times New Roman" w:hAnsi="Times New Roman"/>
                <w:color w:val="000000" w:themeColor="text1"/>
                <w:spacing w:val="-2"/>
                <w:w w:val="95"/>
                <w:sz w:val="20"/>
              </w:rPr>
              <w:t xml:space="preserve"> z wię</w:t>
            </w:r>
            <w:r>
              <w:rPr>
                <w:rFonts w:ascii="Times New Roman" w:hAnsi="Times New Roman"/>
                <w:color w:val="000000" w:themeColor="text1"/>
                <w:spacing w:val="-2"/>
                <w:w w:val="95"/>
                <w:sz w:val="20"/>
              </w:rPr>
              <w:t>kszej liczby produktów depozytowych / rachunków depozytowych, należy tego klienta policzyć tylko raz.</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Udzielone kredyty</w:t>
            </w:r>
            <w:r w:rsidR="004D7F8C">
              <w:rPr>
                <w:rFonts w:ascii="Times New Roman" w:hAnsi="Times New Roman"/>
                <w:color w:val="000000" w:themeColor="text1"/>
                <w:spacing w:val="-2"/>
                <w:w w:val="95"/>
                <w:sz w:val="20"/>
              </w:rPr>
              <w:t xml:space="preserve"> i poż</w:t>
            </w:r>
            <w:r>
              <w:rPr>
                <w:rFonts w:ascii="Times New Roman" w:hAnsi="Times New Roman"/>
                <w:color w:val="000000" w:themeColor="text1"/>
                <w:spacing w:val="-2"/>
                <w:w w:val="95"/>
                <w:sz w:val="20"/>
              </w:rPr>
              <w:t>yczki</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Łączna liczba klientów. Jeżeli klient korzysta</w:t>
            </w:r>
            <w:r w:rsidR="004D7F8C">
              <w:rPr>
                <w:rFonts w:ascii="Times New Roman" w:hAnsi="Times New Roman"/>
                <w:color w:val="000000" w:themeColor="text1"/>
                <w:spacing w:val="-2"/>
                <w:w w:val="95"/>
                <w:sz w:val="20"/>
              </w:rPr>
              <w:t xml:space="preserve"> z wie</w:t>
            </w:r>
            <w:r>
              <w:rPr>
                <w:rFonts w:ascii="Times New Roman" w:hAnsi="Times New Roman"/>
                <w:color w:val="000000" w:themeColor="text1"/>
                <w:spacing w:val="-2"/>
                <w:w w:val="95"/>
                <w:sz w:val="20"/>
              </w:rPr>
              <w:t xml:space="preserve">lu produktów kredytowych / kont kredytowych, </w:t>
            </w:r>
            <w:r>
              <w:rPr>
                <w:rFonts w:ascii="Times New Roman" w:hAnsi="Times New Roman"/>
                <w:color w:val="000000" w:themeColor="text1"/>
                <w:spacing w:val="-2"/>
                <w:w w:val="95"/>
                <w:sz w:val="20"/>
              </w:rPr>
              <w:lastRenderedPageBreak/>
              <w:t>należy tego klienta policzyć tylko raz.</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płatności, środków pieniężnych, rozrachunku, rozliczenia, powiernictwa.</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 do zasady zgłasza się średnie wartości dziennych transakcji</w:t>
            </w:r>
            <w:r w:rsidR="004D7F8C">
              <w:rPr>
                <w:rFonts w:ascii="Times New Roman" w:hAnsi="Times New Roman"/>
                <w:color w:val="000000" w:themeColor="text1"/>
                <w:spacing w:val="-2"/>
                <w:w w:val="95"/>
                <w:sz w:val="20"/>
              </w:rPr>
              <w:t xml:space="preserve"> w cią</w:t>
            </w:r>
            <w:r>
              <w:rPr>
                <w:rFonts w:ascii="Times New Roman" w:hAnsi="Times New Roman"/>
                <w:color w:val="000000" w:themeColor="text1"/>
                <w:spacing w:val="-2"/>
                <w:w w:val="95"/>
                <w:sz w:val="20"/>
              </w:rPr>
              <w:t>gu roku. Jeżeli dane takie nie są dostępne, można zgłosić średnią wartość</w:t>
            </w:r>
            <w:r w:rsidR="004D7F8C">
              <w:rPr>
                <w:rFonts w:ascii="Times New Roman" w:hAnsi="Times New Roman"/>
                <w:color w:val="000000" w:themeColor="text1"/>
                <w:spacing w:val="-2"/>
                <w:w w:val="95"/>
                <w:sz w:val="20"/>
              </w:rPr>
              <w:t xml:space="preserve"> w cią</w:t>
            </w:r>
            <w:r>
              <w:rPr>
                <w:rFonts w:ascii="Times New Roman" w:hAnsi="Times New Roman"/>
                <w:color w:val="000000" w:themeColor="text1"/>
                <w:spacing w:val="-2"/>
                <w:w w:val="95"/>
                <w:sz w:val="20"/>
              </w:rPr>
              <w:t xml:space="preserve">gu krótszego okresu (np. kilku miesięcy).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Szczególnie</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poszczególnych funkcji należy zastosować następujące środki: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Usługi płatnicze (3.1–3.2): liczba wykonanych transakcji.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Odniesienia: </w:t>
            </w:r>
            <w:r w:rsidRPr="004D7F8C">
              <w:rPr>
                <w:rFonts w:ascii="Times New Roman" w:hAnsi="Times New Roman"/>
                <w:color w:val="000000" w:themeColor="text1"/>
                <w:spacing w:val="-2"/>
                <w:w w:val="95"/>
                <w:sz w:val="20"/>
              </w:rPr>
              <w:t>art.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4</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5</w:t>
            </w:r>
            <w:r>
              <w:rPr>
                <w:rFonts w:ascii="Times New Roman" w:hAnsi="Times New Roman"/>
                <w:color w:val="000000" w:themeColor="text1"/>
                <w:spacing w:val="-2"/>
                <w:w w:val="95"/>
                <w:sz w:val="20"/>
              </w:rPr>
              <w:t xml:space="preserve"> dyrektywy (UE) 2015/2366; EBC/2013/43.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środków pieniężnych (3.3): liczba transakcji bankomatowych zdefiniowanych w EBC/2013/43</w:t>
            </w:r>
            <w:r w:rsidR="004D7F8C">
              <w:rPr>
                <w:rFonts w:ascii="Times New Roman" w:hAnsi="Times New Roman"/>
                <w:color w:val="000000" w:themeColor="text1"/>
                <w:spacing w:val="-2"/>
                <w:w w:val="95"/>
                <w:sz w:val="20"/>
              </w:rPr>
              <w:t xml:space="preserve"> w tab</w:t>
            </w:r>
            <w:r>
              <w:rPr>
                <w:rFonts w:ascii="Times New Roman" w:hAnsi="Times New Roman"/>
                <w:color w:val="000000" w:themeColor="text1"/>
                <w:spacing w:val="-2"/>
                <w:w w:val="95"/>
                <w:sz w:val="20"/>
              </w:rPr>
              <w:t>eli 5a, jak również wypłat gotówki poza rynkiem regulowanym zdefiniowanych w EBC/2014/15</w:t>
            </w:r>
            <w:r w:rsidR="004D7F8C">
              <w:rPr>
                <w:rFonts w:ascii="Times New Roman" w:hAnsi="Times New Roman"/>
                <w:color w:val="000000" w:themeColor="text1"/>
                <w:spacing w:val="-2"/>
                <w:w w:val="95"/>
                <w:sz w:val="20"/>
              </w:rPr>
              <w:t xml:space="preserve"> w tab</w:t>
            </w:r>
            <w:r>
              <w:rPr>
                <w:rFonts w:ascii="Times New Roman" w:hAnsi="Times New Roman"/>
                <w:color w:val="000000" w:themeColor="text1"/>
                <w:spacing w:val="-2"/>
                <w:w w:val="95"/>
                <w:sz w:val="20"/>
              </w:rPr>
              <w:t>eli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rozrachunku papierów wartościowych (3.4): liczba transakcji przeniesienia papierów wartościowych wykonywanych</w:t>
            </w:r>
            <w:r w:rsidR="004D7F8C">
              <w:rPr>
                <w:rFonts w:ascii="Times New Roman" w:hAnsi="Times New Roman"/>
                <w:color w:val="000000" w:themeColor="text1"/>
                <w:spacing w:val="-2"/>
                <w:w w:val="95"/>
                <w:sz w:val="20"/>
              </w:rPr>
              <w:t xml:space="preserve"> w imi</w:t>
            </w:r>
            <w:r>
              <w:rPr>
                <w:rFonts w:ascii="Times New Roman" w:hAnsi="Times New Roman"/>
                <w:color w:val="000000" w:themeColor="text1"/>
                <w:spacing w:val="-2"/>
                <w:w w:val="95"/>
                <w:sz w:val="20"/>
              </w:rPr>
              <w:t>eniu klientów. Obejmuje to transakcje rozliczane</w:t>
            </w:r>
            <w:r w:rsidR="004D7F8C">
              <w:rPr>
                <w:rFonts w:ascii="Times New Roman" w:hAnsi="Times New Roman"/>
                <w:color w:val="000000" w:themeColor="text1"/>
                <w:spacing w:val="-2"/>
                <w:w w:val="95"/>
                <w:sz w:val="20"/>
              </w:rPr>
              <w:t xml:space="preserve"> w sys</w:t>
            </w:r>
            <w:r>
              <w:rPr>
                <w:rFonts w:ascii="Times New Roman" w:hAnsi="Times New Roman"/>
                <w:color w:val="000000" w:themeColor="text1"/>
                <w:spacing w:val="-2"/>
                <w:w w:val="95"/>
                <w:sz w:val="20"/>
              </w:rPr>
              <w:t>temie rozrachunku papierów wartościowych lub rozliczane wewnętrznie przez instytucję lub grupę sprawozdającą,</w:t>
            </w:r>
            <w:r w:rsidR="004D7F8C">
              <w:rPr>
                <w:rFonts w:ascii="Times New Roman" w:hAnsi="Times New Roman"/>
                <w:color w:val="000000" w:themeColor="text1"/>
                <w:spacing w:val="-2"/>
                <w:w w:val="95"/>
                <w:sz w:val="20"/>
              </w:rPr>
              <w:t xml:space="preserve"> a tak</w:t>
            </w:r>
            <w:r>
              <w:rPr>
                <w:rFonts w:ascii="Times New Roman" w:hAnsi="Times New Roman"/>
                <w:color w:val="000000" w:themeColor="text1"/>
                <w:spacing w:val="-2"/>
                <w:w w:val="95"/>
                <w:sz w:val="20"/>
              </w:rPr>
              <w:t>że transakcje nieobejmujące płatności.</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Rynki kapitałowe</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Liczba kontrahentów LUB transakcji</w:t>
            </w:r>
            <w:r w:rsidR="004D7F8C">
              <w:rPr>
                <w:rFonts w:ascii="Times New Roman" w:hAnsi="Times New Roman"/>
                <w:color w:val="000000" w:themeColor="text1"/>
                <w:spacing w:val="-2"/>
                <w:w w:val="95"/>
                <w:sz w:val="20"/>
              </w:rPr>
              <w:t>. W odn</w:t>
            </w:r>
            <w:r>
              <w:rPr>
                <w:rFonts w:ascii="Times New Roman" w:hAnsi="Times New Roman"/>
                <w:color w:val="000000" w:themeColor="text1"/>
                <w:spacing w:val="-2"/>
                <w:w w:val="95"/>
                <w:sz w:val="20"/>
              </w:rPr>
              <w:t>iesieniu do instrumentów pochodnych (4.1–4.2)</w:t>
            </w:r>
            <w:r w:rsidR="004D7F8C">
              <w:rPr>
                <w:rFonts w:ascii="Times New Roman" w:hAnsi="Times New Roman"/>
                <w:color w:val="000000" w:themeColor="text1"/>
                <w:spacing w:val="-2"/>
                <w:w w:val="95"/>
                <w:sz w:val="20"/>
              </w:rPr>
              <w:t xml:space="preserve"> i ins</w:t>
            </w:r>
            <w:r>
              <w:rPr>
                <w:rFonts w:ascii="Times New Roman" w:hAnsi="Times New Roman"/>
                <w:color w:val="000000" w:themeColor="text1"/>
                <w:spacing w:val="-2"/>
                <w:w w:val="95"/>
                <w:sz w:val="20"/>
              </w:rPr>
              <w:t>trumentów rynku wtórnego (4.3) – łączna liczba kontrahentów</w:t>
            </w:r>
            <w:r w:rsidR="004D7F8C">
              <w:rPr>
                <w:rFonts w:ascii="Times New Roman" w:hAnsi="Times New Roman"/>
                <w:color w:val="000000" w:themeColor="text1"/>
                <w:spacing w:val="-2"/>
                <w:w w:val="95"/>
                <w:sz w:val="20"/>
              </w:rPr>
              <w:t>. W odn</w:t>
            </w:r>
            <w:r>
              <w:rPr>
                <w:rFonts w:ascii="Times New Roman" w:hAnsi="Times New Roman"/>
                <w:color w:val="000000" w:themeColor="text1"/>
                <w:spacing w:val="-2"/>
                <w:w w:val="95"/>
                <w:sz w:val="20"/>
              </w:rPr>
              <w:t>iesieniu do rynków pierwotnych (4.4) – łączna liczba transakcji subemisji.</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Finansowanie na rynku międzybankowym</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Łączna liczba kontrahentów. Jeżeli jeden kontrahent posiada większą liczbę rachunków lub transakcji, należy tego kontrahenta policzyć tylko raz.</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Wpływ na rynek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Szacowany wpływ nagłego zaprzestania pełnienia funkcji na osoby trzecie, rynki finansowe</w:t>
            </w:r>
            <w:r w:rsidR="004D7F8C">
              <w:rPr>
                <w:rFonts w:ascii="Times New Roman" w:hAnsi="Times New Roman"/>
                <w:color w:val="000000" w:themeColor="text1"/>
                <w:spacing w:val="-2"/>
                <w:w w:val="95"/>
                <w:sz w:val="20"/>
              </w:rPr>
              <w:t xml:space="preserve"> i gos</w:t>
            </w:r>
            <w:r>
              <w:rPr>
                <w:rFonts w:ascii="Times New Roman" w:hAnsi="Times New Roman"/>
                <w:color w:val="000000" w:themeColor="text1"/>
                <w:spacing w:val="-2"/>
                <w:w w:val="95"/>
                <w:sz w:val="20"/>
              </w:rPr>
              <w:t>podarkę realną,</w:t>
            </w:r>
            <w:r w:rsidR="004D7F8C">
              <w:rPr>
                <w:rFonts w:ascii="Times New Roman" w:hAnsi="Times New Roman"/>
                <w:color w:val="000000" w:themeColor="text1"/>
                <w:spacing w:val="-2"/>
                <w:w w:val="95"/>
                <w:sz w:val="20"/>
              </w:rPr>
              <w:t xml:space="preserve"> z uwz</w:t>
            </w:r>
            <w:r>
              <w:rPr>
                <w:rFonts w:ascii="Times New Roman" w:hAnsi="Times New Roman"/>
                <w:color w:val="000000" w:themeColor="text1"/>
                <w:spacing w:val="-2"/>
                <w:w w:val="95"/>
                <w:sz w:val="20"/>
              </w:rPr>
              <w:t>ględnieniem rozmiaru, udziału</w:t>
            </w:r>
            <w:r w:rsidR="004D7F8C">
              <w:rPr>
                <w:rFonts w:ascii="Times New Roman" w:hAnsi="Times New Roman"/>
                <w:color w:val="000000" w:themeColor="text1"/>
                <w:spacing w:val="-2"/>
                <w:w w:val="95"/>
                <w:sz w:val="20"/>
              </w:rPr>
              <w:t xml:space="preserve"> w ryn</w:t>
            </w:r>
            <w:r>
              <w:rPr>
                <w:rFonts w:ascii="Times New Roman" w:hAnsi="Times New Roman"/>
                <w:color w:val="000000" w:themeColor="text1"/>
                <w:spacing w:val="-2"/>
                <w:w w:val="95"/>
                <w:sz w:val="20"/>
              </w:rPr>
              <w:t>ku</w:t>
            </w:r>
            <w:r w:rsidR="004D7F8C">
              <w:rPr>
                <w:rFonts w:ascii="Times New Roman" w:hAnsi="Times New Roman"/>
                <w:color w:val="000000" w:themeColor="text1"/>
                <w:spacing w:val="-2"/>
                <w:w w:val="95"/>
                <w:sz w:val="20"/>
              </w:rPr>
              <w:t xml:space="preserve"> w dan</w:t>
            </w:r>
            <w:r>
              <w:rPr>
                <w:rFonts w:ascii="Times New Roman" w:hAnsi="Times New Roman"/>
                <w:color w:val="000000" w:themeColor="text1"/>
                <w:spacing w:val="-2"/>
                <w:w w:val="95"/>
                <w:sz w:val="20"/>
              </w:rPr>
              <w:t>ym państwie, zewnętrznych</w:t>
            </w:r>
            <w:r w:rsidR="004D7F8C">
              <w:rPr>
                <w:rFonts w:ascii="Times New Roman" w:hAnsi="Times New Roman"/>
                <w:color w:val="000000" w:themeColor="text1"/>
                <w:spacing w:val="-2"/>
                <w:w w:val="95"/>
                <w:sz w:val="20"/>
              </w:rPr>
              <w:t xml:space="preserve"> i wew</w:t>
            </w:r>
            <w:r>
              <w:rPr>
                <w:rFonts w:ascii="Times New Roman" w:hAnsi="Times New Roman"/>
                <w:color w:val="000000" w:themeColor="text1"/>
                <w:spacing w:val="-2"/>
                <w:w w:val="95"/>
                <w:sz w:val="20"/>
              </w:rPr>
              <w:t>nętrznych powiązań, złożoności oraz transgranicznej działalności instytucji.</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Ocenę tę wyraża się jakościowo jako „wysoki (W)”, „dość wysoki (DW)”, „dość niski (DN)” lub „niski (N)”.</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wybiera się wtedy, gdy zaprzestanie pełnienia funkcji ma duży wpływ na rynek krajowy; „DW” – gdy wpływ ten jest znaczny; „DN” – gdy wpływ ten jest istotny, ale ograniczony; a „N” – gdy wpływ ten jest niewielki.</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Substytucyjność</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Art. 6 </w:t>
            </w:r>
            <w:r w:rsidRPr="004D7F8C">
              <w:rPr>
                <w:rFonts w:ascii="Times New Roman" w:hAnsi="Times New Roman"/>
                <w:color w:val="000000" w:themeColor="text1"/>
                <w:sz w:val="20"/>
              </w:rPr>
              <w:t>ust.</w:t>
            </w:r>
            <w:r w:rsidR="004D7F8C" w:rsidRPr="004D7F8C">
              <w:rPr>
                <w:rFonts w:ascii="Times New Roman" w:hAnsi="Times New Roman"/>
                <w:color w:val="000000" w:themeColor="text1"/>
                <w:sz w:val="20"/>
              </w:rPr>
              <w:t> </w:t>
            </w:r>
            <w:r w:rsidRPr="004D7F8C">
              <w:rPr>
                <w:rFonts w:ascii="Times New Roman" w:hAnsi="Times New Roman"/>
                <w:color w:val="000000" w:themeColor="text1"/>
                <w:sz w:val="20"/>
              </w:rPr>
              <w:t>3</w:t>
            </w:r>
            <w:r>
              <w:rPr>
                <w:rFonts w:ascii="Times New Roman" w:hAnsi="Times New Roman"/>
                <w:color w:val="000000" w:themeColor="text1"/>
                <w:sz w:val="20"/>
              </w:rPr>
              <w:t xml:space="preserve"> rozporządzenia delegowanego (UE)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Funkcję uznaje się za podlegającą substytucji, jeżeli można ją zastąpić</w:t>
            </w:r>
            <w:r w:rsidR="004D7F8C">
              <w:rPr>
                <w:rFonts w:ascii="Times New Roman" w:hAnsi="Times New Roman"/>
                <w:color w:val="000000" w:themeColor="text1"/>
                <w:spacing w:val="-2"/>
                <w:w w:val="95"/>
                <w:sz w:val="20"/>
              </w:rPr>
              <w:t xml:space="preserve"> w akc</w:t>
            </w:r>
            <w:r>
              <w:rPr>
                <w:rFonts w:ascii="Times New Roman" w:hAnsi="Times New Roman"/>
                <w:color w:val="000000" w:themeColor="text1"/>
                <w:spacing w:val="-2"/>
                <w:w w:val="95"/>
                <w:sz w:val="20"/>
              </w:rPr>
              <w:t>eptowalny sposób</w:t>
            </w:r>
            <w:r w:rsidR="004D7F8C">
              <w:rPr>
                <w:rFonts w:ascii="Times New Roman" w:hAnsi="Times New Roman"/>
                <w:color w:val="000000" w:themeColor="text1"/>
                <w:spacing w:val="-2"/>
                <w:w w:val="95"/>
                <w:sz w:val="20"/>
              </w:rPr>
              <w:t xml:space="preserve"> w roz</w:t>
            </w:r>
            <w:r>
              <w:rPr>
                <w:rFonts w:ascii="Times New Roman" w:hAnsi="Times New Roman"/>
                <w:color w:val="000000" w:themeColor="text1"/>
                <w:spacing w:val="-2"/>
                <w:w w:val="95"/>
                <w:sz w:val="20"/>
              </w:rPr>
              <w:t>sądnych ramach czasowych, unikając przy tym problemów systemowych dla gospodarki realnej</w:t>
            </w:r>
            <w:r w:rsidR="004D7F8C">
              <w:rPr>
                <w:rFonts w:ascii="Times New Roman" w:hAnsi="Times New Roman"/>
                <w:color w:val="000000" w:themeColor="text1"/>
                <w:spacing w:val="-2"/>
                <w:w w:val="95"/>
                <w:sz w:val="20"/>
              </w:rPr>
              <w:t xml:space="preserve"> i ryn</w:t>
            </w:r>
            <w:r>
              <w:rPr>
                <w:rFonts w:ascii="Times New Roman" w:hAnsi="Times New Roman"/>
                <w:color w:val="000000" w:themeColor="text1"/>
                <w:spacing w:val="-2"/>
                <w:w w:val="95"/>
                <w:sz w:val="20"/>
              </w:rPr>
              <w:t>ków finansowych. Należy wziąć pod uwagę, co następuje:</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strukturę rynku tej funkcji</w:t>
            </w:r>
            <w:r w:rsidR="004D7F8C">
              <w:rPr>
                <w:rFonts w:ascii="Times New Roman" w:hAnsi="Times New Roman"/>
                <w:color w:val="000000" w:themeColor="text1"/>
                <w:spacing w:val="-2"/>
                <w:w w:val="95"/>
                <w:sz w:val="20"/>
              </w:rPr>
              <w:t xml:space="preserve"> i dos</w:t>
            </w:r>
            <w:r>
              <w:rPr>
                <w:rFonts w:ascii="Times New Roman" w:hAnsi="Times New Roman"/>
                <w:color w:val="000000" w:themeColor="text1"/>
                <w:spacing w:val="-2"/>
                <w:w w:val="95"/>
                <w:sz w:val="20"/>
              </w:rPr>
              <w:t xml:space="preserve">tępność dostawców funkcji zastępczych;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 zdolność innych dostawców pod względem wydajności, wymogi pełnienia funkcji</w:t>
            </w:r>
            <w:r w:rsidR="004D7F8C">
              <w:rPr>
                <w:rFonts w:ascii="Times New Roman" w:hAnsi="Times New Roman"/>
                <w:color w:val="000000" w:themeColor="text1"/>
                <w:spacing w:val="-2"/>
                <w:w w:val="95"/>
                <w:sz w:val="20"/>
              </w:rPr>
              <w:t xml:space="preserve"> i ewe</w:t>
            </w:r>
            <w:r>
              <w:rPr>
                <w:rFonts w:ascii="Times New Roman" w:hAnsi="Times New Roman"/>
                <w:color w:val="000000" w:themeColor="text1"/>
                <w:spacing w:val="-2"/>
                <w:w w:val="95"/>
                <w:sz w:val="20"/>
              </w:rPr>
              <w:t xml:space="preserve">ntualne bariery uniemożliwiające wejście na rynek lub ekspansję;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środek zachęty dla innych dostawców do podjęcia tych działań;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czas wymagany do zmiany dostawcy przez użytkowników usługi na nowego dostawcę usług</w:t>
            </w:r>
            <w:r w:rsidR="004D7F8C">
              <w:rPr>
                <w:rFonts w:ascii="Times New Roman" w:hAnsi="Times New Roman"/>
                <w:color w:val="000000" w:themeColor="text1"/>
                <w:spacing w:val="-2"/>
                <w:w w:val="95"/>
                <w:sz w:val="20"/>
              </w:rPr>
              <w:t xml:space="preserve"> i kos</w:t>
            </w:r>
            <w:r>
              <w:rPr>
                <w:rFonts w:ascii="Times New Roman" w:hAnsi="Times New Roman"/>
                <w:color w:val="000000" w:themeColor="text1"/>
                <w:spacing w:val="-2"/>
                <w:w w:val="95"/>
                <w:sz w:val="20"/>
              </w:rPr>
              <w:t>zty związane z tą zmianą, czas wymagany do przejęcia funkcji przez innych konkurentów oraz kwestia, czy czas ten jest wystarczający, aby zapobiec znacznemu zaburzeniu</w:t>
            </w:r>
            <w:r w:rsidR="004D7F8C">
              <w:rPr>
                <w:rFonts w:ascii="Times New Roman" w:hAnsi="Times New Roman"/>
                <w:color w:val="000000" w:themeColor="text1"/>
                <w:spacing w:val="-2"/>
                <w:w w:val="95"/>
                <w:sz w:val="20"/>
              </w:rPr>
              <w:t xml:space="preserve"> w zal</w:t>
            </w:r>
            <w:r>
              <w:rPr>
                <w:rFonts w:ascii="Times New Roman" w:hAnsi="Times New Roman"/>
                <w:color w:val="000000" w:themeColor="text1"/>
                <w:spacing w:val="-2"/>
                <w:w w:val="95"/>
                <w:sz w:val="20"/>
              </w:rPr>
              <w:t>eżności od rodzaju usługi.</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Ocenę tę wyraża się jakościowo jako „wysoki (W)”, „dość wysoki (DW)”, „dość niski (DN)” lub „niski (N)”.</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wybiera się wtedy, gdy inny bank może</w:t>
            </w:r>
            <w:r w:rsidR="004D7F8C">
              <w:rPr>
                <w:rFonts w:ascii="Times New Roman" w:hAnsi="Times New Roman"/>
                <w:color w:val="000000" w:themeColor="text1"/>
                <w:spacing w:val="-2"/>
                <w:w w:val="95"/>
                <w:sz w:val="20"/>
              </w:rPr>
              <w:t xml:space="preserve"> z łat</w:t>
            </w:r>
            <w:r>
              <w:rPr>
                <w:rFonts w:ascii="Times New Roman" w:hAnsi="Times New Roman"/>
                <w:color w:val="000000" w:themeColor="text1"/>
                <w:spacing w:val="-2"/>
                <w:w w:val="95"/>
                <w:sz w:val="20"/>
              </w:rPr>
              <w:t>wością pełnić daną funkcję na porównywalnych warunkach</w:t>
            </w:r>
            <w:r w:rsidR="004D7F8C">
              <w:rPr>
                <w:rFonts w:ascii="Times New Roman" w:hAnsi="Times New Roman"/>
                <w:color w:val="000000" w:themeColor="text1"/>
                <w:spacing w:val="-2"/>
                <w:w w:val="95"/>
                <w:sz w:val="20"/>
              </w:rPr>
              <w:t xml:space="preserve"> i w roz</w:t>
            </w:r>
            <w:r>
              <w:rPr>
                <w:rFonts w:ascii="Times New Roman" w:hAnsi="Times New Roman"/>
                <w:color w:val="000000" w:themeColor="text1"/>
                <w:spacing w:val="-2"/>
                <w:w w:val="95"/>
                <w:sz w:val="20"/>
              </w:rPr>
              <w:t>sądnych ramach czasowych;</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„N” – gdy funkcji nie da się łatwo lub szybko zastąpić;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„DW” i „DN” zaznacza się</w:t>
            </w:r>
            <w:r w:rsidR="004D7F8C">
              <w:rPr>
                <w:rFonts w:ascii="Times New Roman" w:hAnsi="Times New Roman"/>
                <w:color w:val="000000" w:themeColor="text1"/>
                <w:spacing w:val="-2"/>
                <w:w w:val="95"/>
                <w:sz w:val="20"/>
              </w:rPr>
              <w:t xml:space="preserve"> w poś</w:t>
            </w:r>
            <w:r>
              <w:rPr>
                <w:rFonts w:ascii="Times New Roman" w:hAnsi="Times New Roman"/>
                <w:color w:val="000000" w:themeColor="text1"/>
                <w:spacing w:val="-2"/>
                <w:w w:val="95"/>
                <w:sz w:val="20"/>
              </w:rPr>
              <w:t>rednich przypadkach, uwzględniając różne wymiary (np. udział</w:t>
            </w:r>
            <w:r w:rsidR="004D7F8C">
              <w:rPr>
                <w:rFonts w:ascii="Times New Roman" w:hAnsi="Times New Roman"/>
                <w:color w:val="000000" w:themeColor="text1"/>
                <w:spacing w:val="-2"/>
                <w:w w:val="95"/>
                <w:sz w:val="20"/>
              </w:rPr>
              <w:t xml:space="preserve"> w ryn</w:t>
            </w:r>
            <w:r>
              <w:rPr>
                <w:rFonts w:ascii="Times New Roman" w:hAnsi="Times New Roman"/>
                <w:color w:val="000000" w:themeColor="text1"/>
                <w:spacing w:val="-2"/>
                <w:w w:val="95"/>
                <w:sz w:val="20"/>
              </w:rPr>
              <w:t>ku, koncentrację rynku, czas zastąpienia, jak również bariery prawne</w:t>
            </w:r>
            <w:r w:rsidR="004D7F8C">
              <w:rPr>
                <w:rFonts w:ascii="Times New Roman" w:hAnsi="Times New Roman"/>
                <w:color w:val="000000" w:themeColor="text1"/>
                <w:spacing w:val="-2"/>
                <w:w w:val="95"/>
                <w:sz w:val="20"/>
              </w:rPr>
              <w:t xml:space="preserve"> i wym</w:t>
            </w:r>
            <w:r>
              <w:rPr>
                <w:rFonts w:ascii="Times New Roman" w:hAnsi="Times New Roman"/>
                <w:color w:val="000000" w:themeColor="text1"/>
                <w:spacing w:val="-2"/>
                <w:w w:val="95"/>
                <w:sz w:val="20"/>
              </w:rPr>
              <w:t>ogi operacyjne</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 xml:space="preserve">iesieniu do wejścia na rynek lub ekspansji).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Funkcja krytyczna</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kolumnie tej zgłasza się, czy – uwzględniając dane ilościowe</w:t>
            </w:r>
            <w:r w:rsidR="004D7F8C">
              <w:rPr>
                <w:rFonts w:ascii="Times New Roman" w:hAnsi="Times New Roman"/>
                <w:color w:val="000000" w:themeColor="text1"/>
                <w:spacing w:val="-2"/>
                <w:w w:val="95"/>
                <w:sz w:val="20"/>
              </w:rPr>
              <w:t xml:space="preserve"> i wsp</w:t>
            </w:r>
            <w:r>
              <w:rPr>
                <w:rFonts w:ascii="Times New Roman" w:hAnsi="Times New Roman"/>
                <w:color w:val="000000" w:themeColor="text1"/>
                <w:spacing w:val="-2"/>
                <w:w w:val="95"/>
                <w:sz w:val="20"/>
              </w:rPr>
              <w:t>ółczynniki krytyczności ujęte</w:t>
            </w:r>
            <w:r w:rsidR="004D7F8C">
              <w:rPr>
                <w:rFonts w:ascii="Times New Roman" w:hAnsi="Times New Roman"/>
                <w:color w:val="000000" w:themeColor="text1"/>
                <w:spacing w:val="-2"/>
                <w:w w:val="95"/>
                <w:sz w:val="20"/>
              </w:rPr>
              <w:t xml:space="preserve"> w nin</w:t>
            </w:r>
            <w:r>
              <w:rPr>
                <w:rFonts w:ascii="Times New Roman" w:hAnsi="Times New Roman"/>
                <w:color w:val="000000" w:themeColor="text1"/>
                <w:spacing w:val="-2"/>
                <w:w w:val="95"/>
                <w:sz w:val="20"/>
              </w:rPr>
              <w:t>iejszym szablonie – uznano, że funkcja gospodarcza za ma krytyczne znaczenie na rynku danego państwa.</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„Tak” lub „Nie”.</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Schemat przyporządkowania funkcji krytycznych do podmiotów prawnych (FUNC 2) Instrukcje dotyczące poszczególnych pozycji</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Niniejszy szablon zgłasza się</w:t>
      </w:r>
      <w:r w:rsidR="004D7F8C">
        <w:rPr>
          <w:rFonts w:ascii="Times New Roman" w:hAnsi="Times New Roman"/>
          <w:sz w:val="20"/>
        </w:rPr>
        <w:t xml:space="preserve"> w odn</w:t>
      </w:r>
      <w:r>
        <w:rPr>
          <w:rFonts w:ascii="Times New Roman" w:hAnsi="Times New Roman"/>
          <w:sz w:val="20"/>
        </w:rPr>
        <w:t>iesieniu do całej grupy</w:t>
      </w:r>
      <w:r w:rsidR="004D7F8C">
        <w:rPr>
          <w:rFonts w:ascii="Times New Roman" w:hAnsi="Times New Roman"/>
          <w:sz w:val="20"/>
        </w:rPr>
        <w:t>. W sza</w:t>
      </w:r>
      <w:r>
        <w:rPr>
          <w:rFonts w:ascii="Times New Roman" w:hAnsi="Times New Roman"/>
          <w:sz w:val="20"/>
        </w:rPr>
        <w:t>blonie tym zgłasza się wyłącznie funkcje krytyczne, które zostały jako takie określone w {Z 07.01;070} (na państwo członkowskie).</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Połączenie wartości zgłoszonych</w:t>
      </w:r>
      <w:r w:rsidR="004D7F8C">
        <w:rPr>
          <w:rFonts w:ascii="Times New Roman" w:hAnsi="Times New Roman"/>
          <w:sz w:val="20"/>
        </w:rPr>
        <w:t xml:space="preserve"> w kol</w:t>
      </w:r>
      <w:r>
        <w:rPr>
          <w:rFonts w:ascii="Times New Roman" w:hAnsi="Times New Roman"/>
          <w:sz w:val="20"/>
        </w:rPr>
        <w:t>umnach 0010, 0020</w:t>
      </w:r>
      <w:r w:rsidR="004D7F8C">
        <w:rPr>
          <w:rFonts w:ascii="Times New Roman" w:hAnsi="Times New Roman"/>
          <w:sz w:val="20"/>
        </w:rPr>
        <w:t xml:space="preserve"> i 0</w:t>
      </w:r>
      <w:r>
        <w:rPr>
          <w:rFonts w:ascii="Times New Roman" w:hAnsi="Times New Roman"/>
          <w:sz w:val="20"/>
        </w:rPr>
        <w:t>040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ypadku każdego wiersza szablonu.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Państwo</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Państwo,</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którego funkcja ma krytyczne znaczenie, zgodnie ze zgłoszeniem w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Nr </w:t>
            </w:r>
            <w:proofErr w:type="spellStart"/>
            <w:r>
              <w:rPr>
                <w:rFonts w:ascii="Times New Roman" w:hAnsi="Times New Roman"/>
                <w:b/>
                <w:color w:val="000000" w:themeColor="text1"/>
                <w:sz w:val="20"/>
              </w:rPr>
              <w:t>iden</w:t>
            </w:r>
            <w:proofErr w:type="spellEnd"/>
            <w:r>
              <w:rPr>
                <w:rFonts w:ascii="Times New Roman" w:hAnsi="Times New Roman"/>
                <w:b/>
                <w:color w:val="000000" w:themeColor="text1"/>
                <w:sz w:val="20"/>
              </w:rPr>
              <w:t xml:space="preserve">. </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Nr identyfikacyjny funkcji krytycznych zdefiniowanych</w:t>
            </w:r>
            <w:r w:rsidR="004D7F8C">
              <w:rPr>
                <w:rFonts w:ascii="Times New Roman" w:hAnsi="Times New Roman"/>
                <w:color w:val="000000" w:themeColor="text1"/>
                <w:spacing w:val="-2"/>
                <w:w w:val="95"/>
                <w:sz w:val="20"/>
              </w:rPr>
              <w:t xml:space="preserve"> w roz</w:t>
            </w:r>
            <w:r>
              <w:rPr>
                <w:rFonts w:ascii="Times New Roman" w:hAnsi="Times New Roman"/>
                <w:color w:val="000000" w:themeColor="text1"/>
                <w:spacing w:val="-2"/>
                <w:w w:val="95"/>
                <w:sz w:val="20"/>
              </w:rPr>
              <w:t>dziale 2.7.1.4 powyżej,</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rych mowa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podmiotu</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Nazwa podmiotu pełniącego funkcję krytyczną, zgodnie ze zgłoszeniem w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kilka podmiotów pełni tę samą funkcję krytyczną</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samym państwie, należy zgłosić każdy</w:t>
            </w:r>
            <w:r w:rsidR="004D7F8C">
              <w:rPr>
                <w:rFonts w:ascii="Times New Roman" w:hAnsi="Times New Roman"/>
                <w:color w:val="000000" w:themeColor="text1"/>
                <w:spacing w:val="-2"/>
                <w:w w:val="95"/>
                <w:sz w:val="20"/>
              </w:rPr>
              <w:t xml:space="preserve"> z tyc</w:t>
            </w:r>
            <w:r>
              <w:rPr>
                <w:rFonts w:ascii="Times New Roman" w:hAnsi="Times New Roman"/>
                <w:color w:val="000000" w:themeColor="text1"/>
                <w:spacing w:val="-2"/>
                <w:w w:val="95"/>
                <w:sz w:val="20"/>
              </w:rPr>
              <w:t>h podmiotów</w:t>
            </w:r>
            <w:r w:rsidR="004D7F8C">
              <w:rPr>
                <w:rFonts w:ascii="Times New Roman" w:hAnsi="Times New Roman"/>
                <w:color w:val="000000" w:themeColor="text1"/>
                <w:spacing w:val="-2"/>
                <w:w w:val="95"/>
                <w:sz w:val="20"/>
              </w:rPr>
              <w:t xml:space="preserve"> w odr</w:t>
            </w:r>
            <w:r>
              <w:rPr>
                <w:rFonts w:ascii="Times New Roman" w:hAnsi="Times New Roman"/>
                <w:color w:val="000000" w:themeColor="text1"/>
                <w:spacing w:val="-2"/>
                <w:w w:val="95"/>
                <w:sz w:val="20"/>
              </w:rPr>
              <w:t>ębnym wierszu.</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podmiotu pełniącego funkcję krytyczną, zgodnie ze zgłoszeniem w Z 01.00 – Struktura organizacyjna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Kwota pieniężna</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Wkład,</w:t>
            </w:r>
            <w:r w:rsidR="004D7F8C">
              <w:rPr>
                <w:rFonts w:ascii="Times New Roman" w:hAnsi="Times New Roman"/>
                <w:color w:val="000000" w:themeColor="text1"/>
                <w:spacing w:val="-2"/>
                <w:w w:val="95"/>
                <w:sz w:val="20"/>
              </w:rPr>
              <w:t xml:space="preserve"> w kwo</w:t>
            </w:r>
            <w:r>
              <w:rPr>
                <w:rFonts w:ascii="Times New Roman" w:hAnsi="Times New Roman"/>
                <w:color w:val="000000" w:themeColor="text1"/>
                <w:spacing w:val="-2"/>
                <w:w w:val="95"/>
                <w:sz w:val="20"/>
              </w:rPr>
              <w:t>cie pieniężnej, podmiotu prawnego</w:t>
            </w:r>
            <w:r w:rsidR="004D7F8C">
              <w:rPr>
                <w:rFonts w:ascii="Times New Roman" w:hAnsi="Times New Roman"/>
                <w:color w:val="000000" w:themeColor="text1"/>
                <w:spacing w:val="-2"/>
                <w:w w:val="95"/>
                <w:sz w:val="20"/>
              </w:rPr>
              <w:t xml:space="preserve"> w kwo</w:t>
            </w:r>
            <w:r>
              <w:rPr>
                <w:rFonts w:ascii="Times New Roman" w:hAnsi="Times New Roman"/>
                <w:color w:val="000000" w:themeColor="text1"/>
                <w:spacing w:val="-2"/>
                <w:w w:val="95"/>
                <w:sz w:val="20"/>
              </w:rPr>
              <w:t>tę pieniężną określoną</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0030</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 xml:space="preserve">blonie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Schemat przyporządkowania głównych linii biznesowych do podmiotów prawnych (FUNC 3): Instrukcje dotyczące poszczególnych pozycji</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Połączenie wartości zgłoszonych</w:t>
      </w:r>
      <w:r w:rsidR="004D7F8C">
        <w:rPr>
          <w:rFonts w:ascii="Times New Roman" w:hAnsi="Times New Roman"/>
          <w:sz w:val="20"/>
        </w:rPr>
        <w:t xml:space="preserve"> w kol</w:t>
      </w:r>
      <w:r>
        <w:rPr>
          <w:rFonts w:ascii="Times New Roman" w:hAnsi="Times New Roman"/>
          <w:sz w:val="20"/>
        </w:rPr>
        <w:t>umnach 0020</w:t>
      </w:r>
      <w:r w:rsidR="004D7F8C">
        <w:rPr>
          <w:rFonts w:ascii="Times New Roman" w:hAnsi="Times New Roman"/>
          <w:sz w:val="20"/>
        </w:rPr>
        <w:t xml:space="preserve"> i 0</w:t>
      </w:r>
      <w:r>
        <w:rPr>
          <w:rFonts w:ascii="Times New Roman" w:hAnsi="Times New Roman"/>
          <w:sz w:val="20"/>
        </w:rPr>
        <w:t>040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ypadku każdego wiersza szablonu.</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W szablonie tym zgłasza się wyłącznie kluczowe podmioty określone w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Kolumny</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Główna linia biznesowa</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Główna linia biznesowa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6</w:t>
            </w:r>
            <w:r w:rsidR="004D7F8C">
              <w:rPr>
                <w:rFonts w:ascii="Times New Roman" w:hAnsi="Times New Roman"/>
                <w:color w:val="000000" w:themeColor="text1"/>
                <w:spacing w:val="-2"/>
                <w:w w:val="95"/>
                <w:sz w:val="20"/>
              </w:rPr>
              <w:t xml:space="preserve"> i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2014/59/UE.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Nr identyfikacyjny linii biznesowej</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Niepowtarzalny nr identyfikacyjny linii biznesowej podany przez instytucję</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Opis głównej linii biznesowej.</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podmiotu</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podmiotu zgodnie ze zgłoszeniem</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01.00 – (ORG), posiadającego główną linię biznesową lub stanowiącego jej część.</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kilka podmiotów posiada tę samą główną linię biznesową lub stanowi część tej samej głównej linii biznesowej, należy zgłosić każdy</w:t>
            </w:r>
            <w:r w:rsidR="004D7F8C">
              <w:rPr>
                <w:rFonts w:ascii="Times New Roman" w:hAnsi="Times New Roman"/>
                <w:color w:val="000000" w:themeColor="text1"/>
                <w:spacing w:val="-2"/>
                <w:w w:val="95"/>
                <w:sz w:val="20"/>
              </w:rPr>
              <w:t xml:space="preserve"> z tyc</w:t>
            </w:r>
            <w:r>
              <w:rPr>
                <w:rFonts w:ascii="Times New Roman" w:hAnsi="Times New Roman"/>
                <w:color w:val="000000" w:themeColor="text1"/>
                <w:spacing w:val="-2"/>
                <w:w w:val="95"/>
                <w:sz w:val="20"/>
              </w:rPr>
              <w:t>h podmiotów</w:t>
            </w:r>
            <w:r w:rsidR="004D7F8C">
              <w:rPr>
                <w:rFonts w:ascii="Times New Roman" w:hAnsi="Times New Roman"/>
                <w:color w:val="000000" w:themeColor="text1"/>
                <w:spacing w:val="-2"/>
                <w:w w:val="95"/>
                <w:sz w:val="20"/>
              </w:rPr>
              <w:t xml:space="preserve"> w odr</w:t>
            </w:r>
            <w:r>
              <w:rPr>
                <w:rFonts w:ascii="Times New Roman" w:hAnsi="Times New Roman"/>
                <w:color w:val="000000" w:themeColor="text1"/>
                <w:spacing w:val="-2"/>
                <w:w w:val="95"/>
                <w:sz w:val="20"/>
              </w:rPr>
              <w:t>ębnym wierszu.</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podmiotu posiadającego główną linię biznesową lub stanowiącego jej część, zgodnie ze zgłoszeniem</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01.00 (ORG).</w:t>
            </w:r>
          </w:p>
        </w:tc>
      </w:tr>
    </w:tbl>
    <w:p w:rsidR="0056559D" w:rsidRPr="00D92B3C" w:rsidRDefault="00F7117F" w:rsidP="00715DAB">
      <w:pPr>
        <w:pStyle w:val="Instructionsberschrift3"/>
      </w:pPr>
      <w:r>
        <w:t>Z 07.04 – Schemat przyporządkowania funkcji krytycznych do głównych linii biznesowych (FUNC 4): Instrukcje dotyczące poszczególnych pozycji</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Połączenie wartości zgłoszonych</w:t>
      </w:r>
      <w:r w:rsidR="004D7F8C">
        <w:rPr>
          <w:rFonts w:ascii="Times New Roman" w:hAnsi="Times New Roman"/>
          <w:sz w:val="20"/>
        </w:rPr>
        <w:t xml:space="preserve"> w kol</w:t>
      </w:r>
      <w:r>
        <w:rPr>
          <w:rFonts w:ascii="Times New Roman" w:hAnsi="Times New Roman"/>
          <w:sz w:val="20"/>
        </w:rPr>
        <w:t>umnach 0010, 0020</w:t>
      </w:r>
      <w:r w:rsidR="004D7F8C">
        <w:rPr>
          <w:rFonts w:ascii="Times New Roman" w:hAnsi="Times New Roman"/>
          <w:sz w:val="20"/>
        </w:rPr>
        <w:t xml:space="preserve"> i 0</w:t>
      </w:r>
      <w:r>
        <w:rPr>
          <w:rFonts w:ascii="Times New Roman" w:hAnsi="Times New Roman"/>
          <w:sz w:val="20"/>
        </w:rPr>
        <w:t>040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ypadku każdego wiersza szablonu.</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W szablonie tym zgłasza się wyłącznie funkcje krytyczne określone w {Z 07.01;0070}.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Państwo</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Państwo,</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którego funkcja ma krytyczne znaczenie, zgodnie ze zgłoszeniem w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Nr identyfikacyjny funkcji</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Nr identyfikacyjny funkcji krytycznych zdefiniowanych</w:t>
            </w:r>
            <w:r w:rsidR="004D7F8C">
              <w:rPr>
                <w:rFonts w:ascii="Times New Roman" w:hAnsi="Times New Roman"/>
                <w:color w:val="000000" w:themeColor="text1"/>
                <w:spacing w:val="-2"/>
                <w:w w:val="95"/>
                <w:sz w:val="20"/>
              </w:rPr>
              <w:t xml:space="preserve"> w roz</w:t>
            </w:r>
            <w:r>
              <w:rPr>
                <w:rFonts w:ascii="Times New Roman" w:hAnsi="Times New Roman"/>
                <w:color w:val="000000" w:themeColor="text1"/>
                <w:spacing w:val="-2"/>
                <w:w w:val="95"/>
                <w:sz w:val="20"/>
              </w:rPr>
              <w:t>dziale 2.7.1.2 powyżej,</w:t>
            </w:r>
            <w:r w:rsidR="004D7F8C">
              <w:rPr>
                <w:rFonts w:ascii="Times New Roman" w:hAnsi="Times New Roman"/>
                <w:color w:val="000000" w:themeColor="text1"/>
                <w:spacing w:val="-2"/>
                <w:w w:val="95"/>
                <w:sz w:val="20"/>
              </w:rPr>
              <w:t xml:space="preserve"> i o któ</w:t>
            </w:r>
            <w:r>
              <w:rPr>
                <w:rFonts w:ascii="Times New Roman" w:hAnsi="Times New Roman"/>
                <w:color w:val="000000" w:themeColor="text1"/>
                <w:spacing w:val="-2"/>
                <w:w w:val="95"/>
                <w:sz w:val="20"/>
              </w:rPr>
              <w:t>rych mowa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Główna linia biznesowa</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Główna linia biznesowa zgodnie</w:t>
            </w:r>
            <w:r w:rsidR="004D7F8C">
              <w:rPr>
                <w:rFonts w:ascii="Times New Roman" w:hAnsi="Times New Roman"/>
                <w:color w:val="000000" w:themeColor="text1"/>
                <w:spacing w:val="-2"/>
                <w:w w:val="95"/>
                <w:sz w:val="20"/>
              </w:rPr>
              <w:t xml:space="preserve"> z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1</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pkt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3</w:t>
            </w:r>
            <w:r>
              <w:rPr>
                <w:rFonts w:ascii="Times New Roman" w:hAnsi="Times New Roman"/>
                <w:color w:val="000000" w:themeColor="text1"/>
                <w:spacing w:val="-2"/>
                <w:w w:val="95"/>
                <w:sz w:val="20"/>
              </w:rPr>
              <w:t>6</w:t>
            </w:r>
            <w:r w:rsidR="004D7F8C">
              <w:rPr>
                <w:rFonts w:ascii="Times New Roman" w:hAnsi="Times New Roman"/>
                <w:color w:val="000000" w:themeColor="text1"/>
                <w:spacing w:val="-2"/>
                <w:w w:val="95"/>
                <w:sz w:val="20"/>
              </w:rPr>
              <w:t xml:space="preserve"> i </w:t>
            </w:r>
            <w:r w:rsidR="004D7F8C" w:rsidRPr="004D7F8C">
              <w:rPr>
                <w:rFonts w:ascii="Times New Roman" w:hAnsi="Times New Roman"/>
                <w:color w:val="000000" w:themeColor="text1"/>
                <w:spacing w:val="-2"/>
                <w:w w:val="95"/>
                <w:sz w:val="20"/>
              </w:rPr>
              <w:t>art</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ust.</w:t>
            </w:r>
            <w:r w:rsidR="004D7F8C" w:rsidRPr="004D7F8C">
              <w:rPr>
                <w:rFonts w:ascii="Times New Roman" w:hAnsi="Times New Roman"/>
                <w:color w:val="000000" w:themeColor="text1"/>
                <w:spacing w:val="-2"/>
                <w:w w:val="95"/>
                <w:sz w:val="20"/>
              </w:rPr>
              <w:t> </w:t>
            </w:r>
            <w:r w:rsidRPr="004D7F8C">
              <w:rPr>
                <w:rFonts w:ascii="Times New Roman" w:hAnsi="Times New Roman"/>
                <w:color w:val="000000" w:themeColor="text1"/>
                <w:spacing w:val="-2"/>
                <w:w w:val="95"/>
                <w:sz w:val="20"/>
              </w:rPr>
              <w:t>2</w:t>
            </w:r>
            <w:r>
              <w:rPr>
                <w:rFonts w:ascii="Times New Roman" w:hAnsi="Times New Roman"/>
                <w:color w:val="000000" w:themeColor="text1"/>
                <w:spacing w:val="-2"/>
                <w:w w:val="95"/>
                <w:sz w:val="20"/>
              </w:rPr>
              <w:t xml:space="preserve"> dyrektywy 2014/59/UE, zgodnie ze zgłoszeniem</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Nr identyfikacyjny linii biznesowej</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Niepowtarzalny nr identyfikacyjny linii biznesowej podany przez instytucję; ten sam nr identyfikacyjny, co nr zgłoszony</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062589"/>
      <w:r>
        <w:rPr>
          <w:rFonts w:ascii="Times New Roman" w:hAnsi="Times New Roman"/>
        </w:rPr>
        <w:t>Z 08.00 – Usługi</w:t>
      </w:r>
      <w:r w:rsidR="004D7F8C">
        <w:rPr>
          <w:rFonts w:ascii="Times New Roman" w:hAnsi="Times New Roman"/>
        </w:rPr>
        <w:t xml:space="preserve"> o kry</w:t>
      </w:r>
      <w:r>
        <w:rPr>
          <w:rFonts w:ascii="Times New Roman" w:hAnsi="Times New Roman"/>
        </w:rPr>
        <w:t>tycznym znaczeniu (SERV)</w:t>
      </w:r>
      <w:bookmarkEnd w:id="38"/>
      <w:bookmarkEnd w:id="39"/>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Instrukcje ogólne</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Informacje, które należy zawrzeć</w:t>
      </w:r>
      <w:r w:rsidR="004D7F8C">
        <w:rPr>
          <w:rFonts w:ascii="Times New Roman" w:hAnsi="Times New Roman"/>
          <w:sz w:val="20"/>
        </w:rPr>
        <w:t xml:space="preserve"> w nin</w:t>
      </w:r>
      <w:r>
        <w:rPr>
          <w:rFonts w:ascii="Times New Roman" w:hAnsi="Times New Roman"/>
          <w:sz w:val="20"/>
        </w:rPr>
        <w:t>iejszym szablonie, zgłasza się jednorazowo</w:t>
      </w:r>
      <w:r w:rsidR="004D7F8C">
        <w:rPr>
          <w:rFonts w:ascii="Times New Roman" w:hAnsi="Times New Roman"/>
          <w:sz w:val="20"/>
        </w:rPr>
        <w:t xml:space="preserve"> w odn</w:t>
      </w:r>
      <w:r>
        <w:rPr>
          <w:rFonts w:ascii="Times New Roman" w:hAnsi="Times New Roman"/>
          <w:sz w:val="20"/>
        </w:rPr>
        <w:t>iesieniu do całej grupy, stanowią one wykaz usług</w:t>
      </w:r>
      <w:r w:rsidR="004D7F8C">
        <w:rPr>
          <w:rFonts w:ascii="Times New Roman" w:hAnsi="Times New Roman"/>
          <w:sz w:val="20"/>
        </w:rPr>
        <w:t xml:space="preserve"> o kry</w:t>
      </w:r>
      <w:r>
        <w:rPr>
          <w:rFonts w:ascii="Times New Roman" w:hAnsi="Times New Roman"/>
          <w:sz w:val="20"/>
        </w:rPr>
        <w:t>tycznym znaczeniu, które świadczone są na rzecz jakiegokolwiek podmiotu</w:t>
      </w:r>
      <w:r w:rsidR="004D7F8C">
        <w:rPr>
          <w:rFonts w:ascii="Times New Roman" w:hAnsi="Times New Roman"/>
          <w:sz w:val="20"/>
        </w:rPr>
        <w:t xml:space="preserve"> w gru</w:t>
      </w:r>
      <w:r>
        <w:rPr>
          <w:rFonts w:ascii="Times New Roman" w:hAnsi="Times New Roman"/>
          <w:sz w:val="20"/>
        </w:rPr>
        <w:t>pie,</w:t>
      </w:r>
      <w:r w:rsidR="004D7F8C">
        <w:rPr>
          <w:rFonts w:ascii="Times New Roman" w:hAnsi="Times New Roman"/>
          <w:sz w:val="20"/>
        </w:rPr>
        <w:t xml:space="preserve"> i łąc</w:t>
      </w:r>
      <w:r>
        <w:rPr>
          <w:rFonts w:ascii="Times New Roman" w:hAnsi="Times New Roman"/>
          <w:sz w:val="20"/>
        </w:rPr>
        <w:t>zą te usługi</w:t>
      </w:r>
      <w:r w:rsidR="004D7F8C">
        <w:rPr>
          <w:rFonts w:ascii="Times New Roman" w:hAnsi="Times New Roman"/>
          <w:sz w:val="20"/>
        </w:rPr>
        <w:t xml:space="preserve"> z peł</w:t>
      </w:r>
      <w:r>
        <w:rPr>
          <w:rFonts w:ascii="Times New Roman" w:hAnsi="Times New Roman"/>
          <w:sz w:val="20"/>
        </w:rPr>
        <w:t>nionymi przez grupę funkcjami krytycznymi.</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Usługi</w:t>
      </w:r>
      <w:r w:rsidR="004D7F8C">
        <w:rPr>
          <w:rFonts w:ascii="Times New Roman" w:hAnsi="Times New Roman"/>
          <w:sz w:val="20"/>
        </w:rPr>
        <w:t xml:space="preserve"> o kry</w:t>
      </w:r>
      <w:r>
        <w:rPr>
          <w:rFonts w:ascii="Times New Roman" w:hAnsi="Times New Roman"/>
          <w:sz w:val="20"/>
        </w:rPr>
        <w:t>tycznym znaczeniu oznaczają podstawowe operacje, działania</w:t>
      </w:r>
      <w:r w:rsidR="004D7F8C">
        <w:rPr>
          <w:rFonts w:ascii="Times New Roman" w:hAnsi="Times New Roman"/>
          <w:sz w:val="20"/>
        </w:rPr>
        <w:t xml:space="preserve"> i usł</w:t>
      </w:r>
      <w:r>
        <w:rPr>
          <w:rFonts w:ascii="Times New Roman" w:hAnsi="Times New Roman"/>
          <w:sz w:val="20"/>
        </w:rPr>
        <w:t>ugi wykonywane dla jednej jednostki gospodarczej lub jednego podmiotu prawnego (usługi dedykowane) lub dla ich większej liczby (usługi dzielone)</w:t>
      </w:r>
      <w:r w:rsidR="004D7F8C">
        <w:rPr>
          <w:rFonts w:ascii="Times New Roman" w:hAnsi="Times New Roman"/>
          <w:sz w:val="20"/>
        </w:rPr>
        <w:t xml:space="preserve"> w ram</w:t>
      </w:r>
      <w:r>
        <w:rPr>
          <w:rFonts w:ascii="Times New Roman" w:hAnsi="Times New Roman"/>
          <w:sz w:val="20"/>
        </w:rPr>
        <w:t>ach grupy, które są potrzebne do zagwarantowania jednej funkcji krytycznej lub większej ich liczby. Usługi</w:t>
      </w:r>
      <w:r w:rsidR="004D7F8C">
        <w:rPr>
          <w:rFonts w:ascii="Times New Roman" w:hAnsi="Times New Roman"/>
          <w:sz w:val="20"/>
        </w:rPr>
        <w:t xml:space="preserve"> o kry</w:t>
      </w:r>
      <w:r>
        <w:rPr>
          <w:rFonts w:ascii="Times New Roman" w:hAnsi="Times New Roman"/>
          <w:sz w:val="20"/>
        </w:rPr>
        <w:t>tycznym znaczeniu mogą wykonywać podmioty</w:t>
      </w:r>
      <w:r w:rsidR="004D7F8C">
        <w:rPr>
          <w:rFonts w:ascii="Times New Roman" w:hAnsi="Times New Roman"/>
          <w:sz w:val="20"/>
        </w:rPr>
        <w:t xml:space="preserve"> w ram</w:t>
      </w:r>
      <w:r>
        <w:rPr>
          <w:rFonts w:ascii="Times New Roman" w:hAnsi="Times New Roman"/>
          <w:sz w:val="20"/>
        </w:rPr>
        <w:t>ach grupy (usługa wewnętrzna) lub ich wykonanie może zostać zlecone zewnętrznemu dostawcy (usługa zewnętrzna). Usługę uznaje się za mającą krytyczne znaczenie, jeżeli jej zaburzenie może stanowić poważną przeszkodę dla wykonywania funkcji krytycznych lub może całkowicie uniemożliwić ich wykonanie, jako że są one nieodłącznie powiązane</w:t>
      </w:r>
      <w:r w:rsidR="004D7F8C">
        <w:rPr>
          <w:rFonts w:ascii="Times New Roman" w:hAnsi="Times New Roman"/>
          <w:sz w:val="20"/>
        </w:rPr>
        <w:t xml:space="preserve"> z fun</w:t>
      </w:r>
      <w:r>
        <w:rPr>
          <w:rFonts w:ascii="Times New Roman" w:hAnsi="Times New Roman"/>
          <w:sz w:val="20"/>
        </w:rPr>
        <w:t>kcjami krytycznymi, które instytucja wykonuje na rzecz osób trzecich.</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niniejszym szablonie nie zgłasza się usług świadczonych</w:t>
      </w:r>
      <w:r w:rsidR="004D7F8C">
        <w:rPr>
          <w:rFonts w:ascii="Times New Roman" w:hAnsi="Times New Roman"/>
          <w:sz w:val="20"/>
        </w:rPr>
        <w:t xml:space="preserve"> w peł</w:t>
      </w:r>
      <w:r>
        <w:rPr>
          <w:rFonts w:ascii="Times New Roman" w:hAnsi="Times New Roman"/>
          <w:sz w:val="20"/>
        </w:rPr>
        <w:t>ni wewnętrznie na rzecz podmiotu prawnego.</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 niniejszym szablonie nie zgłasza się usług, które nie mają istotnego wpływu na funkcje krytyczne.</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Połączenie wartości zgłoszonych</w:t>
      </w:r>
      <w:r w:rsidR="004D7F8C">
        <w:rPr>
          <w:rFonts w:ascii="Times New Roman" w:hAnsi="Times New Roman"/>
          <w:sz w:val="20"/>
        </w:rPr>
        <w:t xml:space="preserve"> w kol</w:t>
      </w:r>
      <w:r>
        <w:rPr>
          <w:rFonts w:ascii="Times New Roman" w:hAnsi="Times New Roman"/>
          <w:sz w:val="20"/>
        </w:rPr>
        <w:t>umnach 0010, 0030, 0050, 0070</w:t>
      </w:r>
      <w:r w:rsidR="004D7F8C">
        <w:rPr>
          <w:rFonts w:ascii="Times New Roman" w:hAnsi="Times New Roman"/>
          <w:sz w:val="20"/>
        </w:rPr>
        <w:t xml:space="preserve"> i 0</w:t>
      </w:r>
      <w:r>
        <w:rPr>
          <w:rFonts w:ascii="Times New Roman" w:hAnsi="Times New Roman"/>
          <w:sz w:val="20"/>
        </w:rPr>
        <w:t>080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 xml:space="preserve">ypadku każdego wiersza szablonu.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Instrukcje dotyczące poszczególnych pozycji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Identyfikator</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Rodzaj usługi</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wybrać rodzaj usługi spośród rodzajów przedstawionych poniżej.</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miarę możliwości należy zgłosić podkategorię (identyfikacja dwucyfrowa). Jeżeli nie istnieje żadna podkategoria lub żadna</w:t>
            </w:r>
            <w:r w:rsidR="004D7F8C">
              <w:rPr>
                <w:rFonts w:ascii="Times New Roman" w:hAnsi="Times New Roman"/>
                <w:color w:val="000000" w:themeColor="text1"/>
                <w:spacing w:val="-2"/>
                <w:w w:val="95"/>
                <w:sz w:val="20"/>
              </w:rPr>
              <w:t xml:space="preserve"> z pod</w:t>
            </w:r>
            <w:r>
              <w:rPr>
                <w:rFonts w:ascii="Times New Roman" w:hAnsi="Times New Roman"/>
                <w:color w:val="000000" w:themeColor="text1"/>
                <w:spacing w:val="-2"/>
                <w:w w:val="95"/>
                <w:sz w:val="20"/>
              </w:rPr>
              <w:t xml:space="preserve">kategorii nie opisuje odpowiednio usługi świadczonej przez instytucję, zgłasza się główną kategorię (identyfikacja jednocyfrowa).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Wsparcie zasobów ludzkich:</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administracja</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personelu,</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administracja</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umów</w:t>
            </w:r>
            <w:r w:rsidR="004D7F8C">
              <w:rPr>
                <w:rFonts w:ascii="Times New Roman" w:hAnsi="Times New Roman"/>
                <w:color w:val="000000" w:themeColor="text1"/>
                <w:spacing w:val="-2"/>
                <w:w w:val="95"/>
                <w:sz w:val="20"/>
              </w:rPr>
              <w:t xml:space="preserve"> i wyn</w:t>
            </w:r>
            <w:r>
              <w:rPr>
                <w:rFonts w:ascii="Times New Roman" w:hAnsi="Times New Roman"/>
                <w:color w:val="000000" w:themeColor="text1"/>
                <w:spacing w:val="-2"/>
                <w:w w:val="95"/>
                <w:sz w:val="20"/>
              </w:rPr>
              <w:t>agrodzeń</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komunikacja wewnętrzna.</w:t>
            </w:r>
          </w:p>
          <w:p w:rsidR="000713A0" w:rsidRPr="004D7F8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Technologia informacyjna</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IT</w:t>
            </w:r>
            <w:r w:rsidR="004D7F8C">
              <w:rPr>
                <w:rFonts w:ascii="Times New Roman" w:hAnsi="Times New Roman"/>
                <w:color w:val="000000" w:themeColor="text1"/>
                <w:spacing w:val="-2"/>
                <w:w w:val="95"/>
                <w:sz w:val="20"/>
              </w:rPr>
              <w:t xml:space="preserve"> i spr</w:t>
            </w:r>
            <w:r>
              <w:rPr>
                <w:rFonts w:ascii="Times New Roman" w:hAnsi="Times New Roman"/>
                <w:color w:val="000000" w:themeColor="text1"/>
                <w:spacing w:val="-2"/>
                <w:w w:val="95"/>
                <w:sz w:val="20"/>
              </w:rPr>
              <w:t>zęt komunikacyjny</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przechowywanie</w:t>
            </w:r>
            <w:r w:rsidR="004D7F8C">
              <w:rPr>
                <w:rFonts w:ascii="Times New Roman" w:hAnsi="Times New Roman"/>
                <w:color w:val="000000" w:themeColor="text1"/>
                <w:spacing w:val="-2"/>
                <w:w w:val="95"/>
                <w:sz w:val="20"/>
              </w:rPr>
              <w:t xml:space="preserve"> i prz</w:t>
            </w:r>
            <w:r>
              <w:rPr>
                <w:rFonts w:ascii="Times New Roman" w:hAnsi="Times New Roman"/>
                <w:color w:val="000000" w:themeColor="text1"/>
                <w:spacing w:val="-2"/>
                <w:w w:val="95"/>
                <w:sz w:val="20"/>
              </w:rPr>
              <w:t>etwarzanie danych</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inna infrastruktura IT, stacje robocze, telekomunikacja, serwery, centra danych</w:t>
            </w:r>
            <w:r w:rsidR="004D7F8C">
              <w:rPr>
                <w:rFonts w:ascii="Times New Roman" w:hAnsi="Times New Roman"/>
                <w:color w:val="000000" w:themeColor="text1"/>
                <w:spacing w:val="-2"/>
                <w:w w:val="95"/>
                <w:sz w:val="20"/>
              </w:rPr>
              <w:t xml:space="preserve"> i pow</w:t>
            </w:r>
            <w:r>
              <w:rPr>
                <w:rFonts w:ascii="Times New Roman" w:hAnsi="Times New Roman"/>
                <w:color w:val="000000" w:themeColor="text1"/>
                <w:spacing w:val="-2"/>
                <w:w w:val="95"/>
                <w:sz w:val="20"/>
              </w:rPr>
              <w:t>iązane usługi</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administrowanie licencjami na oprogramowanie</w:t>
            </w:r>
            <w:r w:rsidR="004D7F8C">
              <w:rPr>
                <w:rFonts w:ascii="Times New Roman" w:hAnsi="Times New Roman"/>
                <w:color w:val="000000" w:themeColor="text1"/>
                <w:spacing w:val="-2"/>
                <w:w w:val="95"/>
                <w:sz w:val="20"/>
              </w:rPr>
              <w:t xml:space="preserve"> i opr</w:t>
            </w:r>
            <w:r>
              <w:rPr>
                <w:rFonts w:ascii="Times New Roman" w:hAnsi="Times New Roman"/>
                <w:color w:val="000000" w:themeColor="text1"/>
                <w:spacing w:val="-2"/>
                <w:w w:val="95"/>
                <w:sz w:val="20"/>
              </w:rPr>
              <w:t>ogramowaniem aplikacyjnym</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dostęp do zewnętrznych dostawców,</w:t>
            </w:r>
            <w:r w:rsidR="004D7F8C">
              <w:rPr>
                <w:rFonts w:ascii="Times New Roman" w:hAnsi="Times New Roman"/>
                <w:color w:val="000000" w:themeColor="text1"/>
                <w:spacing w:val="-2"/>
                <w:w w:val="95"/>
                <w:sz w:val="20"/>
              </w:rPr>
              <w:t xml:space="preserve"> w szc</w:t>
            </w:r>
            <w:r>
              <w:rPr>
                <w:rFonts w:ascii="Times New Roman" w:hAnsi="Times New Roman"/>
                <w:color w:val="000000" w:themeColor="text1"/>
                <w:spacing w:val="-2"/>
                <w:w w:val="95"/>
                <w:sz w:val="20"/>
              </w:rPr>
              <w:t>zególności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danych</w:t>
            </w:r>
            <w:r w:rsidR="004D7F8C">
              <w:rPr>
                <w:rFonts w:ascii="Times New Roman" w:hAnsi="Times New Roman"/>
                <w:color w:val="000000" w:themeColor="text1"/>
                <w:spacing w:val="-2"/>
                <w:w w:val="95"/>
                <w:sz w:val="20"/>
              </w:rPr>
              <w:t xml:space="preserve"> i inf</w:t>
            </w:r>
            <w:r>
              <w:rPr>
                <w:rFonts w:ascii="Times New Roman" w:hAnsi="Times New Roman"/>
                <w:color w:val="000000" w:themeColor="text1"/>
                <w:spacing w:val="-2"/>
                <w:w w:val="95"/>
                <w:sz w:val="20"/>
              </w:rPr>
              <w:t>rastruktury</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obsługa techniczna aplikacji,</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obsługa techniczna oprogramowania aplikacyjnego</w:t>
            </w:r>
            <w:r w:rsidR="004D7F8C">
              <w:rPr>
                <w:rFonts w:ascii="Times New Roman" w:hAnsi="Times New Roman"/>
                <w:color w:val="000000" w:themeColor="text1"/>
                <w:spacing w:val="-2"/>
                <w:w w:val="95"/>
                <w:sz w:val="20"/>
              </w:rPr>
              <w:t xml:space="preserve"> i pow</w:t>
            </w:r>
            <w:r>
              <w:rPr>
                <w:rFonts w:ascii="Times New Roman" w:hAnsi="Times New Roman"/>
                <w:color w:val="000000" w:themeColor="text1"/>
                <w:spacing w:val="-2"/>
                <w:w w:val="95"/>
                <w:sz w:val="20"/>
              </w:rPr>
              <w:t>iązane przepływy danych</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generowanie sprawozdań, wewnętrzne przepływy informacji</w:t>
            </w:r>
            <w:r w:rsidR="004D7F8C">
              <w:rPr>
                <w:rFonts w:ascii="Times New Roman" w:hAnsi="Times New Roman"/>
                <w:color w:val="000000" w:themeColor="text1"/>
                <w:spacing w:val="-2"/>
                <w:w w:val="95"/>
                <w:sz w:val="20"/>
              </w:rPr>
              <w:t xml:space="preserve"> i baz</w:t>
            </w:r>
            <w:r>
              <w:rPr>
                <w:rFonts w:ascii="Times New Roman" w:hAnsi="Times New Roman"/>
                <w:color w:val="000000" w:themeColor="text1"/>
                <w:spacing w:val="-2"/>
                <w:w w:val="95"/>
                <w:sz w:val="20"/>
              </w:rPr>
              <w:t>y danych,</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wsparcie dla użytkowników,</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sytuacje awaryjne</w:t>
            </w:r>
            <w:r w:rsidR="004D7F8C">
              <w:rPr>
                <w:rFonts w:ascii="Times New Roman" w:hAnsi="Times New Roman"/>
                <w:color w:val="000000" w:themeColor="text1"/>
                <w:spacing w:val="-2"/>
                <w:w w:val="95"/>
                <w:sz w:val="20"/>
              </w:rPr>
              <w:t xml:space="preserve"> i prz</w:t>
            </w:r>
            <w:r>
              <w:rPr>
                <w:rFonts w:ascii="Times New Roman" w:hAnsi="Times New Roman"/>
                <w:color w:val="000000" w:themeColor="text1"/>
                <w:spacing w:val="-2"/>
                <w:w w:val="95"/>
                <w:sz w:val="20"/>
              </w:rPr>
              <w:t>ywracanie gotowości do pracy po wystąpieniu sytuacji nadzwyczajnej.</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Rozliczanie transakcji,</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prawne kwestie związane</w:t>
            </w:r>
            <w:r w:rsidR="004D7F8C">
              <w:rPr>
                <w:rFonts w:ascii="Times New Roman" w:hAnsi="Times New Roman"/>
                <w:color w:val="000000" w:themeColor="text1"/>
                <w:spacing w:val="-2"/>
                <w:w w:val="95"/>
                <w:sz w:val="20"/>
              </w:rPr>
              <w:t xml:space="preserve"> z tra</w:t>
            </w:r>
            <w:r>
              <w:rPr>
                <w:rFonts w:ascii="Times New Roman" w:hAnsi="Times New Roman"/>
                <w:color w:val="000000" w:themeColor="text1"/>
                <w:spacing w:val="-2"/>
                <w:w w:val="95"/>
                <w:sz w:val="20"/>
              </w:rPr>
              <w:t>nsakcjami,</w:t>
            </w:r>
            <w:r w:rsidR="004D7F8C">
              <w:rPr>
                <w:rFonts w:ascii="Times New Roman" w:hAnsi="Times New Roman"/>
                <w:color w:val="000000" w:themeColor="text1"/>
                <w:spacing w:val="-2"/>
                <w:w w:val="95"/>
                <w:sz w:val="20"/>
              </w:rPr>
              <w:t xml:space="preserve"> w szc</w:t>
            </w:r>
            <w:r>
              <w:rPr>
                <w:rFonts w:ascii="Times New Roman" w:hAnsi="Times New Roman"/>
                <w:color w:val="000000" w:themeColor="text1"/>
                <w:spacing w:val="-2"/>
                <w:w w:val="95"/>
                <w:sz w:val="20"/>
              </w:rPr>
              <w:t xml:space="preserve">zególności </w:t>
            </w:r>
            <w:r>
              <w:rPr>
                <w:rFonts w:ascii="Times New Roman" w:hAnsi="Times New Roman"/>
                <w:color w:val="000000" w:themeColor="text1"/>
                <w:spacing w:val="-2"/>
                <w:w w:val="95"/>
                <w:sz w:val="20"/>
              </w:rPr>
              <w:lastRenderedPageBreak/>
              <w:t>przeciwdziałanie praniu pieniędzy.</w:t>
            </w:r>
          </w:p>
          <w:p w:rsidR="000713A0" w:rsidRPr="004D7F8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Świadczenie usług</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nieruchomości</w:t>
            </w:r>
            <w:r w:rsidR="004D7F8C">
              <w:rPr>
                <w:rFonts w:ascii="Times New Roman" w:hAnsi="Times New Roman"/>
                <w:color w:val="000000" w:themeColor="text1"/>
                <w:spacing w:val="-2"/>
                <w:w w:val="95"/>
                <w:sz w:val="20"/>
              </w:rPr>
              <w:t xml:space="preserve"> i inf</w:t>
            </w:r>
            <w:r>
              <w:rPr>
                <w:rFonts w:ascii="Times New Roman" w:hAnsi="Times New Roman"/>
                <w:color w:val="000000" w:themeColor="text1"/>
                <w:spacing w:val="-2"/>
                <w:w w:val="95"/>
                <w:sz w:val="20"/>
              </w:rPr>
              <w:t>rastruktury lub zarządzanie nimi oraz powiązane instrumenty</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powierzchnie biurowe</w:t>
            </w:r>
            <w:r w:rsidR="004D7F8C">
              <w:rPr>
                <w:rFonts w:ascii="Times New Roman" w:hAnsi="Times New Roman"/>
                <w:color w:val="000000" w:themeColor="text1"/>
                <w:spacing w:val="-2"/>
                <w:w w:val="95"/>
                <w:sz w:val="20"/>
              </w:rPr>
              <w:t xml:space="preserve"> i słu</w:t>
            </w:r>
            <w:r>
              <w:rPr>
                <w:rFonts w:ascii="Times New Roman" w:hAnsi="Times New Roman"/>
                <w:color w:val="000000" w:themeColor="text1"/>
                <w:spacing w:val="-2"/>
                <w:w w:val="95"/>
                <w:sz w:val="20"/>
              </w:rPr>
              <w:t>żące przechowywaniu</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zarządzanie infrastrukturą wewnętrzną,</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kontrola bezpieczeństwa</w:t>
            </w:r>
            <w:r w:rsidR="004D7F8C">
              <w:rPr>
                <w:rFonts w:ascii="Times New Roman" w:hAnsi="Times New Roman"/>
                <w:color w:val="000000" w:themeColor="text1"/>
                <w:spacing w:val="-2"/>
                <w:w w:val="95"/>
                <w:sz w:val="20"/>
              </w:rPr>
              <w:t xml:space="preserve"> i dos</w:t>
            </w:r>
            <w:r>
              <w:rPr>
                <w:rFonts w:ascii="Times New Roman" w:hAnsi="Times New Roman"/>
                <w:color w:val="000000" w:themeColor="text1"/>
                <w:spacing w:val="-2"/>
                <w:w w:val="95"/>
                <w:sz w:val="20"/>
              </w:rPr>
              <w:t>tępu</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zarządzanie portfelem nieruchomości,</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inne (proszę określić)</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Usługi prawne</w:t>
            </w:r>
            <w:r w:rsidR="004D7F8C">
              <w:rPr>
                <w:rFonts w:ascii="Times New Roman" w:hAnsi="Times New Roman"/>
                <w:color w:val="000000" w:themeColor="text1"/>
                <w:spacing w:val="-2"/>
                <w:w w:val="95"/>
                <w:sz w:val="20"/>
              </w:rPr>
              <w:t xml:space="preserve"> i fun</w:t>
            </w:r>
            <w:r>
              <w:rPr>
                <w:rFonts w:ascii="Times New Roman" w:hAnsi="Times New Roman"/>
                <w:color w:val="000000" w:themeColor="text1"/>
                <w:spacing w:val="-2"/>
                <w:w w:val="95"/>
                <w:sz w:val="20"/>
              </w:rPr>
              <w:t>kcje zgodności</w:t>
            </w:r>
            <w:r w:rsidR="004D7F8C">
              <w:rPr>
                <w:rFonts w:ascii="Times New Roman" w:hAnsi="Times New Roman"/>
                <w:color w:val="000000" w:themeColor="text1"/>
                <w:spacing w:val="-2"/>
                <w:w w:val="95"/>
                <w:sz w:val="20"/>
              </w:rPr>
              <w:t xml:space="preserve"> z prz</w:t>
            </w:r>
            <w:r>
              <w:rPr>
                <w:rFonts w:ascii="Times New Roman" w:hAnsi="Times New Roman"/>
                <w:color w:val="000000" w:themeColor="text1"/>
                <w:spacing w:val="-2"/>
                <w:w w:val="95"/>
                <w:sz w:val="20"/>
              </w:rPr>
              <w:t>episami</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wsparcie prawnicze przedsiębiorstwa</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usługi prawnicze</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prowadzenia biznesu</w:t>
            </w:r>
            <w:r w:rsidR="004D7F8C">
              <w:rPr>
                <w:rFonts w:ascii="Times New Roman" w:hAnsi="Times New Roman"/>
                <w:color w:val="000000" w:themeColor="text1"/>
                <w:spacing w:val="-2"/>
                <w:w w:val="95"/>
                <w:sz w:val="20"/>
              </w:rPr>
              <w:t xml:space="preserve"> i tra</w:t>
            </w:r>
            <w:r>
              <w:rPr>
                <w:rFonts w:ascii="Times New Roman" w:hAnsi="Times New Roman"/>
                <w:color w:val="000000" w:themeColor="text1"/>
                <w:spacing w:val="-2"/>
                <w:w w:val="95"/>
                <w:sz w:val="20"/>
              </w:rPr>
              <w:t>nsakcji,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wsparcie</w:t>
            </w:r>
            <w:r w:rsidR="004D7F8C">
              <w:rPr>
                <w:rFonts w:ascii="Times New Roman" w:hAnsi="Times New Roman"/>
                <w:color w:val="000000" w:themeColor="text1"/>
                <w:spacing w:val="-2"/>
                <w:w w:val="95"/>
                <w:sz w:val="20"/>
              </w:rPr>
              <w:t xml:space="preserve"> w zap</w:t>
            </w:r>
            <w:r>
              <w:rPr>
                <w:rFonts w:ascii="Times New Roman" w:hAnsi="Times New Roman"/>
                <w:color w:val="000000" w:themeColor="text1"/>
                <w:spacing w:val="-2"/>
                <w:w w:val="95"/>
                <w:sz w:val="20"/>
              </w:rPr>
              <w:t>ewnianiu zgodności.</w:t>
            </w:r>
          </w:p>
          <w:p w:rsidR="000713A0" w:rsidRPr="004D7F8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Usługi związane</w:t>
            </w:r>
            <w:r w:rsidR="004D7F8C">
              <w:rPr>
                <w:rFonts w:ascii="Times New Roman" w:hAnsi="Times New Roman"/>
                <w:color w:val="000000" w:themeColor="text1"/>
                <w:spacing w:val="-2"/>
                <w:w w:val="95"/>
                <w:sz w:val="20"/>
              </w:rPr>
              <w:t xml:space="preserve"> z zas</w:t>
            </w:r>
            <w:r>
              <w:rPr>
                <w:rFonts w:ascii="Times New Roman" w:hAnsi="Times New Roman"/>
                <w:color w:val="000000" w:themeColor="text1"/>
                <w:spacing w:val="-2"/>
                <w:w w:val="95"/>
                <w:sz w:val="20"/>
              </w:rPr>
              <w:t>obami finansowymi</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koordynacja, administracja działaniami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zasobów finansowych</w:t>
            </w:r>
            <w:r w:rsidR="004D7F8C">
              <w:rPr>
                <w:rFonts w:ascii="Times New Roman" w:hAnsi="Times New Roman"/>
                <w:color w:val="000000" w:themeColor="text1"/>
                <w:spacing w:val="-2"/>
                <w:w w:val="95"/>
                <w:sz w:val="20"/>
              </w:rPr>
              <w:t xml:space="preserve"> i zar</w:t>
            </w:r>
            <w:r>
              <w:rPr>
                <w:rFonts w:ascii="Times New Roman" w:hAnsi="Times New Roman"/>
                <w:color w:val="000000" w:themeColor="text1"/>
                <w:spacing w:val="-2"/>
                <w:w w:val="95"/>
                <w:sz w:val="20"/>
              </w:rPr>
              <w:t>ządzanie nią,</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koordynacja, administracja refinansowaniem podmiotu</w:t>
            </w:r>
            <w:r w:rsidR="004D7F8C">
              <w:rPr>
                <w:rFonts w:ascii="Times New Roman" w:hAnsi="Times New Roman"/>
                <w:color w:val="000000" w:themeColor="text1"/>
                <w:spacing w:val="-2"/>
                <w:w w:val="95"/>
                <w:sz w:val="20"/>
              </w:rPr>
              <w:t xml:space="preserve"> i zar</w:t>
            </w:r>
            <w:r>
              <w:rPr>
                <w:rFonts w:ascii="Times New Roman" w:hAnsi="Times New Roman"/>
                <w:color w:val="000000" w:themeColor="text1"/>
                <w:spacing w:val="-2"/>
                <w:w w:val="95"/>
                <w:sz w:val="20"/>
              </w:rPr>
              <w:t>ządzanie</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zakresie,</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zarządzanie zabezpieczeniem</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funkcja sprawozdawcza, szczególnie</w:t>
            </w:r>
            <w:r w:rsidR="004D7F8C">
              <w:rPr>
                <w:rFonts w:ascii="Times New Roman" w:hAnsi="Times New Roman"/>
                <w:color w:val="000000" w:themeColor="text1"/>
                <w:spacing w:val="-2"/>
                <w:w w:val="95"/>
                <w:sz w:val="20"/>
              </w:rPr>
              <w:t xml:space="preserve"> w sto</w:t>
            </w:r>
            <w:r>
              <w:rPr>
                <w:rFonts w:ascii="Times New Roman" w:hAnsi="Times New Roman"/>
                <w:color w:val="000000" w:themeColor="text1"/>
                <w:spacing w:val="-2"/>
                <w:w w:val="95"/>
                <w:sz w:val="20"/>
              </w:rPr>
              <w:t>sunku do regulacyjnego wskaźnika płynności</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koordynacja</w:t>
            </w:r>
            <w:r w:rsidR="004D7F8C">
              <w:rPr>
                <w:rFonts w:ascii="Times New Roman" w:hAnsi="Times New Roman"/>
                <w:color w:val="000000" w:themeColor="text1"/>
                <w:spacing w:val="-2"/>
                <w:w w:val="95"/>
                <w:sz w:val="20"/>
              </w:rPr>
              <w:t xml:space="preserve"> i adm</w:t>
            </w:r>
            <w:r>
              <w:rPr>
                <w:rFonts w:ascii="Times New Roman" w:hAnsi="Times New Roman"/>
                <w:color w:val="000000" w:themeColor="text1"/>
                <w:spacing w:val="-2"/>
                <w:w w:val="95"/>
                <w:sz w:val="20"/>
              </w:rPr>
              <w:t>inistracja średnio-</w:t>
            </w:r>
            <w:r w:rsidR="004D7F8C">
              <w:rPr>
                <w:rFonts w:ascii="Times New Roman" w:hAnsi="Times New Roman"/>
                <w:color w:val="000000" w:themeColor="text1"/>
                <w:spacing w:val="-2"/>
                <w:w w:val="95"/>
                <w:sz w:val="20"/>
              </w:rPr>
              <w:t xml:space="preserve"> i dłu</w:t>
            </w:r>
            <w:r>
              <w:rPr>
                <w:rFonts w:ascii="Times New Roman" w:hAnsi="Times New Roman"/>
                <w:color w:val="000000" w:themeColor="text1"/>
                <w:spacing w:val="-2"/>
                <w:w w:val="95"/>
                <w:sz w:val="20"/>
              </w:rPr>
              <w:t>goterminowych programów finansowania</w:t>
            </w:r>
            <w:r w:rsidR="004D7F8C">
              <w:rPr>
                <w:rFonts w:ascii="Times New Roman" w:hAnsi="Times New Roman"/>
                <w:color w:val="000000" w:themeColor="text1"/>
                <w:spacing w:val="-2"/>
                <w:w w:val="95"/>
                <w:sz w:val="20"/>
              </w:rPr>
              <w:t xml:space="preserve"> i zar</w:t>
            </w:r>
            <w:r>
              <w:rPr>
                <w:rFonts w:ascii="Times New Roman" w:hAnsi="Times New Roman"/>
                <w:color w:val="000000" w:themeColor="text1"/>
                <w:spacing w:val="-2"/>
                <w:w w:val="95"/>
                <w:sz w:val="20"/>
              </w:rPr>
              <w:t>ządzanie nimi oraz refinansowanie podmiotów powiązanych</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koordynacja</w:t>
            </w:r>
            <w:r w:rsidR="004D7F8C">
              <w:rPr>
                <w:rFonts w:ascii="Times New Roman" w:hAnsi="Times New Roman"/>
                <w:color w:val="000000" w:themeColor="text1"/>
                <w:spacing w:val="-2"/>
                <w:w w:val="95"/>
                <w:sz w:val="20"/>
              </w:rPr>
              <w:t xml:space="preserve"> i adm</w:t>
            </w:r>
            <w:r>
              <w:rPr>
                <w:rFonts w:ascii="Times New Roman" w:hAnsi="Times New Roman"/>
                <w:color w:val="000000" w:themeColor="text1"/>
                <w:spacing w:val="-2"/>
                <w:w w:val="95"/>
                <w:sz w:val="20"/>
              </w:rPr>
              <w:t>inistracja refinansowania</w:t>
            </w:r>
            <w:r w:rsidR="004D7F8C">
              <w:rPr>
                <w:rFonts w:ascii="Times New Roman" w:hAnsi="Times New Roman"/>
                <w:color w:val="000000" w:themeColor="text1"/>
                <w:spacing w:val="-2"/>
                <w:w w:val="95"/>
                <w:sz w:val="20"/>
              </w:rPr>
              <w:t xml:space="preserve"> i zar</w:t>
            </w:r>
            <w:r>
              <w:rPr>
                <w:rFonts w:ascii="Times New Roman" w:hAnsi="Times New Roman"/>
                <w:color w:val="000000" w:themeColor="text1"/>
                <w:spacing w:val="-2"/>
                <w:w w:val="95"/>
                <w:sz w:val="20"/>
              </w:rPr>
              <w:t>ządzanie nim,</w:t>
            </w:r>
            <w:r w:rsidR="004D7F8C">
              <w:rPr>
                <w:rFonts w:ascii="Times New Roman" w:hAnsi="Times New Roman"/>
                <w:color w:val="000000" w:themeColor="text1"/>
                <w:spacing w:val="-2"/>
                <w:w w:val="95"/>
                <w:sz w:val="20"/>
              </w:rPr>
              <w:t xml:space="preserve"> w szc</w:t>
            </w:r>
            <w:r>
              <w:rPr>
                <w:rFonts w:ascii="Times New Roman" w:hAnsi="Times New Roman"/>
                <w:color w:val="000000" w:themeColor="text1"/>
                <w:spacing w:val="-2"/>
                <w:w w:val="95"/>
                <w:sz w:val="20"/>
              </w:rPr>
              <w:t>zególności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emisji krótkoterminowych.</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Zarządzanie obrotem / aktywami: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przetwarzanie operacji</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r w:rsidRPr="004D7F8C">
              <w:rPr>
                <w:rFonts w:ascii="Times New Roman" w:hAnsi="Times New Roman"/>
                <w:color w:val="000000" w:themeColor="text1"/>
                <w:spacing w:val="-2"/>
                <w:w w:val="95"/>
                <w:sz w:val="20"/>
              </w:rPr>
              <w:t>w</w:t>
            </w:r>
            <w:r>
              <w:rPr>
                <w:rFonts w:ascii="Times New Roman" w:hAnsi="Times New Roman"/>
                <w:color w:val="000000" w:themeColor="text1"/>
                <w:spacing w:val="-2"/>
                <w:w w:val="95"/>
                <w:sz w:val="20"/>
              </w:rPr>
              <w:t>ychwytywanie transakcji, opracowywanie, realizacja, obsługa produktów przeznaczonych do obrotu,</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potwierdzenie, rozrachunek, płatność,</w:t>
            </w:r>
          </w:p>
          <w:p w:rsidR="000713A0" w:rsidRPr="004D7F8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zarządzanie</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pozycji</w:t>
            </w:r>
            <w:r w:rsidR="004D7F8C">
              <w:rPr>
                <w:rFonts w:ascii="Times New Roman" w:hAnsi="Times New Roman"/>
                <w:color w:val="000000" w:themeColor="text1"/>
                <w:spacing w:val="-2"/>
                <w:w w:val="95"/>
                <w:sz w:val="20"/>
              </w:rPr>
              <w:t xml:space="preserve"> i kon</w:t>
            </w:r>
            <w:r>
              <w:rPr>
                <w:rFonts w:ascii="Times New Roman" w:hAnsi="Times New Roman"/>
                <w:color w:val="000000" w:themeColor="text1"/>
                <w:spacing w:val="-2"/>
                <w:w w:val="95"/>
                <w:sz w:val="20"/>
              </w:rPr>
              <w:t>trahentów</w:t>
            </w:r>
            <w:r w:rsidR="004D7F8C">
              <w:rPr>
                <w:rFonts w:ascii="Times New Roman" w:hAnsi="Times New Roman"/>
                <w:color w:val="000000" w:themeColor="text1"/>
                <w:spacing w:val="-2"/>
                <w:w w:val="95"/>
                <w:sz w:val="20"/>
              </w:rPr>
              <w:t xml:space="preserve"> w zwi</w:t>
            </w:r>
            <w:r>
              <w:rPr>
                <w:rFonts w:ascii="Times New Roman" w:hAnsi="Times New Roman"/>
                <w:color w:val="000000" w:themeColor="text1"/>
                <w:spacing w:val="-2"/>
                <w:w w:val="95"/>
                <w:sz w:val="20"/>
              </w:rPr>
              <w:t>ązku ze zgłaszaniem danych</w:t>
            </w:r>
            <w:r w:rsidR="004D7F8C">
              <w:rPr>
                <w:rFonts w:ascii="Times New Roman" w:hAnsi="Times New Roman"/>
                <w:color w:val="000000" w:themeColor="text1"/>
                <w:spacing w:val="-2"/>
                <w:w w:val="95"/>
                <w:sz w:val="20"/>
              </w:rPr>
              <w:t xml:space="preserve"> i sto</w:t>
            </w:r>
            <w:r>
              <w:rPr>
                <w:rFonts w:ascii="Times New Roman" w:hAnsi="Times New Roman"/>
                <w:color w:val="000000" w:themeColor="text1"/>
                <w:spacing w:val="-2"/>
                <w:w w:val="95"/>
                <w:sz w:val="20"/>
              </w:rPr>
              <w:t>sunkami między kontrahentami</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zarządzanie pozycjami (ryzyko</w:t>
            </w:r>
            <w:r w:rsidR="004D7F8C">
              <w:rPr>
                <w:rFonts w:ascii="Times New Roman" w:hAnsi="Times New Roman"/>
                <w:color w:val="000000" w:themeColor="text1"/>
                <w:spacing w:val="-2"/>
                <w:w w:val="95"/>
                <w:sz w:val="20"/>
              </w:rPr>
              <w:t xml:space="preserve"> i uzg</w:t>
            </w:r>
            <w:r>
              <w:rPr>
                <w:rFonts w:ascii="Times New Roman" w:hAnsi="Times New Roman"/>
                <w:color w:val="000000" w:themeColor="text1"/>
                <w:spacing w:val="-2"/>
                <w:w w:val="95"/>
                <w:sz w:val="20"/>
              </w:rPr>
              <w:t>adnianie kont).</w:t>
            </w:r>
          </w:p>
          <w:p w:rsidR="000713A0" w:rsidRPr="004D7F8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Zarządzanie ryzykiem</w:t>
            </w:r>
            <w:r w:rsidR="004D7F8C">
              <w:rPr>
                <w:rFonts w:ascii="Times New Roman" w:hAnsi="Times New Roman"/>
                <w:color w:val="000000" w:themeColor="text1"/>
                <w:spacing w:val="-2"/>
                <w:w w:val="95"/>
                <w:sz w:val="20"/>
              </w:rPr>
              <w:t xml:space="preserve"> i jeg</w:t>
            </w:r>
            <w:r>
              <w:rPr>
                <w:rFonts w:ascii="Times New Roman" w:hAnsi="Times New Roman"/>
                <w:color w:val="000000" w:themeColor="text1"/>
                <w:spacing w:val="-2"/>
                <w:w w:val="95"/>
                <w:sz w:val="20"/>
              </w:rPr>
              <w:t>o wycena</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centralne zarządzanie ryzykiem lub</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linii biznesowej lub związane</w:t>
            </w:r>
            <w:r w:rsidR="004D7F8C">
              <w:rPr>
                <w:rFonts w:ascii="Times New Roman" w:hAnsi="Times New Roman"/>
                <w:color w:val="000000" w:themeColor="text1"/>
                <w:spacing w:val="-2"/>
                <w:w w:val="95"/>
                <w:sz w:val="20"/>
              </w:rPr>
              <w:t xml:space="preserve"> z rod</w:t>
            </w:r>
            <w:r>
              <w:rPr>
                <w:rFonts w:ascii="Times New Roman" w:hAnsi="Times New Roman"/>
                <w:color w:val="000000" w:themeColor="text1"/>
                <w:spacing w:val="-2"/>
                <w:w w:val="95"/>
                <w:sz w:val="20"/>
              </w:rPr>
              <w:t>zajem ryzyka,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generowanie raportów dotyczących ryzyka.</w:t>
            </w:r>
          </w:p>
          <w:p w:rsidR="000713A0" w:rsidRPr="004D7F8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Rachunkowość</w:t>
            </w:r>
            <w:r w:rsidRPr="004D7F8C">
              <w:rPr>
                <w:rFonts w:ascii="Times New Roman" w:hAnsi="Times New Roman"/>
                <w:color w:val="000000" w:themeColor="text1"/>
                <w:spacing w:val="-2"/>
                <w:w w:val="95"/>
                <w:sz w:val="20"/>
              </w:rPr>
              <w:t>:</w:t>
            </w:r>
            <w:r w:rsidR="004D7F8C" w:rsidRPr="004D7F8C">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sprawozdawczość statutowa</w:t>
            </w:r>
            <w:r w:rsidR="004D7F8C">
              <w:rPr>
                <w:rFonts w:ascii="Times New Roman" w:hAnsi="Times New Roman"/>
                <w:color w:val="000000" w:themeColor="text1"/>
                <w:spacing w:val="-2"/>
                <w:w w:val="95"/>
                <w:sz w:val="20"/>
              </w:rPr>
              <w:t xml:space="preserve"> i reg</w:t>
            </w:r>
            <w:r>
              <w:rPr>
                <w:rFonts w:ascii="Times New Roman" w:hAnsi="Times New Roman"/>
                <w:color w:val="000000" w:themeColor="text1"/>
                <w:spacing w:val="-2"/>
                <w:w w:val="95"/>
                <w:sz w:val="20"/>
              </w:rPr>
              <w:t>ulacyjna,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wycena,</w:t>
            </w:r>
            <w:r w:rsidR="004D7F8C">
              <w:rPr>
                <w:rFonts w:ascii="Times New Roman" w:hAnsi="Times New Roman"/>
                <w:color w:val="000000" w:themeColor="text1"/>
                <w:spacing w:val="-2"/>
                <w:w w:val="95"/>
                <w:sz w:val="20"/>
              </w:rPr>
              <w:t xml:space="preserve"> w szc</w:t>
            </w:r>
            <w:r>
              <w:rPr>
                <w:rFonts w:ascii="Times New Roman" w:hAnsi="Times New Roman"/>
                <w:color w:val="000000" w:themeColor="text1"/>
                <w:spacing w:val="-2"/>
                <w:w w:val="95"/>
                <w:sz w:val="20"/>
              </w:rPr>
              <w:t>zególności pozycji rynkowych,</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sprawozdawczość zarządcza.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Obsługa środków pieniężnych.</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Usługobiorca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Podmiot</w:t>
            </w:r>
            <w:r w:rsidR="004D7F8C">
              <w:rPr>
                <w:rFonts w:ascii="Times New Roman" w:hAnsi="Times New Roman"/>
                <w:color w:val="000000" w:themeColor="text1"/>
                <w:spacing w:val="-2"/>
                <w:w w:val="95"/>
                <w:sz w:val="20"/>
              </w:rPr>
              <w:t xml:space="preserve"> w gru</w:t>
            </w:r>
            <w:r>
              <w:rPr>
                <w:rFonts w:ascii="Times New Roman" w:hAnsi="Times New Roman"/>
                <w:color w:val="000000" w:themeColor="text1"/>
                <w:spacing w:val="-2"/>
                <w:w w:val="95"/>
                <w:sz w:val="20"/>
              </w:rPr>
              <w:t>pie, który otrzymuje usługę</w:t>
            </w:r>
            <w:r w:rsidR="004D7F8C">
              <w:rPr>
                <w:rFonts w:ascii="Times New Roman" w:hAnsi="Times New Roman"/>
                <w:color w:val="000000" w:themeColor="text1"/>
                <w:spacing w:val="-2"/>
                <w:w w:val="95"/>
                <w:sz w:val="20"/>
              </w:rPr>
              <w:t xml:space="preserve"> o kry</w:t>
            </w:r>
            <w:r>
              <w:rPr>
                <w:rFonts w:ascii="Times New Roman" w:hAnsi="Times New Roman"/>
                <w:color w:val="000000" w:themeColor="text1"/>
                <w:spacing w:val="-2"/>
                <w:w w:val="95"/>
                <w:sz w:val="20"/>
              </w:rPr>
              <w:t>tycznym znaczeniu zgłoszoną</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0010 świadczoną na jego rzecz przez inny podmiot powiązany lub przez zewnętrznego usługodawcę zgłoszonego</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 xml:space="preserve">umnach 0040–0050.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Nazwa podmiotu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Musi różnić się od nazwy podanej</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 xml:space="preserve">umnie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Niepowtarzalny identyfikator podmiotu prawnego</w:t>
            </w:r>
            <w:r w:rsidR="004D7F8C">
              <w:rPr>
                <w:rFonts w:ascii="Times New Roman" w:hAnsi="Times New Roman"/>
                <w:color w:val="000000" w:themeColor="text1"/>
                <w:spacing w:val="-2"/>
                <w:w w:val="95"/>
                <w:sz w:val="20"/>
              </w:rPr>
              <w:t xml:space="preserve"> z kol</w:t>
            </w:r>
            <w:r>
              <w:rPr>
                <w:rFonts w:ascii="Times New Roman" w:hAnsi="Times New Roman"/>
                <w:color w:val="000000" w:themeColor="text1"/>
                <w:spacing w:val="-2"/>
                <w:w w:val="95"/>
                <w:sz w:val="20"/>
              </w:rPr>
              <w:t>umny 0020, zgodnie ze zgłoszeniem</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Musi różnić się od identyfikatora zgłoszonego</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Usługodawca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Podmiot prawny (wewnętrzny lub zewnętrzny) świadczący usługę</w:t>
            </w:r>
            <w:r w:rsidR="004D7F8C">
              <w:rPr>
                <w:rFonts w:ascii="Times New Roman" w:hAnsi="Times New Roman"/>
                <w:color w:val="000000" w:themeColor="text1"/>
                <w:spacing w:val="-2"/>
                <w:w w:val="95"/>
                <w:sz w:val="20"/>
              </w:rPr>
              <w:t xml:space="preserve"> o kry</w:t>
            </w:r>
            <w:r>
              <w:rPr>
                <w:rFonts w:ascii="Times New Roman" w:hAnsi="Times New Roman"/>
                <w:color w:val="000000" w:themeColor="text1"/>
                <w:spacing w:val="-2"/>
                <w:w w:val="95"/>
                <w:sz w:val="20"/>
              </w:rPr>
              <w:t>tycznym znaczeniu zgłoszoną</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 xml:space="preserve">umnie 0010 na rzecz podmiotu powiązanego.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Nazwa podmiotu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Musi różnić się od nazwy podanej</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 xml:space="preserve">umnie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Niepowtarzalny identyfikator podmiotu prawnego</w:t>
            </w:r>
            <w:r w:rsidR="004D7F8C">
              <w:rPr>
                <w:rFonts w:ascii="Times New Roman" w:hAnsi="Times New Roman"/>
                <w:color w:val="000000" w:themeColor="text1"/>
                <w:spacing w:val="-2"/>
                <w:w w:val="95"/>
                <w:sz w:val="20"/>
              </w:rPr>
              <w:t xml:space="preserve"> z kol</w:t>
            </w:r>
            <w:r>
              <w:rPr>
                <w:rFonts w:ascii="Times New Roman" w:hAnsi="Times New Roman"/>
                <w:color w:val="000000" w:themeColor="text1"/>
                <w:spacing w:val="-2"/>
                <w:w w:val="95"/>
                <w:sz w:val="20"/>
              </w:rPr>
              <w:t>umny 0020. Musi różnić się od identyfikatora podanego</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usługodawca jest podmiotem powiązanym, kod jest taki sam jak kod zgłoszony</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 xml:space="preserve">blonie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 usługodawca nie jest podmiotem powiązanym, kod tego podmiotu jest:</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przypadku instytucji – 20-cyfrowym alfanumerycznym kodem LEI;</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przypadku innych podmiotów kod jest 20-cyfrowym alfanumerycznym kodem LEI lub – jeżeli kod taki jest niedostępny – kodem zgodnym</w:t>
            </w:r>
            <w:r w:rsidR="004D7F8C">
              <w:rPr>
                <w:rFonts w:ascii="Times New Roman" w:hAnsi="Times New Roman"/>
                <w:color w:val="000000" w:themeColor="text1"/>
                <w:spacing w:val="-2"/>
                <w:w w:val="95"/>
                <w:sz w:val="20"/>
              </w:rPr>
              <w:t xml:space="preserve"> z jed</w:t>
            </w:r>
            <w:r>
              <w:rPr>
                <w:rFonts w:ascii="Times New Roman" w:hAnsi="Times New Roman"/>
                <w:color w:val="000000" w:themeColor="text1"/>
                <w:spacing w:val="-2"/>
                <w:w w:val="95"/>
                <w:sz w:val="20"/>
              </w:rPr>
              <w:t>nolitą kodyfikacją mającą zastosowanie</w:t>
            </w:r>
            <w:r w:rsidR="004D7F8C">
              <w:rPr>
                <w:rFonts w:ascii="Times New Roman" w:hAnsi="Times New Roman"/>
                <w:color w:val="000000" w:themeColor="text1"/>
                <w:spacing w:val="-2"/>
                <w:w w:val="95"/>
                <w:sz w:val="20"/>
              </w:rPr>
              <w:t xml:space="preserve"> w Uni</w:t>
            </w:r>
            <w:r>
              <w:rPr>
                <w:rFonts w:ascii="Times New Roman" w:hAnsi="Times New Roman"/>
                <w:color w:val="000000" w:themeColor="text1"/>
                <w:spacing w:val="-2"/>
                <w:w w:val="95"/>
                <w:sz w:val="20"/>
              </w:rPr>
              <w:t>i lub – jeżeli kod taki nie jest dostępny – kodem krajowym.</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jest niepowtarzalny</w:t>
            </w:r>
            <w:r w:rsidR="004D7F8C">
              <w:rPr>
                <w:rFonts w:ascii="Times New Roman" w:hAnsi="Times New Roman"/>
                <w:color w:val="000000" w:themeColor="text1"/>
                <w:spacing w:val="-2"/>
                <w:w w:val="95"/>
                <w:sz w:val="20"/>
              </w:rPr>
              <w:t xml:space="preserve"> i sto</w:t>
            </w:r>
            <w:r>
              <w:rPr>
                <w:rFonts w:ascii="Times New Roman" w:hAnsi="Times New Roman"/>
                <w:color w:val="000000" w:themeColor="text1"/>
                <w:spacing w:val="-2"/>
                <w:w w:val="95"/>
                <w:sz w:val="20"/>
              </w:rPr>
              <w:t>suje się go jednolicie we wszystkich szablonach.</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Część grupy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„Tak” – jeżeli usługę świadczy podmiot należący do grupy („wewnętrzny”).</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„Nie” – jeżeli usługę świadczy podmiot spoza grupy („zewnętrzny”).</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Funkcja krytyczna</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Funkcja krytyczna, której wykonywanie napotkałoby poważne przeszkody lub było zupełnie niemożliwe</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zaburzenia usługi</w:t>
            </w:r>
            <w:r w:rsidR="004D7F8C">
              <w:rPr>
                <w:rFonts w:ascii="Times New Roman" w:hAnsi="Times New Roman"/>
                <w:color w:val="000000" w:themeColor="text1"/>
                <w:spacing w:val="-2"/>
                <w:w w:val="95"/>
                <w:sz w:val="20"/>
              </w:rPr>
              <w:t xml:space="preserve"> o kry</w:t>
            </w:r>
            <w:r>
              <w:rPr>
                <w:rFonts w:ascii="Times New Roman" w:hAnsi="Times New Roman"/>
                <w:color w:val="000000" w:themeColor="text1"/>
                <w:spacing w:val="-2"/>
                <w:w w:val="95"/>
                <w:sz w:val="20"/>
              </w:rPr>
              <w:t>tycznym znaczeniu. Jest to jedna</w:t>
            </w:r>
            <w:r w:rsidR="004D7F8C">
              <w:rPr>
                <w:rFonts w:ascii="Times New Roman" w:hAnsi="Times New Roman"/>
                <w:color w:val="000000" w:themeColor="text1"/>
                <w:spacing w:val="-2"/>
                <w:w w:val="95"/>
                <w:sz w:val="20"/>
              </w:rPr>
              <w:t xml:space="preserve"> z fun</w:t>
            </w:r>
            <w:r>
              <w:rPr>
                <w:rFonts w:ascii="Times New Roman" w:hAnsi="Times New Roman"/>
                <w:color w:val="000000" w:themeColor="text1"/>
                <w:spacing w:val="-2"/>
                <w:w w:val="95"/>
                <w:sz w:val="20"/>
              </w:rPr>
              <w:t>kcji ocenionych jako mające krytyczne znaczenie</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Państwo</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Państwo członkowskie,</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którego funkcja ma krytyczne znaczenie, zgodnie ze zgłoszeniem w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Nr </w:t>
            </w:r>
            <w:proofErr w:type="spellStart"/>
            <w:r>
              <w:rPr>
                <w:rFonts w:ascii="Times New Roman" w:hAnsi="Times New Roman"/>
                <w:b/>
                <w:color w:val="000000" w:themeColor="text1"/>
                <w:sz w:val="20"/>
              </w:rPr>
              <w:t>iden</w:t>
            </w:r>
            <w:proofErr w:type="spellEnd"/>
            <w:r>
              <w:rPr>
                <w:rFonts w:ascii="Times New Roman" w:hAnsi="Times New Roman"/>
                <w:b/>
                <w:color w:val="000000" w:themeColor="text1"/>
                <w:sz w:val="20"/>
              </w:rPr>
              <w:t>.</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Nr identyfikacyjny funkcji krytycznych zdefiniowanych</w:t>
            </w:r>
            <w:r w:rsidR="004D7F8C">
              <w:rPr>
                <w:rFonts w:ascii="Times New Roman" w:hAnsi="Times New Roman"/>
                <w:color w:val="000000" w:themeColor="text1"/>
                <w:spacing w:val="-2"/>
                <w:w w:val="95"/>
                <w:sz w:val="20"/>
              </w:rPr>
              <w:t xml:space="preserve"> w roz</w:t>
            </w:r>
            <w:r>
              <w:rPr>
                <w:rFonts w:ascii="Times New Roman" w:hAnsi="Times New Roman"/>
                <w:color w:val="000000" w:themeColor="text1"/>
                <w:spacing w:val="-2"/>
                <w:w w:val="95"/>
                <w:sz w:val="20"/>
              </w:rPr>
              <w:t>dziale 2.7.1.4 powyżej,</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rych mowa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Szacowany czas na substytucyjność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Szacowany czas konieczny na zastąpienie usługodawcy innym usługodawcą, pełniącym usługi</w:t>
            </w:r>
            <w:r w:rsidR="004D7F8C">
              <w:rPr>
                <w:rFonts w:ascii="Times New Roman" w:hAnsi="Times New Roman"/>
                <w:color w:val="000000" w:themeColor="text1"/>
                <w:spacing w:val="-2"/>
                <w:w w:val="95"/>
                <w:sz w:val="20"/>
              </w:rPr>
              <w:t xml:space="preserve"> w pod</w:t>
            </w:r>
            <w:r>
              <w:rPr>
                <w:rFonts w:ascii="Times New Roman" w:hAnsi="Times New Roman"/>
                <w:color w:val="000000" w:themeColor="text1"/>
                <w:spacing w:val="-2"/>
                <w:w w:val="95"/>
                <w:sz w:val="20"/>
              </w:rPr>
              <w:t>obnym zakresie, jeżeli chodzi</w:t>
            </w:r>
            <w:r w:rsidR="004D7F8C">
              <w:rPr>
                <w:rFonts w:ascii="Times New Roman" w:hAnsi="Times New Roman"/>
                <w:color w:val="000000" w:themeColor="text1"/>
                <w:spacing w:val="-2"/>
                <w:w w:val="95"/>
                <w:sz w:val="20"/>
              </w:rPr>
              <w:t xml:space="preserve"> o prz</w:t>
            </w:r>
            <w:r>
              <w:rPr>
                <w:rFonts w:ascii="Times New Roman" w:hAnsi="Times New Roman"/>
                <w:color w:val="000000" w:themeColor="text1"/>
                <w:spacing w:val="-2"/>
                <w:w w:val="95"/>
                <w:sz w:val="20"/>
              </w:rPr>
              <w:t>edmiot, jakość</w:t>
            </w:r>
            <w:r w:rsidR="004D7F8C">
              <w:rPr>
                <w:rFonts w:ascii="Times New Roman" w:hAnsi="Times New Roman"/>
                <w:color w:val="000000" w:themeColor="text1"/>
                <w:spacing w:val="-2"/>
                <w:w w:val="95"/>
                <w:sz w:val="20"/>
              </w:rPr>
              <w:t xml:space="preserve"> i kos</w:t>
            </w:r>
            <w:r>
              <w:rPr>
                <w:rFonts w:ascii="Times New Roman" w:hAnsi="Times New Roman"/>
                <w:color w:val="000000" w:themeColor="text1"/>
                <w:spacing w:val="-2"/>
                <w:w w:val="95"/>
                <w:sz w:val="20"/>
              </w:rPr>
              <w:t>zt otrzymywanej usługi.</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jedną</w:t>
            </w:r>
            <w:r w:rsidR="004D7F8C">
              <w:rPr>
                <w:rFonts w:ascii="Times New Roman" w:hAnsi="Times New Roman"/>
                <w:color w:val="000000" w:themeColor="text1"/>
                <w:spacing w:val="-2"/>
                <w:w w:val="95"/>
                <w:sz w:val="20"/>
              </w:rPr>
              <w:t xml:space="preserve"> z nas</w:t>
            </w:r>
            <w:r>
              <w:rPr>
                <w:rFonts w:ascii="Times New Roman" w:hAnsi="Times New Roman"/>
                <w:color w:val="000000" w:themeColor="text1"/>
                <w:spacing w:val="-2"/>
                <w:w w:val="95"/>
                <w:sz w:val="20"/>
              </w:rPr>
              <w:t>tępujących wartości: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dzień – 1 tydzień”,</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gdy czas na zastąpienie nie przekracza jednego tygodnia;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tydzień – 1 miesiąc”,</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gdy czas na zastąpienie przekracza jeden tydzień, ale nie przekracza jednego miesiąca;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miesiąc – 6 miesięcy”,</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gdy czas na zastąpienie przekracza jeden miesiąc, ale nie przekracza sześciu miesięcy;</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„6 miesięcy – 12 miesięcy”,</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gdy czas na zastąpienie przekracza sześć miesięcy, ale nie przekracza dwunastu miesięcy;</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„więcej niż 1 rok”,</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gdy czas na zastąpienie przekracza jeden rok.</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Szacowany czas na dostęp do umów</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Szacowany czas konieczny na wyszukanie następujących informacji dotyczących umowy regulującej usługę po otrzymaniu wniosku ze strony organu ds.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rządkowanej likwidacji: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okres obowiązywania umowy;</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strony umowy (strona autorska</w:t>
            </w:r>
            <w:r w:rsidR="004D7F8C">
              <w:rPr>
                <w:rFonts w:ascii="Times New Roman" w:hAnsi="Times New Roman"/>
                <w:color w:val="000000" w:themeColor="text1"/>
                <w:spacing w:val="-2"/>
                <w:w w:val="95"/>
                <w:sz w:val="20"/>
              </w:rPr>
              <w:t xml:space="preserve"> i dos</w:t>
            </w:r>
            <w:r>
              <w:rPr>
                <w:rFonts w:ascii="Times New Roman" w:hAnsi="Times New Roman"/>
                <w:color w:val="000000" w:themeColor="text1"/>
                <w:spacing w:val="-2"/>
                <w:w w:val="95"/>
                <w:sz w:val="20"/>
              </w:rPr>
              <w:t>tawca, osoby odpowiedzialne za kontakty)</w:t>
            </w:r>
            <w:r w:rsidR="004D7F8C">
              <w:rPr>
                <w:rFonts w:ascii="Times New Roman" w:hAnsi="Times New Roman"/>
                <w:color w:val="000000" w:themeColor="text1"/>
                <w:spacing w:val="-2"/>
                <w:w w:val="95"/>
                <w:sz w:val="20"/>
              </w:rPr>
              <w:t xml:space="preserve"> i ich</w:t>
            </w:r>
            <w:r>
              <w:rPr>
                <w:rFonts w:ascii="Times New Roman" w:hAnsi="Times New Roman"/>
                <w:color w:val="000000" w:themeColor="text1"/>
                <w:spacing w:val="-2"/>
                <w:w w:val="95"/>
                <w:sz w:val="20"/>
              </w:rPr>
              <w:t xml:space="preserve"> właściwość;</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charakter usługi (tj. krótki opis charakteru transakcji między stronami,</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cen);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czy tę samą usługę może zaoferować inny wewnętrzny/zewnętrzny usługodawca (zidentyfikowanie potencjalnych kandydatów);</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sąd właściwy dla umowy;</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wydział odpowiedzialny za prowadzenie głównych operacji objętych umową;</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główne sankcje zawarte</w:t>
            </w:r>
            <w:r w:rsidR="004D7F8C">
              <w:rPr>
                <w:rFonts w:ascii="Times New Roman" w:hAnsi="Times New Roman"/>
                <w:color w:val="000000" w:themeColor="text1"/>
                <w:spacing w:val="-2"/>
                <w:w w:val="95"/>
                <w:sz w:val="20"/>
              </w:rPr>
              <w:t xml:space="preserve"> w umo</w:t>
            </w:r>
            <w:r>
              <w:rPr>
                <w:rFonts w:ascii="Times New Roman" w:hAnsi="Times New Roman"/>
                <w:color w:val="000000" w:themeColor="text1"/>
                <w:spacing w:val="-2"/>
                <w:w w:val="95"/>
                <w:sz w:val="20"/>
              </w:rPr>
              <w:t>wie na wypadek zawieszenia płatności lub opóźnienia</w:t>
            </w:r>
            <w:r w:rsidR="004D7F8C">
              <w:rPr>
                <w:rFonts w:ascii="Times New Roman" w:hAnsi="Times New Roman"/>
                <w:color w:val="000000" w:themeColor="text1"/>
                <w:spacing w:val="-2"/>
                <w:w w:val="95"/>
                <w:sz w:val="20"/>
              </w:rPr>
              <w:t xml:space="preserve"> w pła</w:t>
            </w:r>
            <w:r>
              <w:rPr>
                <w:rFonts w:ascii="Times New Roman" w:hAnsi="Times New Roman"/>
                <w:color w:val="000000" w:themeColor="text1"/>
                <w:spacing w:val="-2"/>
                <w:w w:val="95"/>
                <w:sz w:val="20"/>
              </w:rPr>
              <w:t>tnościach;</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przyczyny pozwalające na przedterminowe rozwiązanie umowy</w:t>
            </w:r>
            <w:r w:rsidR="004D7F8C">
              <w:rPr>
                <w:rFonts w:ascii="Times New Roman" w:hAnsi="Times New Roman"/>
                <w:color w:val="000000" w:themeColor="text1"/>
                <w:spacing w:val="-2"/>
                <w:w w:val="95"/>
                <w:sz w:val="20"/>
              </w:rPr>
              <w:t xml:space="preserve"> i doz</w:t>
            </w:r>
            <w:r>
              <w:rPr>
                <w:rFonts w:ascii="Times New Roman" w:hAnsi="Times New Roman"/>
                <w:color w:val="000000" w:themeColor="text1"/>
                <w:spacing w:val="-2"/>
                <w:w w:val="95"/>
                <w:sz w:val="20"/>
              </w:rPr>
              <w:t>wolone terminy rozwiązania;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wsparcie operacyjne po rozwiązaniu umowy;</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dla których funkcji krytycznych</w:t>
            </w:r>
            <w:r w:rsidR="004D7F8C">
              <w:rPr>
                <w:rFonts w:ascii="Times New Roman" w:hAnsi="Times New Roman"/>
                <w:color w:val="000000" w:themeColor="text1"/>
                <w:spacing w:val="-2"/>
                <w:w w:val="95"/>
                <w:sz w:val="20"/>
              </w:rPr>
              <w:t xml:space="preserve"> i głó</w:t>
            </w:r>
            <w:r>
              <w:rPr>
                <w:rFonts w:ascii="Times New Roman" w:hAnsi="Times New Roman"/>
                <w:color w:val="000000" w:themeColor="text1"/>
                <w:spacing w:val="-2"/>
                <w:w w:val="95"/>
                <w:sz w:val="20"/>
              </w:rPr>
              <w:t>wnych linii biznesowych ma ona znaczenie.</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jedną</w:t>
            </w:r>
            <w:r w:rsidR="004D7F8C">
              <w:rPr>
                <w:rFonts w:ascii="Times New Roman" w:hAnsi="Times New Roman"/>
                <w:color w:val="000000" w:themeColor="text1"/>
                <w:spacing w:val="-2"/>
                <w:w w:val="95"/>
                <w:sz w:val="20"/>
              </w:rPr>
              <w:t xml:space="preserve"> z nas</w:t>
            </w:r>
            <w:r>
              <w:rPr>
                <w:rFonts w:ascii="Times New Roman" w:hAnsi="Times New Roman"/>
                <w:color w:val="000000" w:themeColor="text1"/>
                <w:spacing w:val="-2"/>
                <w:w w:val="95"/>
                <w:sz w:val="20"/>
              </w:rPr>
              <w:t>tępujących wartości: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dzień</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dzień – 1 tydzień</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powyżej 1 tygodnia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brak umowy regulującej usługę</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Prawo właściwe</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Kod ISO państwa, którego prawo reguluje umowę.</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Umowa, na którą nie ma wpływu restrukturyzacja</w:t>
            </w:r>
            <w:r w:rsidR="004D7F8C">
              <w:rPr>
                <w:rFonts w:ascii="Times New Roman" w:hAnsi="Times New Roman"/>
                <w:b/>
                <w:color w:val="000000" w:themeColor="text1"/>
                <w:sz w:val="20"/>
              </w:rPr>
              <w:t xml:space="preserve"> i upo</w:t>
            </w:r>
            <w:r>
              <w:rPr>
                <w:rFonts w:ascii="Times New Roman" w:hAnsi="Times New Roman"/>
                <w:b/>
                <w:color w:val="000000" w:themeColor="text1"/>
                <w:sz w:val="20"/>
              </w:rPr>
              <w:t xml:space="preserve">rządkowana likwidacja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Odzwierciedla ocenę tego, czy można kontynuować</w:t>
            </w:r>
            <w:r w:rsidR="004D7F8C">
              <w:rPr>
                <w:rFonts w:ascii="Times New Roman" w:hAnsi="Times New Roman"/>
                <w:color w:val="000000" w:themeColor="text1"/>
                <w:spacing w:val="-2"/>
                <w:w w:val="95"/>
                <w:sz w:val="20"/>
              </w:rPr>
              <w:t xml:space="preserve"> i prz</w:t>
            </w:r>
            <w:r>
              <w:rPr>
                <w:rFonts w:ascii="Times New Roman" w:hAnsi="Times New Roman"/>
                <w:color w:val="000000" w:themeColor="text1"/>
                <w:spacing w:val="-2"/>
                <w:w w:val="95"/>
                <w:sz w:val="20"/>
              </w:rPr>
              <w:t>enieść umowę</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 xml:space="preserve">rządkowanej likwidacji.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ocenie należy uwzględnić między innymi następujące czynniki:</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każdą klauzulę, która uprawniałaby kontrahenta do rozwiązania umowy wyłącznie na skutek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rządkowanej likwidacji, środków wczesnej interwencji lub obustronnych scenariuszy niewykonania zobowiązania pomimo dalszego wykonywania znaczących obowiązków;</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każdą klauzulę, która uprawniałaby kontrahenta do zmiany warunków usługi lub kalkulacji ceny wyłącznie na skutek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rządkowanej likwidacji, wczesnej interwencji lub obustronnych scenariuszy niewykonania zobowiązania pomimo dalszego wykonywania znaczących obowiązków;</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ujęcie</w:t>
            </w:r>
            <w:r w:rsidR="004D7F8C">
              <w:rPr>
                <w:rFonts w:ascii="Times New Roman" w:hAnsi="Times New Roman"/>
                <w:color w:val="000000" w:themeColor="text1"/>
                <w:spacing w:val="-2"/>
                <w:w w:val="95"/>
                <w:sz w:val="20"/>
              </w:rPr>
              <w:t xml:space="preserve"> w umo</w:t>
            </w:r>
            <w:r>
              <w:rPr>
                <w:rFonts w:ascii="Times New Roman" w:hAnsi="Times New Roman"/>
                <w:color w:val="000000" w:themeColor="text1"/>
                <w:spacing w:val="-2"/>
                <w:w w:val="95"/>
                <w:sz w:val="20"/>
              </w:rPr>
              <w:t>wie praw do jej zawieszenia przez organy ds. restrukturyzacji</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rządkowanej likwidacji.</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jedną</w:t>
            </w:r>
            <w:r w:rsidR="004D7F8C">
              <w:rPr>
                <w:rFonts w:ascii="Times New Roman" w:hAnsi="Times New Roman"/>
                <w:color w:val="000000" w:themeColor="text1"/>
                <w:spacing w:val="-2"/>
                <w:w w:val="95"/>
                <w:sz w:val="20"/>
              </w:rPr>
              <w:t xml:space="preserve"> z nas</w:t>
            </w:r>
            <w:r>
              <w:rPr>
                <w:rFonts w:ascii="Times New Roman" w:hAnsi="Times New Roman"/>
                <w:color w:val="000000" w:themeColor="text1"/>
                <w:spacing w:val="-2"/>
                <w:w w:val="95"/>
                <w:sz w:val="20"/>
              </w:rPr>
              <w:t>tępujących wartości:</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„Tak” – jeżeli umowę oceniono jako odporną na restrukturyzację</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rządkowaną likwidację;</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„Nie” – jeżeli nie oceniono umowy jako odpornej na restrukturyzację</w:t>
            </w:r>
            <w:r w:rsidR="004D7F8C">
              <w:rPr>
                <w:rFonts w:ascii="Times New Roman" w:hAnsi="Times New Roman"/>
                <w:color w:val="000000" w:themeColor="text1"/>
                <w:spacing w:val="-2"/>
                <w:w w:val="95"/>
                <w:sz w:val="20"/>
              </w:rPr>
              <w:t xml:space="preserve"> i upo</w:t>
            </w:r>
            <w:r>
              <w:rPr>
                <w:rFonts w:ascii="Times New Roman" w:hAnsi="Times New Roman"/>
                <w:color w:val="000000" w:themeColor="text1"/>
                <w:spacing w:val="-2"/>
                <w:w w:val="95"/>
                <w:sz w:val="20"/>
              </w:rPr>
              <w:t>rządkowaną likwidację;</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„Brak oceny” – jeżeli nie przeprowadzono oceny.</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062590"/>
      <w:r>
        <w:rPr>
          <w:rFonts w:ascii="Times New Roman" w:hAnsi="Times New Roman"/>
          <w:color w:val="000000" w:themeColor="text1"/>
        </w:rPr>
        <w:t>Z 09.00 – Usługi</w:t>
      </w:r>
      <w:r w:rsidR="004D7F8C">
        <w:rPr>
          <w:rFonts w:ascii="Times New Roman" w:hAnsi="Times New Roman"/>
          <w:color w:val="000000" w:themeColor="text1"/>
        </w:rPr>
        <w:t xml:space="preserve"> z zak</w:t>
      </w:r>
      <w:r>
        <w:rPr>
          <w:rFonts w:ascii="Times New Roman" w:hAnsi="Times New Roman"/>
          <w:color w:val="000000" w:themeColor="text1"/>
        </w:rPr>
        <w:t>resu infrastruktury rynku finansowego – podmioty świadczące</w:t>
      </w:r>
      <w:r w:rsidR="004D7F8C">
        <w:rPr>
          <w:rFonts w:ascii="Times New Roman" w:hAnsi="Times New Roman"/>
          <w:color w:val="000000" w:themeColor="text1"/>
        </w:rPr>
        <w:t xml:space="preserve"> i uży</w:t>
      </w:r>
      <w:r>
        <w:rPr>
          <w:rFonts w:ascii="Times New Roman" w:hAnsi="Times New Roman"/>
          <w:color w:val="000000" w:themeColor="text1"/>
        </w:rPr>
        <w:t>tkownicy – przyporządkowanie do funkcji krytycznych</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Uwagi ogólne</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W niniejszym szablonie określa się rozliczanie, płatności, rozrachunek papierów wartościowych</w:t>
      </w:r>
      <w:r w:rsidR="004D7F8C">
        <w:rPr>
          <w:rFonts w:ascii="Times New Roman" w:hAnsi="Times New Roman"/>
          <w:sz w:val="20"/>
        </w:rPr>
        <w:t xml:space="preserve"> i dzi</w:t>
      </w:r>
      <w:r>
        <w:rPr>
          <w:rFonts w:ascii="Times New Roman" w:hAnsi="Times New Roman"/>
          <w:sz w:val="20"/>
        </w:rPr>
        <w:t>ałalność powierniczą, funkcje lub usługi, których zaprzestanie pełnienia może stanowić poważną przeszkodę</w:t>
      </w:r>
      <w:r w:rsidR="004D7F8C">
        <w:rPr>
          <w:rFonts w:ascii="Times New Roman" w:hAnsi="Times New Roman"/>
          <w:sz w:val="20"/>
        </w:rPr>
        <w:t xml:space="preserve"> w peł</w:t>
      </w:r>
      <w:r>
        <w:rPr>
          <w:rFonts w:ascii="Times New Roman" w:hAnsi="Times New Roman"/>
          <w:sz w:val="20"/>
        </w:rPr>
        <w:t>nieniu jednej funkcji krytycznej lub większej ich liczby, lub może całkowicie uniemożliwić ich pełnienie.</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Niniejszy szablon zgłasza się jednorazowo</w:t>
      </w:r>
      <w:r w:rsidR="004D7F8C">
        <w:rPr>
          <w:rFonts w:ascii="Times New Roman" w:hAnsi="Times New Roman"/>
          <w:sz w:val="20"/>
        </w:rPr>
        <w:t xml:space="preserve"> w odn</w:t>
      </w:r>
      <w:r>
        <w:rPr>
          <w:rFonts w:ascii="Times New Roman" w:hAnsi="Times New Roman"/>
          <w:sz w:val="20"/>
        </w:rPr>
        <w:t>iesieniu do całej instytucji lub grupy.</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Należy określić wyłącznie infrastruktury rynku finansowego, których zakłócenie stanowiłoby poważną przeszkodę</w:t>
      </w:r>
      <w:r w:rsidR="004D7F8C">
        <w:rPr>
          <w:rFonts w:ascii="Times New Roman" w:hAnsi="Times New Roman"/>
          <w:sz w:val="20"/>
        </w:rPr>
        <w:t xml:space="preserve"> w peł</w:t>
      </w:r>
      <w:r>
        <w:rPr>
          <w:rFonts w:ascii="Times New Roman" w:hAnsi="Times New Roman"/>
          <w:sz w:val="20"/>
        </w:rPr>
        <w:t>nieniu jakiejkolwiek funkcji krytycznej lub uniemożliwiłoby pełnienie takiej funkcji.</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Instrukcje dotyczące poszczególnych pozycji</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Użytkownik</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Podmiot powiązany korzystający</w:t>
            </w:r>
            <w:r w:rsidR="004D7F8C">
              <w:rPr>
                <w:rFonts w:ascii="Times New Roman" w:hAnsi="Times New Roman"/>
                <w:color w:val="000000" w:themeColor="text1"/>
                <w:sz w:val="20"/>
              </w:rPr>
              <w:t xml:space="preserve"> z usł</w:t>
            </w:r>
            <w:r>
              <w:rPr>
                <w:rFonts w:ascii="Times New Roman" w:hAnsi="Times New Roman"/>
                <w:color w:val="000000" w:themeColor="text1"/>
                <w:sz w:val="20"/>
              </w:rPr>
              <w:t>ug</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płatności, powiernictwa, rozrachunku, rozliczania lub repozytorium transakcji, zgodnie ze zgłoszeniem</w:t>
            </w:r>
            <w:r w:rsidR="004D7F8C">
              <w:rPr>
                <w:rFonts w:ascii="Times New Roman" w:hAnsi="Times New Roman"/>
                <w:color w:val="000000" w:themeColor="text1"/>
                <w:sz w:val="20"/>
              </w:rPr>
              <w:t xml:space="preserve"> w sza</w:t>
            </w:r>
            <w:r>
              <w:rPr>
                <w:rFonts w:ascii="Times New Roman" w:hAnsi="Times New Roman"/>
                <w:color w:val="000000" w:themeColor="text1"/>
                <w:sz w:val="20"/>
              </w:rPr>
              <w:t>blonie Z 01.00 – Struktura organizacyjna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podmiotu</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podmiotu korzystającego</w:t>
            </w:r>
            <w:r w:rsidR="004D7F8C">
              <w:rPr>
                <w:rFonts w:ascii="Times New Roman" w:hAnsi="Times New Roman"/>
                <w:color w:val="000000" w:themeColor="text1"/>
                <w:spacing w:val="-2"/>
                <w:w w:val="95"/>
                <w:sz w:val="20"/>
              </w:rPr>
              <w:t xml:space="preserve"> z usł</w:t>
            </w:r>
            <w:r>
              <w:rPr>
                <w:rFonts w:ascii="Times New Roman" w:hAnsi="Times New Roman"/>
                <w:color w:val="000000" w:themeColor="text1"/>
                <w:spacing w:val="-2"/>
                <w:w w:val="95"/>
                <w:sz w:val="20"/>
              </w:rPr>
              <w:t>ug</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płatności, powiernictwa, rozrachunku, rozliczania lub repozytorium transakcji, zgodnie ze zgłoszeniem</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 xml:space="preserve">blonie Z 01.00 – Struktura organizacyjna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zgłaszać wyłącznie podmioty, które określono</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 xml:space="preserve">blonie Z 07.02 jako pełniące funkcje krytyczne.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podmiotu korzystającego</w:t>
            </w:r>
            <w:r w:rsidR="004D7F8C">
              <w:rPr>
                <w:rFonts w:ascii="Times New Roman" w:hAnsi="Times New Roman"/>
                <w:color w:val="000000" w:themeColor="text1"/>
                <w:spacing w:val="-2"/>
                <w:w w:val="95"/>
                <w:sz w:val="20"/>
              </w:rPr>
              <w:t xml:space="preserve"> z usł</w:t>
            </w:r>
            <w:r>
              <w:rPr>
                <w:rFonts w:ascii="Times New Roman" w:hAnsi="Times New Roman"/>
                <w:color w:val="000000" w:themeColor="text1"/>
                <w:spacing w:val="-2"/>
                <w:w w:val="95"/>
                <w:sz w:val="20"/>
              </w:rPr>
              <w:t>ug</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płatności, powiernictwa, rozrachunku, rozliczania lub repozytorium transakcji, zgodnie ze zgłoszeniem</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 xml:space="preserve">blonie Z 01.00 – Struktura organizacyjna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Funkcja krytyczna</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Funkcja krytyczna pełniona przez podmiot,</w:t>
            </w:r>
            <w:r w:rsidR="004D7F8C">
              <w:rPr>
                <w:rFonts w:ascii="Times New Roman" w:hAnsi="Times New Roman"/>
                <w:color w:val="000000" w:themeColor="text1"/>
                <w:sz w:val="20"/>
              </w:rPr>
              <w:t xml:space="preserve"> w któ</w:t>
            </w:r>
            <w:r>
              <w:rPr>
                <w:rFonts w:ascii="Times New Roman" w:hAnsi="Times New Roman"/>
                <w:color w:val="000000" w:themeColor="text1"/>
                <w:sz w:val="20"/>
              </w:rPr>
              <w:t>rej pełnieniu przeszkodziłoby zakłócenie dostępu do usług</w:t>
            </w:r>
            <w:r w:rsidR="004D7F8C">
              <w:rPr>
                <w:rFonts w:ascii="Times New Roman" w:hAnsi="Times New Roman"/>
                <w:color w:val="000000" w:themeColor="text1"/>
                <w:sz w:val="20"/>
              </w:rPr>
              <w:t xml:space="preserve"> w zak</w:t>
            </w:r>
            <w:r>
              <w:rPr>
                <w:rFonts w:ascii="Times New Roman" w:hAnsi="Times New Roman"/>
                <w:color w:val="000000" w:themeColor="text1"/>
                <w:sz w:val="20"/>
              </w:rPr>
              <w:t>resie płatności, powiernictwa, rozrachunku, rozliczania lub repozytorium transakcji, lub uniemożliwiłoby ono jej pełnienie.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Państwo</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Państwo,</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którego funkcja ma krytyczne znaczenie, zgodnie ze zgłoszeniem w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Nr </w:t>
            </w:r>
            <w:proofErr w:type="spellStart"/>
            <w:r>
              <w:rPr>
                <w:rFonts w:ascii="Times New Roman" w:hAnsi="Times New Roman"/>
                <w:b/>
                <w:color w:val="000000" w:themeColor="text1"/>
                <w:sz w:val="20"/>
              </w:rPr>
              <w:t>iden</w:t>
            </w:r>
            <w:proofErr w:type="spellEnd"/>
            <w:r>
              <w:rPr>
                <w:rFonts w:ascii="Times New Roman" w:hAnsi="Times New Roman"/>
                <w:b/>
                <w:color w:val="000000" w:themeColor="text1"/>
                <w:sz w:val="20"/>
              </w:rPr>
              <w:t>.</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Nr identyfikacyjny funkcji krytycznych zdefiniowanych</w:t>
            </w:r>
            <w:r w:rsidR="004D7F8C">
              <w:rPr>
                <w:rFonts w:ascii="Times New Roman" w:hAnsi="Times New Roman"/>
                <w:color w:val="000000" w:themeColor="text1"/>
                <w:spacing w:val="-2"/>
                <w:w w:val="95"/>
                <w:sz w:val="20"/>
              </w:rPr>
              <w:t xml:space="preserve"> w roz</w:t>
            </w:r>
            <w:r>
              <w:rPr>
                <w:rFonts w:ascii="Times New Roman" w:hAnsi="Times New Roman"/>
                <w:color w:val="000000" w:themeColor="text1"/>
                <w:spacing w:val="-2"/>
                <w:w w:val="95"/>
                <w:sz w:val="20"/>
              </w:rPr>
              <w:t>dziale 2.7.1.4 powyżej,</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rych mowa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Infrastruktura rynku finansowego</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Odniesienie: Komitet ds. Systemów Płatności</w:t>
            </w:r>
            <w:r w:rsidR="004D7F8C">
              <w:rPr>
                <w:rFonts w:ascii="Times New Roman" w:hAnsi="Times New Roman"/>
                <w:color w:val="000000" w:themeColor="text1"/>
                <w:spacing w:val="-2"/>
                <w:w w:val="95"/>
                <w:sz w:val="20"/>
              </w:rPr>
              <w:t xml:space="preserve"> i Roz</w:t>
            </w:r>
            <w:r>
              <w:rPr>
                <w:rFonts w:ascii="Times New Roman" w:hAnsi="Times New Roman"/>
                <w:color w:val="000000" w:themeColor="text1"/>
                <w:spacing w:val="-2"/>
                <w:w w:val="95"/>
                <w:sz w:val="20"/>
              </w:rPr>
              <w:t xml:space="preserve">rachunku, </w:t>
            </w:r>
            <w:hyperlink r:id="rId10">
              <w:r>
                <w:rPr>
                  <w:rFonts w:ascii="Times New Roman" w:hAnsi="Times New Roman"/>
                  <w:color w:val="000000" w:themeColor="text1"/>
                  <w:spacing w:val="-2"/>
                  <w:w w:val="95"/>
                  <w:sz w:val="20"/>
                </w:rPr>
                <w:t xml:space="preserve">Zasady dotyczące infrastruktury rynku finansowego (ang. </w:t>
              </w:r>
              <w:proofErr w:type="spellStart"/>
              <w:r>
                <w:rPr>
                  <w:rFonts w:ascii="Times New Roman" w:hAnsi="Times New Roman"/>
                  <w:i/>
                  <w:color w:val="000000" w:themeColor="text1"/>
                  <w:spacing w:val="-2"/>
                  <w:w w:val="95"/>
                  <w:sz w:val="20"/>
                </w:rPr>
                <w:t>Principles</w:t>
              </w:r>
              <w:proofErr w:type="spellEnd"/>
              <w:r>
                <w:rPr>
                  <w:rFonts w:ascii="Times New Roman" w:hAnsi="Times New Roman"/>
                  <w:i/>
                  <w:color w:val="000000" w:themeColor="text1"/>
                  <w:spacing w:val="-2"/>
                  <w:w w:val="95"/>
                  <w:sz w:val="20"/>
                </w:rPr>
                <w:t xml:space="preserve"> for </w:t>
              </w:r>
              <w:proofErr w:type="spellStart"/>
              <w:r>
                <w:rPr>
                  <w:rFonts w:ascii="Times New Roman" w:hAnsi="Times New Roman"/>
                  <w:i/>
                  <w:color w:val="000000" w:themeColor="text1"/>
                  <w:spacing w:val="-2"/>
                  <w:w w:val="95"/>
                  <w:sz w:val="20"/>
                </w:rPr>
                <w:t>financial</w:t>
              </w:r>
              <w:proofErr w:type="spellEnd"/>
              <w:r>
                <w:rPr>
                  <w:rFonts w:ascii="Times New Roman" w:hAnsi="Times New Roman"/>
                  <w:i/>
                  <w:color w:val="000000" w:themeColor="text1"/>
                  <w:spacing w:val="-2"/>
                  <w:w w:val="95"/>
                  <w:sz w:val="20"/>
                </w:rPr>
                <w:t xml:space="preserve"> market </w:t>
              </w:r>
              <w:proofErr w:type="spellStart"/>
              <w:r>
                <w:rPr>
                  <w:rFonts w:ascii="Times New Roman" w:hAnsi="Times New Roman"/>
                  <w:i/>
                  <w:color w:val="000000" w:themeColor="text1"/>
                  <w:spacing w:val="-2"/>
                  <w:w w:val="95"/>
                  <w:sz w:val="20"/>
                </w:rPr>
                <w:t>infrastructures</w:t>
              </w:r>
              <w:proofErr w:type="spellEnd"/>
              <w:r>
                <w:rPr>
                  <w:rFonts w:ascii="Times New Roman" w:hAnsi="Times New Roman"/>
                  <w:color w:val="000000" w:themeColor="text1"/>
                  <w:spacing w:val="-2"/>
                  <w:w w:val="95"/>
                  <w:sz w:val="20"/>
                </w:rPr>
                <w:t>)</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Wielostronny system wśród uczestniczących instytucji finansowych,</w:t>
            </w:r>
            <w:r w:rsidR="004D7F8C">
              <w:rPr>
                <w:rFonts w:ascii="Times New Roman" w:hAnsi="Times New Roman"/>
                <w:color w:val="000000" w:themeColor="text1"/>
                <w:spacing w:val="-2"/>
                <w:w w:val="95"/>
                <w:sz w:val="20"/>
              </w:rPr>
              <w:t xml:space="preserve"> w tym</w:t>
            </w:r>
            <w:r>
              <w:rPr>
                <w:rFonts w:ascii="Times New Roman" w:hAnsi="Times New Roman"/>
                <w:color w:val="000000" w:themeColor="text1"/>
                <w:spacing w:val="-2"/>
                <w:w w:val="95"/>
                <w:sz w:val="20"/>
              </w:rPr>
              <w:t xml:space="preserve"> operator systemu, wykorzystywany do celów dokumentacji, rozliczania lub rozrachunku płatności, papierów wartościowych, instrumentów pochodnych lub innych transakcji finansowych.</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Rodzaj systemu</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Należy zgłosić jedną</w:t>
            </w:r>
            <w:r w:rsidR="004D7F8C">
              <w:rPr>
                <w:rFonts w:ascii="Times New Roman" w:hAnsi="Times New Roman"/>
                <w:color w:val="000000" w:themeColor="text1"/>
                <w:spacing w:val="-2"/>
                <w:w w:val="95"/>
                <w:sz w:val="20"/>
              </w:rPr>
              <w:t xml:space="preserve"> z nas</w:t>
            </w:r>
            <w:r>
              <w:rPr>
                <w:rFonts w:ascii="Times New Roman" w:hAnsi="Times New Roman"/>
                <w:color w:val="000000" w:themeColor="text1"/>
                <w:spacing w:val="-2"/>
                <w:w w:val="95"/>
                <w:sz w:val="20"/>
              </w:rPr>
              <w:t>tępujących wartości: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w:t>
            </w:r>
            <w:r>
              <w:tab/>
            </w:r>
            <w:r>
              <w:rPr>
                <w:rFonts w:ascii="Times New Roman" w:hAnsi="Times New Roman"/>
                <w:color w:val="000000" w:themeColor="text1"/>
                <w:spacing w:val="-2"/>
                <w:w w:val="95"/>
                <w:sz w:val="20"/>
              </w:rPr>
              <w:t>system płatności;</w:t>
            </w:r>
          </w:p>
          <w:p w:rsidR="006132CF" w:rsidRPr="004D7F8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„(M)CDPW” – (międzynarodowe) centralne depozyty papierów wartościowych,</w:t>
            </w:r>
            <w:r w:rsidR="004D7F8C">
              <w:rPr>
                <w:rFonts w:ascii="Times New Roman" w:hAnsi="Times New Roman"/>
                <w:color w:val="000000" w:themeColor="text1"/>
                <w:sz w:val="20"/>
              </w:rPr>
              <w:t xml:space="preserve"> w tym</w:t>
            </w:r>
            <w:r>
              <w:rPr>
                <w:rFonts w:ascii="Times New Roman" w:hAnsi="Times New Roman"/>
                <w:color w:val="000000" w:themeColor="text1"/>
                <w:sz w:val="20"/>
              </w:rPr>
              <w:t xml:space="preserve"> (M)CDPW świadczące usługi rozrachunku (wewnętrznie lub na zasadzie outsourcingu);</w:t>
            </w:r>
          </w:p>
          <w:p w:rsidR="000C6E53" w:rsidRPr="00D92B3C" w:rsidRDefault="004D7F8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4D7F8C">
              <w:rPr>
                <w:rFonts w:ascii="Times New Roman" w:hAnsi="Times New Roman"/>
                <w:color w:val="000000" w:themeColor="text1"/>
                <w:spacing w:val="-2"/>
                <w:w w:val="95"/>
                <w:sz w:val="20"/>
              </w:rPr>
              <w:t xml:space="preserve"> </w:t>
            </w:r>
            <w:r w:rsidR="00B24772" w:rsidRPr="004D7F8C">
              <w:rPr>
                <w:rFonts w:ascii="Times New Roman" w:hAnsi="Times New Roman"/>
                <w:color w:val="000000" w:themeColor="text1"/>
                <w:spacing w:val="-2"/>
                <w:w w:val="95"/>
                <w:sz w:val="20"/>
              </w:rPr>
              <w:t>„</w:t>
            </w:r>
            <w:r w:rsidR="00B24772">
              <w:rPr>
                <w:rFonts w:ascii="Times New Roman" w:hAnsi="Times New Roman"/>
                <w:color w:val="000000" w:themeColor="text1"/>
                <w:spacing w:val="-2"/>
                <w:w w:val="95"/>
                <w:sz w:val="20"/>
              </w:rPr>
              <w:t>SRPW”</w:t>
            </w:r>
            <w:r w:rsidR="00B24772">
              <w:tab/>
            </w:r>
            <w:r w:rsidR="00B24772">
              <w:rPr>
                <w:rFonts w:ascii="Times New Roman" w:hAnsi="Times New Roman"/>
                <w:color w:val="000000" w:themeColor="text1"/>
                <w:spacing w:val="-2"/>
                <w:w w:val="95"/>
                <w:sz w:val="20"/>
              </w:rPr>
              <w:t>system rozrachunku papierów wartościowych nieobejmujący powiernictwa;</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„CCP-papiery wartościowe” – kontrahent centralny na potrzeby rozliczania papierów wartościowych;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„CCP-instrumenty pochodne”</w:t>
            </w:r>
            <w:r>
              <w:tab/>
            </w:r>
            <w:r>
              <w:rPr>
                <w:rFonts w:ascii="Times New Roman" w:hAnsi="Times New Roman"/>
                <w:color w:val="000000" w:themeColor="text1"/>
                <w:spacing w:val="-2"/>
                <w:w w:val="95"/>
                <w:sz w:val="20"/>
              </w:rPr>
              <w:t>kontrahent centralny na potrzeby rozliczania instrumentów pochodnych;</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„RT”</w:t>
            </w:r>
            <w:r>
              <w:tab/>
            </w:r>
            <w:r>
              <w:rPr>
                <w:rFonts w:ascii="Times New Roman" w:hAnsi="Times New Roman"/>
                <w:color w:val="000000" w:themeColor="text1"/>
                <w:spacing w:val="-2"/>
                <w:w w:val="95"/>
                <w:sz w:val="20"/>
              </w:rPr>
              <w:t>repozytorium transakcji;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„inny”</w:t>
            </w:r>
            <w:r>
              <w:tab/>
            </w:r>
            <w:r>
              <w:rPr>
                <w:rFonts w:ascii="Times New Roman" w:hAnsi="Times New Roman"/>
                <w:color w:val="000000" w:themeColor="text1"/>
                <w:spacing w:val="-2"/>
                <w:w w:val="95"/>
                <w:sz w:val="20"/>
              </w:rPr>
              <w:t>jeżeli rodzaj systemu infrastruktury rynku finansowego nie odpowiada żadnemu</w:t>
            </w:r>
            <w:r w:rsidR="004D7F8C">
              <w:rPr>
                <w:rFonts w:ascii="Times New Roman" w:hAnsi="Times New Roman"/>
                <w:color w:val="000000" w:themeColor="text1"/>
                <w:spacing w:val="-2"/>
                <w:w w:val="95"/>
                <w:sz w:val="20"/>
              </w:rPr>
              <w:t xml:space="preserve"> z prz</w:t>
            </w:r>
            <w:r>
              <w:rPr>
                <w:rFonts w:ascii="Times New Roman" w:hAnsi="Times New Roman"/>
                <w:color w:val="000000" w:themeColor="text1"/>
                <w:spacing w:val="-2"/>
                <w:w w:val="95"/>
                <w:sz w:val="20"/>
              </w:rPr>
              <w:t>edstawionych powyżej zdefiniowanych rodzajów;</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„nie dotyczy”</w:t>
            </w:r>
            <w:r>
              <w:tab/>
            </w:r>
            <w:r>
              <w:rPr>
                <w:rFonts w:ascii="Times New Roman" w:hAnsi="Times New Roman"/>
                <w:color w:val="000000" w:themeColor="text1"/>
                <w:spacing w:val="-2"/>
                <w:w w:val="95"/>
                <w:sz w:val="20"/>
              </w:rPr>
              <w:t>jeżeli 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płatności, rozliczania, rozrachunku lub powiernictwa, mające krytyczne znaczenie, świadczy podmiot, który nie stanowi wspomnianej powyżej infrastruktury rynku finansowego, np. banki depozytariusze.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handlowa infrastruktury rynku finansowego.</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0050 zgłoszono „Nie dotyczy”, należy pozostawić niniejszą kolumnę pustą.</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 infrastruktury rynku finansowego</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Kod infrastruktury rynku finansowego</w:t>
            </w:r>
            <w:r w:rsidR="004D7F8C">
              <w:rPr>
                <w:rFonts w:ascii="Times New Roman" w:hAnsi="Times New Roman"/>
                <w:color w:val="000000" w:themeColor="text1"/>
                <w:spacing w:val="-2"/>
                <w:w w:val="95"/>
                <w:sz w:val="20"/>
              </w:rPr>
              <w:t>. W mia</w:t>
            </w:r>
            <w:r>
              <w:rPr>
                <w:rFonts w:ascii="Times New Roman" w:hAnsi="Times New Roman"/>
                <w:color w:val="000000" w:themeColor="text1"/>
                <w:spacing w:val="-2"/>
                <w:w w:val="95"/>
                <w:sz w:val="20"/>
              </w:rPr>
              <w:t>rę dostępności kod jest 20-cyfrowym alfanumerycznym kodem LEI. Jeżeli kod LEI jest niedostępny, jest on kodem zgodnym</w:t>
            </w:r>
            <w:r w:rsidR="004D7F8C">
              <w:rPr>
                <w:rFonts w:ascii="Times New Roman" w:hAnsi="Times New Roman"/>
                <w:color w:val="000000" w:themeColor="text1"/>
                <w:spacing w:val="-2"/>
                <w:w w:val="95"/>
                <w:sz w:val="20"/>
              </w:rPr>
              <w:t xml:space="preserve"> z jed</w:t>
            </w:r>
            <w:r>
              <w:rPr>
                <w:rFonts w:ascii="Times New Roman" w:hAnsi="Times New Roman"/>
                <w:color w:val="000000" w:themeColor="text1"/>
                <w:spacing w:val="-2"/>
                <w:w w:val="95"/>
                <w:sz w:val="20"/>
              </w:rPr>
              <w:t>nolitą kodyfikacją mającą zastosowanie</w:t>
            </w:r>
            <w:r w:rsidR="004D7F8C">
              <w:rPr>
                <w:rFonts w:ascii="Times New Roman" w:hAnsi="Times New Roman"/>
                <w:color w:val="000000" w:themeColor="text1"/>
                <w:spacing w:val="-2"/>
                <w:w w:val="95"/>
                <w:sz w:val="20"/>
              </w:rPr>
              <w:t xml:space="preserve"> w Uni</w:t>
            </w:r>
            <w:r>
              <w:rPr>
                <w:rFonts w:ascii="Times New Roman" w:hAnsi="Times New Roman"/>
                <w:color w:val="000000" w:themeColor="text1"/>
                <w:spacing w:val="-2"/>
                <w:w w:val="95"/>
                <w:sz w:val="20"/>
              </w:rPr>
              <w:t>i lub, jeżeli kod taki nie jest dostępny, kodem krajowym.</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0050 zgłoszono „Nie dotyczy”, należy pozostawić niniejszą kolumnę pustą.</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Tryb udziału</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jedną</w:t>
            </w:r>
            <w:r w:rsidR="004D7F8C">
              <w:rPr>
                <w:rFonts w:ascii="Times New Roman" w:hAnsi="Times New Roman"/>
                <w:color w:val="000000" w:themeColor="text1"/>
                <w:spacing w:val="-2"/>
                <w:w w:val="95"/>
                <w:sz w:val="20"/>
              </w:rPr>
              <w:t xml:space="preserve"> z nas</w:t>
            </w:r>
            <w:r>
              <w:rPr>
                <w:rFonts w:ascii="Times New Roman" w:hAnsi="Times New Roman"/>
                <w:color w:val="000000" w:themeColor="text1"/>
                <w:spacing w:val="-2"/>
                <w:w w:val="95"/>
                <w:sz w:val="20"/>
              </w:rPr>
              <w:t>tępujących wartości:</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„bezpośredni”</w:t>
            </w:r>
            <w:r>
              <w:tab/>
            </w:r>
            <w:r>
              <w:rPr>
                <w:rFonts w:ascii="Times New Roman" w:hAnsi="Times New Roman"/>
                <w:color w:val="000000" w:themeColor="text1"/>
                <w:spacing w:val="-2"/>
                <w:w w:val="95"/>
                <w:sz w:val="20"/>
              </w:rPr>
              <w:t>w przypadku bezpośredniego członkostwa lub bezpośredniego udziału;</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„pośredni”</w:t>
            </w:r>
            <w:r>
              <w:tab/>
            </w:r>
            <w:r>
              <w:rPr>
                <w:rFonts w:ascii="Times New Roman" w:hAnsi="Times New Roman"/>
                <w:color w:val="000000" w:themeColor="text1"/>
                <w:spacing w:val="-2"/>
                <w:w w:val="95"/>
                <w:sz w:val="20"/>
              </w:rPr>
              <w:t>w przypadku pośredniego członkostwa lub pośredniego udziału;</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„nie dotyczy”</w:t>
            </w:r>
            <w:r>
              <w:tab/>
            </w:r>
            <w:r>
              <w:rPr>
                <w:rFonts w:ascii="Times New Roman" w:hAnsi="Times New Roman"/>
                <w:color w:val="000000" w:themeColor="text1"/>
                <w:spacing w:val="-2"/>
                <w:w w:val="95"/>
                <w:sz w:val="20"/>
              </w:rPr>
              <w:t>jeżeli</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0050 zgłoszono „nie dotyczy”.</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Nazwa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handlowa pośrednika, jeżeli</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0080 zgłoszono „pośredni” lub „nie dotyczy”.</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Jeżeli</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0080 zgłoszono „bezpośredni”, należy zgłosić „nie dotyczy”.</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Pośrednik może być częścią grupy, do której należy podmiot zgłaszający, albo inną instytucją kredytową niepowiązaną z tą grupą.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Pośrednik może być firmą świadczącą usługi</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rozliczania, płatności, rozrachunku papierów wartościowych lub powiernictwa na rzecz innych firm (szczególnie jeżeli</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0050 zgłoszono „nie dotyczy”); może on być bezpośrednim członkiem jednej infrastruktury rynku finansowego lub większej ich liczby</w:t>
            </w:r>
            <w:r w:rsidR="004D7F8C">
              <w:rPr>
                <w:rFonts w:ascii="Times New Roman" w:hAnsi="Times New Roman"/>
                <w:color w:val="000000" w:themeColor="text1"/>
                <w:spacing w:val="-2"/>
                <w:w w:val="95"/>
                <w:sz w:val="20"/>
              </w:rPr>
              <w:t xml:space="preserve"> i zap</w:t>
            </w:r>
            <w:r>
              <w:rPr>
                <w:rFonts w:ascii="Times New Roman" w:hAnsi="Times New Roman"/>
                <w:color w:val="000000" w:themeColor="text1"/>
                <w:spacing w:val="-2"/>
                <w:w w:val="95"/>
                <w:sz w:val="20"/>
              </w:rPr>
              <w:t>ewniać pośredni dostęp do usług oferowanych przez taką infrastrukturę rynku finansowego (szczególnie, jeżeli</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0080 zgłoszono „pośredni”).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Kod pośrednika</w:t>
            </w:r>
            <w:r w:rsidR="004D7F8C">
              <w:rPr>
                <w:rFonts w:ascii="Times New Roman" w:hAnsi="Times New Roman"/>
                <w:color w:val="000000" w:themeColor="text1"/>
                <w:spacing w:val="-2"/>
                <w:w w:val="95"/>
                <w:sz w:val="20"/>
              </w:rPr>
              <w:t>. W mia</w:t>
            </w:r>
            <w:r>
              <w:rPr>
                <w:rFonts w:ascii="Times New Roman" w:hAnsi="Times New Roman"/>
                <w:color w:val="000000" w:themeColor="text1"/>
                <w:spacing w:val="-2"/>
                <w:w w:val="95"/>
                <w:sz w:val="20"/>
              </w:rPr>
              <w:t>rę dostępności kod jest 20-cyfrowym alfanumerycznym kodem LEI. Jeżeli kod LEI jest niedostępny, jest on kodem zgodnym</w:t>
            </w:r>
            <w:r w:rsidR="004D7F8C">
              <w:rPr>
                <w:rFonts w:ascii="Times New Roman" w:hAnsi="Times New Roman"/>
                <w:color w:val="000000" w:themeColor="text1"/>
                <w:spacing w:val="-2"/>
                <w:w w:val="95"/>
                <w:sz w:val="20"/>
              </w:rPr>
              <w:t xml:space="preserve"> z jed</w:t>
            </w:r>
            <w:r>
              <w:rPr>
                <w:rFonts w:ascii="Times New Roman" w:hAnsi="Times New Roman"/>
                <w:color w:val="000000" w:themeColor="text1"/>
                <w:spacing w:val="-2"/>
                <w:w w:val="95"/>
                <w:sz w:val="20"/>
              </w:rPr>
              <w:t>nolitą kodyfikacją mającą zastosowanie</w:t>
            </w:r>
            <w:r w:rsidR="004D7F8C">
              <w:rPr>
                <w:rFonts w:ascii="Times New Roman" w:hAnsi="Times New Roman"/>
                <w:color w:val="000000" w:themeColor="text1"/>
                <w:spacing w:val="-2"/>
                <w:w w:val="95"/>
                <w:sz w:val="20"/>
              </w:rPr>
              <w:t xml:space="preserve"> w Uni</w:t>
            </w:r>
            <w:r>
              <w:rPr>
                <w:rFonts w:ascii="Times New Roman" w:hAnsi="Times New Roman"/>
                <w:color w:val="000000" w:themeColor="text1"/>
                <w:spacing w:val="-2"/>
                <w:w w:val="95"/>
                <w:sz w:val="20"/>
              </w:rPr>
              <w:t>i lub, jeżeli kod taki nie jest dostępny, kodem krajowym.</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lastRenderedPageBreak/>
              <w:t>Jeżeli</w:t>
            </w:r>
            <w:r w:rsidR="004D7F8C">
              <w:rPr>
                <w:rFonts w:ascii="Times New Roman" w:hAnsi="Times New Roman"/>
                <w:color w:val="000000" w:themeColor="text1"/>
                <w:spacing w:val="-2"/>
                <w:w w:val="95"/>
              </w:rPr>
              <w:t xml:space="preserve"> w kol</w:t>
            </w:r>
            <w:r>
              <w:rPr>
                <w:rFonts w:ascii="Times New Roman" w:hAnsi="Times New Roman"/>
                <w:color w:val="000000" w:themeColor="text1"/>
                <w:spacing w:val="-2"/>
                <w:w w:val="95"/>
              </w:rPr>
              <w:t>umnie 0090 zgłoszono „bezpośredni”, należy zgłosić „nie dotyczy”.</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 usługi</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Opis usługi, jeżeli rodzaj systemu zgłoszony</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050 to „inny” lub „nie dotyczy”.</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Prawo właściwe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identyfikacyjny kraju ISO 3166-1 alpha-2</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 xml:space="preserve">iesieniu do kraju, którego prawo reguluje dostęp do infrastruktury rynku finansowego.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 przypadku bezpośredniego członkostwa lub bezpośredniego udziału prawem, które należy zgłosić, jest prawo właściwe umowy między infrastrukturą rynku finansowego</w:t>
            </w:r>
            <w:r w:rsidR="004D7F8C">
              <w:rPr>
                <w:rFonts w:ascii="Times New Roman" w:hAnsi="Times New Roman"/>
                <w:color w:val="000000" w:themeColor="text1"/>
                <w:spacing w:val="-2"/>
                <w:w w:val="95"/>
                <w:sz w:val="20"/>
              </w:rPr>
              <w:t xml:space="preserve"> a uży</w:t>
            </w:r>
            <w:r>
              <w:rPr>
                <w:rFonts w:ascii="Times New Roman" w:hAnsi="Times New Roman"/>
                <w:color w:val="000000" w:themeColor="text1"/>
                <w:spacing w:val="-2"/>
                <w:w w:val="95"/>
                <w:sz w:val="20"/>
              </w:rPr>
              <w:t>tkownikiem</w:t>
            </w:r>
            <w:r w:rsidR="004D7F8C">
              <w:rPr>
                <w:rFonts w:ascii="Times New Roman" w:hAnsi="Times New Roman"/>
                <w:color w:val="000000" w:themeColor="text1"/>
                <w:spacing w:val="-2"/>
                <w:w w:val="95"/>
                <w:sz w:val="20"/>
              </w:rPr>
              <w:t>. W prz</w:t>
            </w:r>
            <w:r>
              <w:rPr>
                <w:rFonts w:ascii="Times New Roman" w:hAnsi="Times New Roman"/>
                <w:color w:val="000000" w:themeColor="text1"/>
                <w:spacing w:val="-2"/>
                <w:w w:val="95"/>
                <w:sz w:val="20"/>
              </w:rPr>
              <w:t>ypadku pośredniego członkostwa lub pośredniego udziału prawem, które należy zgłosić, jest prawo właściwe umowy między instytucją przedstawicielską</w:t>
            </w:r>
            <w:r w:rsidR="004D7F8C">
              <w:rPr>
                <w:rFonts w:ascii="Times New Roman" w:hAnsi="Times New Roman"/>
                <w:color w:val="000000" w:themeColor="text1"/>
                <w:spacing w:val="-2"/>
                <w:w w:val="95"/>
                <w:sz w:val="20"/>
              </w:rPr>
              <w:t xml:space="preserve"> a uży</w:t>
            </w:r>
            <w:r>
              <w:rPr>
                <w:rFonts w:ascii="Times New Roman" w:hAnsi="Times New Roman"/>
                <w:color w:val="000000" w:themeColor="text1"/>
                <w:spacing w:val="-2"/>
                <w:w w:val="95"/>
                <w:sz w:val="20"/>
              </w:rPr>
              <w:t xml:space="preserve">tkownikiem.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062591"/>
      <w:r>
        <w:rPr>
          <w:rFonts w:ascii="Times New Roman" w:hAnsi="Times New Roman"/>
          <w:color w:val="000000" w:themeColor="text1"/>
        </w:rPr>
        <w:t>Krytyczne systemy informacyjne</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Uwagi ogólne</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Niniejsza sekcja obejmuje następujące szablony:</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10.01 – Krytyczne systemy informacyjne (informacje ogólne) (CIS 1),</w:t>
      </w:r>
      <w:r w:rsidR="004D7F8C">
        <w:rPr>
          <w:rFonts w:ascii="Times New Roman" w:hAnsi="Times New Roman"/>
          <w:sz w:val="20"/>
        </w:rPr>
        <w:t xml:space="preserve"> w któ</w:t>
      </w:r>
      <w:r>
        <w:rPr>
          <w:rFonts w:ascii="Times New Roman" w:hAnsi="Times New Roman"/>
          <w:sz w:val="20"/>
        </w:rPr>
        <w:t>rym znajduje się wykaz wszystkich krytycznych systemów informacyjnych</w:t>
      </w:r>
      <w:r w:rsidR="004D7F8C">
        <w:rPr>
          <w:rFonts w:ascii="Times New Roman" w:hAnsi="Times New Roman"/>
          <w:sz w:val="20"/>
        </w:rPr>
        <w:t xml:space="preserve"> w gru</w:t>
      </w:r>
      <w:r>
        <w:rPr>
          <w:rFonts w:ascii="Times New Roman" w:hAnsi="Times New Roman"/>
          <w:sz w:val="20"/>
        </w:rPr>
        <w:t>pie;</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 Schematy przyporządkowania do krytycznych systemów informacyjnych (CIS 2),</w:t>
      </w:r>
      <w:r w:rsidR="004D7F8C">
        <w:rPr>
          <w:rFonts w:ascii="Times New Roman" w:hAnsi="Times New Roman"/>
          <w:sz w:val="20"/>
        </w:rPr>
        <w:t xml:space="preserve"> w któ</w:t>
      </w:r>
      <w:r>
        <w:rPr>
          <w:rFonts w:ascii="Times New Roman" w:hAnsi="Times New Roman"/>
          <w:sz w:val="20"/>
        </w:rPr>
        <w:t>rym przyporządkowuje się krytyczne systemy informacyjne do podmiotów użytkowników</w:t>
      </w:r>
      <w:r w:rsidR="004D7F8C">
        <w:rPr>
          <w:rFonts w:ascii="Times New Roman" w:hAnsi="Times New Roman"/>
          <w:sz w:val="20"/>
        </w:rPr>
        <w:t xml:space="preserve"> w gru</w:t>
      </w:r>
      <w:r>
        <w:rPr>
          <w:rFonts w:ascii="Times New Roman" w:hAnsi="Times New Roman"/>
          <w:sz w:val="20"/>
        </w:rPr>
        <w:t>pie i do funkcji krytycznych.</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Krytyczne systemy informacyjne („CIS”) rozumie się jako aplikacje lub oprogramowanie IT, które wspiera usługę</w:t>
      </w:r>
      <w:r w:rsidR="004D7F8C">
        <w:rPr>
          <w:rFonts w:ascii="Times New Roman" w:hAnsi="Times New Roman"/>
          <w:sz w:val="20"/>
        </w:rPr>
        <w:t xml:space="preserve"> o kry</w:t>
      </w:r>
      <w:r>
        <w:rPr>
          <w:rFonts w:ascii="Times New Roman" w:hAnsi="Times New Roman"/>
          <w:sz w:val="20"/>
        </w:rPr>
        <w:t>tycznym znaczeniu oraz których zakłócenie stanowiłoby poważną przeszkodę</w:t>
      </w:r>
      <w:r w:rsidR="004D7F8C">
        <w:rPr>
          <w:rFonts w:ascii="Times New Roman" w:hAnsi="Times New Roman"/>
          <w:sz w:val="20"/>
        </w:rPr>
        <w:t xml:space="preserve"> w peł</w:t>
      </w:r>
      <w:r>
        <w:rPr>
          <w:rFonts w:ascii="Times New Roman" w:hAnsi="Times New Roman"/>
          <w:sz w:val="20"/>
        </w:rPr>
        <w:t>nieniu jakiejkolwiek funkcji krytycznej lub uniemożliwiłoby pełnienie takiej funkcji.</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Szablony te zgłasza się</w:t>
      </w:r>
      <w:r w:rsidR="004D7F8C">
        <w:rPr>
          <w:rFonts w:ascii="Times New Roman" w:hAnsi="Times New Roman"/>
          <w:sz w:val="20"/>
        </w:rPr>
        <w:t xml:space="preserve"> w odn</w:t>
      </w:r>
      <w:r>
        <w:rPr>
          <w:rFonts w:ascii="Times New Roman" w:hAnsi="Times New Roman"/>
          <w:sz w:val="20"/>
        </w:rPr>
        <w:t>iesieniu do całej grupy.</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Krytyczne systemy informacyjne (informacje ogólne) (CIS 1): Instrukcje dotyczące poszczególnych pozycji</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Wartość zgłoszona</w:t>
      </w:r>
      <w:r w:rsidR="004D7F8C">
        <w:rPr>
          <w:rFonts w:ascii="Times New Roman" w:hAnsi="Times New Roman"/>
          <w:sz w:val="20"/>
        </w:rPr>
        <w:t xml:space="preserve"> w kol</w:t>
      </w:r>
      <w:r>
        <w:rPr>
          <w:rFonts w:ascii="Times New Roman" w:hAnsi="Times New Roman"/>
          <w:sz w:val="20"/>
        </w:rPr>
        <w:t>umnie 0010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 xml:space="preserve">ypadku każdego wiersza szablonu.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Krytyczny system informacyjny</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 identyfikacyjny systemu</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identyfikacyjny systemu jest skrótem określonym przez instytucję, który jednoznacznie identyfikuje krytyczny system informacyjny.</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Stanowi on identyfikator wiersza</w:t>
            </w:r>
            <w:r w:rsidR="004D7F8C">
              <w:rPr>
                <w:rFonts w:ascii="Times New Roman" w:hAnsi="Times New Roman"/>
                <w:color w:val="000000" w:themeColor="text1"/>
                <w:spacing w:val="-2"/>
                <w:w w:val="95"/>
                <w:sz w:val="20"/>
              </w:rPr>
              <w:t xml:space="preserve"> i jes</w:t>
            </w:r>
            <w:r>
              <w:rPr>
                <w:rFonts w:ascii="Times New Roman" w:hAnsi="Times New Roman"/>
                <w:color w:val="000000" w:themeColor="text1"/>
                <w:spacing w:val="-2"/>
                <w:w w:val="95"/>
                <w:sz w:val="20"/>
              </w:rPr>
              <w:t>t niepowtarzalny dla każdego wiersza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systemu</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Handlowa lub wewnętrzna nazwa systemu.</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Rodzaj systemu</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Należy zgłosić jedną</w:t>
            </w:r>
            <w:r w:rsidR="004D7F8C">
              <w:rPr>
                <w:rFonts w:ascii="Times New Roman" w:hAnsi="Times New Roman"/>
                <w:color w:val="000000" w:themeColor="text1"/>
                <w:spacing w:val="-2"/>
                <w:w w:val="95"/>
                <w:sz w:val="20"/>
              </w:rPr>
              <w:t xml:space="preserve"> z nas</w:t>
            </w:r>
            <w:r>
              <w:rPr>
                <w:rFonts w:ascii="Times New Roman" w:hAnsi="Times New Roman"/>
                <w:color w:val="000000" w:themeColor="text1"/>
                <w:spacing w:val="-2"/>
                <w:w w:val="95"/>
                <w:sz w:val="20"/>
              </w:rPr>
              <w:t>tępujących wartości:</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„Specjalnie opracowane oprogramowanie służące wsparciu przedsiębiorstwa”</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Aplikacja opracowana według szczegółowych specyfikacji przedsiębiorstwa. Mogła zostać opracowana wewnętrznie lub</w:t>
            </w:r>
            <w:r w:rsidR="004D7F8C">
              <w:rPr>
                <w:rFonts w:ascii="Times New Roman" w:hAnsi="Times New Roman"/>
                <w:color w:val="000000" w:themeColor="text1"/>
                <w:spacing w:val="-2"/>
                <w:w w:val="95"/>
                <w:sz w:val="20"/>
              </w:rPr>
              <w:t xml:space="preserve"> z wyk</w:t>
            </w:r>
            <w:r>
              <w:rPr>
                <w:rFonts w:ascii="Times New Roman" w:hAnsi="Times New Roman"/>
                <w:color w:val="000000" w:themeColor="text1"/>
                <w:spacing w:val="-2"/>
                <w:w w:val="95"/>
                <w:sz w:val="20"/>
              </w:rPr>
              <w:t>orzystaniem zewnętrznych wykonawców, zawsze jednak</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wspierania przedsiębiorstwa.</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„Oprogramowanie zakupione</w:t>
            </w:r>
            <w:r w:rsidR="004D7F8C">
              <w:rPr>
                <w:rFonts w:ascii="Times New Roman" w:hAnsi="Times New Roman"/>
                <w:color w:val="000000" w:themeColor="text1"/>
                <w:spacing w:val="-2"/>
                <w:w w:val="95"/>
                <w:sz w:val="20"/>
              </w:rPr>
              <w:t xml:space="preserve"> w sta</w:t>
            </w:r>
            <w:r>
              <w:rPr>
                <w:rFonts w:ascii="Times New Roman" w:hAnsi="Times New Roman"/>
                <w:color w:val="000000" w:themeColor="text1"/>
                <w:spacing w:val="-2"/>
                <w:w w:val="95"/>
                <w:sz w:val="20"/>
              </w:rPr>
              <w:t>nie zastanym”</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Aplikacje zakupione na rynku, zazwyczaj sprzedawane lub licencjonowane przez sprzedawcę, których nie zmieniano pod względem specjalnej personalizacji pod kątem działalności organizacji. Do kategorii tej zaliczają się również aplikacje, które poddano zwykłym mechanizmom konfiguracji.</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„Oprogramowanie zakupione po dostosowaniu”</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Aplikacje zakupione na rynku, lecz</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których sprzedawca (lub jego przedstawiciel) stworzył specjalną wersję dostosowaną do kontekstu danej instalacji. Ta szczególna wersja charakteryzuje się zmianami</w:t>
            </w:r>
            <w:r w:rsidR="004D7F8C">
              <w:rPr>
                <w:rFonts w:ascii="Times New Roman" w:hAnsi="Times New Roman"/>
                <w:color w:val="000000" w:themeColor="text1"/>
                <w:spacing w:val="-2"/>
                <w:w w:val="95"/>
                <w:sz w:val="20"/>
              </w:rPr>
              <w:t xml:space="preserve"> w zac</w:t>
            </w:r>
            <w:r>
              <w:rPr>
                <w:rFonts w:ascii="Times New Roman" w:hAnsi="Times New Roman"/>
                <w:color w:val="000000" w:themeColor="text1"/>
                <w:spacing w:val="-2"/>
                <w:w w:val="95"/>
                <w:sz w:val="20"/>
              </w:rPr>
              <w:t>howaniu aplikacji, nowymi cechami lub włączeniem niestandardowych wtyczek opracowanych zgodnie</w:t>
            </w:r>
            <w:r w:rsidR="004D7F8C">
              <w:rPr>
                <w:rFonts w:ascii="Times New Roman" w:hAnsi="Times New Roman"/>
                <w:color w:val="000000" w:themeColor="text1"/>
                <w:spacing w:val="-2"/>
                <w:w w:val="95"/>
                <w:sz w:val="20"/>
              </w:rPr>
              <w:t xml:space="preserve"> z dzi</w:t>
            </w:r>
            <w:r>
              <w:rPr>
                <w:rFonts w:ascii="Times New Roman" w:hAnsi="Times New Roman"/>
                <w:color w:val="000000" w:themeColor="text1"/>
                <w:spacing w:val="-2"/>
                <w:w w:val="95"/>
                <w:sz w:val="20"/>
              </w:rPr>
              <w:t>ałalnością organizacji.</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„Aplikacja / Portal zewnętrzny”</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Portale zewnętrzne lub aplikacje dostarczone przez osoby trzecie, zazwyczaj partnerów, zapewniające dostęp do oferowanych przez nich usług. Zazwyczaj pozostają one poza zakresem zarządzania systemami informacyjnymi organizacji i są instalowane, objęte obsługą techniczną</w:t>
            </w:r>
            <w:r w:rsidR="004D7F8C">
              <w:rPr>
                <w:rFonts w:ascii="Times New Roman" w:hAnsi="Times New Roman"/>
                <w:color w:val="000000" w:themeColor="text1"/>
                <w:spacing w:val="-2"/>
                <w:w w:val="95"/>
                <w:sz w:val="20"/>
              </w:rPr>
              <w:t xml:space="preserve"> i zar</w:t>
            </w:r>
            <w:r>
              <w:rPr>
                <w:rFonts w:ascii="Times New Roman" w:hAnsi="Times New Roman"/>
                <w:color w:val="000000" w:themeColor="text1"/>
                <w:spacing w:val="-2"/>
                <w:w w:val="95"/>
                <w:sz w:val="20"/>
              </w:rPr>
              <w:t>ządzane przez samego partnera. Aplikacje takie często przyjmują formę portali (dostępnych za pośrednictwem internetu lub prywatnych sieci) i, chociaż pozostają poza zakresem usług zarządzania systemami informacyjnymi organizacji, są istotne (lub mają krytyczne znaczenie)</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 xml:space="preserve">ypadku niektórych funkcji biznesowych.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Opis głównego celu systemu informacyjnego</w:t>
            </w:r>
            <w:r w:rsidR="004D7F8C">
              <w:rPr>
                <w:rFonts w:ascii="Times New Roman" w:hAnsi="Times New Roman"/>
                <w:color w:val="000000" w:themeColor="text1"/>
                <w:spacing w:val="-2"/>
                <w:w w:val="95"/>
                <w:sz w:val="20"/>
              </w:rPr>
              <w:t xml:space="preserve"> w kon</w:t>
            </w:r>
            <w:r>
              <w:rPr>
                <w:rFonts w:ascii="Times New Roman" w:hAnsi="Times New Roman"/>
                <w:color w:val="000000" w:themeColor="text1"/>
                <w:spacing w:val="-2"/>
                <w:w w:val="95"/>
                <w:sz w:val="20"/>
              </w:rPr>
              <w:t xml:space="preserve">tekście biznesowym.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Podmiot powiązany odpowiedzialny za system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podmiotu</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podmiotu prawnego odpowiedzialnego</w:t>
            </w:r>
            <w:r w:rsidR="004D7F8C">
              <w:rPr>
                <w:rFonts w:ascii="Times New Roman" w:hAnsi="Times New Roman"/>
                <w:color w:val="000000" w:themeColor="text1"/>
                <w:spacing w:val="-2"/>
                <w:w w:val="95"/>
                <w:sz w:val="20"/>
              </w:rPr>
              <w:t xml:space="preserve"> w gru</w:t>
            </w:r>
            <w:r>
              <w:rPr>
                <w:rFonts w:ascii="Times New Roman" w:hAnsi="Times New Roman"/>
                <w:color w:val="000000" w:themeColor="text1"/>
                <w:spacing w:val="-2"/>
                <w:w w:val="95"/>
                <w:sz w:val="20"/>
              </w:rPr>
              <w:t>pie za system.</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Jest to podmiot odpowiedzialny za całość zamówienia, opracowania, integracji, zmiany, obsługi, obsługi technicznej</w:t>
            </w:r>
            <w:r w:rsidR="004D7F8C">
              <w:rPr>
                <w:rFonts w:ascii="Times New Roman" w:hAnsi="Times New Roman"/>
                <w:color w:val="000000" w:themeColor="text1"/>
                <w:spacing w:val="-2"/>
                <w:w w:val="95"/>
                <w:sz w:val="20"/>
              </w:rPr>
              <w:t xml:space="preserve"> i wyc</w:t>
            </w:r>
            <w:r>
              <w:rPr>
                <w:rFonts w:ascii="Times New Roman" w:hAnsi="Times New Roman"/>
                <w:color w:val="000000" w:themeColor="text1"/>
                <w:spacing w:val="-2"/>
                <w:w w:val="95"/>
                <w:sz w:val="20"/>
              </w:rPr>
              <w:t>ofania systemu informacyjnego i ma on główny udział</w:t>
            </w:r>
            <w:r w:rsidR="004D7F8C">
              <w:rPr>
                <w:rFonts w:ascii="Times New Roman" w:hAnsi="Times New Roman"/>
                <w:color w:val="000000" w:themeColor="text1"/>
                <w:spacing w:val="-2"/>
                <w:w w:val="95"/>
                <w:sz w:val="20"/>
              </w:rPr>
              <w:t xml:space="preserve"> w opr</w:t>
            </w:r>
            <w:r>
              <w:rPr>
                <w:rFonts w:ascii="Times New Roman" w:hAnsi="Times New Roman"/>
                <w:color w:val="000000" w:themeColor="text1"/>
                <w:spacing w:val="-2"/>
                <w:w w:val="95"/>
                <w:sz w:val="20"/>
              </w:rPr>
              <w:t>acowywaniu specyfikacji projektowania systemu</w:t>
            </w:r>
            <w:r w:rsidR="004D7F8C">
              <w:rPr>
                <w:rFonts w:ascii="Times New Roman" w:hAnsi="Times New Roman"/>
                <w:color w:val="000000" w:themeColor="text1"/>
                <w:spacing w:val="-2"/>
                <w:w w:val="95"/>
                <w:sz w:val="20"/>
              </w:rPr>
              <w:t xml:space="preserve"> w cel</w:t>
            </w:r>
            <w:r>
              <w:rPr>
                <w:rFonts w:ascii="Times New Roman" w:hAnsi="Times New Roman"/>
                <w:color w:val="000000" w:themeColor="text1"/>
                <w:spacing w:val="-2"/>
                <w:w w:val="95"/>
                <w:sz w:val="20"/>
              </w:rPr>
              <w:t>u zapewnienia dokumentacji, testowania</w:t>
            </w:r>
            <w:r w:rsidR="004D7F8C">
              <w:rPr>
                <w:rFonts w:ascii="Times New Roman" w:hAnsi="Times New Roman"/>
                <w:color w:val="000000" w:themeColor="text1"/>
                <w:spacing w:val="-2"/>
                <w:w w:val="95"/>
                <w:sz w:val="20"/>
              </w:rPr>
              <w:t xml:space="preserve"> i wdr</w:t>
            </w:r>
            <w:r>
              <w:rPr>
                <w:rFonts w:ascii="Times New Roman" w:hAnsi="Times New Roman"/>
                <w:color w:val="000000" w:themeColor="text1"/>
                <w:spacing w:val="-2"/>
                <w:w w:val="95"/>
                <w:sz w:val="20"/>
              </w:rPr>
              <w:t>ażania bezpieczeństwa</w:t>
            </w:r>
            <w:r w:rsidR="004D7F8C">
              <w:rPr>
                <w:rFonts w:ascii="Times New Roman" w:hAnsi="Times New Roman"/>
                <w:color w:val="000000" w:themeColor="text1"/>
                <w:spacing w:val="-2"/>
                <w:w w:val="95"/>
                <w:sz w:val="20"/>
              </w:rPr>
              <w:t xml:space="preserve"> i pot</w:t>
            </w:r>
            <w:r>
              <w:rPr>
                <w:rFonts w:ascii="Times New Roman" w:hAnsi="Times New Roman"/>
                <w:color w:val="000000" w:themeColor="text1"/>
                <w:spacing w:val="-2"/>
                <w:w w:val="95"/>
                <w:sz w:val="20"/>
              </w:rPr>
              <w:t>rzeb</w:t>
            </w:r>
            <w:r w:rsidR="004D7F8C">
              <w:rPr>
                <w:rFonts w:ascii="Times New Roman" w:hAnsi="Times New Roman"/>
                <w:color w:val="000000" w:themeColor="text1"/>
                <w:spacing w:val="-2"/>
                <w:w w:val="95"/>
                <w:sz w:val="20"/>
              </w:rPr>
              <w:t xml:space="preserve"> w zak</w:t>
            </w:r>
            <w:r>
              <w:rPr>
                <w:rFonts w:ascii="Times New Roman" w:hAnsi="Times New Roman"/>
                <w:color w:val="000000" w:themeColor="text1"/>
                <w:spacing w:val="-2"/>
                <w:w w:val="95"/>
                <w:sz w:val="20"/>
              </w:rPr>
              <w:t>resie obsługi przez użytkownika.</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podmiotu prawnego odpowiedzialnego</w:t>
            </w:r>
            <w:r w:rsidR="004D7F8C">
              <w:rPr>
                <w:rFonts w:ascii="Times New Roman" w:hAnsi="Times New Roman"/>
                <w:color w:val="000000" w:themeColor="text1"/>
                <w:spacing w:val="-2"/>
                <w:w w:val="95"/>
                <w:sz w:val="20"/>
              </w:rPr>
              <w:t xml:space="preserve"> w gru</w:t>
            </w:r>
            <w:r>
              <w:rPr>
                <w:rFonts w:ascii="Times New Roman" w:hAnsi="Times New Roman"/>
                <w:color w:val="000000" w:themeColor="text1"/>
                <w:spacing w:val="-2"/>
                <w:w w:val="95"/>
                <w:sz w:val="20"/>
              </w:rPr>
              <w:t>pie za system, zgodnie ze zgłoszeniem</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01.00 – Struktura organizacyjna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 Schematy przyporządkowania do systemów informacyjnych (CIS 2): Instrukcje dotyczące poszczególnych pozycji</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Połączenie wartości zgłoszonych</w:t>
      </w:r>
      <w:r w:rsidR="004D7F8C">
        <w:rPr>
          <w:rFonts w:ascii="Times New Roman" w:hAnsi="Times New Roman"/>
          <w:sz w:val="20"/>
        </w:rPr>
        <w:t xml:space="preserve"> w kol</w:t>
      </w:r>
      <w:r>
        <w:rPr>
          <w:rFonts w:ascii="Times New Roman" w:hAnsi="Times New Roman"/>
          <w:sz w:val="20"/>
        </w:rPr>
        <w:t>umnach 0010, 0030, 0040</w:t>
      </w:r>
      <w:r w:rsidR="004D7F8C">
        <w:rPr>
          <w:rFonts w:ascii="Times New Roman" w:hAnsi="Times New Roman"/>
          <w:sz w:val="20"/>
        </w:rPr>
        <w:t xml:space="preserve"> i 0</w:t>
      </w:r>
      <w:r>
        <w:rPr>
          <w:rFonts w:ascii="Times New Roman" w:hAnsi="Times New Roman"/>
          <w:sz w:val="20"/>
        </w:rPr>
        <w:t>050 niniejszego szablonu tworzy klucz główny, który musi być niepowtarzalny</w:t>
      </w:r>
      <w:r w:rsidR="004D7F8C">
        <w:rPr>
          <w:rFonts w:ascii="Times New Roman" w:hAnsi="Times New Roman"/>
          <w:sz w:val="20"/>
        </w:rPr>
        <w:t xml:space="preserve"> w prz</w:t>
      </w:r>
      <w:r>
        <w:rPr>
          <w:rFonts w:ascii="Times New Roman" w:hAnsi="Times New Roman"/>
          <w:sz w:val="20"/>
        </w:rPr>
        <w:t xml:space="preserve">ypadku każdego wiersza szablonu.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Instrukcje</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 identyfikacyjny systemu</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identyfikacyjny systemu informacyjnego zgodnie ze zgłoszeniem</w:t>
            </w:r>
            <w:r w:rsidR="004D7F8C">
              <w:rPr>
                <w:rFonts w:ascii="Times New Roman" w:hAnsi="Times New Roman"/>
                <w:color w:val="000000" w:themeColor="text1"/>
                <w:spacing w:val="-2"/>
                <w:w w:val="95"/>
                <w:sz w:val="20"/>
              </w:rPr>
              <w:t xml:space="preserve"> w kol</w:t>
            </w:r>
            <w:r>
              <w:rPr>
                <w:rFonts w:ascii="Times New Roman" w:hAnsi="Times New Roman"/>
                <w:color w:val="000000" w:themeColor="text1"/>
                <w:spacing w:val="-2"/>
                <w:w w:val="95"/>
                <w:sz w:val="20"/>
              </w:rPr>
              <w:t>umnie 010</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Podmiot powiązany będący użytkownikiem systemu</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Podmiot, który korzysta</w:t>
            </w:r>
            <w:r w:rsidR="004D7F8C">
              <w:rPr>
                <w:rFonts w:ascii="Times New Roman" w:hAnsi="Times New Roman"/>
                <w:color w:val="000000" w:themeColor="text1"/>
                <w:spacing w:val="-2"/>
                <w:w w:val="95"/>
                <w:sz w:val="20"/>
              </w:rPr>
              <w:t xml:space="preserve"> z sys</w:t>
            </w:r>
            <w:r>
              <w:rPr>
                <w:rFonts w:ascii="Times New Roman" w:hAnsi="Times New Roman"/>
                <w:color w:val="000000" w:themeColor="text1"/>
                <w:spacing w:val="-2"/>
                <w:w w:val="95"/>
                <w:sz w:val="20"/>
              </w:rPr>
              <w:t>temu</w:t>
            </w:r>
            <w:r w:rsidR="004D7F8C">
              <w:rPr>
                <w:rFonts w:ascii="Times New Roman" w:hAnsi="Times New Roman"/>
                <w:color w:val="000000" w:themeColor="text1"/>
                <w:spacing w:val="-2"/>
                <w:w w:val="95"/>
                <w:sz w:val="20"/>
              </w:rPr>
              <w:t xml:space="preserve"> w ram</w:t>
            </w:r>
            <w:r>
              <w:rPr>
                <w:rFonts w:ascii="Times New Roman" w:hAnsi="Times New Roman"/>
                <w:color w:val="000000" w:themeColor="text1"/>
                <w:spacing w:val="-2"/>
                <w:w w:val="95"/>
                <w:sz w:val="20"/>
              </w:rPr>
              <w:t>ach grupy („użytkownik”). Może być kilku użytkowników,</w:t>
            </w:r>
            <w:r w:rsidR="004D7F8C">
              <w:rPr>
                <w:rFonts w:ascii="Times New Roman" w:hAnsi="Times New Roman"/>
                <w:color w:val="000000" w:themeColor="text1"/>
                <w:spacing w:val="-2"/>
                <w:w w:val="95"/>
                <w:sz w:val="20"/>
              </w:rPr>
              <w:t xml:space="preserve"> w któ</w:t>
            </w:r>
            <w:r>
              <w:rPr>
                <w:rFonts w:ascii="Times New Roman" w:hAnsi="Times New Roman"/>
                <w:color w:val="000000" w:themeColor="text1"/>
                <w:spacing w:val="-2"/>
                <w:w w:val="95"/>
                <w:sz w:val="20"/>
              </w:rPr>
              <w:t>rym to przypadku należy zgłosić kilka wierszy</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 xml:space="preserve">iesieniu do tego samego systemu informacyjnego.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Nazwa podmiotu</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Nazwa podmiotu będącego użytkownikiem zgłoszona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 podmiotu będącego użytkownikiem, zgodnie ze zgłoszeniem</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Usługa</w:t>
            </w:r>
            <w:r w:rsidR="004D7F8C">
              <w:rPr>
                <w:rFonts w:ascii="Times New Roman" w:hAnsi="Times New Roman"/>
                <w:b/>
                <w:color w:val="000000" w:themeColor="text1"/>
                <w:sz w:val="20"/>
              </w:rPr>
              <w:t xml:space="preserve"> o kry</w:t>
            </w:r>
            <w:r>
              <w:rPr>
                <w:rFonts w:ascii="Times New Roman" w:hAnsi="Times New Roman"/>
                <w:b/>
                <w:color w:val="000000" w:themeColor="text1"/>
                <w:sz w:val="20"/>
              </w:rPr>
              <w:t>tycznym znaczeniu</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Identyfikator usługi</w:t>
            </w:r>
            <w:r w:rsidR="004D7F8C">
              <w:rPr>
                <w:rFonts w:ascii="Times New Roman" w:hAnsi="Times New Roman"/>
                <w:color w:val="000000" w:themeColor="text1"/>
                <w:sz w:val="20"/>
              </w:rPr>
              <w:t xml:space="preserve"> o kry</w:t>
            </w:r>
            <w:r>
              <w:rPr>
                <w:rFonts w:ascii="Times New Roman" w:hAnsi="Times New Roman"/>
                <w:color w:val="000000" w:themeColor="text1"/>
                <w:sz w:val="20"/>
              </w:rPr>
              <w:t>tycznym znaczeniu, którą wspiera system, zgodnie ze zgłoszeniem</w:t>
            </w:r>
            <w:r w:rsidR="004D7F8C">
              <w:rPr>
                <w:rFonts w:ascii="Times New Roman" w:hAnsi="Times New Roman"/>
                <w:color w:val="000000" w:themeColor="text1"/>
                <w:sz w:val="20"/>
              </w:rPr>
              <w:t xml:space="preserve"> w sza</w:t>
            </w:r>
            <w:r>
              <w:rPr>
                <w:rFonts w:ascii="Times New Roman" w:hAnsi="Times New Roman"/>
                <w:color w:val="000000" w:themeColor="text1"/>
                <w:sz w:val="20"/>
              </w:rPr>
              <w:t>blonie Z 08.00 (kolumna 0005). Usługa</w:t>
            </w:r>
            <w:r w:rsidR="004D7F8C">
              <w:rPr>
                <w:rFonts w:ascii="Times New Roman" w:hAnsi="Times New Roman"/>
                <w:color w:val="000000" w:themeColor="text1"/>
                <w:sz w:val="20"/>
              </w:rPr>
              <w:t xml:space="preserve"> o kry</w:t>
            </w:r>
            <w:r>
              <w:rPr>
                <w:rFonts w:ascii="Times New Roman" w:hAnsi="Times New Roman"/>
                <w:color w:val="000000" w:themeColor="text1"/>
                <w:sz w:val="20"/>
              </w:rPr>
              <w:t>tycznym znaczeniu może sama</w:t>
            </w:r>
            <w:r w:rsidR="004D7F8C">
              <w:rPr>
                <w:rFonts w:ascii="Times New Roman" w:hAnsi="Times New Roman"/>
                <w:color w:val="000000" w:themeColor="text1"/>
                <w:sz w:val="20"/>
              </w:rPr>
              <w:t xml:space="preserve"> w sob</w:t>
            </w:r>
            <w:r>
              <w:rPr>
                <w:rFonts w:ascii="Times New Roman" w:hAnsi="Times New Roman"/>
                <w:color w:val="000000" w:themeColor="text1"/>
                <w:sz w:val="20"/>
              </w:rPr>
              <w:t>ie być usługą IT lub innym rodzajem usługi, którą wspiera system informacyjny (np. przetwarzanie transakcji).</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Funkcja krytyczna</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Funkcja krytyczna, która byłaby poważnie zagrożona lub jej pełnienie byłoby całkowicie uniemożliwione</w:t>
            </w:r>
            <w:r w:rsidR="004D7F8C">
              <w:rPr>
                <w:rFonts w:ascii="Times New Roman" w:hAnsi="Times New Roman"/>
                <w:color w:val="000000" w:themeColor="text1"/>
                <w:spacing w:val="-2"/>
                <w:w w:val="95"/>
                <w:sz w:val="20"/>
              </w:rPr>
              <w:t xml:space="preserve"> w prz</w:t>
            </w:r>
            <w:r>
              <w:rPr>
                <w:rFonts w:ascii="Times New Roman" w:hAnsi="Times New Roman"/>
                <w:color w:val="000000" w:themeColor="text1"/>
                <w:spacing w:val="-2"/>
                <w:w w:val="95"/>
                <w:sz w:val="20"/>
              </w:rPr>
              <w:t>ypadku zakłócenia usług wspieranych przez system informacyjny. Może być kilka funkcji krytycznych,</w:t>
            </w:r>
            <w:r w:rsidR="004D7F8C">
              <w:rPr>
                <w:rFonts w:ascii="Times New Roman" w:hAnsi="Times New Roman"/>
                <w:color w:val="000000" w:themeColor="text1"/>
                <w:spacing w:val="-2"/>
                <w:w w:val="95"/>
                <w:sz w:val="20"/>
              </w:rPr>
              <w:t xml:space="preserve"> w któ</w:t>
            </w:r>
            <w:r>
              <w:rPr>
                <w:rFonts w:ascii="Times New Roman" w:hAnsi="Times New Roman"/>
                <w:color w:val="000000" w:themeColor="text1"/>
                <w:spacing w:val="-2"/>
                <w:w w:val="95"/>
                <w:sz w:val="20"/>
              </w:rPr>
              <w:t>rym to przypadku należy zgłosić kilka wierszy</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tego samego systemu informacyjnego.</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Państwo</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Państwo,</w:t>
            </w:r>
            <w:r w:rsidR="004D7F8C">
              <w:rPr>
                <w:rFonts w:ascii="Times New Roman" w:hAnsi="Times New Roman"/>
                <w:color w:val="000000" w:themeColor="text1"/>
                <w:spacing w:val="-2"/>
                <w:w w:val="95"/>
                <w:sz w:val="20"/>
              </w:rPr>
              <w:t xml:space="preserve"> w odn</w:t>
            </w:r>
            <w:r>
              <w:rPr>
                <w:rFonts w:ascii="Times New Roman" w:hAnsi="Times New Roman"/>
                <w:color w:val="000000" w:themeColor="text1"/>
                <w:spacing w:val="-2"/>
                <w:w w:val="95"/>
                <w:sz w:val="20"/>
              </w:rPr>
              <w:t>iesieniu do którego funkcja ma krytyczne znaczenie, zgodnie ze zgłoszeniem w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Nr </w:t>
            </w:r>
            <w:proofErr w:type="spellStart"/>
            <w:r>
              <w:rPr>
                <w:rFonts w:ascii="Times New Roman" w:hAnsi="Times New Roman"/>
                <w:b/>
                <w:color w:val="000000" w:themeColor="text1"/>
                <w:sz w:val="20"/>
              </w:rPr>
              <w:t>iden</w:t>
            </w:r>
            <w:proofErr w:type="spellEnd"/>
            <w:r>
              <w:rPr>
                <w:rFonts w:ascii="Times New Roman" w:hAnsi="Times New Roman"/>
                <w:b/>
                <w:color w:val="000000" w:themeColor="text1"/>
                <w:sz w:val="20"/>
              </w:rPr>
              <w:t>.</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Nr identyfikacyjny funkcji krytycznych zdefiniowanych</w:t>
            </w:r>
            <w:r w:rsidR="004D7F8C">
              <w:rPr>
                <w:rFonts w:ascii="Times New Roman" w:hAnsi="Times New Roman"/>
                <w:color w:val="000000" w:themeColor="text1"/>
                <w:spacing w:val="-2"/>
                <w:w w:val="95"/>
                <w:sz w:val="20"/>
              </w:rPr>
              <w:t xml:space="preserve"> w roz</w:t>
            </w:r>
            <w:r>
              <w:rPr>
                <w:rFonts w:ascii="Times New Roman" w:hAnsi="Times New Roman"/>
                <w:color w:val="000000" w:themeColor="text1"/>
                <w:spacing w:val="-2"/>
                <w:w w:val="95"/>
                <w:sz w:val="20"/>
              </w:rPr>
              <w:t>dziale 2.7.1.4 powyżej,</w:t>
            </w:r>
            <w:r w:rsidR="004D7F8C">
              <w:rPr>
                <w:rFonts w:ascii="Times New Roman" w:hAnsi="Times New Roman"/>
                <w:color w:val="000000" w:themeColor="text1"/>
                <w:spacing w:val="-2"/>
                <w:w w:val="95"/>
                <w:sz w:val="20"/>
              </w:rPr>
              <w:t xml:space="preserve"> o któ</w:t>
            </w:r>
            <w:r>
              <w:rPr>
                <w:rFonts w:ascii="Times New Roman" w:hAnsi="Times New Roman"/>
                <w:color w:val="000000" w:themeColor="text1"/>
                <w:spacing w:val="-2"/>
                <w:w w:val="95"/>
                <w:sz w:val="20"/>
              </w:rPr>
              <w:t>rych mowa</w:t>
            </w:r>
            <w:r w:rsidR="004D7F8C">
              <w:rPr>
                <w:rFonts w:ascii="Times New Roman" w:hAnsi="Times New Roman"/>
                <w:color w:val="000000" w:themeColor="text1"/>
                <w:spacing w:val="-2"/>
                <w:w w:val="95"/>
                <w:sz w:val="20"/>
              </w:rPr>
              <w:t xml:space="preserve"> w sza</w:t>
            </w:r>
            <w:r>
              <w:rPr>
                <w:rFonts w:ascii="Times New Roman" w:hAnsi="Times New Roman"/>
                <w:color w:val="000000" w:themeColor="text1"/>
                <w:spacing w:val="-2"/>
                <w:w w:val="95"/>
                <w:sz w:val="20"/>
              </w:rPr>
              <w:t>blonie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754093">
          <w:rPr>
            <w:noProof/>
          </w:rPr>
          <w:t>25</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8E5458" w:rsidRDefault="003C3186" w:rsidP="008E5458">
      <w:pPr>
        <w:pStyle w:val="FootnoteText"/>
        <w:rPr>
          <w:lang w:val="en-GB"/>
        </w:rPr>
      </w:pPr>
      <w:r>
        <w:rPr>
          <w:rStyle w:val="FootnoteReference"/>
          <w:rFonts w:ascii="Times New Roman" w:hAnsi="Times New Roman"/>
        </w:rPr>
        <w:footnoteRef/>
      </w:r>
      <w:r>
        <w:t xml:space="preserve"> Rozporządzenie wykonawcze Komisji (UE) </w:t>
      </w:r>
      <w:r w:rsidRPr="004D7F8C">
        <w:t>nr</w:t>
      </w:r>
      <w:r w:rsidR="004D7F8C" w:rsidRPr="004D7F8C">
        <w:t> </w:t>
      </w:r>
      <w:r w:rsidRPr="004D7F8C">
        <w:t>6</w:t>
      </w:r>
      <w:r>
        <w:t>80/2014</w:t>
      </w:r>
      <w:r w:rsidR="004D7F8C">
        <w:t xml:space="preserve"> z dni</w:t>
      </w:r>
      <w:r>
        <w:t>a 16 kwietnia 20</w:t>
      </w:r>
      <w:r w:rsidRPr="004D7F8C">
        <w:t>14</w:t>
      </w:r>
      <w:r w:rsidR="004D7F8C" w:rsidRPr="004D7F8C">
        <w:t> </w:t>
      </w:r>
      <w:r w:rsidRPr="004D7F8C">
        <w:t>r.</w:t>
      </w:r>
      <w:r>
        <w:t xml:space="preserve"> ustanawiające wykonawcze standardy techniczne dotyczące sprawozdawczości nadzorczej instytucji zgodnie</w:t>
      </w:r>
      <w:r w:rsidR="004D7F8C">
        <w:t xml:space="preserve"> z roz</w:t>
      </w:r>
      <w:r>
        <w:t>porządzeniem Parlamentu Europejskiego</w:t>
      </w:r>
      <w:r w:rsidR="004D7F8C">
        <w:t xml:space="preserve"> i Rad</w:t>
      </w:r>
      <w:r>
        <w:t xml:space="preserve">y (UE) </w:t>
      </w:r>
      <w:r w:rsidRPr="004D7F8C">
        <w:t>nr</w:t>
      </w:r>
      <w:r w:rsidR="004D7F8C" w:rsidRPr="004D7F8C">
        <w:t> </w:t>
      </w:r>
      <w:r w:rsidRPr="004D7F8C">
        <w:t>5</w:t>
      </w:r>
      <w:r>
        <w:t>75/2013 (Dz.U. L 191</w:t>
      </w:r>
      <w:r w:rsidR="004D7F8C">
        <w:t xml:space="preserve"> z 2</w:t>
      </w:r>
      <w:r>
        <w:t>8.6.2014, s. 1).</w:t>
      </w:r>
    </w:p>
  </w:footnote>
  <w:footnote w:id="2">
    <w:p w:rsidR="003C3186" w:rsidRPr="00E17940" w:rsidRDefault="003C3186" w:rsidP="008E5458">
      <w:pPr>
        <w:pStyle w:val="FootnoteText"/>
      </w:pPr>
      <w:r>
        <w:rPr>
          <w:rStyle w:val="FootnoteReference"/>
          <w:rFonts w:ascii="Times New Roman" w:hAnsi="Times New Roman"/>
        </w:rPr>
        <w:footnoteRef/>
      </w:r>
      <w:r>
        <w:t xml:space="preserve"> Rozporządzenie (WE) </w:t>
      </w:r>
      <w:r w:rsidRPr="004D7F8C">
        <w:t>nr</w:t>
      </w:r>
      <w:r w:rsidR="004D7F8C" w:rsidRPr="004D7F8C">
        <w:t> </w:t>
      </w:r>
      <w:r w:rsidRPr="004D7F8C">
        <w:t>1</w:t>
      </w:r>
      <w:r>
        <w:t>606/2002 Parlamentu Europejskiego</w:t>
      </w:r>
      <w:r w:rsidR="004D7F8C">
        <w:t xml:space="preserve"> i Rad</w:t>
      </w:r>
      <w:r>
        <w:t>y</w:t>
      </w:r>
      <w:r w:rsidR="004D7F8C">
        <w:t xml:space="preserve"> z dni</w:t>
      </w:r>
      <w:r>
        <w:t>a 19 lipca 20</w:t>
      </w:r>
      <w:r w:rsidRPr="004D7F8C">
        <w:t>02</w:t>
      </w:r>
      <w:r w:rsidR="004D7F8C" w:rsidRPr="004D7F8C">
        <w:t> </w:t>
      </w:r>
      <w:r w:rsidRPr="004D7F8C">
        <w:t>r.</w:t>
      </w:r>
      <w:r w:rsidR="004D7F8C">
        <w:t xml:space="preserve"> w spr</w:t>
      </w:r>
      <w:r>
        <w:t>awie stosowania międzynarodowych standardów rachunkowości (Dz.U. L 243</w:t>
      </w:r>
      <w:r w:rsidR="004D7F8C">
        <w:t xml:space="preserve"> z 1</w:t>
      </w:r>
      <w:r>
        <w:t>1.9.2002, s.1).</w:t>
      </w:r>
    </w:p>
  </w:footnote>
  <w:footnote w:id="3">
    <w:p w:rsidR="003C3186" w:rsidRPr="008E5458" w:rsidRDefault="003C3186" w:rsidP="00543060">
      <w:pPr>
        <w:pStyle w:val="FootnoteText"/>
      </w:pPr>
      <w:r>
        <w:rPr>
          <w:rStyle w:val="FootnoteReference"/>
          <w:rFonts w:ascii="Times New Roman" w:hAnsi="Times New Roman"/>
        </w:rPr>
        <w:footnoteRef/>
      </w:r>
      <w:r>
        <w:t xml:space="preserve"> Rozporządzenie (WE) </w:t>
      </w:r>
      <w:r w:rsidRPr="004D7F8C">
        <w:t>nr</w:t>
      </w:r>
      <w:r w:rsidR="004D7F8C" w:rsidRPr="004D7F8C">
        <w:t> </w:t>
      </w:r>
      <w:r w:rsidRPr="004D7F8C">
        <w:t>1</w:t>
      </w:r>
      <w:r>
        <w:t>606/2002 Parlamentu Europejskiego</w:t>
      </w:r>
      <w:r w:rsidR="004D7F8C">
        <w:t xml:space="preserve"> i Rad</w:t>
      </w:r>
      <w:r>
        <w:t>y</w:t>
      </w:r>
      <w:r w:rsidR="004D7F8C">
        <w:t xml:space="preserve"> z dni</w:t>
      </w:r>
      <w:r>
        <w:t>a 19 lipca 20</w:t>
      </w:r>
      <w:r w:rsidRPr="004D7F8C">
        <w:t>02</w:t>
      </w:r>
      <w:r w:rsidR="004D7F8C" w:rsidRPr="004D7F8C">
        <w:t> </w:t>
      </w:r>
      <w:r w:rsidRPr="004D7F8C">
        <w:t>r.</w:t>
      </w:r>
      <w:r w:rsidR="004D7F8C">
        <w:t xml:space="preserve"> w spr</w:t>
      </w:r>
      <w:r>
        <w:t>awie stosowania międzynarodowych standardów rachunkowości (Dz.U. L 243</w:t>
      </w:r>
      <w:r w:rsidR="004D7F8C">
        <w:t xml:space="preserve"> z 1</w:t>
      </w:r>
      <w:r>
        <w:t>1.9.2002, s. 1).</w:t>
      </w:r>
    </w:p>
  </w:footnote>
  <w:footnote w:id="4">
    <w:p w:rsidR="003C3186" w:rsidRPr="00BB34DC" w:rsidRDefault="003C3186" w:rsidP="00543060">
      <w:pPr>
        <w:pStyle w:val="FootnoteText"/>
        <w:rPr>
          <w:lang w:val="en-GB"/>
        </w:rPr>
      </w:pPr>
      <w:r>
        <w:rPr>
          <w:rStyle w:val="FootnoteReference"/>
          <w:rFonts w:ascii="Times New Roman" w:hAnsi="Times New Roman"/>
        </w:rPr>
        <w:footnoteRef/>
      </w:r>
      <w:r>
        <w:t xml:space="preserve"> Dyrektywa Rady 86/635/EWG</w:t>
      </w:r>
      <w:r w:rsidR="004D7F8C">
        <w:t xml:space="preserve"> z dni</w:t>
      </w:r>
      <w:r>
        <w:t>a 8 grudnia 19</w:t>
      </w:r>
      <w:r w:rsidRPr="004D7F8C">
        <w:t>86</w:t>
      </w:r>
      <w:r w:rsidR="004D7F8C" w:rsidRPr="004D7F8C">
        <w:t> </w:t>
      </w:r>
      <w:r w:rsidRPr="004D7F8C">
        <w:t>r.</w:t>
      </w:r>
      <w:r w:rsidR="004D7F8C">
        <w:t xml:space="preserve"> w spr</w:t>
      </w:r>
      <w:r>
        <w:t>awie rocznych</w:t>
      </w:r>
      <w:r w:rsidR="004D7F8C">
        <w:t xml:space="preserve"> i sko</w:t>
      </w:r>
      <w:r>
        <w:t>nsolidowanych sprawozdań finansowych banków</w:t>
      </w:r>
      <w:r w:rsidR="004D7F8C">
        <w:t xml:space="preserve"> i inn</w:t>
      </w:r>
      <w:r>
        <w:t>ych instytucji finansowych (Dz.U. L 372</w:t>
      </w:r>
      <w:r w:rsidR="004D7F8C">
        <w:t xml:space="preserve"> z 3</w:t>
      </w:r>
      <w:r>
        <w:t>1.12.1986, s. 1).</w:t>
      </w:r>
    </w:p>
  </w:footnote>
  <w:footnote w:id="5">
    <w:p w:rsidR="003C3186" w:rsidRPr="00E17940" w:rsidRDefault="003C3186" w:rsidP="00543060">
      <w:pPr>
        <w:pStyle w:val="FootnoteText"/>
      </w:pPr>
      <w:r>
        <w:rPr>
          <w:rStyle w:val="FootnoteReference"/>
          <w:rFonts w:ascii="Times New Roman" w:hAnsi="Times New Roman"/>
        </w:rPr>
        <w:footnoteRef/>
      </w:r>
      <w:r>
        <w:t xml:space="preserve"> Rozporządzenie Parlamentu Europejskiego</w:t>
      </w:r>
      <w:r w:rsidR="004D7F8C">
        <w:t xml:space="preserve"> i Rad</w:t>
      </w:r>
      <w:r>
        <w:t xml:space="preserve">y (UE) </w:t>
      </w:r>
      <w:r w:rsidRPr="004D7F8C">
        <w:t>nr</w:t>
      </w:r>
      <w:r w:rsidR="004D7F8C" w:rsidRPr="004D7F8C">
        <w:t> </w:t>
      </w:r>
      <w:r w:rsidRPr="004D7F8C">
        <w:t>5</w:t>
      </w:r>
      <w:r>
        <w:t>75/2013</w:t>
      </w:r>
      <w:r w:rsidR="004D7F8C">
        <w:t xml:space="preserve"> z dni</w:t>
      </w:r>
      <w:r>
        <w:t>a 26 czerwca 20</w:t>
      </w:r>
      <w:r w:rsidRPr="004D7F8C">
        <w:t>13</w:t>
      </w:r>
      <w:r w:rsidR="004D7F8C" w:rsidRPr="004D7F8C">
        <w:t> </w:t>
      </w:r>
      <w:r w:rsidRPr="004D7F8C">
        <w:t>r.</w:t>
      </w:r>
      <w:r w:rsidR="004D7F8C">
        <w:t xml:space="preserve"> w spr</w:t>
      </w:r>
      <w:r>
        <w:t>awie wymogów ostrożnościowych dla instytucji kredytowych</w:t>
      </w:r>
      <w:r w:rsidR="004D7F8C">
        <w:t xml:space="preserve"> i fir</w:t>
      </w:r>
      <w:r>
        <w:t xml:space="preserve">m inwestycyjnych, zmieniające rozporządzenie (UE) </w:t>
      </w:r>
      <w:r w:rsidRPr="004D7F8C">
        <w:t>nr</w:t>
      </w:r>
      <w:r w:rsidR="004D7F8C" w:rsidRPr="004D7F8C">
        <w:t> </w:t>
      </w:r>
      <w:r w:rsidRPr="004D7F8C">
        <w:t>6</w:t>
      </w:r>
      <w:r>
        <w:t>48/2012 (Dz.U. L 176</w:t>
      </w:r>
      <w:r w:rsidR="004D7F8C">
        <w:t xml:space="preserve"> z 2</w:t>
      </w:r>
      <w:r>
        <w:t>7.6.2013, s. 1).</w:t>
      </w:r>
    </w:p>
  </w:footnote>
  <w:footnote w:id="6">
    <w:p w:rsidR="003C3186" w:rsidRPr="00E17940" w:rsidRDefault="003C3186" w:rsidP="00543060">
      <w:pPr>
        <w:pStyle w:val="FootnoteText"/>
      </w:pPr>
      <w:r>
        <w:rPr>
          <w:rStyle w:val="FootnoteReference"/>
        </w:rPr>
        <w:footnoteRef/>
      </w:r>
      <w:r>
        <w:t xml:space="preserve"> Dyrektywa Parlamentu Europejskiego</w:t>
      </w:r>
      <w:r w:rsidR="004D7F8C">
        <w:t xml:space="preserve"> i Rad</w:t>
      </w:r>
      <w:r>
        <w:t>y 2013/36/UE</w:t>
      </w:r>
      <w:r w:rsidR="004D7F8C">
        <w:t xml:space="preserve"> z dni</w:t>
      </w:r>
      <w:r>
        <w:t>a 26 czerwca 20</w:t>
      </w:r>
      <w:r w:rsidRPr="004D7F8C">
        <w:t>13</w:t>
      </w:r>
      <w:r w:rsidR="004D7F8C" w:rsidRPr="004D7F8C">
        <w:t> </w:t>
      </w:r>
      <w:r w:rsidRPr="004D7F8C">
        <w:t>r.</w:t>
      </w:r>
      <w:r w:rsidR="004D7F8C">
        <w:t xml:space="preserve"> w spr</w:t>
      </w:r>
      <w:r>
        <w:t>awie warunków dopuszczenia instytucji kredytowych do działalności oraz nadzoru ostrożnościowego nad instytucjami kredytowymi</w:t>
      </w:r>
      <w:r w:rsidR="004D7F8C">
        <w:t xml:space="preserve"> i fir</w:t>
      </w:r>
      <w:r>
        <w:t>mami inwestycyjnymi, zmieniająca dyrektywę 2002/87/WE</w:t>
      </w:r>
      <w:r w:rsidR="004D7F8C">
        <w:t xml:space="preserve"> i uch</w:t>
      </w:r>
      <w:r>
        <w:t>ylająca dyrektywy 2006/48/WE oraz 2006/49/WE (Dz.U L 176</w:t>
      </w:r>
      <w:r w:rsidR="004D7F8C">
        <w:t xml:space="preserve"> z 2</w:t>
      </w:r>
      <w:r>
        <w:t>7.6.2013, s. 338).</w:t>
      </w:r>
    </w:p>
  </w:footnote>
  <w:footnote w:id="7">
    <w:p w:rsidR="003C3186" w:rsidRPr="00CF3EBF" w:rsidRDefault="003C3186" w:rsidP="008B1EBD">
      <w:pPr>
        <w:pStyle w:val="FootnoteText"/>
      </w:pPr>
      <w:r>
        <w:rPr>
          <w:rStyle w:val="FootnoteReference"/>
          <w:rFonts w:ascii="Times New Roman" w:hAnsi="Times New Roman"/>
        </w:rPr>
        <w:footnoteRef/>
      </w:r>
      <w:r>
        <w:t xml:space="preserve"> Dyrektywa Parlamentu Europejskiego</w:t>
      </w:r>
      <w:r w:rsidR="004D7F8C">
        <w:t xml:space="preserve"> i Rad</w:t>
      </w:r>
      <w:r>
        <w:t>y 2009/138/WE</w:t>
      </w:r>
      <w:r w:rsidR="004D7F8C">
        <w:t xml:space="preserve"> z dni</w:t>
      </w:r>
      <w:r>
        <w:t>a 25 listopada 20</w:t>
      </w:r>
      <w:r w:rsidRPr="004D7F8C">
        <w:t>09</w:t>
      </w:r>
      <w:r w:rsidR="004D7F8C" w:rsidRPr="004D7F8C">
        <w:t> </w:t>
      </w:r>
      <w:r w:rsidRPr="004D7F8C">
        <w:t>r.</w:t>
      </w:r>
      <w:r w:rsidR="004D7F8C">
        <w:t xml:space="preserve"> w spr</w:t>
      </w:r>
      <w:r>
        <w:t>awie podejmowania</w:t>
      </w:r>
      <w:r w:rsidR="004D7F8C">
        <w:t xml:space="preserve"> i pro</w:t>
      </w:r>
      <w:r>
        <w:t>wadzenia działalności ubezpieczeniowej</w:t>
      </w:r>
      <w:r w:rsidR="004D7F8C">
        <w:t xml:space="preserve"> i rea</w:t>
      </w:r>
      <w:r>
        <w:t>sekuracyjnej (Wypłacalność II) (Tekst mający znaczenie dla EOG) (Dz.U L 335</w:t>
      </w:r>
      <w:r w:rsidR="004D7F8C">
        <w:t xml:space="preserve"> z 1</w:t>
      </w:r>
      <w:r>
        <w:t>7.12.2009, s. 1).</w:t>
      </w:r>
    </w:p>
  </w:footnote>
  <w:footnote w:id="8">
    <w:p w:rsidR="003C3186" w:rsidRPr="00113543" w:rsidRDefault="003C3186" w:rsidP="008B1EBD">
      <w:pPr>
        <w:pStyle w:val="FootnoteText"/>
      </w:pPr>
      <w:r>
        <w:rPr>
          <w:rStyle w:val="FootnoteReference"/>
          <w:rFonts w:ascii="Times New Roman" w:hAnsi="Times New Roman"/>
        </w:rPr>
        <w:footnoteRef/>
      </w:r>
      <w:r>
        <w:t xml:space="preserve"> Zalecenie Komisji</w:t>
      </w:r>
      <w:r w:rsidR="004D7F8C">
        <w:t xml:space="preserve"> z dni</w:t>
      </w:r>
      <w:r>
        <w:t>a 6 maja 20</w:t>
      </w:r>
      <w:r w:rsidRPr="004D7F8C">
        <w:t>03</w:t>
      </w:r>
      <w:r w:rsidR="004D7F8C" w:rsidRPr="004D7F8C">
        <w:t> </w:t>
      </w:r>
      <w:r w:rsidRPr="004D7F8C">
        <w:t>r.</w:t>
      </w:r>
      <w:r>
        <w:t xml:space="preserve"> dotyczące definicji mikro-, małych</w:t>
      </w:r>
      <w:r w:rsidR="004D7F8C">
        <w:t xml:space="preserve"> i śre</w:t>
      </w:r>
      <w:r>
        <w:t>dnich przedsiębiorstw (notyfikowane jako dokument nr C(2003) 1422) (Dz.U. L 124</w:t>
      </w:r>
      <w:r w:rsidR="004D7F8C">
        <w:t xml:space="preserve"> z 2</w:t>
      </w:r>
      <w:r>
        <w:t>0.5.2003, s. 36).</w:t>
      </w:r>
    </w:p>
  </w:footnote>
  <w:footnote w:id="9">
    <w:p w:rsidR="003C3186" w:rsidRDefault="003C3186" w:rsidP="008B1EBD">
      <w:pPr>
        <w:pStyle w:val="FootnoteText"/>
        <w:rPr>
          <w:lang w:val="en-GB"/>
        </w:rPr>
      </w:pPr>
      <w:r>
        <w:rPr>
          <w:rStyle w:val="FootnoteReference"/>
          <w:rFonts w:ascii="Times New Roman" w:hAnsi="Times New Roman"/>
        </w:rPr>
        <w:footnoteRef/>
      </w:r>
      <w:r>
        <w:t xml:space="preserve"> Rozporządzenie Europejskiego Banku Centralnego (UE) </w:t>
      </w:r>
      <w:r w:rsidRPr="004D7F8C">
        <w:t>nr</w:t>
      </w:r>
      <w:r w:rsidR="004D7F8C" w:rsidRPr="004D7F8C">
        <w:t> </w:t>
      </w:r>
      <w:r w:rsidRPr="004D7F8C">
        <w:t>1</w:t>
      </w:r>
      <w:r>
        <w:t>071/2013 dotyczące bilansu sektora monetarnych instytucji finansowych (Dz.U. L 297</w:t>
      </w:r>
      <w:r w:rsidR="004D7F8C">
        <w:t xml:space="preserve"> z 7</w:t>
      </w:r>
      <w:r>
        <w:t>.11.2013, s. 1).</w:t>
      </w:r>
    </w:p>
  </w:footnote>
  <w:footnote w:id="10">
    <w:p w:rsidR="003C3186" w:rsidRPr="00B77FC7" w:rsidRDefault="003C3186" w:rsidP="008E5458">
      <w:pPr>
        <w:pStyle w:val="FootnoteText"/>
      </w:pPr>
      <w:r>
        <w:rPr>
          <w:rStyle w:val="FootnoteReference"/>
        </w:rPr>
        <w:footnoteRef/>
      </w:r>
      <w:r>
        <w:t xml:space="preserve"> Dyrektywa Parlamentu Europejskiego</w:t>
      </w:r>
      <w:r w:rsidR="004D7F8C">
        <w:t xml:space="preserve"> i Rad</w:t>
      </w:r>
      <w:r>
        <w:t>y 2014/59/UE</w:t>
      </w:r>
      <w:r w:rsidR="004D7F8C">
        <w:t xml:space="preserve"> z dni</w:t>
      </w:r>
      <w:r>
        <w:t>a 15 maja 20</w:t>
      </w:r>
      <w:r w:rsidRPr="004D7F8C">
        <w:t>14</w:t>
      </w:r>
      <w:r w:rsidR="004D7F8C" w:rsidRPr="004D7F8C">
        <w:t> </w:t>
      </w:r>
      <w:r w:rsidRPr="004D7F8C">
        <w:t>r.</w:t>
      </w:r>
      <w:r>
        <w:t xml:space="preserve"> ustanawiająca ramy na potrzeby prowadzenia działań naprawczych oraz restrukturyzacji</w:t>
      </w:r>
      <w:r w:rsidR="004D7F8C">
        <w:t xml:space="preserve"> i upo</w:t>
      </w:r>
      <w:r>
        <w:t>rządkowanej likwidacji</w:t>
      </w:r>
      <w:r w:rsidR="004D7F8C">
        <w:t xml:space="preserve"> w odn</w:t>
      </w:r>
      <w:r>
        <w:t>iesieniu do instytucji kredytowych</w:t>
      </w:r>
      <w:r w:rsidR="004D7F8C">
        <w:t xml:space="preserve"> i fir</w:t>
      </w:r>
      <w:r>
        <w:t>m inwestycyjnych oraz zmieniająca dyrektywę Rady 82/891/EWG</w:t>
      </w:r>
      <w:r w:rsidR="004D7F8C">
        <w:t xml:space="preserve"> i dyr</w:t>
      </w:r>
      <w:r>
        <w:t>ektywy Parlamentu Europejskiego</w:t>
      </w:r>
      <w:r w:rsidR="004D7F8C">
        <w:t xml:space="preserve"> i Rad</w:t>
      </w:r>
      <w:r>
        <w:t>y 2001/24/WE, 2002/47/WE, 2004/25/WE, 2005/56/WE, 2007/36/WE, 2011/35/UE, 2012/30/UE</w:t>
      </w:r>
      <w:r w:rsidR="004D7F8C">
        <w:t xml:space="preserve"> i 2</w:t>
      </w:r>
      <w:r>
        <w:t>013/36/UE oraz rozporządzenia Parlamentu Europejskiego</w:t>
      </w:r>
      <w:r w:rsidR="004D7F8C">
        <w:t xml:space="preserve"> i Rad</w:t>
      </w:r>
      <w:r>
        <w:t xml:space="preserve">y (UE) </w:t>
      </w:r>
      <w:r w:rsidRPr="004D7F8C">
        <w:t>nr</w:t>
      </w:r>
      <w:r w:rsidR="004D7F8C" w:rsidRPr="004D7F8C">
        <w:t> </w:t>
      </w:r>
      <w:r w:rsidRPr="004D7F8C">
        <w:t>1</w:t>
      </w:r>
      <w:r>
        <w:t xml:space="preserve">093/2010 i (UE) </w:t>
      </w:r>
      <w:r w:rsidRPr="004D7F8C">
        <w:t>nr</w:t>
      </w:r>
      <w:r w:rsidR="004D7F8C" w:rsidRPr="004D7F8C">
        <w:t> </w:t>
      </w:r>
      <w:r w:rsidRPr="004D7F8C">
        <w:t>6</w:t>
      </w:r>
      <w:r>
        <w:t>48/2012 (Dz.U. L 173</w:t>
      </w:r>
      <w:r w:rsidR="004D7F8C">
        <w:t xml:space="preserve"> z 1</w:t>
      </w:r>
      <w:r>
        <w:t>2.6.2014, s. 190).</w:t>
      </w:r>
    </w:p>
  </w:footnote>
  <w:footnote w:id="11">
    <w:p w:rsidR="003C3186" w:rsidRPr="001D3665" w:rsidRDefault="003C3186" w:rsidP="008E5458">
      <w:pPr>
        <w:pStyle w:val="FootnoteText"/>
      </w:pPr>
      <w:r>
        <w:rPr>
          <w:rStyle w:val="FootnoteReference"/>
        </w:rPr>
        <w:footnoteRef/>
      </w:r>
      <w:r>
        <w:t xml:space="preserve"> Dyrektywa Parlamentu Europejskiego</w:t>
      </w:r>
      <w:r w:rsidR="004D7F8C">
        <w:t xml:space="preserve"> i Rad</w:t>
      </w:r>
      <w:r>
        <w:t>y 2014/49/UE</w:t>
      </w:r>
      <w:r w:rsidR="004D7F8C">
        <w:t xml:space="preserve"> z dni</w:t>
      </w:r>
      <w:r>
        <w:t>a 16 kwietnia 20</w:t>
      </w:r>
      <w:r w:rsidRPr="004D7F8C">
        <w:t>14</w:t>
      </w:r>
      <w:r w:rsidR="004D7F8C" w:rsidRPr="004D7F8C">
        <w:t> </w:t>
      </w:r>
      <w:r w:rsidRPr="004D7F8C">
        <w:t>r.</w:t>
      </w:r>
      <w:r w:rsidR="004D7F8C">
        <w:t xml:space="preserve"> w spr</w:t>
      </w:r>
      <w:r>
        <w:t>awie systemów gwarancji depozytów (Dz.U. L 173</w:t>
      </w:r>
      <w:r w:rsidR="004D7F8C">
        <w:t xml:space="preserve"> z 1</w:t>
      </w:r>
      <w:r>
        <w:t>2.6.2014, s. 149).</w:t>
      </w:r>
    </w:p>
  </w:footnote>
  <w:footnote w:id="12">
    <w:p w:rsidR="003C3186" w:rsidRPr="00EB1AD3" w:rsidRDefault="003C3186" w:rsidP="00365E39">
      <w:pPr>
        <w:pStyle w:val="FootnoteText"/>
      </w:pPr>
      <w:r>
        <w:rPr>
          <w:rStyle w:val="FootnoteReference"/>
        </w:rPr>
        <w:footnoteRef/>
      </w:r>
      <w:r>
        <w:t xml:space="preserve"> Dyrektywa Parlamentu Europejskiego</w:t>
      </w:r>
      <w:r w:rsidR="004D7F8C">
        <w:t xml:space="preserve"> i Rad</w:t>
      </w:r>
      <w:r>
        <w:t>y 2009/65/WE</w:t>
      </w:r>
      <w:r w:rsidR="004D7F8C">
        <w:t xml:space="preserve"> z dni</w:t>
      </w:r>
      <w:r>
        <w:t>a 13 lipca 20</w:t>
      </w:r>
      <w:r w:rsidRPr="004D7F8C">
        <w:t>09</w:t>
      </w:r>
      <w:r w:rsidR="004D7F8C" w:rsidRPr="004D7F8C">
        <w:t> </w:t>
      </w:r>
      <w:r w:rsidRPr="004D7F8C">
        <w:t>r.</w:t>
      </w:r>
      <w:r w:rsidR="004D7F8C">
        <w:t xml:space="preserve"> w spr</w:t>
      </w:r>
      <w:r>
        <w:t>awie koordynacji przepisów ustawowych, wykonawczych</w:t>
      </w:r>
      <w:r w:rsidR="004D7F8C">
        <w:t xml:space="preserve"> i adm</w:t>
      </w:r>
      <w:r>
        <w:t>inistracyjnych odnoszących się do przedsiębiorstw zbiorowego inwestowania</w:t>
      </w:r>
      <w:r w:rsidR="004D7F8C">
        <w:t xml:space="preserve"> w zby</w:t>
      </w:r>
      <w:r>
        <w:t>walne papiery wartościowe (UCITS) (Dz.U. L 302</w:t>
      </w:r>
      <w:r w:rsidR="004D7F8C">
        <w:t xml:space="preserve"> z 1</w:t>
      </w:r>
      <w:r>
        <w:t>7.11.2009, s. 32).</w:t>
      </w:r>
    </w:p>
  </w:footnote>
  <w:footnote w:id="13">
    <w:p w:rsidR="003C3186" w:rsidRPr="00EB1AD3" w:rsidRDefault="003C3186" w:rsidP="00365E39">
      <w:pPr>
        <w:pStyle w:val="FootnoteText"/>
      </w:pPr>
      <w:r>
        <w:rPr>
          <w:rStyle w:val="FootnoteReference"/>
        </w:rPr>
        <w:footnoteRef/>
      </w:r>
      <w:r>
        <w:t xml:space="preserve"> Dyrektywa Parlamentu Europejskiego</w:t>
      </w:r>
      <w:r w:rsidR="004D7F8C">
        <w:t xml:space="preserve"> i Rad</w:t>
      </w:r>
      <w:r>
        <w:t>y 2011/61/UE</w:t>
      </w:r>
      <w:r w:rsidR="004D7F8C">
        <w:t xml:space="preserve"> z dni</w:t>
      </w:r>
      <w:r>
        <w:t>a 8 czerwca 20</w:t>
      </w:r>
      <w:r w:rsidRPr="004D7F8C">
        <w:t>11</w:t>
      </w:r>
      <w:r w:rsidR="004D7F8C" w:rsidRPr="004D7F8C">
        <w:t> </w:t>
      </w:r>
      <w:r w:rsidRPr="004D7F8C">
        <w:t>r.</w:t>
      </w:r>
      <w:r w:rsidR="004D7F8C">
        <w:t xml:space="preserve"> w spr</w:t>
      </w:r>
      <w:r>
        <w:t>awie zarządzających alternatywnymi funduszami inwestycyjnymi</w:t>
      </w:r>
      <w:r w:rsidR="004D7F8C">
        <w:t xml:space="preserve"> i zmi</w:t>
      </w:r>
      <w:r>
        <w:t>any dyrektyw 2003/41/WE</w:t>
      </w:r>
      <w:r w:rsidR="004D7F8C">
        <w:t xml:space="preserve"> i 2</w:t>
      </w:r>
      <w:r>
        <w:t xml:space="preserve">009/65/WE oraz rozporządzeń (WE) </w:t>
      </w:r>
      <w:r w:rsidRPr="004D7F8C">
        <w:t>nr</w:t>
      </w:r>
      <w:r w:rsidR="004D7F8C" w:rsidRPr="004D7F8C">
        <w:t> </w:t>
      </w:r>
      <w:r w:rsidRPr="004D7F8C">
        <w:t>1</w:t>
      </w:r>
      <w:r>
        <w:t xml:space="preserve">060/2009 i (UE) </w:t>
      </w:r>
      <w:r w:rsidRPr="004D7F8C">
        <w:t>nr</w:t>
      </w:r>
      <w:r w:rsidR="004D7F8C" w:rsidRPr="004D7F8C">
        <w:t> </w:t>
      </w:r>
      <w:r w:rsidRPr="004D7F8C">
        <w:t>1</w:t>
      </w:r>
      <w:r>
        <w:t>095/2010 (Dz.U. L 174</w:t>
      </w:r>
      <w:r w:rsidR="004D7F8C">
        <w:t xml:space="preserve"> z 1</w:t>
      </w:r>
      <w:r>
        <w:t>.7.2011, s. 1).</w:t>
      </w:r>
    </w:p>
  </w:footnote>
  <w:footnote w:id="14">
    <w:p w:rsidR="003C3186" w:rsidRPr="004002B3" w:rsidRDefault="003C3186" w:rsidP="00365E39">
      <w:pPr>
        <w:pStyle w:val="FootnoteText"/>
      </w:pPr>
      <w:r>
        <w:rPr>
          <w:rStyle w:val="FootnoteReference"/>
        </w:rPr>
        <w:footnoteRef/>
      </w:r>
      <w:r>
        <w:t xml:space="preserve"> Dyrektywa 98/26/WE Parlamentu Europejskiego</w:t>
      </w:r>
      <w:r w:rsidR="004D7F8C">
        <w:t xml:space="preserve"> i Rad</w:t>
      </w:r>
      <w:r>
        <w:t>y</w:t>
      </w:r>
      <w:r w:rsidR="004D7F8C">
        <w:t xml:space="preserve"> z dni</w:t>
      </w:r>
      <w:r>
        <w:t>a 19 maja 19</w:t>
      </w:r>
      <w:r w:rsidRPr="004D7F8C">
        <w:t>98</w:t>
      </w:r>
      <w:r w:rsidR="004D7F8C" w:rsidRPr="004D7F8C">
        <w:t> </w:t>
      </w:r>
      <w:r w:rsidRPr="004D7F8C">
        <w:t>r.</w:t>
      </w:r>
      <w:r w:rsidR="004D7F8C">
        <w:t xml:space="preserve"> w spr</w:t>
      </w:r>
      <w:r>
        <w:t>awie zamknięcia rozliczeń</w:t>
      </w:r>
      <w:r w:rsidR="004D7F8C">
        <w:t xml:space="preserve"> w sys</w:t>
      </w:r>
      <w:r>
        <w:t>temach płatności</w:t>
      </w:r>
      <w:r w:rsidR="004D7F8C">
        <w:t xml:space="preserve"> i roz</w:t>
      </w:r>
      <w:r>
        <w:t>rachunku papierów wartościowych (Dz.U. L 166</w:t>
      </w:r>
      <w:r w:rsidR="004D7F8C">
        <w:t xml:space="preserve"> z 1</w:t>
      </w:r>
      <w:r>
        <w:t>1.6.1998, s. 45).</w:t>
      </w:r>
    </w:p>
  </w:footnote>
  <w:footnote w:id="15">
    <w:p w:rsidR="003C3186" w:rsidRPr="00181575" w:rsidRDefault="003C3186" w:rsidP="00767F1B">
      <w:pPr>
        <w:pStyle w:val="FootnoteText"/>
        <w:rPr>
          <w:lang w:val="en-GB"/>
        </w:rPr>
      </w:pPr>
      <w:r>
        <w:rPr>
          <w:rStyle w:val="FootnoteReference"/>
        </w:rPr>
        <w:footnoteRef/>
      </w:r>
      <w:r>
        <w:t xml:space="preserve"> Rozporządzenie delegowane Komisji (UE) 2016/1401</w:t>
      </w:r>
      <w:r w:rsidR="004D7F8C">
        <w:t xml:space="preserve"> z dni</w:t>
      </w:r>
      <w:r>
        <w:t>a 23 maja 20</w:t>
      </w:r>
      <w:r w:rsidRPr="004D7F8C">
        <w:t>16</w:t>
      </w:r>
      <w:r w:rsidR="004D7F8C" w:rsidRPr="004D7F8C">
        <w:t> </w:t>
      </w:r>
      <w:r w:rsidRPr="004D7F8C">
        <w:t>r.</w:t>
      </w:r>
      <w:r>
        <w:t xml:space="preserve"> uzupełniające dyrektywę Parlamentu Europejskiego</w:t>
      </w:r>
      <w:r w:rsidR="004D7F8C">
        <w:t xml:space="preserve"> i Rad</w:t>
      </w:r>
      <w:r>
        <w:t>y 2014/59/UE ustanawiającą ramy na potrzeby prowadzenia działań naprawczych oraz restrukturyzacji</w:t>
      </w:r>
      <w:r w:rsidR="004D7F8C">
        <w:t xml:space="preserve"> i upo</w:t>
      </w:r>
      <w:r>
        <w:t>rządkowanej likwidacji</w:t>
      </w:r>
      <w:r w:rsidR="004D7F8C">
        <w:t xml:space="preserve"> w odn</w:t>
      </w:r>
      <w:r>
        <w:t>iesieniu do instytucji kredytowych</w:t>
      </w:r>
      <w:r w:rsidR="004D7F8C">
        <w:t xml:space="preserve"> i fir</w:t>
      </w:r>
      <w:r>
        <w:t>m inwestycyjnych</w:t>
      </w:r>
      <w:r w:rsidR="004D7F8C">
        <w:t xml:space="preserve"> w odn</w:t>
      </w:r>
      <w:r>
        <w:t>iesieniu do regulacyjnych standardów technicznych określających metodyki</w:t>
      </w:r>
      <w:r w:rsidR="004D7F8C">
        <w:t xml:space="preserve"> i zas</w:t>
      </w:r>
      <w:r>
        <w:t>ady dotyczące wyceny zobowiązań wynikających</w:t>
      </w:r>
      <w:r w:rsidR="004D7F8C">
        <w:t xml:space="preserve"> z ins</w:t>
      </w:r>
      <w:r>
        <w:t>trumentów pochodnych (Dz.U. L 228</w:t>
      </w:r>
      <w:r w:rsidR="004D7F8C">
        <w:t xml:space="preserve"> z 2</w:t>
      </w:r>
      <w:r>
        <w:t>3.8.2016, s. 7).</w:t>
      </w:r>
    </w:p>
  </w:footnote>
  <w:footnote w:id="16">
    <w:p w:rsidR="003C3186" w:rsidRPr="00CF2751" w:rsidRDefault="003C3186" w:rsidP="00767F1B">
      <w:pPr>
        <w:pStyle w:val="FootnoteText"/>
        <w:rPr>
          <w:lang w:val="en-GB"/>
        </w:rPr>
      </w:pPr>
      <w:r>
        <w:rPr>
          <w:rStyle w:val="FootnoteReference"/>
        </w:rPr>
        <w:footnoteRef/>
      </w:r>
      <w:r>
        <w:t xml:space="preserve"> Rozporządzenie delegowane Komisji (UE) 2016/778</w:t>
      </w:r>
      <w:r w:rsidR="004D7F8C">
        <w:t xml:space="preserve"> z dni</w:t>
      </w:r>
      <w:r>
        <w:t>a 2 lutego 20</w:t>
      </w:r>
      <w:r w:rsidRPr="004D7F8C">
        <w:t>16</w:t>
      </w:r>
      <w:r w:rsidR="004D7F8C" w:rsidRPr="004D7F8C">
        <w:t> </w:t>
      </w:r>
      <w:r w:rsidRPr="004D7F8C">
        <w:t>r.</w:t>
      </w:r>
      <w:r>
        <w:t xml:space="preserve"> uzupełniające dyrektywę Parlamentu Europejskiego</w:t>
      </w:r>
      <w:r w:rsidR="004D7F8C">
        <w:t xml:space="preserve"> i Rad</w:t>
      </w:r>
      <w:r>
        <w:t>y 2014/59/UE</w:t>
      </w:r>
      <w:r w:rsidR="004D7F8C">
        <w:t xml:space="preserve"> w odn</w:t>
      </w:r>
      <w:r>
        <w:t>iesieniu do okoliczności</w:t>
      </w:r>
      <w:r w:rsidR="004D7F8C">
        <w:t xml:space="preserve"> i war</w:t>
      </w:r>
      <w:r>
        <w:t>unków,</w:t>
      </w:r>
      <w:r w:rsidR="004D7F8C">
        <w:t xml:space="preserve"> w jak</w:t>
      </w:r>
      <w:r>
        <w:t>ich zapłata nadzwyczajnych składek ex post może zostać częściowo lub całkowicie odroczona, oraz</w:t>
      </w:r>
      <w:r w:rsidR="004D7F8C">
        <w:t xml:space="preserve"> w zak</w:t>
      </w:r>
      <w:r>
        <w:t>resie kryteriów służących określeniu działań, usług</w:t>
      </w:r>
      <w:r w:rsidR="004D7F8C">
        <w:t xml:space="preserve"> i ope</w:t>
      </w:r>
      <w:r>
        <w:t>racji</w:t>
      </w:r>
      <w:r w:rsidR="004D7F8C">
        <w:t xml:space="preserve"> w odn</w:t>
      </w:r>
      <w:r>
        <w:t>iesieniu do funkcji krytycznych oraz określeniu linii biznesowych wraz</w:t>
      </w:r>
      <w:r w:rsidR="004D7F8C">
        <w:t xml:space="preserve"> z pow</w:t>
      </w:r>
      <w:r>
        <w:t>iązanymi usługami</w:t>
      </w:r>
      <w:r w:rsidR="004D7F8C">
        <w:t xml:space="preserve"> w odn</w:t>
      </w:r>
      <w:r>
        <w:t>iesieniu do głównych linii biznesowych (Dz.U. L 131</w:t>
      </w:r>
      <w:r w:rsidR="004D7F8C">
        <w:t xml:space="preserve"> z 2</w:t>
      </w:r>
      <w:r>
        <w:t>0.5.2016, s. 41).</w:t>
      </w:r>
    </w:p>
  </w:footnote>
  <w:footnote w:id="17">
    <w:p w:rsidR="003C3186" w:rsidRPr="00D66550" w:rsidRDefault="003C3186" w:rsidP="00543060">
      <w:pPr>
        <w:pStyle w:val="FootnoteText"/>
        <w:rPr>
          <w:lang w:val="en-GB"/>
        </w:rPr>
      </w:pPr>
      <w:r>
        <w:rPr>
          <w:rStyle w:val="FootnoteReference"/>
        </w:rPr>
        <w:footnoteRef/>
      </w:r>
      <w:r>
        <w:t xml:space="preserve"> Dyrektywa Parlamentu Europejskiego</w:t>
      </w:r>
      <w:r w:rsidR="004D7F8C">
        <w:t xml:space="preserve"> i Rad</w:t>
      </w:r>
      <w:r>
        <w:t>y (UE) 2015/2366</w:t>
      </w:r>
      <w:r w:rsidR="004D7F8C">
        <w:t xml:space="preserve"> z dni</w:t>
      </w:r>
      <w:r>
        <w:t>a 25 listopada 20</w:t>
      </w:r>
      <w:r w:rsidRPr="004D7F8C">
        <w:t>15</w:t>
      </w:r>
      <w:r w:rsidR="004D7F8C" w:rsidRPr="004D7F8C">
        <w:t> </w:t>
      </w:r>
      <w:r w:rsidRPr="004D7F8C">
        <w:t>r.</w:t>
      </w:r>
      <w:r w:rsidR="004D7F8C">
        <w:t xml:space="preserve"> w spr</w:t>
      </w:r>
      <w:r>
        <w:t>awie usług płatniczych</w:t>
      </w:r>
      <w:r w:rsidR="004D7F8C">
        <w:t xml:space="preserve"> w ram</w:t>
      </w:r>
      <w:r>
        <w:t>ach rynku wewnętrznego, zmieniająca dyrektywy 2002/65/WE, 2009/110/WE, 2013/36/UE</w:t>
      </w:r>
      <w:r w:rsidR="004D7F8C">
        <w:t xml:space="preserve"> i roz</w:t>
      </w:r>
      <w:r>
        <w:t xml:space="preserve">porządzenie (UE) </w:t>
      </w:r>
      <w:r w:rsidRPr="004D7F8C">
        <w:t>nr</w:t>
      </w:r>
      <w:r w:rsidR="004D7F8C" w:rsidRPr="004D7F8C">
        <w:t> </w:t>
      </w:r>
      <w:r w:rsidRPr="004D7F8C">
        <w:t>1</w:t>
      </w:r>
      <w:r>
        <w:t>093/2010 oraz uchylająca dyrektywę 2007/64/WE (Dz.U. L 337</w:t>
      </w:r>
      <w:r w:rsidR="004D7F8C">
        <w:t xml:space="preserve"> z 2</w:t>
      </w:r>
      <w:r>
        <w:t>3.12.2015, s. 35).</w:t>
      </w:r>
    </w:p>
  </w:footnote>
  <w:footnote w:id="18">
    <w:p w:rsidR="003C3186" w:rsidRPr="00CF2751" w:rsidRDefault="003C3186" w:rsidP="00543060">
      <w:pPr>
        <w:pStyle w:val="FootnoteText"/>
        <w:rPr>
          <w:lang w:val="en-GB"/>
        </w:rPr>
      </w:pPr>
      <w:r>
        <w:rPr>
          <w:rStyle w:val="FootnoteReference"/>
        </w:rPr>
        <w:footnoteRef/>
      </w:r>
      <w:r>
        <w:t xml:space="preserve"> Rozporządzenie Parlamentu Europejskiego</w:t>
      </w:r>
      <w:r w:rsidR="004D7F8C">
        <w:t xml:space="preserve"> i Rad</w:t>
      </w:r>
      <w:r>
        <w:t xml:space="preserve">y (UE) </w:t>
      </w:r>
      <w:r w:rsidRPr="004D7F8C">
        <w:t>nr</w:t>
      </w:r>
      <w:r w:rsidR="004D7F8C" w:rsidRPr="004D7F8C">
        <w:t> </w:t>
      </w:r>
      <w:r w:rsidRPr="004D7F8C">
        <w:t>6</w:t>
      </w:r>
      <w:r>
        <w:t>48/2012</w:t>
      </w:r>
      <w:r w:rsidR="004D7F8C">
        <w:t xml:space="preserve"> z dni</w:t>
      </w:r>
      <w:r>
        <w:t>a 4 lipca 20</w:t>
      </w:r>
      <w:r w:rsidRPr="004D7F8C">
        <w:t>12</w:t>
      </w:r>
      <w:r w:rsidR="004D7F8C" w:rsidRPr="004D7F8C">
        <w:t> </w:t>
      </w:r>
      <w:r w:rsidRPr="004D7F8C">
        <w:t>r.</w:t>
      </w:r>
      <w:r w:rsidR="004D7F8C">
        <w:t xml:space="preserve"> w spr</w:t>
      </w:r>
      <w:r>
        <w:t>awie instrumentów pochodnych będących przedmiotem obrotu poza rynkiem regulowanym, kontrahentów centralnych</w:t>
      </w:r>
      <w:r w:rsidR="004D7F8C">
        <w:t xml:space="preserve"> i rep</w:t>
      </w:r>
      <w:r>
        <w:t>ozytoriów transakcji (Dz.U. L 201</w:t>
      </w:r>
      <w:r w:rsidR="004D7F8C">
        <w:t xml:space="preserve"> z 2</w:t>
      </w:r>
      <w:r>
        <w:t>7.7.2012, s. 1).</w:t>
      </w:r>
    </w:p>
  </w:footnote>
  <w:footnote w:id="19">
    <w:p w:rsidR="003C3186" w:rsidRPr="00CF2751" w:rsidRDefault="003C3186" w:rsidP="00543060">
      <w:pPr>
        <w:pStyle w:val="FootnoteText"/>
        <w:rPr>
          <w:lang w:val="en-GB"/>
        </w:rPr>
      </w:pPr>
      <w:r>
        <w:rPr>
          <w:rStyle w:val="FootnoteReference"/>
        </w:rPr>
        <w:footnoteRef/>
      </w:r>
      <w:r>
        <w:t xml:space="preserve"> Dyrektywa Parlamentu Europejskiego</w:t>
      </w:r>
      <w:r w:rsidR="004D7F8C">
        <w:t xml:space="preserve"> i Rad</w:t>
      </w:r>
      <w:r>
        <w:t>y 2014/65/UE</w:t>
      </w:r>
      <w:r w:rsidR="004D7F8C">
        <w:t xml:space="preserve"> z dni</w:t>
      </w:r>
      <w:r>
        <w:t>a 15 maja 20</w:t>
      </w:r>
      <w:r w:rsidRPr="004D7F8C">
        <w:t>14</w:t>
      </w:r>
      <w:r w:rsidR="004D7F8C" w:rsidRPr="004D7F8C">
        <w:t> </w:t>
      </w:r>
      <w:r w:rsidRPr="004D7F8C">
        <w:t>r.</w:t>
      </w:r>
      <w:r w:rsidR="004D7F8C">
        <w:t xml:space="preserve"> w spr</w:t>
      </w:r>
      <w:r>
        <w:t>awie rynków instrumentów finansowych oraz zmieniająca dyrektywę 2002/92/WE</w:t>
      </w:r>
      <w:r w:rsidR="004D7F8C">
        <w:t xml:space="preserve"> i dyr</w:t>
      </w:r>
      <w:r>
        <w:t>ektywę 2011/61/UE (Dz.U. L 173</w:t>
      </w:r>
      <w:r w:rsidR="004D7F8C">
        <w:t xml:space="preserve"> z 1</w:t>
      </w:r>
      <w:r>
        <w:t>2.6.2014, s.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PL</w:t>
    </w:r>
  </w:p>
  <w:p w:rsidR="003C3186" w:rsidRPr="000E60D6" w:rsidRDefault="003C3186" w:rsidP="000E60D6">
    <w:pPr>
      <w:pStyle w:val="Header"/>
      <w:jc w:val="center"/>
      <w:rPr>
        <w:rFonts w:ascii="Times New Roman" w:hAnsi="Times New Roman" w:cs="Times New Roman"/>
      </w:rPr>
    </w:pPr>
    <w:r>
      <w:rPr>
        <w:rFonts w:ascii="Times New Roman" w:hAnsi="Times New Roman"/>
      </w:rPr>
      <w:t>ZAŁĄCZNIK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F49CAB6C"/>
    <w:lvl w:ilvl="0" w:tplc="08090011">
      <w:start w:val="1"/>
      <w:numFmt w:val="decimal"/>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42A2D630"/>
    <w:lvl w:ilvl="0" w:tplc="040C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4D64"/>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D7F8C"/>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09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pl-PL" w:bidi="pl-P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pl-PL"/>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pl-PL"/>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pl-PL"/>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pl-PL"/>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pl-PL"/>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pl-PL"/>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pl-PL"/>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pl-PL"/>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pl-PL"/>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pl-PL"/>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pl-PL"/>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pl-PL"/>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pl-PL"/>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pl-PL"/>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pl-PL"/>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pl-PL"/>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pl-PL"/>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pl-PL" w:eastAsia="pl-PL"/>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pl-PL"/>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F5388-39C6-4B3C-98E9-5E739A7BE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44</Pages>
  <Words>14949</Words>
  <Characters>98216</Characters>
  <Application>Microsoft Office Word</Application>
  <DocSecurity>0</DocSecurity>
  <Lines>2089</Lines>
  <Paragraphs>1508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111657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WOLSAN Tomasz (DGT)</cp:lastModifiedBy>
  <cp:revision>5</cp:revision>
  <cp:lastPrinted>2017-10-06T17:28:00Z</cp:lastPrinted>
  <dcterms:created xsi:type="dcterms:W3CDTF">2018-09-18T08:30:00Z</dcterms:created>
  <dcterms:modified xsi:type="dcterms:W3CDTF">2018-09-20T13:47:00Z</dcterms:modified>
</cp:coreProperties>
</file>