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E0D" w:rsidRPr="00735653" w:rsidRDefault="00B9189E" w:rsidP="00735653">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484E6E35-CBCA-45C4-890C-DAB783512887" style="width:450.8pt;height:450.15pt">
            <v:imagedata r:id="rId9" o:title=""/>
          </v:shape>
        </w:pict>
      </w:r>
    </w:p>
    <w:p w:rsidR="007E1AE4" w:rsidRPr="00735653" w:rsidRDefault="007E1AE4">
      <w:pPr>
        <w:sectPr w:rsidR="007E1AE4" w:rsidRPr="00735653" w:rsidSect="0069433C">
          <w:headerReference w:type="even" r:id="rId10"/>
          <w:headerReference w:type="default" r:id="rId11"/>
          <w:footerReference w:type="even" r:id="rId12"/>
          <w:footerReference w:type="default" r:id="rId13"/>
          <w:headerReference w:type="first" r:id="rId14"/>
          <w:footerReference w:type="first" r:id="rId15"/>
          <w:pgSz w:w="11907" w:h="16839"/>
          <w:pgMar w:top="1134" w:right="1417" w:bottom="1134" w:left="1417" w:header="709" w:footer="709" w:gutter="0"/>
          <w:pgNumType w:start="0"/>
          <w:cols w:space="720"/>
          <w:docGrid w:linePitch="360"/>
        </w:sectPr>
      </w:pPr>
    </w:p>
    <w:p w:rsidR="007E1AE4" w:rsidRPr="00735653" w:rsidRDefault="00735653" w:rsidP="00735653">
      <w:pPr>
        <w:pStyle w:val="Typedudocument"/>
      </w:pPr>
      <w:r w:rsidRPr="00735653">
        <w:t>РЕГЛАМЕНТ ЗА ИЗПЪЛНЕНИЕ (ЕС) .../… НА КОМИСИЯТА</w:t>
      </w:r>
    </w:p>
    <w:p w:rsidR="007E1AE4" w:rsidRPr="00735653" w:rsidRDefault="00735653" w:rsidP="00735653">
      <w:pPr>
        <w:pStyle w:val="Datedadoption"/>
      </w:pPr>
      <w:r w:rsidRPr="00735653">
        <w:t xml:space="preserve">от </w:t>
      </w:r>
      <w:r w:rsidRPr="00735653">
        <w:rPr>
          <w:rStyle w:val="Marker2"/>
        </w:rPr>
        <w:t>XXX</w:t>
      </w:r>
      <w:r w:rsidRPr="00735653">
        <w:t xml:space="preserve"> година</w:t>
      </w:r>
    </w:p>
    <w:p w:rsidR="007E1AE4" w:rsidRPr="00735653" w:rsidRDefault="00735653" w:rsidP="00735653">
      <w:pPr>
        <w:pStyle w:val="Titreobjet"/>
      </w:pPr>
      <w:r w:rsidRPr="00735653">
        <w:t>за определяне на технически стандарти за изпълнение по отношение на процедурите, стандартните формуляри и образците за предоставянето на информация за целите на плановете за преструктуриране на кредитни институции и инвестиционни посредници в съответствие с Директива 2014/59/ЕС на Европейския парламент и на Съвета и за отмяна на Регламент за изпълнение (ЕС) № 2016/1066 на Комисията</w:t>
      </w:r>
      <w:r w:rsidRPr="00735653">
        <w:br/>
      </w:r>
    </w:p>
    <w:p w:rsidR="007E1AE4" w:rsidRPr="00735653" w:rsidRDefault="00735653" w:rsidP="00735653">
      <w:pPr>
        <w:pStyle w:val="IntrtEEE"/>
      </w:pPr>
      <w:r w:rsidRPr="00735653">
        <w:t>(текст от значение за ЕИП)</w:t>
      </w:r>
    </w:p>
    <w:p w:rsidR="007E1AE4" w:rsidRPr="00735653" w:rsidRDefault="007E1AE4" w:rsidP="007E1AE4">
      <w:pPr>
        <w:pStyle w:val="Institutionquiagit"/>
        <w:rPr>
          <w:color w:val="000000" w:themeColor="text1"/>
        </w:rPr>
      </w:pPr>
      <w:r w:rsidRPr="00735653">
        <w:rPr>
          <w:color w:val="000000" w:themeColor="text1"/>
        </w:rPr>
        <w:t>ЕВРОПЕЙСКАТА КОМИСИЯ,</w:t>
      </w:r>
    </w:p>
    <w:p w:rsidR="007E1AE4" w:rsidRPr="00735653" w:rsidRDefault="007E1AE4" w:rsidP="007E1AE4">
      <w:pPr>
        <w:rPr>
          <w:color w:val="000000" w:themeColor="text1"/>
        </w:rPr>
      </w:pPr>
      <w:r w:rsidRPr="00735653">
        <w:rPr>
          <w:color w:val="000000" w:themeColor="text1"/>
        </w:rPr>
        <w:t>като взе предвид Договора за функционирането на Европейския съюз,</w:t>
      </w:r>
    </w:p>
    <w:p w:rsidR="007E1AE4" w:rsidRPr="00735653" w:rsidRDefault="007E1AE4" w:rsidP="007E1AE4">
      <w:pPr>
        <w:rPr>
          <w:color w:val="000000" w:themeColor="text1"/>
        </w:rPr>
      </w:pPr>
      <w:r w:rsidRPr="00735653">
        <w:rPr>
          <w:color w:val="000000" w:themeColor="text1"/>
        </w:rPr>
        <w:t>като взе предвид</w:t>
      </w:r>
      <w:r w:rsidRPr="00735653">
        <w:t xml:space="preserve"> Директива 2014/59/ЕС на Европейския парламент и на Съвета за създаване на рамка за възстановяване и преструктуриране на кредитни институции и инвестиционни посредници и за изменение на Директива 82/891/ЕИО на Съвета и директиви 2001/24/ЕО, 2002/47/ЕО, 2004/25/ЕО, 2005/56/ЕО, 2007/36/ЕО, 2011/35/ЕС, 2012/30/ЕС и 2013/36/ЕС и на регламенти (ЕС) № 1093/2010 и (ЕС) № 648/2012 на Европейския парламент и на Съвета</w:t>
      </w:r>
      <w:r w:rsidRPr="00735653">
        <w:rPr>
          <w:rStyle w:val="FootnoteReference"/>
        </w:rPr>
        <w:footnoteReference w:id="2"/>
      </w:r>
      <w:r w:rsidRPr="00735653">
        <w:t xml:space="preserve">, </w:t>
      </w:r>
      <w:r w:rsidRPr="00735653">
        <w:rPr>
          <w:color w:val="000000" w:themeColor="text1"/>
        </w:rPr>
        <w:t>и по-специално член</w:t>
      </w:r>
      <w:r w:rsidRPr="00735653">
        <w:t xml:space="preserve"> 11, параграф 3 </w:t>
      </w:r>
      <w:r w:rsidRPr="00735653">
        <w:rPr>
          <w:color w:val="000000" w:themeColor="text1"/>
        </w:rPr>
        <w:t>от нея,</w:t>
      </w:r>
    </w:p>
    <w:p w:rsidR="007E1AE4" w:rsidRPr="00735653" w:rsidRDefault="007E1AE4" w:rsidP="007E1AE4">
      <w:pPr>
        <w:rPr>
          <w:color w:val="000000" w:themeColor="text1"/>
        </w:rPr>
      </w:pPr>
      <w:r w:rsidRPr="00735653">
        <w:rPr>
          <w:color w:val="000000" w:themeColor="text1"/>
        </w:rPr>
        <w:t>като има предвид, че:</w:t>
      </w:r>
    </w:p>
    <w:p w:rsidR="007E1AE4" w:rsidRPr="00735653" w:rsidRDefault="007E1AE4" w:rsidP="00EA4421">
      <w:pPr>
        <w:pStyle w:val="Considrant"/>
        <w:numPr>
          <w:ilvl w:val="0"/>
          <w:numId w:val="6"/>
        </w:numPr>
      </w:pPr>
      <w:r w:rsidRPr="00735653">
        <w:t>С Регламент за изпълнение (ЕС) 2016/1066 на Комисията</w:t>
      </w:r>
      <w:r w:rsidRPr="00735653">
        <w:rPr>
          <w:rStyle w:val="FootnoteReference"/>
        </w:rPr>
        <w:footnoteReference w:id="3"/>
      </w:r>
      <w:r w:rsidRPr="00735653">
        <w:t xml:space="preserve"> се определя процедурата и се въвежда минимален набор от образци, посредством които кредитните институции или инвестиционните посредници (наричани по-нататък „институциите“)  предоставят информация на органите за преструктуриране с цел изготвяне и изпълнение на планове за преструктуриране за институциите. След приемането на Регламент за изпълнение (ЕС) 2016/1066 до сега органите за преструктуриране натрупаха опит в областта на изготвянето на планове за преструктуриране. В светлината на този опит е необходимо да се актуализира минималният набор от образци за събирането на информация за целите на изготвянето на планове за преструктуриране.</w:t>
      </w:r>
    </w:p>
    <w:p w:rsidR="007E1AE4" w:rsidRPr="00735653" w:rsidRDefault="007E1AE4" w:rsidP="006E1E68">
      <w:pPr>
        <w:pStyle w:val="Considrant"/>
      </w:pPr>
      <w:r w:rsidRPr="00735653">
        <w:t xml:space="preserve">Освен това целта на Регламент за изпълнение (ЕС) 2016/1066 е да се определят процедурата и минималният набор от образци за предоставянето на информация от институциите пред органите за преструктуриране по начин, който позволява на органите за преструктуриране последователно да събират информацията в целия Съюз и улеснява обмена на информация между съответните органи. Опитът обаче показа, че само отчасти е постигнат хармонизиран подход към събирането на информацията. Затова е необходимо да се създадат условия органите за преструктуриране да събират редовно минимум необходимата им основна информация за институция или група в рамките на Съюза. Това не възпрепятства органа за преструктуриране да събира всякаква допълнителна информация, каквато счита за необходима, за изготвянето и изпълнението на плановете за преструктуриране или за определянето съгласно член 4 от Директива 2014/59/ЕС на облекчени задължения във връзка с информацията. </w:t>
      </w:r>
    </w:p>
    <w:p w:rsidR="007E1AE4" w:rsidRPr="00735653" w:rsidRDefault="007E1AE4" w:rsidP="007E1AE4">
      <w:pPr>
        <w:pStyle w:val="Considrant"/>
      </w:pPr>
      <w:r w:rsidRPr="00735653">
        <w:t>Позициите за данни, определени в образците за докладване, въведени с Регламент за изпълнение (ЕС) 2016/1066, следва да бъдат преработени в единен информационен модел с цел да се гарантира, че плановете за преструктуриране се основават на минимален набор от данни винаги с високо качество и точност. Единният информационен модел следва да се състои от структурно представени позиции за данни, да разграничава всички приложими стопански модели за целите на съгласуваното отчитане за изготвянето на планове за преструктуриране и да съдържа всички съответни спецификации, необходими за по-нататъшното разработване на стандартизирани информационно-технологични решения за отчитане на информация.</w:t>
      </w:r>
    </w:p>
    <w:p w:rsidR="007E1AE4" w:rsidRPr="00735653" w:rsidRDefault="007E1AE4" w:rsidP="007E1AE4">
      <w:pPr>
        <w:pStyle w:val="Considrant"/>
      </w:pPr>
      <w:r w:rsidRPr="00735653">
        <w:t>С цел да се гарантират качеството, съгласуваността и точността на данните, които институциите отчитат, позициите за данни следва да подлежат на общи правила за утвърждаване.</w:t>
      </w:r>
    </w:p>
    <w:p w:rsidR="007E1AE4" w:rsidRPr="00735653" w:rsidRDefault="007E1AE4" w:rsidP="007E1AE4">
      <w:pPr>
        <w:pStyle w:val="Considrant"/>
      </w:pPr>
      <w:r w:rsidRPr="00735653">
        <w:t xml:space="preserve">Поради своето естество правилата за утвърждаване и определенията за данните редовно се актуализират, за да се гарантира, че те постоянно съответстват на приложимите регулаторни изисквания и аналитични и информационно-технологични стандарти. Времето обаче, което понастоящем е необходимо, за да се приеме и публикува подробен единен информационен модел и правила за утвърждаване, на практика не позволява промените да се извършват по достатъчно бърз и своевременен начин, осигуряващ непрекъснато предоставяне на уеднаквена информация за плановете за преструктуриране в Съюза. Следователно е необходимо да се въведат строги критерии за качество по отношение на подробния единен информационен модел и подробните общи правила за утвърждаване, които Европейският банков орган (ЕБО) ще публикува на своя уебсайт. </w:t>
      </w:r>
    </w:p>
    <w:p w:rsidR="007E1AE4" w:rsidRPr="00735653" w:rsidRDefault="007E1AE4" w:rsidP="007E1AE4">
      <w:pPr>
        <w:pStyle w:val="Considrant"/>
      </w:pPr>
      <w:r w:rsidRPr="00735653">
        <w:t>В съответствие с член 11, параграф 2 от Директива 2014/59/ЕС компетентните органи и органите за преструктуриране следва да си сътрудничат, за да сведат до минимум дублирането на изисквания за информация. За целта с Регламент за изпълнение (ЕС) 2016/1066 се въвежда процедура за сътрудничество между компетентните органи и органите за преструктуриране, която следва да се прилага, така че компетентните органи и органите за преструктуриране съвместно да проверяват дали компетентният орган вече не разполага с част или с цялата искана информация. Когато компетентният орган разполага с исканата информация, е уместно той директно да я предава на органа за преструктуриране.</w:t>
      </w:r>
    </w:p>
    <w:p w:rsidR="007E1AE4" w:rsidRPr="00735653" w:rsidRDefault="007E1AE4" w:rsidP="007E1AE4">
      <w:pPr>
        <w:pStyle w:val="Considrant"/>
      </w:pPr>
      <w:r w:rsidRPr="00735653">
        <w:t>Имайки предвид измененията, които трябва да се направят в Регламент за изпълнение (ЕС) 2016/1066, за предпочитане е, с цел осигуряване на правна сигурност и яснота, да се приеме нов регламент за изпълнение и следователно Регламент за изпълнение (ЕС) 2016/1066 да се отмени.</w:t>
      </w:r>
    </w:p>
    <w:p w:rsidR="007E1AE4" w:rsidRPr="00735653" w:rsidRDefault="007E1AE4" w:rsidP="007E1AE4">
      <w:pPr>
        <w:pStyle w:val="Considrant"/>
      </w:pPr>
      <w:r w:rsidRPr="00735653">
        <w:t>Настоящият регламент е изготвен въз основа на техническите стандарти за изпълнение, представени на Комисията от ЕБО.</w:t>
      </w:r>
    </w:p>
    <w:p w:rsidR="007E1AE4" w:rsidRPr="00735653" w:rsidRDefault="007E1AE4" w:rsidP="007E1AE4">
      <w:pPr>
        <w:pStyle w:val="Considrant"/>
      </w:pPr>
      <w:r w:rsidRPr="00735653">
        <w:t>ЕБО проведе открити обществени консултации относно техническите стандарти за изпълнение, въз основа на които е изготвен настоящият регламент, анализира свързаните с тях потенциални разходи и ползи и поиска становище от Групата на участниците в банковия сектор, създадена съгласно член 37 от Регламент (ЕС) № 1093/2010 на Европейския парламент и на Съвета</w:t>
      </w:r>
      <w:r w:rsidRPr="00735653">
        <w:rPr>
          <w:rStyle w:val="FootnoteReference"/>
        </w:rPr>
        <w:footnoteReference w:id="4"/>
      </w:r>
      <w:r w:rsidRPr="00735653">
        <w:t>,</w:t>
      </w:r>
    </w:p>
    <w:p w:rsidR="007E1AE4" w:rsidRPr="00735653" w:rsidRDefault="007E1AE4" w:rsidP="007E1AE4">
      <w:pPr>
        <w:pStyle w:val="Formuledadoption"/>
        <w:rPr>
          <w:color w:val="000000" w:themeColor="text1"/>
        </w:rPr>
      </w:pPr>
      <w:r w:rsidRPr="00735653">
        <w:rPr>
          <w:color w:val="000000" w:themeColor="text1"/>
        </w:rPr>
        <w:t>ПРИЕ НАСТОЯЩИЯ РЕГЛАМЕНТ:</w:t>
      </w:r>
    </w:p>
    <w:p w:rsidR="007E1AE4" w:rsidRPr="00735653" w:rsidRDefault="007E1AE4" w:rsidP="007E1AE4">
      <w:pPr>
        <w:pStyle w:val="Titrearticle"/>
        <w:rPr>
          <w:color w:val="000000" w:themeColor="text1"/>
        </w:rPr>
      </w:pPr>
      <w:r w:rsidRPr="00735653">
        <w:rPr>
          <w:color w:val="000000" w:themeColor="text1"/>
        </w:rPr>
        <w:t xml:space="preserve">Член 1 </w:t>
      </w:r>
      <w:r w:rsidRPr="00735653">
        <w:rPr>
          <w:color w:val="000000" w:themeColor="text1"/>
        </w:rPr>
        <w:br/>
        <w:t>Предмет</w:t>
      </w:r>
    </w:p>
    <w:p w:rsidR="007E1AE4" w:rsidRPr="00735653" w:rsidRDefault="007E1AE4" w:rsidP="007E1AE4">
      <w:r w:rsidRPr="00735653">
        <w:t>С настоящия регламент се определят технически стандарти за изпълнение, с които се конкретизират процедурите и минимален набор от стандартни образци, посредством които на органите за преструктуриране се представя информацията, необходима за изготвяне и изпълнение на индивидуалните планове за преструктуриране, в съответствие с член 11 от Директива 2014/59/ЕС и плановете за преструктуриране на групи в съответствие с член 13 от посочената директива.</w:t>
      </w:r>
    </w:p>
    <w:p w:rsidR="007E1AE4" w:rsidRPr="00735653" w:rsidRDefault="007E1AE4" w:rsidP="007E1AE4">
      <w:pPr>
        <w:pStyle w:val="Titrearticle"/>
        <w:rPr>
          <w:color w:val="000000" w:themeColor="text1"/>
        </w:rPr>
      </w:pPr>
      <w:r w:rsidRPr="00735653">
        <w:rPr>
          <w:color w:val="000000" w:themeColor="text1"/>
        </w:rPr>
        <w:t xml:space="preserve">Член 2 </w:t>
      </w:r>
      <w:r w:rsidRPr="00735653">
        <w:rPr>
          <w:color w:val="000000" w:themeColor="text1"/>
        </w:rPr>
        <w:br/>
        <w:t>Определения</w:t>
      </w:r>
    </w:p>
    <w:p w:rsidR="007E1AE4" w:rsidRPr="00735653" w:rsidRDefault="007E1AE4" w:rsidP="007E1AE4">
      <w:r w:rsidRPr="00735653">
        <w:t>За целите на настоящия регламент се прилагат следните определения:</w:t>
      </w:r>
    </w:p>
    <w:p w:rsidR="00F14DE3" w:rsidRPr="00735653" w:rsidRDefault="0069433C" w:rsidP="0069433C">
      <w:pPr>
        <w:pStyle w:val="Point0"/>
      </w:pPr>
      <w:r>
        <w:t>1)</w:t>
      </w:r>
      <w:r>
        <w:tab/>
      </w:r>
      <w:r w:rsidR="00AD470D" w:rsidRPr="00735653">
        <w:t>„субект за преструктуриране“ означава някое от следните:</w:t>
      </w:r>
    </w:p>
    <w:p w:rsidR="00AD470D" w:rsidRPr="00735653" w:rsidRDefault="0069433C" w:rsidP="0069433C">
      <w:pPr>
        <w:pStyle w:val="Point2"/>
      </w:pPr>
      <w:r>
        <w:t>а)</w:t>
      </w:r>
      <w:r>
        <w:tab/>
      </w:r>
      <w:r w:rsidR="00AD470D" w:rsidRPr="00735653">
        <w:t>установен в Съюза субект, определен от органа за преструктуриране в съответствие с член 12 от Директива 2014/59/ЕС като субект, по отношение на който в плана за преструктуриране се предвиждат действия по преструктуриране; или</w:t>
      </w:r>
    </w:p>
    <w:p w:rsidR="00AD470D" w:rsidRPr="00735653" w:rsidRDefault="0069433C" w:rsidP="0069433C">
      <w:pPr>
        <w:pStyle w:val="Point2"/>
      </w:pPr>
      <w:r>
        <w:t>б)</w:t>
      </w:r>
      <w:r>
        <w:tab/>
      </w:r>
      <w:r w:rsidR="00AD470D" w:rsidRPr="00735653">
        <w:t>институция, която не е част от група, подлежаща на консолидиран надзор съгласно членове 111 и 112 от Директива 2013/36/ЕС, по отношение на която в плана за преструктуриране, изготвен съгласно член 10 от Директива 2014/59/ЕС, се предвиждат действия по преструктуриране;</w:t>
      </w:r>
    </w:p>
    <w:p w:rsidR="00AD470D" w:rsidRPr="00735653" w:rsidRDefault="0069433C" w:rsidP="0069433C">
      <w:pPr>
        <w:pStyle w:val="Point0"/>
        <w:rPr>
          <w:szCs w:val="24"/>
        </w:rPr>
      </w:pPr>
      <w:r>
        <w:t>2)</w:t>
      </w:r>
      <w:r>
        <w:tab/>
      </w:r>
      <w:r w:rsidR="00AD470D" w:rsidRPr="00735653">
        <w:t>„група за преструктуриране“ означава някое от следните:</w:t>
      </w:r>
    </w:p>
    <w:p w:rsidR="00AD470D" w:rsidRPr="00735653" w:rsidRDefault="0069433C" w:rsidP="0069433C">
      <w:pPr>
        <w:pStyle w:val="Point1"/>
      </w:pPr>
      <w:r>
        <w:t>а)</w:t>
      </w:r>
      <w:r>
        <w:tab/>
      </w:r>
      <w:r w:rsidR="00AD470D" w:rsidRPr="00735653">
        <w:t>субект за преструктуриране и неговите дъщерни предприятия, които не са:</w:t>
      </w:r>
    </w:p>
    <w:p w:rsidR="00AD470D" w:rsidRPr="00735653" w:rsidRDefault="00AD470D" w:rsidP="00AE1240">
      <w:pPr>
        <w:pStyle w:val="Point3"/>
      </w:pPr>
      <w:r w:rsidRPr="00735653">
        <w:t>i) самите те субекти за преструктуриране; или</w:t>
      </w:r>
    </w:p>
    <w:p w:rsidR="00AD470D" w:rsidRPr="00735653" w:rsidRDefault="00AD470D" w:rsidP="0051415A">
      <w:pPr>
        <w:pStyle w:val="Point3"/>
      </w:pPr>
      <w:r w:rsidRPr="00735653">
        <w:t>ii) дъщерни предприятия на други субекти за преструктуриране; или</w:t>
      </w:r>
    </w:p>
    <w:p w:rsidR="006D0EA9" w:rsidRPr="00735653" w:rsidRDefault="00AD470D" w:rsidP="0051415A">
      <w:pPr>
        <w:pStyle w:val="Point3"/>
      </w:pPr>
      <w:r w:rsidRPr="00735653">
        <w:t>iii) установени в трета държава субекти, които не са включени в групата за преструктуриране в съответствие с плана за преструктуриране, и техните дъщерни предприятия;</w:t>
      </w:r>
    </w:p>
    <w:p w:rsidR="00AD470D" w:rsidRPr="00735653" w:rsidRDefault="0069433C" w:rsidP="0069433C">
      <w:pPr>
        <w:pStyle w:val="Point1"/>
      </w:pPr>
      <w:r>
        <w:t>б)</w:t>
      </w:r>
      <w:r>
        <w:tab/>
      </w:r>
      <w:r w:rsidR="00AD470D" w:rsidRPr="00735653">
        <w:t>кредитни институции, които са постоянно свързани с централен орган, самият централен орган и всяка институция под контрола на централния орган, когато някой от тези субек</w:t>
      </w:r>
      <w:r w:rsidR="004C6737">
        <w:t>ти е субект за преструктуриране;</w:t>
      </w:r>
    </w:p>
    <w:p w:rsidR="007E1AE4" w:rsidRPr="00735653" w:rsidRDefault="0069433C" w:rsidP="0069433C">
      <w:pPr>
        <w:pStyle w:val="Point0"/>
      </w:pPr>
      <w:r>
        <w:t>3)</w:t>
      </w:r>
      <w:r>
        <w:tab/>
      </w:r>
      <w:r w:rsidR="007E1AE4" w:rsidRPr="00735653">
        <w:t>„институция, част от група“ означава субект от група, който е кредитна институ</w:t>
      </w:r>
      <w:r w:rsidR="004C6737">
        <w:t>ция или инвестиционен посредник;</w:t>
      </w:r>
    </w:p>
    <w:p w:rsidR="00F80209" w:rsidRPr="00735653" w:rsidRDefault="0069433C" w:rsidP="0069433C">
      <w:pPr>
        <w:pStyle w:val="Point0"/>
      </w:pPr>
      <w:r>
        <w:t>4)</w:t>
      </w:r>
      <w:r>
        <w:tab/>
      </w:r>
      <w:r w:rsidR="00F80209" w:rsidRPr="00735653">
        <w:t>„съответен правен субект" означава субект от група, който:</w:t>
      </w:r>
    </w:p>
    <w:p w:rsidR="00F80209" w:rsidRPr="00735653" w:rsidRDefault="0069433C" w:rsidP="0069433C">
      <w:pPr>
        <w:pStyle w:val="Point2"/>
      </w:pPr>
      <w:r>
        <w:t>а)</w:t>
      </w:r>
      <w:r>
        <w:tab/>
      </w:r>
      <w:r w:rsidR="00F80209" w:rsidRPr="00735653">
        <w:t>изпълнява критични функции, или</w:t>
      </w:r>
    </w:p>
    <w:p w:rsidR="00F80209" w:rsidRPr="00735653" w:rsidRDefault="0069433C" w:rsidP="0069433C">
      <w:pPr>
        <w:pStyle w:val="Point2"/>
      </w:pPr>
      <w:r>
        <w:t>б)</w:t>
      </w:r>
      <w:r>
        <w:tab/>
      </w:r>
      <w:r w:rsidR="00F80209" w:rsidRPr="00735653">
        <w:t>представлява или осигурява над 5 % от което и да е от следните:</w:t>
      </w:r>
    </w:p>
    <w:p w:rsidR="00F80209" w:rsidRPr="00735653" w:rsidRDefault="00F80209" w:rsidP="00AE1240">
      <w:pPr>
        <w:pStyle w:val="Point3"/>
        <w:ind w:left="2268" w:hanging="284"/>
        <w:rPr>
          <w:rStyle w:val="Strong"/>
          <w:b w:val="0"/>
          <w:color w:val="444444"/>
          <w:szCs w:val="24"/>
        </w:rPr>
      </w:pPr>
      <w:r w:rsidRPr="00735653">
        <w:t xml:space="preserve">i) общата рискова експозиция за групата, посочена в член 92, параграф 3 от Регламент (ЕС) № 575/2013 </w:t>
      </w:r>
      <w:r w:rsidRPr="00735653">
        <w:rPr>
          <w:rStyle w:val="Strong"/>
          <w:b w:val="0"/>
          <w:color w:val="444444"/>
        </w:rPr>
        <w:t>на Европейския парламент и на Съвета</w:t>
      </w:r>
      <w:r w:rsidRPr="00735653">
        <w:rPr>
          <w:rStyle w:val="FootnoteReference"/>
          <w:color w:val="444444"/>
        </w:rPr>
        <w:footnoteReference w:id="5"/>
      </w:r>
      <w:r w:rsidRPr="00735653">
        <w:rPr>
          <w:rStyle w:val="Strong"/>
          <w:b w:val="0"/>
          <w:color w:val="444444"/>
        </w:rPr>
        <w:t>;</w:t>
      </w:r>
    </w:p>
    <w:p w:rsidR="00F80209" w:rsidRPr="00735653" w:rsidRDefault="00F80209" w:rsidP="00AE1240">
      <w:pPr>
        <w:pStyle w:val="Point3"/>
        <w:ind w:left="2410" w:hanging="426"/>
      </w:pPr>
      <w:r w:rsidRPr="00735653">
        <w:rPr>
          <w:rStyle w:val="Strong"/>
          <w:b w:val="0"/>
          <w:color w:val="444444"/>
        </w:rPr>
        <w:t xml:space="preserve">ii) </w:t>
      </w:r>
      <w:r w:rsidRPr="00735653">
        <w:t>мярката за общата експозиция от коефициента на ливъридж на групата, посочена в член 429, параграф 4 от Регламент (ЕС) № 575/2013;</w:t>
      </w:r>
    </w:p>
    <w:p w:rsidR="001150B6" w:rsidRPr="00735653" w:rsidRDefault="00F80209" w:rsidP="00AE1240">
      <w:pPr>
        <w:pStyle w:val="Point3"/>
      </w:pPr>
      <w:r w:rsidRPr="00735653">
        <w:t>iii) оперативните разходи на групата на консолидирана основа.</w:t>
      </w:r>
    </w:p>
    <w:p w:rsidR="007E1AE4" w:rsidRPr="00735653" w:rsidRDefault="007E1AE4" w:rsidP="007E1AE4">
      <w:pPr>
        <w:pStyle w:val="Titrearticle"/>
        <w:rPr>
          <w:color w:val="000000" w:themeColor="text1"/>
        </w:rPr>
      </w:pPr>
      <w:r w:rsidRPr="00735653">
        <w:rPr>
          <w:color w:val="000000" w:themeColor="text1"/>
        </w:rPr>
        <w:t>Член 3</w:t>
      </w:r>
      <w:r w:rsidRPr="00735653">
        <w:rPr>
          <w:color w:val="000000" w:themeColor="text1"/>
        </w:rPr>
        <w:br/>
        <w:t>Предоставяне на основна информация за целите на индивидуалните планове за преструктуриране и плановете за преструктуриране на групи</w:t>
      </w:r>
    </w:p>
    <w:p w:rsidR="007E1AE4" w:rsidRPr="00735653" w:rsidRDefault="005062D8" w:rsidP="00EA4421">
      <w:pPr>
        <w:pStyle w:val="NumPar1"/>
        <w:numPr>
          <w:ilvl w:val="0"/>
          <w:numId w:val="7"/>
        </w:numPr>
        <w:rPr>
          <w:color w:val="000000" w:themeColor="text1"/>
        </w:rPr>
      </w:pPr>
      <w:r w:rsidRPr="00735653">
        <w:rPr>
          <w:color w:val="000000" w:themeColor="text1"/>
        </w:rPr>
        <w:t>Институциите, а в случай на групи — предприятията майки от Съюза, предоставят на органите за преструктуриране, пряко или чрез компетентния орган, информацията, посочена в образците от приложение I, в съответствие с равнището на консолидация на инфо</w:t>
      </w:r>
      <w:r w:rsidR="004C6737">
        <w:rPr>
          <w:color w:val="000000" w:themeColor="text1"/>
        </w:rPr>
        <w:t>р</w:t>
      </w:r>
      <w:r w:rsidRPr="00735653">
        <w:rPr>
          <w:color w:val="000000" w:themeColor="text1"/>
        </w:rPr>
        <w:t>мацията, честотата и формата, определени съответно в членове 4, 5 и 6, като спазват указанията от приложение II.</w:t>
      </w:r>
    </w:p>
    <w:p w:rsidR="007E1AE4" w:rsidRPr="00735653" w:rsidRDefault="007E1AE4" w:rsidP="007E1AE4">
      <w:pPr>
        <w:pStyle w:val="NumPar1"/>
        <w:rPr>
          <w:color w:val="000000" w:themeColor="text1"/>
        </w:rPr>
      </w:pPr>
      <w:r w:rsidRPr="00735653">
        <w:rPr>
          <w:color w:val="000000" w:themeColor="text1"/>
        </w:rPr>
        <w:t>Когато орган за преструктуриране или в случая на групи — орган за преструктуриране на ниво група, прилага облекчени задължения съгласно член 4 от Директива 2014/59/ЕС, той информира институциите или засегнатите предприятия майки от Съюза за вида информация, която не се изисква да бъде включена при предоставянето на информацията, посочена в параграф 1 от настоящия член. Органът за преструктуриране определя тази информация, като се позовава на образците от приложение I.</w:t>
      </w:r>
    </w:p>
    <w:p w:rsidR="007E1AE4" w:rsidRPr="00735653" w:rsidRDefault="007E1AE4" w:rsidP="007E1AE4">
      <w:pPr>
        <w:pStyle w:val="Titrearticle"/>
        <w:rPr>
          <w:color w:val="000000" w:themeColor="text1"/>
        </w:rPr>
      </w:pPr>
      <w:r w:rsidRPr="00735653">
        <w:rPr>
          <w:color w:val="000000" w:themeColor="text1"/>
        </w:rPr>
        <w:t>Член 4</w:t>
      </w:r>
      <w:r w:rsidRPr="00735653">
        <w:rPr>
          <w:color w:val="000000" w:themeColor="text1"/>
        </w:rPr>
        <w:br/>
        <w:t xml:space="preserve">Равнище на консолидация на информацията </w:t>
      </w:r>
    </w:p>
    <w:p w:rsidR="007E1AE4" w:rsidRPr="00735653" w:rsidRDefault="007E1AE4" w:rsidP="00EB1CD0">
      <w:pPr>
        <w:pStyle w:val="NumPar1"/>
        <w:numPr>
          <w:ilvl w:val="0"/>
          <w:numId w:val="1"/>
        </w:numPr>
        <w:rPr>
          <w:color w:val="000000" w:themeColor="text1"/>
        </w:rPr>
      </w:pPr>
      <w:r w:rsidRPr="00735653">
        <w:rPr>
          <w:color w:val="000000" w:themeColor="text1"/>
        </w:rPr>
        <w:t>Институциите, които не са част от група, предоставят на индивидуална основа информацията, посочена в член 3, параграф 1, с изключение на информацията, посочена в образци Z 07.02 и Z 04.00 от приложение I.</w:t>
      </w:r>
    </w:p>
    <w:p w:rsidR="007E1AE4" w:rsidRPr="00735653" w:rsidRDefault="007E1AE4" w:rsidP="00EB1CD0">
      <w:pPr>
        <w:pStyle w:val="NumPar1"/>
        <w:numPr>
          <w:ilvl w:val="0"/>
          <w:numId w:val="1"/>
        </w:numPr>
        <w:rPr>
          <w:color w:val="000000" w:themeColor="text1"/>
        </w:rPr>
      </w:pPr>
      <w:r w:rsidRPr="00735653">
        <w:rPr>
          <w:color w:val="000000" w:themeColor="text1"/>
        </w:rPr>
        <w:t xml:space="preserve">В случай на групи предприятията майки от Съюза предоставят информацията, посочена в член 3, параграф 1, в съответствие със следните уточнения: </w:t>
      </w:r>
    </w:p>
    <w:p w:rsidR="007E1AE4" w:rsidRPr="00735653" w:rsidRDefault="0069433C" w:rsidP="0069433C">
      <w:pPr>
        <w:pStyle w:val="Point0"/>
      </w:pPr>
      <w:r>
        <w:t>а)</w:t>
      </w:r>
      <w:r>
        <w:tab/>
      </w:r>
      <w:r w:rsidR="007E1AE4" w:rsidRPr="00735653">
        <w:t>информацията, посочена в образец Z 01.00 от приложение I във връзка със следното:</w:t>
      </w:r>
    </w:p>
    <w:p w:rsidR="007E1AE4" w:rsidRPr="00735653" w:rsidRDefault="00045775" w:rsidP="0051415A">
      <w:pPr>
        <w:pStyle w:val="Point2"/>
      </w:pPr>
      <w:r w:rsidRPr="00735653">
        <w:t xml:space="preserve">i) </w:t>
      </w:r>
      <w:r w:rsidRPr="00735653">
        <w:tab/>
        <w:t xml:space="preserve">субекти от групи, включени в консолидираните финансови отчети на предприятията, представляващи 0,5 % от общия размер на активите или общия размер на пасивите на групата; </w:t>
      </w:r>
    </w:p>
    <w:p w:rsidR="007E1AE4" w:rsidRPr="00735653" w:rsidRDefault="00045775" w:rsidP="0051415A">
      <w:pPr>
        <w:pStyle w:val="Point2"/>
      </w:pPr>
      <w:r w:rsidRPr="00735653">
        <w:t>ii)</w:t>
      </w:r>
      <w:r w:rsidRPr="00735653">
        <w:tab/>
        <w:t>институции, част от групи, представляващи 0,5 % от общата рискова експозиция или 0,5 % от общата сума на базовия собствен капитал от първи ред на групата въз основа на консолидационното състояние на предприятието майка от Съюза;</w:t>
      </w:r>
    </w:p>
    <w:p w:rsidR="007E1AE4" w:rsidRPr="00735653" w:rsidRDefault="00045775" w:rsidP="0051415A">
      <w:pPr>
        <w:pStyle w:val="Point2"/>
      </w:pPr>
      <w:r w:rsidRPr="00735653">
        <w:t xml:space="preserve">iii) </w:t>
      </w:r>
      <w:r w:rsidRPr="00735653">
        <w:tab/>
        <w:t>субекти от групи, изпълняващи критични функции;</w:t>
      </w:r>
    </w:p>
    <w:p w:rsidR="007E1AE4" w:rsidRPr="00735653" w:rsidRDefault="0069433C" w:rsidP="0069433C">
      <w:pPr>
        <w:pStyle w:val="Point0"/>
      </w:pPr>
      <w:r>
        <w:t>б)</w:t>
      </w:r>
      <w:r>
        <w:tab/>
      </w:r>
      <w:r w:rsidR="007E1AE4" w:rsidRPr="00735653">
        <w:t>информацията, посочена в образци Z 02.00 и Z 03.00 от приложение I:</w:t>
      </w:r>
    </w:p>
    <w:p w:rsidR="007E1AE4" w:rsidRPr="00735653" w:rsidRDefault="00045775" w:rsidP="0051415A">
      <w:pPr>
        <w:pStyle w:val="Point2"/>
      </w:pPr>
      <w:r w:rsidRPr="00735653">
        <w:t xml:space="preserve">i) </w:t>
      </w:r>
      <w:r w:rsidRPr="00735653">
        <w:tab/>
        <w:t xml:space="preserve">на равнището на предприятието майка от Съюза или когато е различно — на равнището на всеки субект за преструктуриране, на индивидуална основа; </w:t>
      </w:r>
    </w:p>
    <w:p w:rsidR="007E1AE4" w:rsidRPr="00735653" w:rsidRDefault="00045775" w:rsidP="0051415A">
      <w:pPr>
        <w:pStyle w:val="Point2"/>
      </w:pPr>
      <w:r w:rsidRPr="00735653">
        <w:t>ii)</w:t>
      </w:r>
      <w:r w:rsidRPr="00735653">
        <w:tab/>
        <w:t>на равнището на всяка институция, част от група, която е съответен правен субект и не попада в обхвата на точка i), на индивидуална основа, освен в случаите, когато органът за преструктуриране изцяло е отменил по отношение на тази институция прилагането на индивидуалното минимално изискване за собствен капитал и приемливи задължения съгласно член 45, параграф 11 или 12 от Директива 2014/59/ЕС;</w:t>
      </w:r>
    </w:p>
    <w:p w:rsidR="007E1AE4" w:rsidRPr="00735653" w:rsidRDefault="00045775" w:rsidP="0051415A">
      <w:pPr>
        <w:pStyle w:val="Point2"/>
      </w:pPr>
      <w:r w:rsidRPr="00735653">
        <w:t>iii)</w:t>
      </w:r>
      <w:r w:rsidRPr="00735653">
        <w:tab/>
        <w:t>на равнището на предприятието майка от Съюза, на консолидирана основа, или когато е различно — на равнището на всеки субект за преструктуриране въз основа на консолидационното състояние на групата за преструктуриране;</w:t>
      </w:r>
    </w:p>
    <w:p w:rsidR="007E1AE4" w:rsidRPr="00735653" w:rsidRDefault="0069433C" w:rsidP="0069433C">
      <w:pPr>
        <w:pStyle w:val="Point0"/>
      </w:pPr>
      <w:r>
        <w:t>в)</w:t>
      </w:r>
      <w:r>
        <w:tab/>
      </w:r>
      <w:r w:rsidR="007E1AE4" w:rsidRPr="00735653">
        <w:t>информацията, посочена в образец Z 04.00 от приложение I във връзка с финансовите взаимовръзки между всички съответни правни субекти;</w:t>
      </w:r>
    </w:p>
    <w:p w:rsidR="007E1AE4" w:rsidRPr="00735653" w:rsidRDefault="0069433C" w:rsidP="0069433C">
      <w:pPr>
        <w:pStyle w:val="Point0"/>
      </w:pPr>
      <w:r>
        <w:t>г)</w:t>
      </w:r>
      <w:r>
        <w:tab/>
      </w:r>
      <w:r w:rsidR="007E1AE4" w:rsidRPr="00735653">
        <w:t>информацията, посочена в образци Z 05.01 и Z 05.02 от приложение I:</w:t>
      </w:r>
    </w:p>
    <w:p w:rsidR="007E1AE4" w:rsidRPr="00735653" w:rsidRDefault="00045775" w:rsidP="0051415A">
      <w:pPr>
        <w:pStyle w:val="Point2"/>
      </w:pPr>
      <w:r w:rsidRPr="00735653">
        <w:t>i)</w:t>
      </w:r>
      <w:r w:rsidRPr="00735653">
        <w:tab/>
        <w:t>на равнището на предприятието майка от Съюза или когато е различно — на равнището на всеки субект за преструктуриране, на индивидуална основа;</w:t>
      </w:r>
    </w:p>
    <w:p w:rsidR="007E1AE4" w:rsidRPr="00735653" w:rsidRDefault="00045775" w:rsidP="0051415A">
      <w:pPr>
        <w:pStyle w:val="Point2"/>
      </w:pPr>
      <w:r w:rsidRPr="00735653">
        <w:t>ii)</w:t>
      </w:r>
      <w:r w:rsidRPr="00735653">
        <w:tab/>
        <w:t>на равнището на предприятието майка от Съюза, на консолидирана основа или когато е различно — на равнището на всеки субект за преструктуриране въз основа на консолидационното състояние на групата за преструктуриране;</w:t>
      </w:r>
    </w:p>
    <w:p w:rsidR="007E1AE4" w:rsidRPr="00735653" w:rsidRDefault="0069433C" w:rsidP="0069433C">
      <w:pPr>
        <w:pStyle w:val="Point0"/>
      </w:pPr>
      <w:r>
        <w:t>д)</w:t>
      </w:r>
      <w:r>
        <w:tab/>
      </w:r>
      <w:r w:rsidR="007E1AE4" w:rsidRPr="00735653">
        <w:t>информацията, посочена в образец Z 06.00 от приложение I, на равнището на предприятието майка от Съюза, на консолидирана основа по отношение на всички кредитни институции, които са съответни правни субекти;</w:t>
      </w:r>
    </w:p>
    <w:p w:rsidR="007E1AE4" w:rsidRPr="00735653" w:rsidRDefault="0069433C" w:rsidP="0069433C">
      <w:pPr>
        <w:pStyle w:val="Point0"/>
      </w:pPr>
      <w:r>
        <w:t>е)</w:t>
      </w:r>
      <w:r>
        <w:tab/>
      </w:r>
      <w:r w:rsidR="007E1AE4" w:rsidRPr="00735653">
        <w:t>информацията, посочена в образец Z 07.01 от приложение I, поотделно за всяка държава членка, в която групата упражнява дейност;</w:t>
      </w:r>
    </w:p>
    <w:p w:rsidR="007E1AE4" w:rsidRPr="00735653" w:rsidRDefault="0069433C" w:rsidP="0069433C">
      <w:pPr>
        <w:pStyle w:val="Point0"/>
      </w:pPr>
      <w:r>
        <w:t>ж)</w:t>
      </w:r>
      <w:r>
        <w:tab/>
      </w:r>
      <w:r w:rsidR="007E1AE4" w:rsidRPr="00735653">
        <w:t>информацията, посочена в образци Z 07.02, Z 07.03 и Z 07.04 от приложение I във връзка с критичните функции и основните стопански дейности, изпълнявани от който и да е субект от групата;</w:t>
      </w:r>
    </w:p>
    <w:p w:rsidR="007E1AE4" w:rsidRPr="00735653" w:rsidRDefault="0069433C" w:rsidP="0069433C">
      <w:pPr>
        <w:pStyle w:val="Point0"/>
      </w:pPr>
      <w:r>
        <w:t>з)</w:t>
      </w:r>
      <w:r>
        <w:tab/>
      </w:r>
      <w:r w:rsidR="007E1AE4" w:rsidRPr="00735653">
        <w:t>информацията, посочена в образец Z 08.00 от приложение I, по отношение на всички критични услуги, предоставяни от който и да е субект от групата, включен в образец Z 01.00 от приложение I;</w:t>
      </w:r>
    </w:p>
    <w:p w:rsidR="007E1AE4" w:rsidRPr="00735653" w:rsidRDefault="0069433C" w:rsidP="0069433C">
      <w:pPr>
        <w:pStyle w:val="Point0"/>
      </w:pPr>
      <w:r>
        <w:t>и)</w:t>
      </w:r>
      <w:r>
        <w:tab/>
      </w:r>
      <w:r w:rsidR="007E1AE4" w:rsidRPr="00735653">
        <w:t>информацията, посочена в образец Z 09.00 от приложение I по отношение на всички инфраструктури на финансовия пазар, чието нарушаване би представлявало сериозна пречка или би възпрепятствало изпълнението на някоя от критичните функции, посочени в образец Z 07.02;</w:t>
      </w:r>
    </w:p>
    <w:p w:rsidR="007E1AE4" w:rsidRPr="00735653" w:rsidRDefault="0069433C" w:rsidP="0069433C">
      <w:pPr>
        <w:pStyle w:val="Point0"/>
      </w:pPr>
      <w:r>
        <w:t>й)</w:t>
      </w:r>
      <w:r>
        <w:tab/>
      </w:r>
      <w:r w:rsidR="007E1AE4" w:rsidRPr="00735653">
        <w:t>информацията, посочена в образци Z 10.01 и Z 10.02 на приложение I по отношение на всички критични информационни системи в рамките на групата.</w:t>
      </w:r>
    </w:p>
    <w:p w:rsidR="007E1AE4" w:rsidRPr="00735653" w:rsidRDefault="007E1AE4" w:rsidP="007E1AE4">
      <w:pPr>
        <w:pStyle w:val="Titrearticle"/>
        <w:rPr>
          <w:color w:val="000000" w:themeColor="text1"/>
        </w:rPr>
      </w:pPr>
      <w:r w:rsidRPr="00735653">
        <w:rPr>
          <w:color w:val="000000" w:themeColor="text1"/>
        </w:rPr>
        <w:t>Член 5</w:t>
      </w:r>
      <w:r w:rsidRPr="00735653">
        <w:rPr>
          <w:color w:val="000000" w:themeColor="text1"/>
        </w:rPr>
        <w:br/>
        <w:t>Честота, референтни дати и дати на подаване на информацията</w:t>
      </w:r>
    </w:p>
    <w:p w:rsidR="007E1AE4" w:rsidRPr="00735653" w:rsidRDefault="007E1AE4" w:rsidP="00EA4421">
      <w:pPr>
        <w:pStyle w:val="NumPar1"/>
        <w:numPr>
          <w:ilvl w:val="0"/>
          <w:numId w:val="2"/>
        </w:numPr>
        <w:rPr>
          <w:color w:val="000000" w:themeColor="text1"/>
        </w:rPr>
      </w:pPr>
      <w:r w:rsidRPr="00735653">
        <w:rPr>
          <w:color w:val="000000" w:themeColor="text1"/>
        </w:rPr>
        <w:t>Институциите подават посочената в член 3, параграф 1 информация най-късно до 30 април всяка година по отношение на последния ден от предходната календарна година или на съответната финансова година. Ако 30 април не е работен ден, информацията се предоставя на следващия работен ден.</w:t>
      </w:r>
    </w:p>
    <w:p w:rsidR="007E1AE4" w:rsidRPr="00735653" w:rsidRDefault="007E1AE4" w:rsidP="00EA4421">
      <w:pPr>
        <w:pStyle w:val="NumPar1"/>
        <w:numPr>
          <w:ilvl w:val="0"/>
          <w:numId w:val="2"/>
        </w:numPr>
        <w:rPr>
          <w:color w:val="000000" w:themeColor="text1"/>
        </w:rPr>
      </w:pPr>
      <w:r w:rsidRPr="00735653">
        <w:rPr>
          <w:color w:val="000000" w:themeColor="text1"/>
        </w:rPr>
        <w:t>Органите за преструктуриране предоставят необходимите данни за контакт, където трябва да бъде изпратена информацията в органа за преструктуриране или когато е приложимо — в компетентния орган.</w:t>
      </w:r>
    </w:p>
    <w:p w:rsidR="007E1AE4" w:rsidRPr="00735653" w:rsidRDefault="007E1AE4" w:rsidP="00EA4421">
      <w:pPr>
        <w:pStyle w:val="NumPar1"/>
        <w:numPr>
          <w:ilvl w:val="0"/>
          <w:numId w:val="2"/>
        </w:numPr>
        <w:rPr>
          <w:color w:val="000000" w:themeColor="text1"/>
        </w:rPr>
      </w:pPr>
      <w:r w:rsidRPr="00735653">
        <w:rPr>
          <w:color w:val="000000" w:themeColor="text1"/>
        </w:rPr>
        <w:t xml:space="preserve">Институциите могат да представят неодитирани данни. Когато одитираните данни се отклоняват от подадените неодитирани такива, коригираните одитирани данни се представят без излишно забавяне. Неодитирани данни са тези, за които няма становище от външен одитор, а одитираните — проверените от външен одитор, който е изразил за тях одиторско становище. </w:t>
      </w:r>
    </w:p>
    <w:p w:rsidR="007E1AE4" w:rsidRPr="00735653" w:rsidRDefault="00754A18" w:rsidP="00EA4421">
      <w:pPr>
        <w:pStyle w:val="NumPar1"/>
        <w:numPr>
          <w:ilvl w:val="0"/>
          <w:numId w:val="2"/>
        </w:numPr>
        <w:rPr>
          <w:color w:val="000000" w:themeColor="text1"/>
        </w:rPr>
      </w:pPr>
      <w:r w:rsidRPr="00735653">
        <w:rPr>
          <w:color w:val="000000" w:themeColor="text1"/>
        </w:rPr>
        <w:t>Корекциите на представените доклади се представят без излишно забавяне.</w:t>
      </w:r>
    </w:p>
    <w:p w:rsidR="007E1AE4" w:rsidRPr="00735653" w:rsidRDefault="007E1AE4" w:rsidP="007E1AE4">
      <w:pPr>
        <w:pStyle w:val="Titrearticle"/>
        <w:rPr>
          <w:color w:val="000000" w:themeColor="text1"/>
        </w:rPr>
      </w:pPr>
      <w:r w:rsidRPr="00735653">
        <w:rPr>
          <w:color w:val="000000" w:themeColor="text1"/>
        </w:rPr>
        <w:t>Член 6</w:t>
      </w:r>
      <w:r w:rsidRPr="00735653">
        <w:rPr>
          <w:color w:val="000000" w:themeColor="text1"/>
        </w:rPr>
        <w:br/>
        <w:t>Формат на предоставяне на информацията</w:t>
      </w:r>
    </w:p>
    <w:p w:rsidR="007E1AE4" w:rsidRPr="00735653" w:rsidRDefault="007E1AE4" w:rsidP="00EA4421">
      <w:pPr>
        <w:pStyle w:val="NumPar1"/>
        <w:numPr>
          <w:ilvl w:val="0"/>
          <w:numId w:val="3"/>
        </w:numPr>
        <w:rPr>
          <w:color w:val="000000" w:themeColor="text1"/>
        </w:rPr>
      </w:pPr>
      <w:r w:rsidRPr="00735653">
        <w:rPr>
          <w:color w:val="000000" w:themeColor="text1"/>
        </w:rPr>
        <w:t>Институциите или в случаите на групи — предприятията майки от Съюза, предоставят посочената в член 3, параграф 1 информация във форматите за обмен на данни и по начините на представяне, определени от органите за преструктуриране, и съблюдават определенията за данните от единния информационен модел, изложен в приложение III, и правилата за утвърждаване, изложени в приложение IV, както и следните условия:</w:t>
      </w:r>
    </w:p>
    <w:p w:rsidR="007E1AE4" w:rsidRPr="00735653" w:rsidRDefault="0069433C" w:rsidP="0069433C">
      <w:pPr>
        <w:pStyle w:val="Point1"/>
      </w:pPr>
      <w:r>
        <w:t>а)</w:t>
      </w:r>
      <w:r>
        <w:tab/>
      </w:r>
      <w:r w:rsidR="00A05B6C" w:rsidRPr="00735653">
        <w:t xml:space="preserve"> при подаването на данните не се включва информация, която не е изискана или не е приложима;</w:t>
      </w:r>
    </w:p>
    <w:p w:rsidR="007E1AE4" w:rsidRPr="00735653" w:rsidRDefault="0069433C" w:rsidP="0069433C">
      <w:pPr>
        <w:pStyle w:val="Point1"/>
      </w:pPr>
      <w:r>
        <w:t>б)</w:t>
      </w:r>
      <w:r>
        <w:tab/>
      </w:r>
      <w:r w:rsidR="007E1AE4" w:rsidRPr="00735653">
        <w:t>числовите стойности се подават като факти, както следва:</w:t>
      </w:r>
    </w:p>
    <w:p w:rsidR="007E1AE4" w:rsidRPr="00735653" w:rsidRDefault="00045775" w:rsidP="0051415A">
      <w:pPr>
        <w:pStyle w:val="Point2"/>
      </w:pPr>
      <w:r w:rsidRPr="00735653">
        <w:t>i)</w:t>
      </w:r>
      <w:r w:rsidR="004C6737">
        <w:tab/>
        <w:t>данните от тип „парич</w:t>
      </w:r>
      <w:r w:rsidRPr="00735653">
        <w:t>н</w:t>
      </w:r>
      <w:r w:rsidR="004C6737">
        <w:t>а сума</w:t>
      </w:r>
      <w:r w:rsidRPr="00735653">
        <w:t>“ се отчитат с минимална точност до хиляди единици;</w:t>
      </w:r>
    </w:p>
    <w:p w:rsidR="007E1AE4" w:rsidRPr="00735653" w:rsidRDefault="00045775" w:rsidP="0051415A">
      <w:pPr>
        <w:pStyle w:val="Point2"/>
      </w:pPr>
      <w:r w:rsidRPr="00735653">
        <w:t>ii)</w:t>
      </w:r>
      <w:r w:rsidRPr="00735653">
        <w:tab/>
        <w:t>данните от тип „процент“ се представят за единица с минимална точност до четири десетични знака;</w:t>
      </w:r>
    </w:p>
    <w:p w:rsidR="007E1AE4" w:rsidRPr="00735653" w:rsidRDefault="00045775" w:rsidP="0051415A">
      <w:pPr>
        <w:pStyle w:val="Point2"/>
      </w:pPr>
      <w:r w:rsidRPr="00735653">
        <w:t>iii)</w:t>
      </w:r>
      <w:r w:rsidRPr="00735653">
        <w:tab/>
        <w:t>данните от тип „цяло число“ се отчитат като цели числа с точност до съответната единица.</w:t>
      </w:r>
    </w:p>
    <w:p w:rsidR="007E1AE4" w:rsidRPr="00735653" w:rsidRDefault="007E1AE4" w:rsidP="00EA4421">
      <w:pPr>
        <w:pStyle w:val="NumPar1"/>
        <w:numPr>
          <w:ilvl w:val="0"/>
          <w:numId w:val="3"/>
        </w:numPr>
        <w:rPr>
          <w:color w:val="000000" w:themeColor="text1"/>
        </w:rPr>
      </w:pPr>
      <w:r w:rsidRPr="00735653">
        <w:rPr>
          <w:color w:val="000000" w:themeColor="text1"/>
        </w:rPr>
        <w:t>Данните, предоставени от институциите, или в случаите на групи — от предприятията майки от Съюза, са свързани със следната информация:</w:t>
      </w:r>
    </w:p>
    <w:p w:rsidR="007E1AE4" w:rsidRPr="00735653" w:rsidRDefault="0069433C" w:rsidP="0069433C">
      <w:pPr>
        <w:pStyle w:val="Point1"/>
      </w:pPr>
      <w:r>
        <w:t>а)</w:t>
      </w:r>
      <w:r>
        <w:tab/>
      </w:r>
      <w:r w:rsidR="007E1AE4" w:rsidRPr="00735653">
        <w:t>референтна дата за подаването;</w:t>
      </w:r>
    </w:p>
    <w:p w:rsidR="007E1AE4" w:rsidRPr="00735653" w:rsidRDefault="0069433C" w:rsidP="0069433C">
      <w:pPr>
        <w:pStyle w:val="Point1"/>
      </w:pPr>
      <w:r>
        <w:t>б)</w:t>
      </w:r>
      <w:r>
        <w:tab/>
      </w:r>
      <w:r w:rsidR="007E1AE4" w:rsidRPr="00735653">
        <w:t>отчетна парична единица;</w:t>
      </w:r>
    </w:p>
    <w:p w:rsidR="007E1AE4" w:rsidRPr="00735653" w:rsidRDefault="0069433C" w:rsidP="0069433C">
      <w:pPr>
        <w:pStyle w:val="Point1"/>
      </w:pPr>
      <w:r>
        <w:t>в)</w:t>
      </w:r>
      <w:r>
        <w:tab/>
      </w:r>
      <w:r w:rsidR="007E1AE4" w:rsidRPr="00735653">
        <w:t>приложими счетоводни стандарти;</w:t>
      </w:r>
    </w:p>
    <w:p w:rsidR="007E1AE4" w:rsidRPr="00735653" w:rsidRDefault="0069433C" w:rsidP="0069433C">
      <w:pPr>
        <w:pStyle w:val="Point1"/>
      </w:pPr>
      <w:r>
        <w:t>г)</w:t>
      </w:r>
      <w:r>
        <w:tab/>
      </w:r>
      <w:r w:rsidR="007E1AE4" w:rsidRPr="00735653">
        <w:t>идентификатор на отчитащия се субект;</w:t>
      </w:r>
    </w:p>
    <w:p w:rsidR="007E1AE4" w:rsidRPr="00735653" w:rsidRDefault="0069433C" w:rsidP="0069433C">
      <w:pPr>
        <w:pStyle w:val="Point1"/>
      </w:pPr>
      <w:r>
        <w:t>д)</w:t>
      </w:r>
      <w:r>
        <w:tab/>
      </w:r>
      <w:r w:rsidR="007E1AE4" w:rsidRPr="00735653">
        <w:t>равнище на консолидация на информацията съгласно член 4.</w:t>
      </w:r>
    </w:p>
    <w:p w:rsidR="007E1AE4" w:rsidRPr="00735653" w:rsidRDefault="007E1AE4" w:rsidP="007E1AE4">
      <w:pPr>
        <w:pStyle w:val="Titrearticle"/>
        <w:rPr>
          <w:color w:val="000000" w:themeColor="text1"/>
        </w:rPr>
      </w:pPr>
      <w:r w:rsidRPr="00735653">
        <w:rPr>
          <w:color w:val="000000" w:themeColor="text1"/>
        </w:rPr>
        <w:t>Член 7</w:t>
      </w:r>
      <w:r w:rsidRPr="00735653">
        <w:rPr>
          <w:color w:val="000000" w:themeColor="text1"/>
        </w:rPr>
        <w:br/>
        <w:t>Предоставяне на допълнителна информация за целите на индивидуалните планове за преструктуриране и плановете за преструктуриране на групи</w:t>
      </w:r>
    </w:p>
    <w:p w:rsidR="00B90FAF" w:rsidRPr="00735653" w:rsidRDefault="00B90FAF" w:rsidP="00EA4421">
      <w:pPr>
        <w:pStyle w:val="NumPar1"/>
        <w:numPr>
          <w:ilvl w:val="0"/>
          <w:numId w:val="16"/>
        </w:numPr>
      </w:pPr>
      <w:r w:rsidRPr="00735653">
        <w:t>Когато орган за преструктуриране или орган за преструктуриране на ниво група счита, че информация, необхваната от никой от дадените в приложение I образци, е необходима с цел изготвяне и изпълнение на плановете за преструктуриране или когато форматът, в който компетентен орган предоставя допълнителна информация съгласно член 8, параграф 2, не е подходящ за целите на изготвяне или изпълнение на плановете за преструктуриране, органът за преструктуриране изисква тази информация от институцията или от предприятието майка от Съюза.</w:t>
      </w:r>
    </w:p>
    <w:p w:rsidR="00B90FAF" w:rsidRPr="00735653" w:rsidRDefault="00B90FAF" w:rsidP="00AE1240">
      <w:pPr>
        <w:pStyle w:val="NumPar1"/>
      </w:pPr>
      <w:r w:rsidRPr="00735653">
        <w:t>За целите на искането съгласно параграф 1 органът за преструктуриране:</w:t>
      </w:r>
    </w:p>
    <w:p w:rsidR="00B90FAF" w:rsidRPr="00735653" w:rsidRDefault="0069433C" w:rsidP="0069433C">
      <w:pPr>
        <w:pStyle w:val="Point1"/>
      </w:pPr>
      <w:r>
        <w:t>а)</w:t>
      </w:r>
      <w:r>
        <w:tab/>
      </w:r>
      <w:r w:rsidR="00B90FAF" w:rsidRPr="00735653">
        <w:t>определя каква допълнителна информация да бъде предоставена;</w:t>
      </w:r>
    </w:p>
    <w:p w:rsidR="00B90FAF" w:rsidRPr="00735653" w:rsidRDefault="0069433C" w:rsidP="0069433C">
      <w:pPr>
        <w:pStyle w:val="Point1"/>
      </w:pPr>
      <w:r>
        <w:t>б)</w:t>
      </w:r>
      <w:r>
        <w:tab/>
      </w:r>
      <w:r w:rsidR="00B90FAF" w:rsidRPr="00735653">
        <w:t>вземайки предвид обема и сложността на исканата информация, определя подходящ срок, в който институцията или при групи — предприятието майка от Съюза, да предостави тази информация на органа за преструктуриране;</w:t>
      </w:r>
    </w:p>
    <w:p w:rsidR="00B90FAF" w:rsidRPr="00735653" w:rsidRDefault="0069433C" w:rsidP="0069433C">
      <w:pPr>
        <w:pStyle w:val="Point1"/>
      </w:pPr>
      <w:r>
        <w:t>в)</w:t>
      </w:r>
      <w:r>
        <w:tab/>
      </w:r>
      <w:r w:rsidR="00B90FAF" w:rsidRPr="00735653">
        <w:t>посочва формата, който институцията или при групи — предприятието майка от Съюза, да използва за предоставяне на информацията на органа за преструктуриране;</w:t>
      </w:r>
    </w:p>
    <w:p w:rsidR="00B90FAF" w:rsidRPr="00735653" w:rsidRDefault="0069433C" w:rsidP="0069433C">
      <w:pPr>
        <w:pStyle w:val="Point1"/>
      </w:pPr>
      <w:r>
        <w:t>г)</w:t>
      </w:r>
      <w:r>
        <w:tab/>
      </w:r>
      <w:r w:rsidR="00B90FAF" w:rsidRPr="00735653">
        <w:t>посочва дали информацията трябва да бъде попълнена на индивидуална или групова основа и дали нейният териториален обхват е на местно равнище, на равнището на Съюза или на световно равнище;</w:t>
      </w:r>
    </w:p>
    <w:p w:rsidR="00B90FAF" w:rsidRPr="00735653" w:rsidRDefault="0069433C" w:rsidP="0069433C">
      <w:pPr>
        <w:pStyle w:val="Point1"/>
      </w:pPr>
      <w:r>
        <w:t>д)</w:t>
      </w:r>
      <w:r>
        <w:tab/>
      </w:r>
      <w:r w:rsidR="00B90FAF" w:rsidRPr="00735653">
        <w:t>посочва необходимите данни за контакт, необходими за изпращане на допълнителната информация.</w:t>
      </w:r>
    </w:p>
    <w:p w:rsidR="007E1AE4" w:rsidRPr="00735653" w:rsidRDefault="007E1AE4" w:rsidP="007E1AE4">
      <w:pPr>
        <w:pStyle w:val="Titrearticle"/>
        <w:rPr>
          <w:color w:val="000000" w:themeColor="text1"/>
        </w:rPr>
      </w:pPr>
      <w:r w:rsidRPr="00735653">
        <w:rPr>
          <w:color w:val="000000" w:themeColor="text1"/>
        </w:rPr>
        <w:t>Член 8</w:t>
      </w:r>
      <w:r w:rsidRPr="00735653">
        <w:rPr>
          <w:color w:val="000000" w:themeColor="text1"/>
        </w:rPr>
        <w:br/>
        <w:t>Сътрудничество между компетентните органи и органите за преструктуриране</w:t>
      </w:r>
    </w:p>
    <w:p w:rsidR="007E1AE4" w:rsidRPr="00735653" w:rsidRDefault="007E1AE4" w:rsidP="00EA4421">
      <w:pPr>
        <w:pStyle w:val="NumPar1"/>
        <w:numPr>
          <w:ilvl w:val="0"/>
          <w:numId w:val="4"/>
        </w:numPr>
        <w:rPr>
          <w:color w:val="000000" w:themeColor="text1"/>
        </w:rPr>
      </w:pPr>
      <w:r w:rsidRPr="00735653">
        <w:rPr>
          <w:color w:val="000000" w:themeColor="text1"/>
        </w:rPr>
        <w:t>Компетентните органи и органите за преструктуриране съвместно проверяват дали компетентният орган вече не разполага с част или с цялата информация, която трябва да се предостави на органа за преструктуриране съгласно член 3, параграф 1 и член 7.</w:t>
      </w:r>
    </w:p>
    <w:p w:rsidR="007E1AE4" w:rsidRPr="00735653" w:rsidRDefault="007E1AE4" w:rsidP="00EA4421">
      <w:pPr>
        <w:pStyle w:val="NumPar1"/>
        <w:numPr>
          <w:ilvl w:val="0"/>
          <w:numId w:val="4"/>
        </w:numPr>
        <w:rPr>
          <w:color w:val="000000" w:themeColor="text1"/>
        </w:rPr>
      </w:pPr>
      <w:r w:rsidRPr="00735653">
        <w:rPr>
          <w:color w:val="000000" w:themeColor="text1"/>
        </w:rPr>
        <w:t xml:space="preserve">Когато компетентният орган вече разполага с част или с цялата информация, той своевременно предоставя тази информация на органа за преструктуриране. </w:t>
      </w:r>
    </w:p>
    <w:p w:rsidR="00A05A75" w:rsidRPr="00735653" w:rsidRDefault="007E1AE4" w:rsidP="00AE1240">
      <w:pPr>
        <w:pStyle w:val="NumPar1"/>
        <w:rPr>
          <w:color w:val="000000" w:themeColor="text1"/>
        </w:rPr>
      </w:pPr>
      <w:r w:rsidRPr="00735653">
        <w:rPr>
          <w:color w:val="000000" w:themeColor="text1"/>
        </w:rPr>
        <w:t>В посочения в параграф 2 случай органите за преструктуриране гарантират, че институциите или в случай на групи — предприятията майки от Съюза, са уведомени за информацията, която се изисква да бъде включена при предоставянето на информация съгласно член 3, параграф 1. Органите за преструктуриране определят тази информация, като се позовават на образците, дадени в приложение I.</w:t>
      </w:r>
    </w:p>
    <w:p w:rsidR="007E1AE4" w:rsidRPr="00735653" w:rsidRDefault="007E1AE4" w:rsidP="007E1AE4">
      <w:pPr>
        <w:pStyle w:val="Titrearticle"/>
        <w:rPr>
          <w:color w:val="000000" w:themeColor="text1"/>
        </w:rPr>
      </w:pPr>
      <w:r w:rsidRPr="00735653">
        <w:rPr>
          <w:color w:val="000000" w:themeColor="text1"/>
        </w:rPr>
        <w:t>Член 9</w:t>
      </w:r>
      <w:r w:rsidRPr="00735653">
        <w:rPr>
          <w:color w:val="000000" w:themeColor="text1"/>
        </w:rPr>
        <w:br/>
        <w:t>Преходен период</w:t>
      </w:r>
    </w:p>
    <w:p w:rsidR="007E1AE4" w:rsidRPr="00735653" w:rsidRDefault="007E1AE4" w:rsidP="00EA4421">
      <w:pPr>
        <w:pStyle w:val="NumPar1"/>
        <w:numPr>
          <w:ilvl w:val="0"/>
          <w:numId w:val="5"/>
        </w:numPr>
        <w:rPr>
          <w:color w:val="000000" w:themeColor="text1"/>
        </w:rPr>
      </w:pPr>
      <w:r w:rsidRPr="00735653">
        <w:rPr>
          <w:color w:val="000000" w:themeColor="text1"/>
        </w:rPr>
        <w:t xml:space="preserve">Чрез дерогация от член 5, параграф 1, 31 май 2019 г. е крайният срок за подаване на информация за финансова година, приключваща на дата между 1 януари и 31 декември 2018 г. </w:t>
      </w:r>
    </w:p>
    <w:p w:rsidR="007E1AE4" w:rsidRPr="00735653" w:rsidRDefault="007E1AE4" w:rsidP="00EA4421">
      <w:pPr>
        <w:pStyle w:val="NumPar1"/>
        <w:numPr>
          <w:ilvl w:val="0"/>
          <w:numId w:val="5"/>
        </w:numPr>
        <w:rPr>
          <w:color w:val="000000" w:themeColor="text1"/>
        </w:rPr>
      </w:pPr>
      <w:r w:rsidRPr="00735653">
        <w:rPr>
          <w:color w:val="000000" w:themeColor="text1"/>
        </w:rPr>
        <w:t>Чрез дерогация от член 5, параграф 1, 30 април 2020 г. е крайният срок за подаване на информация за финансова година, приключваща на дата между 1 януари и 31 декември 2019 г.</w:t>
      </w:r>
    </w:p>
    <w:p w:rsidR="007E1AE4" w:rsidRPr="00735653" w:rsidRDefault="007E1AE4" w:rsidP="007E1AE4">
      <w:pPr>
        <w:pStyle w:val="Titrearticle"/>
        <w:rPr>
          <w:color w:val="000000" w:themeColor="text1"/>
        </w:rPr>
      </w:pPr>
      <w:r w:rsidRPr="00735653">
        <w:rPr>
          <w:color w:val="000000" w:themeColor="text1"/>
        </w:rPr>
        <w:t>Член 10</w:t>
      </w:r>
      <w:r w:rsidRPr="00735653">
        <w:rPr>
          <w:color w:val="000000" w:themeColor="text1"/>
        </w:rPr>
        <w:br/>
        <w:t>Отмяна</w:t>
      </w:r>
    </w:p>
    <w:p w:rsidR="007E1AE4" w:rsidRPr="00735653" w:rsidRDefault="007E1AE4" w:rsidP="007E1AE4">
      <w:pPr>
        <w:rPr>
          <w:color w:val="000000" w:themeColor="text1"/>
        </w:rPr>
      </w:pPr>
      <w:r w:rsidRPr="00735653">
        <w:rPr>
          <w:color w:val="000000" w:themeColor="text1"/>
        </w:rPr>
        <w:t>Регламент за изпълнение (ЕС) 2016/1066 се отменя.</w:t>
      </w:r>
    </w:p>
    <w:p w:rsidR="007E1AE4" w:rsidRPr="00735653" w:rsidRDefault="007E1AE4" w:rsidP="007E1AE4">
      <w:pPr>
        <w:pStyle w:val="Titrearticle"/>
        <w:rPr>
          <w:color w:val="000000" w:themeColor="text1"/>
        </w:rPr>
      </w:pPr>
      <w:r w:rsidRPr="00735653">
        <w:rPr>
          <w:color w:val="000000" w:themeColor="text1"/>
        </w:rPr>
        <w:t>Член</w:t>
      </w:r>
      <w:r w:rsidRPr="00735653">
        <w:t> 11</w:t>
      </w:r>
      <w:r w:rsidRPr="00735653">
        <w:br/>
        <w:t>Влизане в сила</w:t>
      </w:r>
    </w:p>
    <w:p w:rsidR="007E1AE4" w:rsidRPr="00735653" w:rsidRDefault="007E1AE4" w:rsidP="007E1AE4">
      <w:pPr>
        <w:rPr>
          <w:color w:val="000000" w:themeColor="text1"/>
        </w:rPr>
      </w:pPr>
      <w:r w:rsidRPr="00735653">
        <w:t xml:space="preserve">Настоящият регламент влиза в сила на двадесетия ден след деня на публикуването му в </w:t>
      </w:r>
      <w:r w:rsidRPr="00735653">
        <w:rPr>
          <w:i/>
        </w:rPr>
        <w:t>Официален вестник на Европейския съюз</w:t>
      </w:r>
      <w:r w:rsidRPr="00735653">
        <w:t>.</w:t>
      </w:r>
    </w:p>
    <w:p w:rsidR="007E1AE4" w:rsidRPr="00735653" w:rsidRDefault="007E1AE4" w:rsidP="007E1AE4">
      <w:pPr>
        <w:pStyle w:val="Applicationdirecte"/>
        <w:rPr>
          <w:color w:val="000000" w:themeColor="text1"/>
        </w:rPr>
      </w:pPr>
      <w:r w:rsidRPr="00735653">
        <w:rPr>
          <w:color w:val="000000" w:themeColor="text1"/>
        </w:rPr>
        <w:t>Настоящият регламент е задължителен в своята цялост и се прилага пряко във всички държави членки.</w:t>
      </w:r>
    </w:p>
    <w:p w:rsidR="007E1AE4" w:rsidRPr="00735653" w:rsidRDefault="00735653" w:rsidP="00735653">
      <w:pPr>
        <w:pStyle w:val="Fait"/>
      </w:pPr>
      <w:r w:rsidRPr="00735653">
        <w:t xml:space="preserve">Съставено в Брюксел на </w:t>
      </w:r>
      <w:r w:rsidRPr="00735653">
        <w:rPr>
          <w:rStyle w:val="Marker"/>
        </w:rPr>
        <w:t>[…]</w:t>
      </w:r>
      <w:r w:rsidRPr="00735653">
        <w:t xml:space="preserve"> година.</w:t>
      </w:r>
    </w:p>
    <w:p w:rsidR="007E1AE4" w:rsidRPr="00735653" w:rsidRDefault="007E1AE4" w:rsidP="007E1AE4">
      <w:pPr>
        <w:pStyle w:val="Institutionquisigne"/>
      </w:pPr>
      <w:r w:rsidRPr="00735653">
        <w:tab/>
        <w:t>За Комисията</w:t>
      </w:r>
    </w:p>
    <w:p w:rsidR="001C2CA3" w:rsidRPr="00735653" w:rsidRDefault="007E1AE4" w:rsidP="007E1AE4">
      <w:pPr>
        <w:pStyle w:val="Personnequisigne"/>
      </w:pPr>
      <w:r w:rsidRPr="00735653">
        <w:tab/>
        <w:t>Председател</w:t>
      </w:r>
      <w:r w:rsidRPr="00735653">
        <w:br/>
      </w:r>
      <w:r w:rsidRPr="00735653">
        <w:tab/>
        <w:t>Jean-Claude JUNCKER</w:t>
      </w:r>
    </w:p>
    <w:p w:rsidR="007E1AE4" w:rsidRPr="00735653" w:rsidRDefault="007E1AE4" w:rsidP="007E1AE4">
      <w:pPr>
        <w:pStyle w:val="Personnequisigne"/>
      </w:pPr>
    </w:p>
    <w:sectPr w:rsidR="007E1AE4" w:rsidRPr="00735653" w:rsidSect="0069433C">
      <w:footerReference w:type="default" r:id="rId16"/>
      <w:footerReference w:type="firs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1EDA" w:rsidRDefault="003F1EDA" w:rsidP="007E1AE4">
      <w:pPr>
        <w:spacing w:before="0" w:after="0"/>
      </w:pPr>
      <w:r>
        <w:separator/>
      </w:r>
    </w:p>
  </w:endnote>
  <w:endnote w:type="continuationSeparator" w:id="0">
    <w:p w:rsidR="003F1EDA" w:rsidRDefault="003F1EDA" w:rsidP="007E1AE4">
      <w:pPr>
        <w:spacing w:before="0" w:after="0"/>
      </w:pPr>
      <w:r>
        <w:continuationSeparator/>
      </w:r>
    </w:p>
  </w:endnote>
  <w:endnote w:type="continuationNotice" w:id="1">
    <w:p w:rsidR="003F1EDA" w:rsidRDefault="003F1ED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EUAlbertina">
    <w:altName w:val="Times New Roman"/>
    <w:panose1 w:val="00000000000000000000"/>
    <w:charset w:val="00"/>
    <w:family w:val="auto"/>
    <w:notTrueType/>
    <w:pitch w:val="default"/>
    <w:sig w:usb0="00000001" w:usb1="00000000" w:usb2="00000000" w:usb3="00000000" w:csb0="00000003" w:csb1="00000000"/>
  </w:font>
  <w:font w:name="Arial">
    <w:panose1 w:val="020B0604020202020204"/>
    <w:charset w:val="00"/>
    <w:family w:val="swiss"/>
    <w:pitch w:val="variable"/>
    <w:sig w:usb0="20002A87" w:usb1="00000000" w:usb2="00000000" w:usb3="00000000" w:csb0="000001FF" w:csb1="00000000"/>
  </w:font>
  <w:font w:name="Lucida Grande">
    <w:altName w:val="Times New Roman"/>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33C" w:rsidRPr="0069433C" w:rsidRDefault="0069433C" w:rsidP="0069433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5653" w:rsidRPr="0069433C" w:rsidRDefault="0069433C" w:rsidP="0069433C">
    <w:pPr>
      <w:pStyle w:val="Footer"/>
      <w:rPr>
        <w:rFonts w:ascii="Arial" w:hAnsi="Arial" w:cs="Arial"/>
        <w:b/>
        <w:sz w:val="48"/>
      </w:rPr>
    </w:pPr>
    <w:r w:rsidRPr="0069433C">
      <w:rPr>
        <w:rFonts w:ascii="Arial" w:hAnsi="Arial" w:cs="Arial"/>
        <w:b/>
        <w:sz w:val="48"/>
      </w:rPr>
      <w:t>BG</w:t>
    </w:r>
    <w:r w:rsidRPr="0069433C">
      <w:rPr>
        <w:rFonts w:ascii="Arial" w:hAnsi="Arial" w:cs="Arial"/>
        <w:b/>
        <w:sz w:val="48"/>
      </w:rPr>
      <w:tab/>
    </w:r>
    <w:r w:rsidRPr="0069433C">
      <w:rPr>
        <w:rFonts w:ascii="Arial" w:hAnsi="Arial" w:cs="Arial"/>
        <w:b/>
        <w:sz w:val="48"/>
      </w:rPr>
      <w:tab/>
    </w:r>
    <w:r w:rsidRPr="0069433C">
      <w:tab/>
    </w:r>
    <w:proofErr w:type="spellStart"/>
    <w:r w:rsidRPr="0069433C">
      <w:rPr>
        <w:rFonts w:ascii="Arial" w:hAnsi="Arial" w:cs="Arial"/>
        <w:b/>
        <w:sz w:val="48"/>
      </w:rPr>
      <w:t>BG</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33C" w:rsidRPr="0069433C" w:rsidRDefault="0069433C" w:rsidP="0069433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33C" w:rsidRPr="0069433C" w:rsidRDefault="0069433C" w:rsidP="0069433C">
    <w:pPr>
      <w:pStyle w:val="Footer"/>
      <w:rPr>
        <w:rFonts w:ascii="Arial" w:hAnsi="Arial" w:cs="Arial"/>
        <w:b/>
        <w:sz w:val="48"/>
      </w:rPr>
    </w:pPr>
    <w:r w:rsidRPr="0069433C">
      <w:rPr>
        <w:rFonts w:ascii="Arial" w:hAnsi="Arial" w:cs="Arial"/>
        <w:b/>
        <w:sz w:val="48"/>
      </w:rPr>
      <w:t>BG</w:t>
    </w:r>
    <w:r w:rsidRPr="0069433C">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69433C">
      <w:tab/>
    </w:r>
    <w:r w:rsidRPr="0069433C">
      <w:rPr>
        <w:rFonts w:ascii="Arial" w:hAnsi="Arial" w:cs="Arial"/>
        <w:b/>
        <w:sz w:val="48"/>
      </w:rPr>
      <w:t>BG</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33C" w:rsidRPr="0069433C" w:rsidRDefault="0069433C" w:rsidP="006943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1EDA" w:rsidRDefault="003F1EDA" w:rsidP="007E1AE4">
      <w:pPr>
        <w:spacing w:before="0" w:after="0"/>
      </w:pPr>
      <w:r>
        <w:separator/>
      </w:r>
    </w:p>
  </w:footnote>
  <w:footnote w:type="continuationSeparator" w:id="0">
    <w:p w:rsidR="003F1EDA" w:rsidRDefault="003F1EDA" w:rsidP="007E1AE4">
      <w:pPr>
        <w:spacing w:before="0" w:after="0"/>
      </w:pPr>
      <w:r>
        <w:continuationSeparator/>
      </w:r>
    </w:p>
  </w:footnote>
  <w:footnote w:type="continuationNotice" w:id="1">
    <w:p w:rsidR="003F1EDA" w:rsidRDefault="003F1EDA">
      <w:pPr>
        <w:spacing w:before="0" w:after="0"/>
      </w:pPr>
    </w:p>
  </w:footnote>
  <w:footnote w:id="2">
    <w:p w:rsidR="007E1AE4" w:rsidRDefault="007E1AE4" w:rsidP="007E1AE4">
      <w:pPr>
        <w:pStyle w:val="FootnoteText"/>
      </w:pPr>
      <w:r>
        <w:rPr>
          <w:rStyle w:val="FootnoteReference"/>
        </w:rPr>
        <w:footnoteRef/>
      </w:r>
      <w:r>
        <w:tab/>
        <w:t xml:space="preserve">ОВ L 173, 12.6.2014 г., стр. 190. </w:t>
      </w:r>
    </w:p>
  </w:footnote>
  <w:footnote w:id="3">
    <w:p w:rsidR="00F0793D" w:rsidRPr="00F0793D" w:rsidRDefault="00F0793D">
      <w:pPr>
        <w:pStyle w:val="FootnoteText"/>
      </w:pPr>
      <w:r>
        <w:rPr>
          <w:rStyle w:val="FootnoteReference"/>
        </w:rPr>
        <w:footnoteRef/>
      </w:r>
      <w:r>
        <w:tab/>
      </w:r>
      <w:r>
        <w:rPr>
          <w:rStyle w:val="Strong"/>
          <w:b w:val="0"/>
          <w:color w:val="444444"/>
        </w:rPr>
        <w:t xml:space="preserve">Регламент за изпълнение (ЕС) 2016/1066 на Комисията от 17 юни 2016 година за определяне на технически стандарти за изпълнение по отношение на процедурите, стандартните формуляри и образците за предоставянето на информация за целите на плановете за преструктуриране на кредитните институции и инвестиционните </w:t>
      </w:r>
      <w:proofErr w:type="spellStart"/>
      <w:r>
        <w:rPr>
          <w:rStyle w:val="Strong"/>
          <w:b w:val="0"/>
          <w:color w:val="444444"/>
        </w:rPr>
        <w:t>посредници</w:t>
      </w:r>
      <w:proofErr w:type="spellEnd"/>
      <w:r>
        <w:rPr>
          <w:rStyle w:val="Strong"/>
          <w:b w:val="0"/>
          <w:color w:val="444444"/>
        </w:rPr>
        <w:t xml:space="preserve"> в съответствие с Директива 2014/59/ЕС на Европейския парламент и на Съвета (ОВ L</w:t>
      </w:r>
      <w:r>
        <w:rPr>
          <w:rStyle w:val="Strong"/>
          <w:color w:val="444444"/>
        </w:rPr>
        <w:t xml:space="preserve"> </w:t>
      </w:r>
      <w:r>
        <w:rPr>
          <w:color w:val="444444"/>
        </w:rPr>
        <w:t>181, 6.7.2016 г., стр. 1).</w:t>
      </w:r>
    </w:p>
  </w:footnote>
  <w:footnote w:id="4">
    <w:p w:rsidR="002A074B" w:rsidRPr="002A074B" w:rsidRDefault="002A074B">
      <w:pPr>
        <w:pStyle w:val="FootnoteText"/>
      </w:pPr>
      <w:r>
        <w:rPr>
          <w:rStyle w:val="FootnoteReference"/>
        </w:rPr>
        <w:footnoteRef/>
      </w:r>
      <w:r>
        <w:tab/>
      </w:r>
      <w:r>
        <w:rPr>
          <w:rStyle w:val="Strong"/>
          <w:b w:val="0"/>
          <w:color w:val="444444"/>
        </w:rPr>
        <w:t>Регламент (ЕС) № 1093/2010 на Европейския парламент и на Съвета от 24 ноември 2010 г. за създаване на Европейски надзорен орган (Европейски банков орган), за изменение на Решение № 716/2009/ЕО и за отмяна на Решение 2009/78/ЕО на Комисията (</w:t>
      </w:r>
      <w:r>
        <w:rPr>
          <w:color w:val="444444"/>
        </w:rPr>
        <w:t>OВ L 331, 15.12.2010 г., стр. 12).</w:t>
      </w:r>
    </w:p>
  </w:footnote>
  <w:footnote w:id="5">
    <w:p w:rsidR="00F80209" w:rsidRPr="0031364A" w:rsidRDefault="00F80209" w:rsidP="00F80209">
      <w:pPr>
        <w:pStyle w:val="FootnoteText"/>
      </w:pPr>
      <w:r>
        <w:rPr>
          <w:rStyle w:val="FootnoteReference"/>
        </w:rPr>
        <w:footnoteRef/>
      </w:r>
      <w:r>
        <w:tab/>
      </w:r>
      <w:r>
        <w:rPr>
          <w:rStyle w:val="Strong"/>
          <w:b w:val="0"/>
          <w:color w:val="444444"/>
        </w:rPr>
        <w:t xml:space="preserve">Регламент (ЕС) № 575/2013 на Европейския парламент и на Съвета от 26 юни 2013 г. относно </w:t>
      </w:r>
      <w:proofErr w:type="spellStart"/>
      <w:r>
        <w:rPr>
          <w:rStyle w:val="Strong"/>
          <w:b w:val="0"/>
          <w:color w:val="444444"/>
        </w:rPr>
        <w:t>пруденциалните</w:t>
      </w:r>
      <w:proofErr w:type="spellEnd"/>
      <w:r>
        <w:rPr>
          <w:rStyle w:val="Strong"/>
          <w:b w:val="0"/>
          <w:color w:val="444444"/>
        </w:rPr>
        <w:t xml:space="preserve"> изисквания за кредитните институции и инвестиционните </w:t>
      </w:r>
      <w:proofErr w:type="spellStart"/>
      <w:r>
        <w:rPr>
          <w:rStyle w:val="Strong"/>
          <w:b w:val="0"/>
          <w:color w:val="444444"/>
        </w:rPr>
        <w:t>посредници</w:t>
      </w:r>
      <w:proofErr w:type="spellEnd"/>
      <w:r>
        <w:rPr>
          <w:rStyle w:val="Strong"/>
          <w:b w:val="0"/>
          <w:color w:val="444444"/>
        </w:rPr>
        <w:t xml:space="preserve"> и за изменение на Регламент (ЕС) № 648/2012 </w:t>
      </w:r>
      <w:r>
        <w:rPr>
          <w:rStyle w:val="Strong"/>
          <w:rFonts w:ascii="Lucida Grande" w:hAnsi="Lucida Grande"/>
          <w:color w:val="444444"/>
        </w:rPr>
        <w:t xml:space="preserve"> </w:t>
      </w:r>
      <w:r>
        <w:rPr>
          <w:color w:val="444444"/>
        </w:rPr>
        <w:t>(ОВ L 176, 27.6.2013 г., стр.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33C" w:rsidRPr="0069433C" w:rsidRDefault="0069433C" w:rsidP="0069433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33C" w:rsidRPr="0069433C" w:rsidRDefault="0069433C" w:rsidP="0069433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33C" w:rsidRPr="0069433C" w:rsidRDefault="0069433C" w:rsidP="0069433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67AE0BDE"/>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A0B6E06C"/>
    <w:lvl w:ilvl="0">
      <w:start w:val="1"/>
      <w:numFmt w:val="decimal"/>
      <w:pStyle w:val="ListNumber3"/>
      <w:lvlText w:val="%1."/>
      <w:lvlJc w:val="left"/>
      <w:pPr>
        <w:tabs>
          <w:tab w:val="num" w:pos="926"/>
        </w:tabs>
        <w:ind w:left="926" w:hanging="360"/>
      </w:pPr>
    </w:lvl>
  </w:abstractNum>
  <w:abstractNum w:abstractNumId="2">
    <w:nsid w:val="FFFFFF7F"/>
    <w:multiLevelType w:val="singleLevel"/>
    <w:tmpl w:val="E6A02ED8"/>
    <w:lvl w:ilvl="0">
      <w:start w:val="1"/>
      <w:numFmt w:val="decimal"/>
      <w:pStyle w:val="ListNumber2"/>
      <w:lvlText w:val="%1."/>
      <w:lvlJc w:val="left"/>
      <w:pPr>
        <w:tabs>
          <w:tab w:val="num" w:pos="643"/>
        </w:tabs>
        <w:ind w:left="643" w:hanging="360"/>
      </w:pPr>
    </w:lvl>
  </w:abstractNum>
  <w:abstractNum w:abstractNumId="3">
    <w:nsid w:val="FFFFFF81"/>
    <w:multiLevelType w:val="singleLevel"/>
    <w:tmpl w:val="790064EE"/>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E6EA64AC"/>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81F03168"/>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936E91B8"/>
    <w:lvl w:ilvl="0">
      <w:start w:val="1"/>
      <w:numFmt w:val="decimal"/>
      <w:pStyle w:val="ListNumber"/>
      <w:lvlText w:val="%1."/>
      <w:lvlJc w:val="left"/>
      <w:pPr>
        <w:tabs>
          <w:tab w:val="num" w:pos="360"/>
        </w:tabs>
        <w:ind w:left="360" w:hanging="360"/>
      </w:pPr>
    </w:lvl>
  </w:abstractNum>
  <w:abstractNum w:abstractNumId="7">
    <w:nsid w:val="FFFFFF89"/>
    <w:multiLevelType w:val="singleLevel"/>
    <w:tmpl w:val="F2C286F8"/>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lvlOverride w:ilvl="0">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5"/>
  </w:num>
  <w:num w:numId="10">
    <w:abstractNumId w:val="4"/>
  </w:num>
  <w:num w:numId="11">
    <w:abstractNumId w:val="3"/>
  </w:num>
  <w:num w:numId="12">
    <w:abstractNumId w:val="6"/>
  </w:num>
  <w:num w:numId="13">
    <w:abstractNumId w:val="2"/>
  </w:num>
  <w:num w:numId="14">
    <w:abstractNumId w:val="1"/>
  </w:num>
  <w:num w:numId="15">
    <w:abstractNumId w:val="0"/>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12"/>
  </w:num>
  <w:num w:numId="19">
    <w:abstractNumId w:val="20"/>
  </w:num>
  <w:num w:numId="20">
    <w:abstractNumId w:val="11"/>
  </w:num>
  <w:num w:numId="21">
    <w:abstractNumId w:val="13"/>
  </w:num>
  <w:num w:numId="22">
    <w:abstractNumId w:val="9"/>
  </w:num>
  <w:num w:numId="23">
    <w:abstractNumId w:val="19"/>
  </w:num>
  <w:num w:numId="24">
    <w:abstractNumId w:val="8"/>
  </w:num>
  <w:num w:numId="25">
    <w:abstractNumId w:val="14"/>
  </w:num>
  <w:num w:numId="26">
    <w:abstractNumId w:val="16"/>
  </w:num>
  <w:num w:numId="27">
    <w:abstractNumId w:val="17"/>
  </w:num>
  <w:num w:numId="28">
    <w:abstractNumId w:val="10"/>
  </w:num>
  <w:num w:numId="29">
    <w:abstractNumId w:val="15"/>
  </w:num>
  <w:num w:numId="30">
    <w:abstractNumId w:val="2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0"/>
  <w:proofState w:spelling="clean" w:grammar="clean"/>
  <w:attachedTemplate r:id="rId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QCDateTime" w:val="2018-09-20 09:29:21"/>
    <w:docVar w:name="DQCResult_Distribution" w:val="0;1"/>
    <w:docVar w:name="DQCResult_DocumentContent" w:val="0;0"/>
    <w:docVar w:name="DQCResult_DocumentSize" w:val="0;0"/>
    <w:docVar w:name="DQCResult_DocumentVersions" w:val="0;0"/>
    <w:docVar w:name="DQCResult_InvalidFootnotes" w:val="0;0"/>
    <w:docVar w:name="DQCResult_LinkedStyles" w:val="0;0"/>
    <w:docVar w:name="DQCResult_ModifiedMargins" w:val="0;2"/>
    <w:docVar w:name="DQCResult_ModifiedMarkers" w:val="0;0"/>
    <w:docVar w:name="DQCResult_ModifiedNumbering" w:val="0;0"/>
    <w:docVar w:name="DQCResult_Objects" w:val="0;0"/>
    <w:docVar w:name="DQCResult_Sections" w:val="0;0"/>
    <w:docVar w:name="DQCResult_StructureCheck" w:val="0;0"/>
    <w:docVar w:name="DQCResult_SuperfluousWhitespace" w:val="0;7"/>
    <w:docVar w:name="DQCResult_UnknownFonts" w:val="0;0"/>
    <w:docVar w:name="DQCResult_UnknownStyles" w:val="0;0"/>
    <w:docVar w:name="DQCStatus" w:val="Green"/>
    <w:docVar w:name="DQCVersion" w:val="3"/>
    <w:docVar w:name="DQCWithWarnings" w:val="0"/>
    <w:docVar w:name="LW_COVERPAGE_EXISTS" w:val="True"/>
    <w:docVar w:name="LW_COVERPAGE_GUID" w:val="484E6E35-CBCA-45C4-890C-DAB783512887"/>
    <w:docVar w:name="LW_COVERPAGE_TYPE" w:val="1"/>
    <w:docVar w:name="LW_CROSSREFERENCE" w:val="&lt;UNUSED&gt;"/>
    <w:docVar w:name="LW_DATE.ADOPT.CP" w:val="\u1086?\u1090? XXX \u1075?\u1086?\u1076?\u1080?\u1085?\u1072?"/>
    <w:docVar w:name="LW_DATE.ADOPT.CP_DATEFORMAT" w:val="\u1086?\u1090? %DATE% \u1075?\u1086?\u1076?\u1080?\u1085?\u1072?"/>
    <w:docVar w:name="LW_DATE.ADOPT.CP_ISODATE" w:val="&lt;EMPTY&gt;"/>
    <w:docVar w:name="LW_DocType" w:val="COM"/>
    <w:docVar w:name="LW_EMISSION" w:val="&lt;EMPTY&gt;"/>
    <w:docVar w:name="LW_EMISSION_ISODATE" w:val="&lt;EMPTY&gt;"/>
    <w:docVar w:name="LW_EMISSION_LOCATION" w:val="BRX"/>
    <w:docVar w:name="LW_EMISSION_PREFIX" w:val="\u1041?\u1088?\u1102?\u1082?\u1089?\u1077?\u1083?, "/>
    <w:docVar w:name="LW_EMISSION_SUFFIX" w:val="&lt;EMPTY&gt;"/>
    <w:docVar w:name="LW_ID_DOCMODEL" w:val="SJ-004"/>
    <w:docVar w:name="LW_ID_DOCSIGNATURE" w:val="SJ-004"/>
    <w:docVar w:name="LW_ID_DOCSTRUCTURE" w:val="COM/AA"/>
    <w:docVar w:name="LW_ID_DOCTYPE" w:val="SJ-004"/>
    <w:docVar w:name="LW_INTERETEEE.CP" w:val="(\u1090?\u1077?\u1082?\u1089?\u1090? \u1086?\u1090? \u1079?\u1085?\u1072?\u1095?\u1077?\u1085?\u1080?\u1077? \u1079?\u1072? \u1045?\u1048?\u1055?)"/>
    <w:docVar w:name="LW_LANGUE" w:val="BG"/>
    <w:docVar w:name="LW_LANGUESFAISANTFOI.CP" w:val="&lt;UNUSED&gt;"/>
    <w:docVar w:name="LW_LEVEL_OF_SENSITIVITY" w:val="Standard treatment"/>
    <w:docVar w:name="LW_NOM.INST" w:val="\u1045?\u1042?\u1056?\u1054?\u1055?\u1045?\u1049?\u1057?\u1050?\u1040? \u1050?\u1054?\u1052?\u1048?\u1057?\u1048?\u1071?"/>
    <w:docVar w:name="LW_NOM.INST_JOINTDOC" w:val="&lt;EMPTY&gt;"/>
    <w:docVar w:name="LW_PART_NBR" w:val="1"/>
    <w:docVar w:name="LW_PART_NBR_TOTAL" w:val="1"/>
    <w:docVar w:name="LW_REF.INST.NEW" w:val="&lt;EMPTY&gt;"/>
    <w:docVar w:name="LW_REF.INST.NEW_ADOPTED" w:val="draft"/>
    <w:docVar w:name="LW_REF.INST.NEW_TEXT" w:val="(2018)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 xsi:nil=&quot;true&quot; /&gt;_x000d__x000a_  &lt;limited xsi:nil=&quot;true&quot; /&gt;_x000d__x000a_  &lt;detached xsi:nil=&quot;true&quot; /&gt;_x000d__x000a_  &lt;declassify xsi:nil=&quot;true&quot; /&gt;_x000d__x000a_  &lt;headerTexts xsi:nil=&quot;true&quot; /&gt;_x000d__x000a_  &lt;footerTexts xsi:nil=&quot;true&quot; /&gt;_x000d__x000a_  &lt;footnote xsi:nil=&quot;true&quot; /&gt;_x000d__x000a_  &lt;isRestricted&gt;false&lt;/isRestricted&gt;_x000d__x000a_&lt;/SensitivityLevel&gt;"/>
    <w:docVar w:name="LW_SUPERTITRE" w:val="&lt;UNUSED&gt;"/>
    <w:docVar w:name="LW_TITRE.OBJ.CP" w:val="\u1079?\u1072? \u1086?\u1087?\u1088?\u1077?\u1076?\u1077?\u1083?\u1103?\u1085?\u1077? \u1085?\u1072? \u1090?\u1077?\u1093?\u1085?\u1080?\u1095?\u1077?\u1089?\u1082?\u1080? \u1089?\u1090?\u1072?\u1085?\u1076?\u1072?\u1088?\u1090?\u1080? \u1079?\u1072? \u1080?\u1079?\u1087?\u1098?\u1083?\u1085?\u1077?\u1085?\u1080?\u1077? \u1087?\u1086? \u1086?\u1090?\u1085?\u1086?\u1096?\u1077?\u1085?\u1080?\u1077? \u1085?\u1072? \u1087?\u1088?\u1086?\u1094?\u1077?\u1076?\u1091?\u1088?\u1080?\u1090?\u1077?, \u1089?\u1090?\u1072?\u1085?\u1076?\u1072?\u1088?\u1090?\u1085?\u1080?\u1090?\u1077? \u1092?\u1086?\u1088?\u1084?\u1091?\u1083?\u1103?\u1088?\u1080? \u1080? \u1086?\u1073?\u1088?\u1072?\u1079?\u1094?\u1080?\u1090?\u1077? \u1079?\u1072? \u1087?\u1088?\u1077?\u1076?\u1086?\u1089?\u1090?\u1072?\u1074?\u1103?\u1085?\u1077?\u1090?\u1086? \u1085?\u1072? \u1080?\u1085?\u1092?\u1086?\u1088?\u1084?\u1072?\u1094?\u1080?\u1103? \u1079?\u1072? \u1094?\u1077?\u1083?\u1080?\u1090?\u1077? \u1085?\u1072? \u1087?\u1083?\u1072?\u1085?\u1086?\u1074?\u1077?\u1090?\u1077? \u1079?\u1072? \u1087?\u1088?\u1077?\u1089?\u1090?\u1088?\u1091?\u1082?\u1090?\u1091?\u1088?\u1080?\u1088?\u1072?\u1085?\u1077? \u1085?\u1072? \u1082?\u1088?\u1077?\u1076?\u1080?\u1090?\u1085?\u1080? \u1080?\u1085?\u1089?\u1090?\u1080?\u1090?\u1091?\u1094?\u1080?\u1080? \u1080? \u1080?\u1085?\u1074?\u1077?\u1089?\u1090?\u1080?\u1094?\u1080?\u1086?\u1085?\u1085?\u1080? \u1087?\u1086?\u1089?\u1088?\u1077?\u1076?\u1085?\u1080?\u1094?\u1080? \u1074? \u1089?\u1098?\u1086?\u1090?\u1074?\u1077?\u1090?\u1089?\u1090?\u1074?\u1080?\u1077? \u1089? \u1044?\u1080?\u1088?\u1077?\u1082?\u1090?\u1080?\u1074?\u1072? 2014/59/\u1045?\u1057? \u1085?\u1072? \u1045?\u1074?\u1088?\u1086?\u1087?\u1077?\u1081?\u1089?\u1082?\u1080?\u1103? \u1087?\u1072?\u1088?\u1083?\u1072?\u1084?\u1077?\u1085?\u1090? \u1080? \u1085?\u1072? \u1057?\u1098?\u1074?\u1077?\u1090?\u1072? \u1080? \u1079?\u1072? \u1086?\u1090?\u1084?\u1103?\u1085?\u1072? \u1085?\u1072? \u1056?\u1077?\u1075?\u1083?\u1072?\u1084?\u1077?\u1085?\u1090? \u1079?\u1072? \u1080?\u1079?\u1087?\u1098?\u1083?\u1085?\u1077?\u1085?\u1080?\u1077? (\u1045?\u1057?) \u8470? 2016/1066 \u1085?\u1072? \u1050?\u1086?\u1084?\u1080?\u1089?\u1080?\u1103?\u1090?\u1072?_x000b_"/>
    <w:docVar w:name="LW_TYPE.DOC.CP" w:val="\u1056?\u1045?\u1043?\u1051?\u1040?\u1052?\u1045?\u1053?\u1058? \u1047?\u1040? \u1048?\u1047?\u1055?\u1066?\u1051?\u1053?\u1045?\u1053?\u1048?\u1045? (\u1045?\u1057?) .../\u8230? \u1053?\u1040? \u1050?\u1054?\u1052?\u1048?\u1057?\u1048?\u1071?\u1058?\u1040?"/>
  </w:docVars>
  <w:rsids>
    <w:rsidRoot w:val="007E1AE4"/>
    <w:rsid w:val="00010CE0"/>
    <w:rsid w:val="00011EF9"/>
    <w:rsid w:val="00016E3C"/>
    <w:rsid w:val="00045775"/>
    <w:rsid w:val="000652E4"/>
    <w:rsid w:val="00085B09"/>
    <w:rsid w:val="000B175A"/>
    <w:rsid w:val="000B1FCC"/>
    <w:rsid w:val="000B693A"/>
    <w:rsid w:val="000D46EE"/>
    <w:rsid w:val="000D7AF5"/>
    <w:rsid w:val="001122B8"/>
    <w:rsid w:val="001128B5"/>
    <w:rsid w:val="00114A2A"/>
    <w:rsid w:val="001150B6"/>
    <w:rsid w:val="00123A59"/>
    <w:rsid w:val="001314DF"/>
    <w:rsid w:val="00163111"/>
    <w:rsid w:val="001756CB"/>
    <w:rsid w:val="00184C87"/>
    <w:rsid w:val="00186803"/>
    <w:rsid w:val="001B3416"/>
    <w:rsid w:val="001C2CA3"/>
    <w:rsid w:val="001D3BB3"/>
    <w:rsid w:val="0020244B"/>
    <w:rsid w:val="002122BA"/>
    <w:rsid w:val="00230B23"/>
    <w:rsid w:val="00241B08"/>
    <w:rsid w:val="0024612D"/>
    <w:rsid w:val="00246AAD"/>
    <w:rsid w:val="00246D1F"/>
    <w:rsid w:val="0025331F"/>
    <w:rsid w:val="00261C44"/>
    <w:rsid w:val="00264849"/>
    <w:rsid w:val="00273108"/>
    <w:rsid w:val="00277FAF"/>
    <w:rsid w:val="00283292"/>
    <w:rsid w:val="002A074B"/>
    <w:rsid w:val="002B1D1A"/>
    <w:rsid w:val="002C00CC"/>
    <w:rsid w:val="002C0C3E"/>
    <w:rsid w:val="002C2964"/>
    <w:rsid w:val="002C3CCB"/>
    <w:rsid w:val="002E476B"/>
    <w:rsid w:val="002E5442"/>
    <w:rsid w:val="003055F2"/>
    <w:rsid w:val="0031364A"/>
    <w:rsid w:val="00322357"/>
    <w:rsid w:val="00350CE8"/>
    <w:rsid w:val="00351D93"/>
    <w:rsid w:val="00352527"/>
    <w:rsid w:val="00363369"/>
    <w:rsid w:val="0036372D"/>
    <w:rsid w:val="003719B9"/>
    <w:rsid w:val="00381ADF"/>
    <w:rsid w:val="00384807"/>
    <w:rsid w:val="003B27FA"/>
    <w:rsid w:val="003B635C"/>
    <w:rsid w:val="003C2176"/>
    <w:rsid w:val="003D246B"/>
    <w:rsid w:val="003F1EDA"/>
    <w:rsid w:val="0040594A"/>
    <w:rsid w:val="00440366"/>
    <w:rsid w:val="00445226"/>
    <w:rsid w:val="00470B31"/>
    <w:rsid w:val="00474AFF"/>
    <w:rsid w:val="00475C77"/>
    <w:rsid w:val="00487430"/>
    <w:rsid w:val="00496A91"/>
    <w:rsid w:val="004B7AE8"/>
    <w:rsid w:val="004C0C7E"/>
    <w:rsid w:val="004C356C"/>
    <w:rsid w:val="004C6737"/>
    <w:rsid w:val="004F1DD1"/>
    <w:rsid w:val="004F4508"/>
    <w:rsid w:val="004F5776"/>
    <w:rsid w:val="005062D8"/>
    <w:rsid w:val="00506BAD"/>
    <w:rsid w:val="00507023"/>
    <w:rsid w:val="0051415A"/>
    <w:rsid w:val="005253B6"/>
    <w:rsid w:val="00551251"/>
    <w:rsid w:val="00553D80"/>
    <w:rsid w:val="00557A7A"/>
    <w:rsid w:val="00580F39"/>
    <w:rsid w:val="0058279A"/>
    <w:rsid w:val="00596BD8"/>
    <w:rsid w:val="005A49E0"/>
    <w:rsid w:val="005A4ED6"/>
    <w:rsid w:val="005C684A"/>
    <w:rsid w:val="005E53D8"/>
    <w:rsid w:val="006057FF"/>
    <w:rsid w:val="00613CA5"/>
    <w:rsid w:val="00640780"/>
    <w:rsid w:val="0064388D"/>
    <w:rsid w:val="00647FAA"/>
    <w:rsid w:val="00662A55"/>
    <w:rsid w:val="0069433C"/>
    <w:rsid w:val="006973C7"/>
    <w:rsid w:val="006B0993"/>
    <w:rsid w:val="006B32F4"/>
    <w:rsid w:val="006B3618"/>
    <w:rsid w:val="006C0762"/>
    <w:rsid w:val="006C351D"/>
    <w:rsid w:val="006D0EA9"/>
    <w:rsid w:val="006D572A"/>
    <w:rsid w:val="006E1E68"/>
    <w:rsid w:val="00700D72"/>
    <w:rsid w:val="00703A40"/>
    <w:rsid w:val="00724C75"/>
    <w:rsid w:val="00735653"/>
    <w:rsid w:val="00744443"/>
    <w:rsid w:val="00754A18"/>
    <w:rsid w:val="00756697"/>
    <w:rsid w:val="007653D3"/>
    <w:rsid w:val="007D178B"/>
    <w:rsid w:val="007D4E40"/>
    <w:rsid w:val="007E1AE4"/>
    <w:rsid w:val="007F15B1"/>
    <w:rsid w:val="00826B02"/>
    <w:rsid w:val="008272CE"/>
    <w:rsid w:val="00827CF3"/>
    <w:rsid w:val="00851107"/>
    <w:rsid w:val="00856A5A"/>
    <w:rsid w:val="0085759F"/>
    <w:rsid w:val="0087230F"/>
    <w:rsid w:val="00877878"/>
    <w:rsid w:val="00886F23"/>
    <w:rsid w:val="008A1250"/>
    <w:rsid w:val="008B2DD5"/>
    <w:rsid w:val="008E449C"/>
    <w:rsid w:val="00971395"/>
    <w:rsid w:val="00974495"/>
    <w:rsid w:val="00976B40"/>
    <w:rsid w:val="00982D8B"/>
    <w:rsid w:val="00985C42"/>
    <w:rsid w:val="009C42AE"/>
    <w:rsid w:val="009C57E6"/>
    <w:rsid w:val="009E4EA1"/>
    <w:rsid w:val="009F137C"/>
    <w:rsid w:val="009F5E9A"/>
    <w:rsid w:val="00A05A75"/>
    <w:rsid w:val="00A05B6C"/>
    <w:rsid w:val="00A17005"/>
    <w:rsid w:val="00A17425"/>
    <w:rsid w:val="00A3683E"/>
    <w:rsid w:val="00A36B4B"/>
    <w:rsid w:val="00A44881"/>
    <w:rsid w:val="00A81692"/>
    <w:rsid w:val="00A82A0A"/>
    <w:rsid w:val="00A84F53"/>
    <w:rsid w:val="00AA6701"/>
    <w:rsid w:val="00AB1830"/>
    <w:rsid w:val="00AC4037"/>
    <w:rsid w:val="00AD43FC"/>
    <w:rsid w:val="00AD470D"/>
    <w:rsid w:val="00AD6666"/>
    <w:rsid w:val="00AE1240"/>
    <w:rsid w:val="00AE3954"/>
    <w:rsid w:val="00AF4982"/>
    <w:rsid w:val="00B15CF6"/>
    <w:rsid w:val="00B21371"/>
    <w:rsid w:val="00B52FD6"/>
    <w:rsid w:val="00B60E51"/>
    <w:rsid w:val="00B70E5B"/>
    <w:rsid w:val="00B86A50"/>
    <w:rsid w:val="00B90FAF"/>
    <w:rsid w:val="00B9189E"/>
    <w:rsid w:val="00B92E00"/>
    <w:rsid w:val="00BE55A2"/>
    <w:rsid w:val="00BF5927"/>
    <w:rsid w:val="00BF7ABD"/>
    <w:rsid w:val="00C26D26"/>
    <w:rsid w:val="00C32916"/>
    <w:rsid w:val="00C36E0D"/>
    <w:rsid w:val="00C50809"/>
    <w:rsid w:val="00C62DBD"/>
    <w:rsid w:val="00C867D6"/>
    <w:rsid w:val="00C92875"/>
    <w:rsid w:val="00C962D1"/>
    <w:rsid w:val="00CA51B8"/>
    <w:rsid w:val="00CC2DCA"/>
    <w:rsid w:val="00CD6E87"/>
    <w:rsid w:val="00D1420D"/>
    <w:rsid w:val="00D22B84"/>
    <w:rsid w:val="00D27A0D"/>
    <w:rsid w:val="00D30713"/>
    <w:rsid w:val="00D37BA1"/>
    <w:rsid w:val="00D54C52"/>
    <w:rsid w:val="00D55C73"/>
    <w:rsid w:val="00D566C6"/>
    <w:rsid w:val="00D71E52"/>
    <w:rsid w:val="00D91FE8"/>
    <w:rsid w:val="00DB1F00"/>
    <w:rsid w:val="00DC7B42"/>
    <w:rsid w:val="00DD117C"/>
    <w:rsid w:val="00DD7310"/>
    <w:rsid w:val="00DF1ABD"/>
    <w:rsid w:val="00E062A5"/>
    <w:rsid w:val="00E1125E"/>
    <w:rsid w:val="00E31E1B"/>
    <w:rsid w:val="00E44B03"/>
    <w:rsid w:val="00E50675"/>
    <w:rsid w:val="00E96E2F"/>
    <w:rsid w:val="00EA4421"/>
    <w:rsid w:val="00EB1CD0"/>
    <w:rsid w:val="00EC1B80"/>
    <w:rsid w:val="00F0793D"/>
    <w:rsid w:val="00F123A3"/>
    <w:rsid w:val="00F14DE3"/>
    <w:rsid w:val="00F37AC9"/>
    <w:rsid w:val="00F53AB1"/>
    <w:rsid w:val="00F7102B"/>
    <w:rsid w:val="00F72A53"/>
    <w:rsid w:val="00F73FEB"/>
    <w:rsid w:val="00F80209"/>
    <w:rsid w:val="00F92B5B"/>
    <w:rsid w:val="00F94096"/>
    <w:rsid w:val="00F9560A"/>
    <w:rsid w:val="00FA04A0"/>
    <w:rsid w:val="00FA333B"/>
    <w:rsid w:val="00FA55FB"/>
    <w:rsid w:val="00FD3070"/>
    <w:rsid w:val="00FF18D2"/>
    <w:rsid w:val="00FF3B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bg-BG"/>
    </w:rPr>
  </w:style>
  <w:style w:type="paragraph" w:styleId="Heading1">
    <w:name w:val="heading 1"/>
    <w:basedOn w:val="Normal"/>
    <w:next w:val="Text1"/>
    <w:link w:val="Heading1Char"/>
    <w:uiPriority w:val="9"/>
    <w:qFormat/>
    <w:rsid w:val="00877878"/>
    <w:pPr>
      <w:keepNext/>
      <w:numPr>
        <w:numId w:val="23"/>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877878"/>
    <w:pPr>
      <w:keepNext/>
      <w:numPr>
        <w:ilvl w:val="1"/>
        <w:numId w:val="23"/>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877878"/>
    <w:pPr>
      <w:keepNext/>
      <w:numPr>
        <w:ilvl w:val="2"/>
        <w:numId w:val="23"/>
      </w:numPr>
      <w:outlineLvl w:val="2"/>
    </w:pPr>
    <w:rPr>
      <w:rFonts w:eastAsiaTheme="majorEastAsia"/>
      <w:bCs/>
      <w:i/>
    </w:rPr>
  </w:style>
  <w:style w:type="paragraph" w:styleId="Heading4">
    <w:name w:val="heading 4"/>
    <w:basedOn w:val="Normal"/>
    <w:next w:val="Text1"/>
    <w:link w:val="Heading4Char"/>
    <w:uiPriority w:val="9"/>
    <w:semiHidden/>
    <w:unhideWhenUsed/>
    <w:qFormat/>
    <w:rsid w:val="00877878"/>
    <w:pPr>
      <w:keepNext/>
      <w:numPr>
        <w:ilvl w:val="3"/>
        <w:numId w:val="23"/>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phe EI,Paragraphe de liste1,EC"/>
    <w:basedOn w:val="Normal"/>
    <w:link w:val="ListParagraphChar"/>
    <w:uiPriority w:val="34"/>
    <w:qFormat/>
    <w:rsid w:val="007E1AE4"/>
    <w:pPr>
      <w:ind w:left="720"/>
      <w:contextualSpacing/>
    </w:pPr>
  </w:style>
  <w:style w:type="character" w:customStyle="1" w:styleId="ListParagraphChar">
    <w:name w:val="List Paragraph Char"/>
    <w:aliases w:val="Paragraphe EI Char,Paragraphe de liste1 Char,EC Char"/>
    <w:basedOn w:val="DefaultParagraphFont"/>
    <w:link w:val="ListParagraph"/>
    <w:uiPriority w:val="34"/>
    <w:rsid w:val="007E1AE4"/>
    <w:rPr>
      <w:rFonts w:ascii="Times New Roman" w:hAnsi="Times New Roman" w:cs="Times New Roman"/>
      <w:sz w:val="24"/>
      <w:lang w:val="bg-BG"/>
    </w:rPr>
  </w:style>
  <w:style w:type="paragraph" w:styleId="Caption">
    <w:name w:val="caption"/>
    <w:basedOn w:val="Normal"/>
    <w:next w:val="Normal"/>
    <w:uiPriority w:val="35"/>
    <w:semiHidden/>
    <w:unhideWhenUsed/>
    <w:qFormat/>
    <w:rsid w:val="00EB1CD0"/>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EB1CD0"/>
    <w:pPr>
      <w:spacing w:after="0"/>
    </w:pPr>
  </w:style>
  <w:style w:type="paragraph" w:styleId="ListBullet">
    <w:name w:val="List Bullet"/>
    <w:basedOn w:val="Normal"/>
    <w:uiPriority w:val="99"/>
    <w:semiHidden/>
    <w:unhideWhenUsed/>
    <w:rsid w:val="00EB1CD0"/>
    <w:pPr>
      <w:numPr>
        <w:numId w:val="8"/>
      </w:numPr>
      <w:contextualSpacing/>
    </w:pPr>
  </w:style>
  <w:style w:type="paragraph" w:styleId="ListBullet2">
    <w:name w:val="List Bullet 2"/>
    <w:basedOn w:val="Normal"/>
    <w:uiPriority w:val="99"/>
    <w:semiHidden/>
    <w:unhideWhenUsed/>
    <w:rsid w:val="00EB1CD0"/>
    <w:pPr>
      <w:numPr>
        <w:numId w:val="9"/>
      </w:numPr>
      <w:contextualSpacing/>
    </w:pPr>
  </w:style>
  <w:style w:type="paragraph" w:styleId="ListBullet3">
    <w:name w:val="List Bullet 3"/>
    <w:basedOn w:val="Normal"/>
    <w:uiPriority w:val="99"/>
    <w:semiHidden/>
    <w:unhideWhenUsed/>
    <w:rsid w:val="00EB1CD0"/>
    <w:pPr>
      <w:numPr>
        <w:numId w:val="10"/>
      </w:numPr>
      <w:contextualSpacing/>
    </w:pPr>
  </w:style>
  <w:style w:type="paragraph" w:styleId="ListBullet4">
    <w:name w:val="List Bullet 4"/>
    <w:basedOn w:val="Normal"/>
    <w:uiPriority w:val="99"/>
    <w:semiHidden/>
    <w:unhideWhenUsed/>
    <w:rsid w:val="00EB1CD0"/>
    <w:pPr>
      <w:numPr>
        <w:numId w:val="11"/>
      </w:numPr>
      <w:contextualSpacing/>
    </w:pPr>
  </w:style>
  <w:style w:type="paragraph" w:styleId="ListNumber">
    <w:name w:val="List Number"/>
    <w:basedOn w:val="Normal"/>
    <w:uiPriority w:val="99"/>
    <w:semiHidden/>
    <w:unhideWhenUsed/>
    <w:rsid w:val="00EB1CD0"/>
    <w:pPr>
      <w:numPr>
        <w:numId w:val="12"/>
      </w:numPr>
      <w:contextualSpacing/>
    </w:pPr>
  </w:style>
  <w:style w:type="paragraph" w:styleId="ListNumber2">
    <w:name w:val="List Number 2"/>
    <w:basedOn w:val="Normal"/>
    <w:uiPriority w:val="99"/>
    <w:semiHidden/>
    <w:unhideWhenUsed/>
    <w:rsid w:val="00EB1CD0"/>
    <w:pPr>
      <w:numPr>
        <w:numId w:val="13"/>
      </w:numPr>
      <w:contextualSpacing/>
    </w:pPr>
  </w:style>
  <w:style w:type="paragraph" w:styleId="ListNumber3">
    <w:name w:val="List Number 3"/>
    <w:basedOn w:val="Normal"/>
    <w:uiPriority w:val="99"/>
    <w:semiHidden/>
    <w:unhideWhenUsed/>
    <w:rsid w:val="003F1EDA"/>
    <w:pPr>
      <w:numPr>
        <w:numId w:val="14"/>
      </w:numPr>
      <w:tabs>
        <w:tab w:val="clear" w:pos="926"/>
        <w:tab w:val="num" w:pos="360"/>
      </w:tabs>
      <w:ind w:left="0" w:firstLine="0"/>
      <w:contextualSpacing/>
    </w:pPr>
  </w:style>
  <w:style w:type="paragraph" w:styleId="ListNumber4">
    <w:name w:val="List Number 4"/>
    <w:basedOn w:val="Normal"/>
    <w:uiPriority w:val="99"/>
    <w:semiHidden/>
    <w:unhideWhenUsed/>
    <w:rsid w:val="00EB1CD0"/>
    <w:pPr>
      <w:numPr>
        <w:numId w:val="15"/>
      </w:numPr>
      <w:contextualSpacing/>
    </w:pPr>
  </w:style>
  <w:style w:type="character" w:styleId="CommentReference">
    <w:name w:val="annotation reference"/>
    <w:basedOn w:val="DefaultParagraphFont"/>
    <w:uiPriority w:val="99"/>
    <w:semiHidden/>
    <w:unhideWhenUsed/>
    <w:rsid w:val="00D566C6"/>
    <w:rPr>
      <w:sz w:val="16"/>
      <w:szCs w:val="16"/>
    </w:rPr>
  </w:style>
  <w:style w:type="paragraph" w:styleId="CommentText">
    <w:name w:val="annotation text"/>
    <w:basedOn w:val="Normal"/>
    <w:link w:val="CommentTextChar"/>
    <w:uiPriority w:val="99"/>
    <w:semiHidden/>
    <w:unhideWhenUsed/>
    <w:rsid w:val="00D566C6"/>
    <w:rPr>
      <w:sz w:val="20"/>
      <w:szCs w:val="20"/>
    </w:rPr>
  </w:style>
  <w:style w:type="character" w:customStyle="1" w:styleId="CommentTextChar">
    <w:name w:val="Comment Text Char"/>
    <w:basedOn w:val="DefaultParagraphFont"/>
    <w:link w:val="CommentText"/>
    <w:uiPriority w:val="99"/>
    <w:semiHidden/>
    <w:rsid w:val="00D566C6"/>
    <w:rPr>
      <w:rFonts w:ascii="Times New Roman" w:hAnsi="Times New Roman" w:cs="Times New Roman"/>
      <w:sz w:val="20"/>
      <w:szCs w:val="20"/>
      <w:lang w:val="bg-BG"/>
    </w:rPr>
  </w:style>
  <w:style w:type="paragraph" w:styleId="CommentSubject">
    <w:name w:val="annotation subject"/>
    <w:basedOn w:val="CommentText"/>
    <w:next w:val="CommentText"/>
    <w:link w:val="CommentSubjectChar"/>
    <w:uiPriority w:val="99"/>
    <w:semiHidden/>
    <w:unhideWhenUsed/>
    <w:rsid w:val="00D566C6"/>
    <w:rPr>
      <w:b/>
      <w:bCs/>
    </w:rPr>
  </w:style>
  <w:style w:type="character" w:customStyle="1" w:styleId="CommentSubjectChar">
    <w:name w:val="Comment Subject Char"/>
    <w:basedOn w:val="CommentTextChar"/>
    <w:link w:val="CommentSubject"/>
    <w:uiPriority w:val="99"/>
    <w:semiHidden/>
    <w:rsid w:val="00D566C6"/>
    <w:rPr>
      <w:rFonts w:ascii="Times New Roman" w:hAnsi="Times New Roman" w:cs="Times New Roman"/>
      <w:b/>
      <w:bCs/>
      <w:sz w:val="20"/>
      <w:szCs w:val="20"/>
      <w:lang w:val="bg-BG"/>
    </w:rPr>
  </w:style>
  <w:style w:type="paragraph" w:styleId="BalloonText">
    <w:name w:val="Balloon Text"/>
    <w:basedOn w:val="Normal"/>
    <w:link w:val="BalloonTextChar"/>
    <w:uiPriority w:val="99"/>
    <w:semiHidden/>
    <w:unhideWhenUsed/>
    <w:rsid w:val="00D566C6"/>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66C6"/>
    <w:rPr>
      <w:rFonts w:ascii="Segoe UI" w:hAnsi="Segoe UI" w:cs="Segoe UI"/>
      <w:sz w:val="18"/>
      <w:szCs w:val="18"/>
      <w:lang w:val="bg-BG"/>
    </w:rPr>
  </w:style>
  <w:style w:type="character" w:styleId="Hyperlink">
    <w:name w:val="Hyperlink"/>
    <w:basedOn w:val="DefaultParagraphFont"/>
    <w:uiPriority w:val="99"/>
    <w:unhideWhenUsed/>
    <w:rsid w:val="00D566C6"/>
    <w:rPr>
      <w:color w:val="0000FF" w:themeColor="hyperlink"/>
      <w:u w:val="single"/>
    </w:rPr>
  </w:style>
  <w:style w:type="character" w:styleId="Strong">
    <w:name w:val="Strong"/>
    <w:basedOn w:val="DefaultParagraphFont"/>
    <w:uiPriority w:val="22"/>
    <w:qFormat/>
    <w:rsid w:val="00F0793D"/>
    <w:rPr>
      <w:b/>
      <w:bCs/>
    </w:rPr>
  </w:style>
  <w:style w:type="paragraph" w:styleId="Revision">
    <w:name w:val="Revision"/>
    <w:hidden/>
    <w:uiPriority w:val="99"/>
    <w:semiHidden/>
    <w:rsid w:val="000652E4"/>
    <w:pPr>
      <w:spacing w:after="0" w:line="240" w:lineRule="auto"/>
    </w:pPr>
    <w:rPr>
      <w:rFonts w:ascii="Times New Roman" w:hAnsi="Times New Roman" w:cs="Times New Roman"/>
      <w:sz w:val="24"/>
    </w:rPr>
  </w:style>
  <w:style w:type="paragraph" w:customStyle="1" w:styleId="CM1">
    <w:name w:val="CM1"/>
    <w:basedOn w:val="Normal"/>
    <w:next w:val="Normal"/>
    <w:uiPriority w:val="99"/>
    <w:rsid w:val="0020244B"/>
    <w:pPr>
      <w:autoSpaceDE w:val="0"/>
      <w:autoSpaceDN w:val="0"/>
      <w:adjustRightInd w:val="0"/>
      <w:spacing w:before="0" w:after="0"/>
      <w:jc w:val="left"/>
    </w:pPr>
    <w:rPr>
      <w:rFonts w:ascii="EUAlbertina" w:hAnsi="EUAlbertina" w:cstheme="minorBidi"/>
      <w:szCs w:val="24"/>
    </w:rPr>
  </w:style>
  <w:style w:type="paragraph" w:customStyle="1" w:styleId="CM3">
    <w:name w:val="CM3"/>
    <w:basedOn w:val="Normal"/>
    <w:next w:val="Normal"/>
    <w:uiPriority w:val="99"/>
    <w:rsid w:val="0020244B"/>
    <w:pPr>
      <w:autoSpaceDE w:val="0"/>
      <w:autoSpaceDN w:val="0"/>
      <w:adjustRightInd w:val="0"/>
      <w:spacing w:before="0" w:after="0"/>
      <w:jc w:val="left"/>
    </w:pPr>
    <w:rPr>
      <w:rFonts w:ascii="EUAlbertina" w:hAnsi="EUAlbertina" w:cstheme="minorBidi"/>
      <w:szCs w:val="24"/>
    </w:rPr>
  </w:style>
  <w:style w:type="paragraph" w:customStyle="1" w:styleId="CM4">
    <w:name w:val="CM4"/>
    <w:basedOn w:val="Normal"/>
    <w:next w:val="Normal"/>
    <w:uiPriority w:val="99"/>
    <w:rsid w:val="0020244B"/>
    <w:pPr>
      <w:autoSpaceDE w:val="0"/>
      <w:autoSpaceDN w:val="0"/>
      <w:adjustRightInd w:val="0"/>
      <w:spacing w:before="0" w:after="0"/>
      <w:jc w:val="left"/>
    </w:pPr>
    <w:rPr>
      <w:rFonts w:ascii="EUAlbertina" w:hAnsi="EUAlbertina" w:cstheme="minorBidi"/>
      <w:szCs w:val="24"/>
    </w:rPr>
  </w:style>
  <w:style w:type="paragraph" w:styleId="Header">
    <w:name w:val="header"/>
    <w:basedOn w:val="Normal"/>
    <w:link w:val="HeaderChar"/>
    <w:uiPriority w:val="99"/>
    <w:semiHidden/>
    <w:unhideWhenUsed/>
    <w:rsid w:val="00877878"/>
    <w:pPr>
      <w:tabs>
        <w:tab w:val="center" w:pos="4535"/>
        <w:tab w:val="right" w:pos="9071"/>
      </w:tabs>
      <w:spacing w:before="0"/>
    </w:pPr>
  </w:style>
  <w:style w:type="character" w:customStyle="1" w:styleId="HeaderChar">
    <w:name w:val="Header Char"/>
    <w:basedOn w:val="DefaultParagraphFont"/>
    <w:link w:val="Header"/>
    <w:uiPriority w:val="99"/>
    <w:semiHidden/>
    <w:rsid w:val="0087787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87787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87787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87787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87787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87787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87787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87787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87787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877878"/>
    <w:pPr>
      <w:spacing w:after="240"/>
      <w:jc w:val="center"/>
    </w:pPr>
    <w:rPr>
      <w:b/>
      <w:sz w:val="28"/>
    </w:rPr>
  </w:style>
  <w:style w:type="paragraph" w:styleId="TOC1">
    <w:name w:val="toc 1"/>
    <w:basedOn w:val="Normal"/>
    <w:next w:val="Normal"/>
    <w:uiPriority w:val="39"/>
    <w:semiHidden/>
    <w:unhideWhenUsed/>
    <w:rsid w:val="00877878"/>
    <w:pPr>
      <w:tabs>
        <w:tab w:val="right" w:leader="dot" w:pos="9071"/>
      </w:tabs>
      <w:spacing w:before="60"/>
      <w:ind w:left="850" w:hanging="850"/>
      <w:jc w:val="left"/>
    </w:pPr>
  </w:style>
  <w:style w:type="paragraph" w:styleId="TOC2">
    <w:name w:val="toc 2"/>
    <w:basedOn w:val="Normal"/>
    <w:next w:val="Normal"/>
    <w:uiPriority w:val="39"/>
    <w:semiHidden/>
    <w:unhideWhenUsed/>
    <w:rsid w:val="00877878"/>
    <w:pPr>
      <w:tabs>
        <w:tab w:val="right" w:leader="dot" w:pos="9071"/>
      </w:tabs>
      <w:spacing w:before="60"/>
      <w:ind w:left="850" w:hanging="850"/>
      <w:jc w:val="left"/>
    </w:pPr>
  </w:style>
  <w:style w:type="paragraph" w:styleId="TOC3">
    <w:name w:val="toc 3"/>
    <w:basedOn w:val="Normal"/>
    <w:next w:val="Normal"/>
    <w:uiPriority w:val="39"/>
    <w:semiHidden/>
    <w:unhideWhenUsed/>
    <w:rsid w:val="00877878"/>
    <w:pPr>
      <w:tabs>
        <w:tab w:val="right" w:leader="dot" w:pos="9071"/>
      </w:tabs>
      <w:spacing w:before="60"/>
      <w:ind w:left="850" w:hanging="850"/>
      <w:jc w:val="left"/>
    </w:pPr>
  </w:style>
  <w:style w:type="paragraph" w:styleId="TOC4">
    <w:name w:val="toc 4"/>
    <w:basedOn w:val="Normal"/>
    <w:next w:val="Normal"/>
    <w:uiPriority w:val="39"/>
    <w:semiHidden/>
    <w:unhideWhenUsed/>
    <w:rsid w:val="00877878"/>
    <w:pPr>
      <w:tabs>
        <w:tab w:val="right" w:leader="dot" w:pos="9071"/>
      </w:tabs>
      <w:spacing w:before="60"/>
      <w:ind w:left="850" w:hanging="850"/>
      <w:jc w:val="left"/>
    </w:pPr>
  </w:style>
  <w:style w:type="paragraph" w:styleId="TOC5">
    <w:name w:val="toc 5"/>
    <w:basedOn w:val="Normal"/>
    <w:next w:val="Normal"/>
    <w:uiPriority w:val="39"/>
    <w:semiHidden/>
    <w:unhideWhenUsed/>
    <w:rsid w:val="00877878"/>
    <w:pPr>
      <w:tabs>
        <w:tab w:val="right" w:leader="dot" w:pos="9071"/>
      </w:tabs>
      <w:spacing w:before="300"/>
      <w:jc w:val="left"/>
    </w:pPr>
  </w:style>
  <w:style w:type="paragraph" w:styleId="TOC6">
    <w:name w:val="toc 6"/>
    <w:basedOn w:val="Normal"/>
    <w:next w:val="Normal"/>
    <w:uiPriority w:val="39"/>
    <w:semiHidden/>
    <w:unhideWhenUsed/>
    <w:rsid w:val="00877878"/>
    <w:pPr>
      <w:tabs>
        <w:tab w:val="right" w:leader="dot" w:pos="9071"/>
      </w:tabs>
      <w:spacing w:before="240"/>
      <w:jc w:val="left"/>
    </w:pPr>
  </w:style>
  <w:style w:type="paragraph" w:styleId="TOC7">
    <w:name w:val="toc 7"/>
    <w:basedOn w:val="Normal"/>
    <w:next w:val="Normal"/>
    <w:uiPriority w:val="39"/>
    <w:semiHidden/>
    <w:unhideWhenUsed/>
    <w:rsid w:val="00877878"/>
    <w:pPr>
      <w:tabs>
        <w:tab w:val="right" w:leader="dot" w:pos="9071"/>
      </w:tabs>
      <w:spacing w:before="180"/>
      <w:jc w:val="left"/>
    </w:pPr>
  </w:style>
  <w:style w:type="paragraph" w:styleId="TOC8">
    <w:name w:val="toc 8"/>
    <w:basedOn w:val="Normal"/>
    <w:next w:val="Normal"/>
    <w:uiPriority w:val="39"/>
    <w:semiHidden/>
    <w:unhideWhenUsed/>
    <w:rsid w:val="00877878"/>
    <w:pPr>
      <w:tabs>
        <w:tab w:val="right" w:leader="dot" w:pos="9071"/>
      </w:tabs>
      <w:jc w:val="left"/>
    </w:pPr>
  </w:style>
  <w:style w:type="paragraph" w:styleId="TOC9">
    <w:name w:val="toc 9"/>
    <w:basedOn w:val="Normal"/>
    <w:next w:val="Normal"/>
    <w:uiPriority w:val="39"/>
    <w:semiHidden/>
    <w:unhideWhenUsed/>
    <w:rsid w:val="00877878"/>
    <w:pPr>
      <w:tabs>
        <w:tab w:val="right" w:leader="dot" w:pos="9071"/>
      </w:tabs>
    </w:pPr>
  </w:style>
  <w:style w:type="paragraph" w:customStyle="1" w:styleId="HeaderLandscape">
    <w:name w:val="HeaderLandscape"/>
    <w:basedOn w:val="Normal"/>
    <w:rsid w:val="00877878"/>
    <w:pPr>
      <w:tabs>
        <w:tab w:val="center" w:pos="7285"/>
        <w:tab w:val="right" w:pos="14003"/>
      </w:tabs>
      <w:spacing w:before="0"/>
    </w:pPr>
  </w:style>
  <w:style w:type="paragraph" w:customStyle="1" w:styleId="FooterLandscape">
    <w:name w:val="FooterLandscape"/>
    <w:basedOn w:val="Normal"/>
    <w:rsid w:val="0087787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877878"/>
    <w:rPr>
      <w:shd w:val="clear" w:color="auto" w:fill="auto"/>
      <w:vertAlign w:val="superscript"/>
    </w:rPr>
  </w:style>
  <w:style w:type="paragraph" w:customStyle="1" w:styleId="HeaderSensitivity">
    <w:name w:val="Header Sensitivity"/>
    <w:basedOn w:val="Normal"/>
    <w:rsid w:val="0087787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rsid w:val="0087787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877878"/>
    <w:pPr>
      <w:ind w:left="850"/>
    </w:pPr>
  </w:style>
  <w:style w:type="paragraph" w:customStyle="1" w:styleId="Text2">
    <w:name w:val="Text 2"/>
    <w:basedOn w:val="Normal"/>
    <w:rsid w:val="00877878"/>
    <w:pPr>
      <w:ind w:left="1417"/>
    </w:pPr>
  </w:style>
  <w:style w:type="paragraph" w:customStyle="1" w:styleId="Text3">
    <w:name w:val="Text 3"/>
    <w:basedOn w:val="Normal"/>
    <w:rsid w:val="00877878"/>
    <w:pPr>
      <w:ind w:left="1984"/>
    </w:pPr>
  </w:style>
  <w:style w:type="paragraph" w:customStyle="1" w:styleId="Text4">
    <w:name w:val="Text 4"/>
    <w:basedOn w:val="Normal"/>
    <w:rsid w:val="00877878"/>
    <w:pPr>
      <w:ind w:left="2551"/>
    </w:pPr>
  </w:style>
  <w:style w:type="paragraph" w:customStyle="1" w:styleId="NormalCentered">
    <w:name w:val="Normal Centered"/>
    <w:basedOn w:val="Normal"/>
    <w:rsid w:val="00877878"/>
    <w:pPr>
      <w:jc w:val="center"/>
    </w:pPr>
  </w:style>
  <w:style w:type="paragraph" w:customStyle="1" w:styleId="NormalLeft">
    <w:name w:val="Normal Left"/>
    <w:basedOn w:val="Normal"/>
    <w:rsid w:val="00877878"/>
    <w:pPr>
      <w:jc w:val="left"/>
    </w:pPr>
  </w:style>
  <w:style w:type="paragraph" w:customStyle="1" w:styleId="NormalRight">
    <w:name w:val="Normal Right"/>
    <w:basedOn w:val="Normal"/>
    <w:rsid w:val="00877878"/>
    <w:pPr>
      <w:jc w:val="right"/>
    </w:pPr>
  </w:style>
  <w:style w:type="paragraph" w:customStyle="1" w:styleId="QuotedText">
    <w:name w:val="Quoted Text"/>
    <w:basedOn w:val="Normal"/>
    <w:rsid w:val="00877878"/>
    <w:pPr>
      <w:ind w:left="1417"/>
    </w:pPr>
  </w:style>
  <w:style w:type="paragraph" w:customStyle="1" w:styleId="Point0">
    <w:name w:val="Point 0"/>
    <w:basedOn w:val="Normal"/>
    <w:rsid w:val="00877878"/>
    <w:pPr>
      <w:ind w:left="850" w:hanging="850"/>
    </w:pPr>
  </w:style>
  <w:style w:type="paragraph" w:customStyle="1" w:styleId="Point1">
    <w:name w:val="Point 1"/>
    <w:basedOn w:val="Normal"/>
    <w:rsid w:val="00877878"/>
    <w:pPr>
      <w:ind w:left="1417" w:hanging="567"/>
    </w:pPr>
  </w:style>
  <w:style w:type="paragraph" w:customStyle="1" w:styleId="Point2">
    <w:name w:val="Point 2"/>
    <w:basedOn w:val="Normal"/>
    <w:rsid w:val="00877878"/>
    <w:pPr>
      <w:ind w:left="1984" w:hanging="567"/>
    </w:pPr>
  </w:style>
  <w:style w:type="paragraph" w:customStyle="1" w:styleId="Point3">
    <w:name w:val="Point 3"/>
    <w:basedOn w:val="Normal"/>
    <w:rsid w:val="00877878"/>
    <w:pPr>
      <w:ind w:left="2551" w:hanging="567"/>
    </w:pPr>
  </w:style>
  <w:style w:type="paragraph" w:customStyle="1" w:styleId="Point4">
    <w:name w:val="Point 4"/>
    <w:basedOn w:val="Normal"/>
    <w:rsid w:val="00877878"/>
    <w:pPr>
      <w:ind w:left="3118" w:hanging="567"/>
    </w:pPr>
  </w:style>
  <w:style w:type="paragraph" w:customStyle="1" w:styleId="Tiret0">
    <w:name w:val="Tiret 0"/>
    <w:basedOn w:val="Point0"/>
    <w:rsid w:val="00877878"/>
    <w:pPr>
      <w:numPr>
        <w:numId w:val="17"/>
      </w:numPr>
    </w:pPr>
  </w:style>
  <w:style w:type="paragraph" w:customStyle="1" w:styleId="Tiret1">
    <w:name w:val="Tiret 1"/>
    <w:basedOn w:val="Point1"/>
    <w:rsid w:val="00877878"/>
    <w:pPr>
      <w:numPr>
        <w:numId w:val="18"/>
      </w:numPr>
    </w:pPr>
  </w:style>
  <w:style w:type="paragraph" w:customStyle="1" w:styleId="Tiret2">
    <w:name w:val="Tiret 2"/>
    <w:basedOn w:val="Point2"/>
    <w:rsid w:val="00877878"/>
    <w:pPr>
      <w:numPr>
        <w:numId w:val="19"/>
      </w:numPr>
    </w:pPr>
  </w:style>
  <w:style w:type="paragraph" w:customStyle="1" w:styleId="Tiret3">
    <w:name w:val="Tiret 3"/>
    <w:basedOn w:val="Point3"/>
    <w:rsid w:val="00877878"/>
    <w:pPr>
      <w:numPr>
        <w:numId w:val="20"/>
      </w:numPr>
    </w:pPr>
  </w:style>
  <w:style w:type="paragraph" w:customStyle="1" w:styleId="Tiret4">
    <w:name w:val="Tiret 4"/>
    <w:basedOn w:val="Point4"/>
    <w:rsid w:val="00877878"/>
    <w:pPr>
      <w:numPr>
        <w:numId w:val="21"/>
      </w:numPr>
    </w:pPr>
  </w:style>
  <w:style w:type="paragraph" w:customStyle="1" w:styleId="PointDouble0">
    <w:name w:val="PointDouble 0"/>
    <w:basedOn w:val="Normal"/>
    <w:rsid w:val="00877878"/>
    <w:pPr>
      <w:tabs>
        <w:tab w:val="left" w:pos="850"/>
      </w:tabs>
      <w:ind w:left="1417" w:hanging="1417"/>
    </w:pPr>
  </w:style>
  <w:style w:type="paragraph" w:customStyle="1" w:styleId="PointDouble1">
    <w:name w:val="PointDouble 1"/>
    <w:basedOn w:val="Normal"/>
    <w:rsid w:val="00877878"/>
    <w:pPr>
      <w:tabs>
        <w:tab w:val="left" w:pos="1417"/>
      </w:tabs>
      <w:ind w:left="1984" w:hanging="1134"/>
    </w:pPr>
  </w:style>
  <w:style w:type="paragraph" w:customStyle="1" w:styleId="PointDouble2">
    <w:name w:val="PointDouble 2"/>
    <w:basedOn w:val="Normal"/>
    <w:rsid w:val="00877878"/>
    <w:pPr>
      <w:tabs>
        <w:tab w:val="left" w:pos="1984"/>
      </w:tabs>
      <w:ind w:left="2551" w:hanging="1134"/>
    </w:pPr>
  </w:style>
  <w:style w:type="paragraph" w:customStyle="1" w:styleId="PointDouble3">
    <w:name w:val="PointDouble 3"/>
    <w:basedOn w:val="Normal"/>
    <w:rsid w:val="00877878"/>
    <w:pPr>
      <w:tabs>
        <w:tab w:val="left" w:pos="2551"/>
      </w:tabs>
      <w:ind w:left="3118" w:hanging="1134"/>
    </w:pPr>
  </w:style>
  <w:style w:type="paragraph" w:customStyle="1" w:styleId="PointDouble4">
    <w:name w:val="PointDouble 4"/>
    <w:basedOn w:val="Normal"/>
    <w:rsid w:val="00877878"/>
    <w:pPr>
      <w:tabs>
        <w:tab w:val="left" w:pos="3118"/>
      </w:tabs>
      <w:ind w:left="3685" w:hanging="1134"/>
    </w:pPr>
  </w:style>
  <w:style w:type="paragraph" w:customStyle="1" w:styleId="PointTriple0">
    <w:name w:val="PointTriple 0"/>
    <w:basedOn w:val="Normal"/>
    <w:rsid w:val="00877878"/>
    <w:pPr>
      <w:tabs>
        <w:tab w:val="left" w:pos="850"/>
        <w:tab w:val="left" w:pos="1417"/>
      </w:tabs>
      <w:ind w:left="1984" w:hanging="1984"/>
    </w:pPr>
  </w:style>
  <w:style w:type="paragraph" w:customStyle="1" w:styleId="PointTriple1">
    <w:name w:val="PointTriple 1"/>
    <w:basedOn w:val="Normal"/>
    <w:rsid w:val="00877878"/>
    <w:pPr>
      <w:tabs>
        <w:tab w:val="left" w:pos="1417"/>
        <w:tab w:val="left" w:pos="1984"/>
      </w:tabs>
      <w:ind w:left="2551" w:hanging="1701"/>
    </w:pPr>
  </w:style>
  <w:style w:type="paragraph" w:customStyle="1" w:styleId="PointTriple2">
    <w:name w:val="PointTriple 2"/>
    <w:basedOn w:val="Normal"/>
    <w:rsid w:val="00877878"/>
    <w:pPr>
      <w:tabs>
        <w:tab w:val="left" w:pos="1984"/>
        <w:tab w:val="left" w:pos="2551"/>
      </w:tabs>
      <w:ind w:left="3118" w:hanging="1701"/>
    </w:pPr>
  </w:style>
  <w:style w:type="paragraph" w:customStyle="1" w:styleId="PointTriple3">
    <w:name w:val="PointTriple 3"/>
    <w:basedOn w:val="Normal"/>
    <w:rsid w:val="00877878"/>
    <w:pPr>
      <w:tabs>
        <w:tab w:val="left" w:pos="2551"/>
        <w:tab w:val="left" w:pos="3118"/>
      </w:tabs>
      <w:ind w:left="3685" w:hanging="1701"/>
    </w:pPr>
  </w:style>
  <w:style w:type="paragraph" w:customStyle="1" w:styleId="PointTriple4">
    <w:name w:val="PointTriple 4"/>
    <w:basedOn w:val="Normal"/>
    <w:rsid w:val="00877878"/>
    <w:pPr>
      <w:tabs>
        <w:tab w:val="left" w:pos="3118"/>
        <w:tab w:val="left" w:pos="3685"/>
      </w:tabs>
      <w:ind w:left="4252" w:hanging="1701"/>
    </w:pPr>
  </w:style>
  <w:style w:type="paragraph" w:customStyle="1" w:styleId="NumPar1">
    <w:name w:val="NumPar 1"/>
    <w:basedOn w:val="Normal"/>
    <w:next w:val="Text1"/>
    <w:rsid w:val="00877878"/>
    <w:pPr>
      <w:numPr>
        <w:numId w:val="22"/>
      </w:numPr>
    </w:pPr>
  </w:style>
  <w:style w:type="paragraph" w:customStyle="1" w:styleId="NumPar2">
    <w:name w:val="NumPar 2"/>
    <w:basedOn w:val="Normal"/>
    <w:next w:val="Text1"/>
    <w:rsid w:val="00877878"/>
    <w:pPr>
      <w:numPr>
        <w:ilvl w:val="1"/>
        <w:numId w:val="22"/>
      </w:numPr>
    </w:pPr>
  </w:style>
  <w:style w:type="paragraph" w:customStyle="1" w:styleId="NumPar3">
    <w:name w:val="NumPar 3"/>
    <w:basedOn w:val="Normal"/>
    <w:next w:val="Text1"/>
    <w:rsid w:val="00877878"/>
    <w:pPr>
      <w:numPr>
        <w:ilvl w:val="2"/>
        <w:numId w:val="22"/>
      </w:numPr>
    </w:pPr>
  </w:style>
  <w:style w:type="paragraph" w:customStyle="1" w:styleId="NumPar4">
    <w:name w:val="NumPar 4"/>
    <w:basedOn w:val="Normal"/>
    <w:next w:val="Text1"/>
    <w:rsid w:val="00877878"/>
    <w:pPr>
      <w:numPr>
        <w:ilvl w:val="3"/>
        <w:numId w:val="22"/>
      </w:numPr>
    </w:pPr>
  </w:style>
  <w:style w:type="paragraph" w:customStyle="1" w:styleId="ManualNumPar1">
    <w:name w:val="Manual NumPar 1"/>
    <w:basedOn w:val="Normal"/>
    <w:next w:val="Text1"/>
    <w:rsid w:val="00877878"/>
    <w:pPr>
      <w:ind w:left="850" w:hanging="850"/>
    </w:pPr>
  </w:style>
  <w:style w:type="paragraph" w:customStyle="1" w:styleId="ManualNumPar2">
    <w:name w:val="Manual NumPar 2"/>
    <w:basedOn w:val="Normal"/>
    <w:next w:val="Text1"/>
    <w:rsid w:val="00877878"/>
    <w:pPr>
      <w:ind w:left="850" w:hanging="850"/>
    </w:pPr>
  </w:style>
  <w:style w:type="paragraph" w:customStyle="1" w:styleId="ManualNumPar3">
    <w:name w:val="Manual NumPar 3"/>
    <w:basedOn w:val="Normal"/>
    <w:next w:val="Text1"/>
    <w:rsid w:val="00877878"/>
    <w:pPr>
      <w:ind w:left="850" w:hanging="850"/>
    </w:pPr>
  </w:style>
  <w:style w:type="paragraph" w:customStyle="1" w:styleId="ManualNumPar4">
    <w:name w:val="Manual NumPar 4"/>
    <w:basedOn w:val="Normal"/>
    <w:next w:val="Text1"/>
    <w:rsid w:val="00877878"/>
    <w:pPr>
      <w:ind w:left="850" w:hanging="850"/>
    </w:pPr>
  </w:style>
  <w:style w:type="paragraph" w:customStyle="1" w:styleId="QuotedNumPar">
    <w:name w:val="Quoted NumPar"/>
    <w:basedOn w:val="Normal"/>
    <w:rsid w:val="00877878"/>
    <w:pPr>
      <w:ind w:left="1417" w:hanging="567"/>
    </w:pPr>
  </w:style>
  <w:style w:type="paragraph" w:customStyle="1" w:styleId="ManualHeading1">
    <w:name w:val="Manual Heading 1"/>
    <w:basedOn w:val="Normal"/>
    <w:next w:val="Text1"/>
    <w:rsid w:val="0087787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877878"/>
    <w:pPr>
      <w:keepNext/>
      <w:tabs>
        <w:tab w:val="left" w:pos="850"/>
      </w:tabs>
      <w:ind w:left="850" w:hanging="850"/>
      <w:outlineLvl w:val="1"/>
    </w:pPr>
    <w:rPr>
      <w:b/>
    </w:rPr>
  </w:style>
  <w:style w:type="paragraph" w:customStyle="1" w:styleId="ManualHeading3">
    <w:name w:val="Manual Heading 3"/>
    <w:basedOn w:val="Normal"/>
    <w:next w:val="Text1"/>
    <w:rsid w:val="00877878"/>
    <w:pPr>
      <w:keepNext/>
      <w:tabs>
        <w:tab w:val="left" w:pos="850"/>
      </w:tabs>
      <w:ind w:left="850" w:hanging="850"/>
      <w:outlineLvl w:val="2"/>
    </w:pPr>
    <w:rPr>
      <w:i/>
    </w:rPr>
  </w:style>
  <w:style w:type="paragraph" w:customStyle="1" w:styleId="ManualHeading4">
    <w:name w:val="Manual Heading 4"/>
    <w:basedOn w:val="Normal"/>
    <w:next w:val="Text1"/>
    <w:rsid w:val="00877878"/>
    <w:pPr>
      <w:keepNext/>
      <w:tabs>
        <w:tab w:val="left" w:pos="850"/>
      </w:tabs>
      <w:ind w:left="850" w:hanging="850"/>
      <w:outlineLvl w:val="3"/>
    </w:pPr>
  </w:style>
  <w:style w:type="paragraph" w:customStyle="1" w:styleId="ChapterTitle">
    <w:name w:val="ChapterTitle"/>
    <w:basedOn w:val="Normal"/>
    <w:next w:val="Normal"/>
    <w:rsid w:val="00877878"/>
    <w:pPr>
      <w:keepNext/>
      <w:spacing w:after="360"/>
      <w:jc w:val="center"/>
    </w:pPr>
    <w:rPr>
      <w:b/>
      <w:sz w:val="32"/>
    </w:rPr>
  </w:style>
  <w:style w:type="paragraph" w:customStyle="1" w:styleId="PartTitle">
    <w:name w:val="PartTitle"/>
    <w:basedOn w:val="Normal"/>
    <w:next w:val="ChapterTitle"/>
    <w:rsid w:val="00877878"/>
    <w:pPr>
      <w:keepNext/>
      <w:pageBreakBefore/>
      <w:spacing w:after="360"/>
      <w:jc w:val="center"/>
    </w:pPr>
    <w:rPr>
      <w:b/>
      <w:sz w:val="36"/>
    </w:rPr>
  </w:style>
  <w:style w:type="paragraph" w:customStyle="1" w:styleId="SectionTitle">
    <w:name w:val="SectionTitle"/>
    <w:basedOn w:val="Normal"/>
    <w:next w:val="Heading1"/>
    <w:rsid w:val="00877878"/>
    <w:pPr>
      <w:keepNext/>
      <w:spacing w:after="360"/>
      <w:jc w:val="center"/>
    </w:pPr>
    <w:rPr>
      <w:b/>
      <w:smallCaps/>
      <w:sz w:val="28"/>
    </w:rPr>
  </w:style>
  <w:style w:type="paragraph" w:customStyle="1" w:styleId="TableTitle">
    <w:name w:val="Table Title"/>
    <w:basedOn w:val="Normal"/>
    <w:next w:val="Normal"/>
    <w:rsid w:val="00877878"/>
    <w:pPr>
      <w:jc w:val="center"/>
    </w:pPr>
    <w:rPr>
      <w:b/>
    </w:rPr>
  </w:style>
  <w:style w:type="character" w:customStyle="1" w:styleId="Marker">
    <w:name w:val="Marker"/>
    <w:basedOn w:val="DefaultParagraphFont"/>
    <w:rsid w:val="00877878"/>
    <w:rPr>
      <w:color w:val="0000FF"/>
      <w:shd w:val="clear" w:color="auto" w:fill="auto"/>
    </w:rPr>
  </w:style>
  <w:style w:type="character" w:customStyle="1" w:styleId="Marker1">
    <w:name w:val="Marker1"/>
    <w:basedOn w:val="DefaultParagraphFont"/>
    <w:rsid w:val="00877878"/>
    <w:rPr>
      <w:color w:val="008000"/>
      <w:shd w:val="clear" w:color="auto" w:fill="auto"/>
    </w:rPr>
  </w:style>
  <w:style w:type="character" w:customStyle="1" w:styleId="Marker2">
    <w:name w:val="Marker2"/>
    <w:basedOn w:val="DefaultParagraphFont"/>
    <w:rsid w:val="00877878"/>
    <w:rPr>
      <w:color w:val="FF0000"/>
      <w:shd w:val="clear" w:color="auto" w:fill="auto"/>
    </w:rPr>
  </w:style>
  <w:style w:type="paragraph" w:customStyle="1" w:styleId="Point0number">
    <w:name w:val="Point 0 (number)"/>
    <w:basedOn w:val="Normal"/>
    <w:rsid w:val="00877878"/>
    <w:pPr>
      <w:numPr>
        <w:numId w:val="24"/>
      </w:numPr>
    </w:pPr>
  </w:style>
  <w:style w:type="paragraph" w:customStyle="1" w:styleId="Point1number">
    <w:name w:val="Point 1 (number)"/>
    <w:basedOn w:val="Normal"/>
    <w:rsid w:val="00877878"/>
    <w:pPr>
      <w:numPr>
        <w:ilvl w:val="2"/>
        <w:numId w:val="24"/>
      </w:numPr>
    </w:pPr>
  </w:style>
  <w:style w:type="paragraph" w:customStyle="1" w:styleId="Point2number">
    <w:name w:val="Point 2 (number)"/>
    <w:basedOn w:val="Normal"/>
    <w:rsid w:val="00877878"/>
    <w:pPr>
      <w:numPr>
        <w:ilvl w:val="4"/>
        <w:numId w:val="24"/>
      </w:numPr>
    </w:pPr>
  </w:style>
  <w:style w:type="paragraph" w:customStyle="1" w:styleId="Point3number">
    <w:name w:val="Point 3 (number)"/>
    <w:basedOn w:val="Normal"/>
    <w:rsid w:val="00877878"/>
    <w:pPr>
      <w:numPr>
        <w:ilvl w:val="6"/>
        <w:numId w:val="24"/>
      </w:numPr>
    </w:pPr>
  </w:style>
  <w:style w:type="paragraph" w:customStyle="1" w:styleId="Point0letter">
    <w:name w:val="Point 0 (letter)"/>
    <w:basedOn w:val="Normal"/>
    <w:rsid w:val="00877878"/>
    <w:pPr>
      <w:numPr>
        <w:ilvl w:val="1"/>
        <w:numId w:val="24"/>
      </w:numPr>
    </w:pPr>
  </w:style>
  <w:style w:type="paragraph" w:customStyle="1" w:styleId="Point1letter">
    <w:name w:val="Point 1 (letter)"/>
    <w:basedOn w:val="Normal"/>
    <w:rsid w:val="00877878"/>
    <w:pPr>
      <w:numPr>
        <w:ilvl w:val="3"/>
        <w:numId w:val="24"/>
      </w:numPr>
    </w:pPr>
  </w:style>
  <w:style w:type="paragraph" w:customStyle="1" w:styleId="Point2letter">
    <w:name w:val="Point 2 (letter)"/>
    <w:basedOn w:val="Normal"/>
    <w:rsid w:val="00877878"/>
    <w:pPr>
      <w:numPr>
        <w:ilvl w:val="5"/>
        <w:numId w:val="24"/>
      </w:numPr>
    </w:pPr>
  </w:style>
  <w:style w:type="paragraph" w:customStyle="1" w:styleId="Point3letter">
    <w:name w:val="Point 3 (letter)"/>
    <w:basedOn w:val="Normal"/>
    <w:rsid w:val="00877878"/>
    <w:pPr>
      <w:numPr>
        <w:ilvl w:val="7"/>
        <w:numId w:val="24"/>
      </w:numPr>
    </w:pPr>
  </w:style>
  <w:style w:type="paragraph" w:customStyle="1" w:styleId="Point4letter">
    <w:name w:val="Point 4 (letter)"/>
    <w:basedOn w:val="Normal"/>
    <w:rsid w:val="00877878"/>
    <w:pPr>
      <w:numPr>
        <w:ilvl w:val="8"/>
        <w:numId w:val="24"/>
      </w:numPr>
    </w:pPr>
  </w:style>
  <w:style w:type="paragraph" w:customStyle="1" w:styleId="Bullet0">
    <w:name w:val="Bullet 0"/>
    <w:basedOn w:val="Normal"/>
    <w:rsid w:val="00877878"/>
    <w:pPr>
      <w:numPr>
        <w:numId w:val="25"/>
      </w:numPr>
    </w:pPr>
  </w:style>
  <w:style w:type="paragraph" w:customStyle="1" w:styleId="Bullet1">
    <w:name w:val="Bullet 1"/>
    <w:basedOn w:val="Normal"/>
    <w:rsid w:val="00877878"/>
    <w:pPr>
      <w:numPr>
        <w:numId w:val="26"/>
      </w:numPr>
    </w:pPr>
  </w:style>
  <w:style w:type="paragraph" w:customStyle="1" w:styleId="Bullet2">
    <w:name w:val="Bullet 2"/>
    <w:basedOn w:val="Normal"/>
    <w:rsid w:val="00877878"/>
    <w:pPr>
      <w:numPr>
        <w:numId w:val="27"/>
      </w:numPr>
    </w:pPr>
  </w:style>
  <w:style w:type="paragraph" w:customStyle="1" w:styleId="Bullet3">
    <w:name w:val="Bullet 3"/>
    <w:basedOn w:val="Normal"/>
    <w:rsid w:val="00877878"/>
    <w:pPr>
      <w:numPr>
        <w:numId w:val="28"/>
      </w:numPr>
    </w:pPr>
  </w:style>
  <w:style w:type="paragraph" w:customStyle="1" w:styleId="Bullet4">
    <w:name w:val="Bullet 4"/>
    <w:basedOn w:val="Normal"/>
    <w:rsid w:val="00877878"/>
    <w:pPr>
      <w:numPr>
        <w:numId w:val="29"/>
      </w:numPr>
    </w:pPr>
  </w:style>
  <w:style w:type="paragraph" w:customStyle="1" w:styleId="Langue">
    <w:name w:val="Langue"/>
    <w:basedOn w:val="Normal"/>
    <w:next w:val="Rfrenceinterne"/>
    <w:rsid w:val="0087787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877878"/>
    <w:pPr>
      <w:spacing w:before="0" w:after="0"/>
      <w:jc w:val="left"/>
    </w:pPr>
    <w:rPr>
      <w:rFonts w:ascii="Arial" w:hAnsi="Arial" w:cs="Arial"/>
    </w:rPr>
  </w:style>
  <w:style w:type="paragraph" w:customStyle="1" w:styleId="Emission">
    <w:name w:val="Emission"/>
    <w:basedOn w:val="Normal"/>
    <w:next w:val="Rfrenceinstitutionnelle"/>
    <w:rsid w:val="00877878"/>
    <w:pPr>
      <w:spacing w:before="0" w:after="0"/>
      <w:ind w:left="5103"/>
      <w:jc w:val="left"/>
    </w:pPr>
  </w:style>
  <w:style w:type="paragraph" w:customStyle="1" w:styleId="Rfrenceinstitutionnelle">
    <w:name w:val="Référence institutionnelle"/>
    <w:basedOn w:val="Normal"/>
    <w:next w:val="Confidentialit"/>
    <w:rsid w:val="00877878"/>
    <w:pPr>
      <w:spacing w:before="0" w:after="240"/>
      <w:ind w:left="5103"/>
      <w:jc w:val="left"/>
    </w:pPr>
  </w:style>
  <w:style w:type="paragraph" w:customStyle="1" w:styleId="Pagedecouverture">
    <w:name w:val="Page de couverture"/>
    <w:basedOn w:val="Normal"/>
    <w:next w:val="Normal"/>
    <w:rsid w:val="00877878"/>
    <w:pPr>
      <w:spacing w:before="0" w:after="0"/>
    </w:pPr>
  </w:style>
  <w:style w:type="paragraph" w:customStyle="1" w:styleId="Declassification">
    <w:name w:val="Declassification"/>
    <w:basedOn w:val="Normal"/>
    <w:next w:val="Normal"/>
    <w:rsid w:val="00877878"/>
    <w:pPr>
      <w:spacing w:before="0" w:after="0"/>
    </w:pPr>
  </w:style>
  <w:style w:type="paragraph" w:customStyle="1" w:styleId="Disclaimer">
    <w:name w:val="Disclaimer"/>
    <w:basedOn w:val="Normal"/>
    <w:rsid w:val="0087787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rsid w:val="00877878"/>
    <w:pPr>
      <w:jc w:val="center"/>
    </w:pPr>
    <w:rPr>
      <w:b/>
      <w:u w:val="single"/>
    </w:rPr>
  </w:style>
  <w:style w:type="paragraph" w:customStyle="1" w:styleId="Annexetitre">
    <w:name w:val="Annexe titre"/>
    <w:basedOn w:val="Normal"/>
    <w:next w:val="Normal"/>
    <w:rsid w:val="00877878"/>
    <w:pPr>
      <w:jc w:val="center"/>
    </w:pPr>
    <w:rPr>
      <w:b/>
      <w:u w:val="single"/>
    </w:rPr>
  </w:style>
  <w:style w:type="paragraph" w:customStyle="1" w:styleId="Annexetitrefichefinancire">
    <w:name w:val="Annexe titre (fiche financière)"/>
    <w:basedOn w:val="Normal"/>
    <w:next w:val="Normal"/>
    <w:rsid w:val="00877878"/>
    <w:pPr>
      <w:jc w:val="center"/>
    </w:pPr>
    <w:rPr>
      <w:b/>
      <w:u w:val="single"/>
    </w:rPr>
  </w:style>
  <w:style w:type="paragraph" w:customStyle="1" w:styleId="Applicationdirecte">
    <w:name w:val="Application directe"/>
    <w:basedOn w:val="Normal"/>
    <w:next w:val="Fait"/>
    <w:rsid w:val="00877878"/>
    <w:pPr>
      <w:spacing w:before="480"/>
    </w:pPr>
  </w:style>
  <w:style w:type="paragraph" w:customStyle="1" w:styleId="Avertissementtitre">
    <w:name w:val="Avertissement titre"/>
    <w:basedOn w:val="Normal"/>
    <w:next w:val="Normal"/>
    <w:rsid w:val="00877878"/>
    <w:pPr>
      <w:keepNext/>
      <w:spacing w:before="480"/>
    </w:pPr>
    <w:rPr>
      <w:u w:val="single"/>
    </w:rPr>
  </w:style>
  <w:style w:type="paragraph" w:customStyle="1" w:styleId="Confidence">
    <w:name w:val="Confidence"/>
    <w:basedOn w:val="Normal"/>
    <w:next w:val="Normal"/>
    <w:rsid w:val="00877878"/>
    <w:pPr>
      <w:spacing w:before="360"/>
      <w:jc w:val="center"/>
    </w:pPr>
  </w:style>
  <w:style w:type="paragraph" w:customStyle="1" w:styleId="Confidentialit">
    <w:name w:val="Confidentialité"/>
    <w:basedOn w:val="Normal"/>
    <w:next w:val="TypedudocumentPagedecouverture"/>
    <w:rsid w:val="00877878"/>
    <w:pPr>
      <w:spacing w:before="240" w:after="240"/>
      <w:ind w:left="5103"/>
      <w:jc w:val="left"/>
    </w:pPr>
    <w:rPr>
      <w:i/>
      <w:sz w:val="32"/>
    </w:rPr>
  </w:style>
  <w:style w:type="paragraph" w:customStyle="1" w:styleId="Considrant">
    <w:name w:val="Considérant"/>
    <w:basedOn w:val="Normal"/>
    <w:rsid w:val="00877878"/>
    <w:pPr>
      <w:numPr>
        <w:numId w:val="30"/>
      </w:numPr>
    </w:pPr>
  </w:style>
  <w:style w:type="paragraph" w:customStyle="1" w:styleId="Corrigendum">
    <w:name w:val="Corrigendum"/>
    <w:basedOn w:val="Normal"/>
    <w:next w:val="Normal"/>
    <w:rsid w:val="00877878"/>
    <w:pPr>
      <w:spacing w:before="0" w:after="240"/>
      <w:jc w:val="left"/>
    </w:pPr>
  </w:style>
  <w:style w:type="paragraph" w:customStyle="1" w:styleId="Datedadoption">
    <w:name w:val="Date d'adoption"/>
    <w:basedOn w:val="Normal"/>
    <w:next w:val="Titreobjet"/>
    <w:rsid w:val="00877878"/>
    <w:pPr>
      <w:spacing w:before="360" w:after="0"/>
      <w:jc w:val="center"/>
    </w:pPr>
    <w:rPr>
      <w:b/>
    </w:rPr>
  </w:style>
  <w:style w:type="paragraph" w:customStyle="1" w:styleId="Exposdesmotifstitre">
    <w:name w:val="Exposé des motifs titre"/>
    <w:basedOn w:val="Normal"/>
    <w:next w:val="Normal"/>
    <w:rsid w:val="00877878"/>
    <w:pPr>
      <w:jc w:val="center"/>
    </w:pPr>
    <w:rPr>
      <w:b/>
      <w:u w:val="single"/>
    </w:rPr>
  </w:style>
  <w:style w:type="paragraph" w:customStyle="1" w:styleId="Fait">
    <w:name w:val="Fait à"/>
    <w:basedOn w:val="Normal"/>
    <w:next w:val="Institutionquisigne"/>
    <w:rsid w:val="00877878"/>
    <w:pPr>
      <w:keepNext/>
      <w:spacing w:after="0"/>
    </w:pPr>
  </w:style>
  <w:style w:type="paragraph" w:customStyle="1" w:styleId="Formuledadoption">
    <w:name w:val="Formule d'adoption"/>
    <w:basedOn w:val="Normal"/>
    <w:next w:val="Titrearticle"/>
    <w:rsid w:val="00877878"/>
    <w:pPr>
      <w:keepNext/>
    </w:pPr>
  </w:style>
  <w:style w:type="paragraph" w:customStyle="1" w:styleId="Institutionquiagit">
    <w:name w:val="Institution qui agit"/>
    <w:basedOn w:val="Normal"/>
    <w:next w:val="Normal"/>
    <w:rsid w:val="00877878"/>
    <w:pPr>
      <w:keepNext/>
      <w:spacing w:before="600"/>
    </w:pPr>
  </w:style>
  <w:style w:type="paragraph" w:customStyle="1" w:styleId="Institutionquisigne">
    <w:name w:val="Institution qui signe"/>
    <w:basedOn w:val="Normal"/>
    <w:next w:val="Personnequisigne"/>
    <w:rsid w:val="00877878"/>
    <w:pPr>
      <w:keepNext/>
      <w:tabs>
        <w:tab w:val="left" w:pos="4252"/>
      </w:tabs>
      <w:spacing w:before="720" w:after="0"/>
    </w:pPr>
    <w:rPr>
      <w:i/>
    </w:rPr>
  </w:style>
  <w:style w:type="paragraph" w:customStyle="1" w:styleId="ManualConsidrant">
    <w:name w:val="Manual Considérant"/>
    <w:basedOn w:val="Normal"/>
    <w:rsid w:val="00877878"/>
    <w:pPr>
      <w:ind w:left="709" w:hanging="709"/>
    </w:pPr>
  </w:style>
  <w:style w:type="paragraph" w:customStyle="1" w:styleId="Personnequisigne">
    <w:name w:val="Personne qui signe"/>
    <w:basedOn w:val="Normal"/>
    <w:next w:val="Institutionquisigne"/>
    <w:rsid w:val="00877878"/>
    <w:pPr>
      <w:tabs>
        <w:tab w:val="left" w:pos="4252"/>
      </w:tabs>
      <w:spacing w:before="0" w:after="0"/>
      <w:jc w:val="left"/>
    </w:pPr>
    <w:rPr>
      <w:i/>
    </w:rPr>
  </w:style>
  <w:style w:type="paragraph" w:customStyle="1" w:styleId="Rfrenceinterinstitutionnelle">
    <w:name w:val="Référence interinstitutionnelle"/>
    <w:basedOn w:val="Normal"/>
    <w:next w:val="Statut"/>
    <w:rsid w:val="00877878"/>
    <w:pPr>
      <w:spacing w:before="0" w:after="0"/>
      <w:ind w:left="5103"/>
      <w:jc w:val="left"/>
    </w:pPr>
  </w:style>
  <w:style w:type="paragraph" w:customStyle="1" w:styleId="Rfrenceinterne">
    <w:name w:val="Référence interne"/>
    <w:basedOn w:val="Normal"/>
    <w:next w:val="Rfrenceinterinstitutionnelle"/>
    <w:rsid w:val="00877878"/>
    <w:pPr>
      <w:spacing w:before="0" w:after="0"/>
      <w:ind w:left="5103"/>
      <w:jc w:val="left"/>
    </w:pPr>
  </w:style>
  <w:style w:type="paragraph" w:customStyle="1" w:styleId="Statut">
    <w:name w:val="Statut"/>
    <w:basedOn w:val="Normal"/>
    <w:next w:val="Typedudocument"/>
    <w:rsid w:val="00877878"/>
    <w:pPr>
      <w:spacing w:before="360" w:after="0"/>
      <w:jc w:val="center"/>
    </w:pPr>
  </w:style>
  <w:style w:type="paragraph" w:customStyle="1" w:styleId="Titrearticle">
    <w:name w:val="Titre article"/>
    <w:basedOn w:val="Normal"/>
    <w:next w:val="Normal"/>
    <w:rsid w:val="00877878"/>
    <w:pPr>
      <w:keepNext/>
      <w:spacing w:before="360"/>
      <w:jc w:val="center"/>
    </w:pPr>
    <w:rPr>
      <w:i/>
    </w:rPr>
  </w:style>
  <w:style w:type="paragraph" w:customStyle="1" w:styleId="Titreobjet">
    <w:name w:val="Titre objet"/>
    <w:basedOn w:val="Normal"/>
    <w:next w:val="IntrtEEE"/>
    <w:rsid w:val="00877878"/>
    <w:pPr>
      <w:spacing w:before="360" w:after="360"/>
      <w:jc w:val="center"/>
    </w:pPr>
    <w:rPr>
      <w:b/>
    </w:rPr>
  </w:style>
  <w:style w:type="paragraph" w:customStyle="1" w:styleId="Typedudocument">
    <w:name w:val="Type du document"/>
    <w:basedOn w:val="Normal"/>
    <w:next w:val="Titreobjet"/>
    <w:rsid w:val="00877878"/>
    <w:pPr>
      <w:spacing w:before="360" w:after="0"/>
      <w:jc w:val="center"/>
    </w:pPr>
    <w:rPr>
      <w:b/>
    </w:rPr>
  </w:style>
  <w:style w:type="character" w:customStyle="1" w:styleId="Added">
    <w:name w:val="Added"/>
    <w:basedOn w:val="DefaultParagraphFont"/>
    <w:rsid w:val="00877878"/>
    <w:rPr>
      <w:b/>
      <w:u w:val="single"/>
      <w:shd w:val="clear" w:color="auto" w:fill="auto"/>
    </w:rPr>
  </w:style>
  <w:style w:type="character" w:customStyle="1" w:styleId="Deleted">
    <w:name w:val="Deleted"/>
    <w:basedOn w:val="DefaultParagraphFont"/>
    <w:rsid w:val="00877878"/>
    <w:rPr>
      <w:strike/>
      <w:dstrike w:val="0"/>
      <w:shd w:val="clear" w:color="auto" w:fill="auto"/>
    </w:rPr>
  </w:style>
  <w:style w:type="paragraph" w:customStyle="1" w:styleId="Address">
    <w:name w:val="Address"/>
    <w:basedOn w:val="Normal"/>
    <w:next w:val="Normal"/>
    <w:rsid w:val="00877878"/>
    <w:pPr>
      <w:keepLines/>
      <w:spacing w:line="360" w:lineRule="auto"/>
      <w:ind w:left="3402"/>
      <w:jc w:val="left"/>
    </w:pPr>
  </w:style>
  <w:style w:type="paragraph" w:customStyle="1" w:styleId="Objetexterne">
    <w:name w:val="Objet externe"/>
    <w:basedOn w:val="Normal"/>
    <w:next w:val="Normal"/>
    <w:rsid w:val="00877878"/>
    <w:rPr>
      <w:i/>
      <w:caps/>
    </w:rPr>
  </w:style>
  <w:style w:type="paragraph" w:customStyle="1" w:styleId="Supertitre">
    <w:name w:val="Supertitre"/>
    <w:basedOn w:val="Normal"/>
    <w:next w:val="Normal"/>
    <w:rsid w:val="00877878"/>
    <w:pPr>
      <w:spacing w:before="0" w:after="600"/>
      <w:jc w:val="center"/>
    </w:pPr>
    <w:rPr>
      <w:b/>
    </w:rPr>
  </w:style>
  <w:style w:type="paragraph" w:customStyle="1" w:styleId="Languesfaisantfoi">
    <w:name w:val="Langues faisant foi"/>
    <w:basedOn w:val="Normal"/>
    <w:next w:val="Normal"/>
    <w:rsid w:val="00877878"/>
    <w:pPr>
      <w:spacing w:before="360" w:after="0"/>
      <w:jc w:val="center"/>
    </w:pPr>
  </w:style>
  <w:style w:type="paragraph" w:customStyle="1" w:styleId="Rfrencecroise">
    <w:name w:val="Référence croisée"/>
    <w:basedOn w:val="Normal"/>
    <w:rsid w:val="00877878"/>
    <w:pPr>
      <w:spacing w:before="0" w:after="0"/>
      <w:jc w:val="center"/>
    </w:pPr>
  </w:style>
  <w:style w:type="paragraph" w:customStyle="1" w:styleId="Fichefinanciretitre">
    <w:name w:val="Fiche financière titre"/>
    <w:basedOn w:val="Normal"/>
    <w:next w:val="Normal"/>
    <w:rsid w:val="00877878"/>
    <w:pPr>
      <w:jc w:val="center"/>
    </w:pPr>
    <w:rPr>
      <w:b/>
      <w:u w:val="single"/>
    </w:rPr>
  </w:style>
  <w:style w:type="paragraph" w:customStyle="1" w:styleId="DatedadoptionPagedecouverture">
    <w:name w:val="Date d'adoption (Page de couverture)"/>
    <w:basedOn w:val="Datedadoption"/>
    <w:next w:val="TitreobjetPagedecouverture"/>
    <w:rsid w:val="00877878"/>
  </w:style>
  <w:style w:type="paragraph" w:customStyle="1" w:styleId="RfrenceinterinstitutionnellePagedecouverture">
    <w:name w:val="Référence interinstitutionnelle (Page de couverture)"/>
    <w:basedOn w:val="Rfrenceinterinstitutionnelle"/>
    <w:next w:val="Confidentialit"/>
    <w:rsid w:val="00877878"/>
  </w:style>
  <w:style w:type="paragraph" w:customStyle="1" w:styleId="StatutPagedecouverture">
    <w:name w:val="Statut (Page de couverture)"/>
    <w:basedOn w:val="Statut"/>
    <w:next w:val="TypedudocumentPagedecouverture"/>
    <w:rsid w:val="00877878"/>
  </w:style>
  <w:style w:type="paragraph" w:customStyle="1" w:styleId="TitreobjetPagedecouverture">
    <w:name w:val="Titre objet (Page de couverture)"/>
    <w:basedOn w:val="Titreobjet"/>
    <w:next w:val="IntrtEEEPagedecouverture"/>
    <w:rsid w:val="00877878"/>
  </w:style>
  <w:style w:type="paragraph" w:customStyle="1" w:styleId="TypedudocumentPagedecouverture">
    <w:name w:val="Type du document (Page de couverture)"/>
    <w:basedOn w:val="Typedudocument"/>
    <w:next w:val="TitreobjetPagedecouverture"/>
    <w:rsid w:val="00877878"/>
  </w:style>
  <w:style w:type="paragraph" w:customStyle="1" w:styleId="Volume">
    <w:name w:val="Volume"/>
    <w:basedOn w:val="Normal"/>
    <w:next w:val="Confidentialit"/>
    <w:rsid w:val="00877878"/>
    <w:pPr>
      <w:spacing w:before="0" w:after="240"/>
      <w:ind w:left="5103"/>
      <w:jc w:val="left"/>
    </w:pPr>
  </w:style>
  <w:style w:type="paragraph" w:customStyle="1" w:styleId="IntrtEEE">
    <w:name w:val="Intérêt EEE"/>
    <w:basedOn w:val="Languesfaisantfoi"/>
    <w:next w:val="Normal"/>
    <w:rsid w:val="00877878"/>
    <w:pPr>
      <w:spacing w:after="240"/>
    </w:pPr>
  </w:style>
  <w:style w:type="paragraph" w:customStyle="1" w:styleId="Accompagnant">
    <w:name w:val="Accompagnant"/>
    <w:basedOn w:val="Normal"/>
    <w:next w:val="Typeacteprincipal"/>
    <w:rsid w:val="00877878"/>
    <w:pPr>
      <w:spacing w:before="0" w:after="240"/>
      <w:jc w:val="center"/>
    </w:pPr>
    <w:rPr>
      <w:b/>
      <w:i/>
    </w:rPr>
  </w:style>
  <w:style w:type="paragraph" w:customStyle="1" w:styleId="Typeacteprincipal">
    <w:name w:val="Type acte principal"/>
    <w:basedOn w:val="Normal"/>
    <w:next w:val="Objetacteprincipal"/>
    <w:rsid w:val="00877878"/>
    <w:pPr>
      <w:spacing w:before="0" w:after="240"/>
      <w:jc w:val="center"/>
    </w:pPr>
    <w:rPr>
      <w:b/>
    </w:rPr>
  </w:style>
  <w:style w:type="paragraph" w:customStyle="1" w:styleId="Objetacteprincipal">
    <w:name w:val="Objet acte principal"/>
    <w:basedOn w:val="Normal"/>
    <w:next w:val="Titrearticle"/>
    <w:rsid w:val="00877878"/>
    <w:pPr>
      <w:spacing w:before="0" w:after="360"/>
      <w:jc w:val="center"/>
    </w:pPr>
    <w:rPr>
      <w:b/>
    </w:rPr>
  </w:style>
  <w:style w:type="paragraph" w:customStyle="1" w:styleId="IntrtEEEPagedecouverture">
    <w:name w:val="Intérêt EEE (Page de couverture)"/>
    <w:basedOn w:val="IntrtEEE"/>
    <w:next w:val="Rfrencecroise"/>
    <w:rsid w:val="00877878"/>
  </w:style>
  <w:style w:type="paragraph" w:customStyle="1" w:styleId="AccompagnantPagedecouverture">
    <w:name w:val="Accompagnant (Page de couverture)"/>
    <w:basedOn w:val="Accompagnant"/>
    <w:next w:val="TypeacteprincipalPagedecouverture"/>
    <w:rsid w:val="00877878"/>
  </w:style>
  <w:style w:type="paragraph" w:customStyle="1" w:styleId="TypeacteprincipalPagedecouverture">
    <w:name w:val="Type acte principal (Page de couverture)"/>
    <w:basedOn w:val="Typeacteprincipal"/>
    <w:next w:val="ObjetacteprincipalPagedecouverture"/>
    <w:rsid w:val="00877878"/>
  </w:style>
  <w:style w:type="paragraph" w:customStyle="1" w:styleId="ObjetacteprincipalPagedecouverture">
    <w:name w:val="Objet acte principal (Page de couverture)"/>
    <w:basedOn w:val="Objetacteprincipal"/>
    <w:next w:val="Rfrencecroise"/>
    <w:rsid w:val="00877878"/>
  </w:style>
  <w:style w:type="paragraph" w:customStyle="1" w:styleId="LanguesfaisantfoiPagedecouverture">
    <w:name w:val="Langues faisant foi (Page de couverture)"/>
    <w:basedOn w:val="Normal"/>
    <w:next w:val="Normal"/>
    <w:rsid w:val="00877878"/>
    <w:pPr>
      <w:spacing w:before="360" w:after="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bg-BG"/>
    </w:rPr>
  </w:style>
  <w:style w:type="paragraph" w:styleId="Heading1">
    <w:name w:val="heading 1"/>
    <w:basedOn w:val="Normal"/>
    <w:next w:val="Text1"/>
    <w:link w:val="Heading1Char"/>
    <w:uiPriority w:val="9"/>
    <w:qFormat/>
    <w:rsid w:val="00877878"/>
    <w:pPr>
      <w:keepNext/>
      <w:numPr>
        <w:numId w:val="23"/>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877878"/>
    <w:pPr>
      <w:keepNext/>
      <w:numPr>
        <w:ilvl w:val="1"/>
        <w:numId w:val="23"/>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877878"/>
    <w:pPr>
      <w:keepNext/>
      <w:numPr>
        <w:ilvl w:val="2"/>
        <w:numId w:val="23"/>
      </w:numPr>
      <w:outlineLvl w:val="2"/>
    </w:pPr>
    <w:rPr>
      <w:rFonts w:eastAsiaTheme="majorEastAsia"/>
      <w:bCs/>
      <w:i/>
    </w:rPr>
  </w:style>
  <w:style w:type="paragraph" w:styleId="Heading4">
    <w:name w:val="heading 4"/>
    <w:basedOn w:val="Normal"/>
    <w:next w:val="Text1"/>
    <w:link w:val="Heading4Char"/>
    <w:uiPriority w:val="9"/>
    <w:semiHidden/>
    <w:unhideWhenUsed/>
    <w:qFormat/>
    <w:rsid w:val="00877878"/>
    <w:pPr>
      <w:keepNext/>
      <w:numPr>
        <w:ilvl w:val="3"/>
        <w:numId w:val="23"/>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phe EI,Paragraphe de liste1,EC"/>
    <w:basedOn w:val="Normal"/>
    <w:link w:val="ListParagraphChar"/>
    <w:uiPriority w:val="34"/>
    <w:qFormat/>
    <w:rsid w:val="007E1AE4"/>
    <w:pPr>
      <w:ind w:left="720"/>
      <w:contextualSpacing/>
    </w:pPr>
  </w:style>
  <w:style w:type="character" w:customStyle="1" w:styleId="ListParagraphChar">
    <w:name w:val="List Paragraph Char"/>
    <w:aliases w:val="Paragraphe EI Char,Paragraphe de liste1 Char,EC Char"/>
    <w:basedOn w:val="DefaultParagraphFont"/>
    <w:link w:val="ListParagraph"/>
    <w:uiPriority w:val="34"/>
    <w:rsid w:val="007E1AE4"/>
    <w:rPr>
      <w:rFonts w:ascii="Times New Roman" w:hAnsi="Times New Roman" w:cs="Times New Roman"/>
      <w:sz w:val="24"/>
      <w:lang w:val="bg-BG"/>
    </w:rPr>
  </w:style>
  <w:style w:type="paragraph" w:styleId="Caption">
    <w:name w:val="caption"/>
    <w:basedOn w:val="Normal"/>
    <w:next w:val="Normal"/>
    <w:uiPriority w:val="35"/>
    <w:semiHidden/>
    <w:unhideWhenUsed/>
    <w:qFormat/>
    <w:rsid w:val="00EB1CD0"/>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EB1CD0"/>
    <w:pPr>
      <w:spacing w:after="0"/>
    </w:pPr>
  </w:style>
  <w:style w:type="paragraph" w:styleId="ListBullet">
    <w:name w:val="List Bullet"/>
    <w:basedOn w:val="Normal"/>
    <w:uiPriority w:val="99"/>
    <w:semiHidden/>
    <w:unhideWhenUsed/>
    <w:rsid w:val="00EB1CD0"/>
    <w:pPr>
      <w:numPr>
        <w:numId w:val="8"/>
      </w:numPr>
      <w:contextualSpacing/>
    </w:pPr>
  </w:style>
  <w:style w:type="paragraph" w:styleId="ListBullet2">
    <w:name w:val="List Bullet 2"/>
    <w:basedOn w:val="Normal"/>
    <w:uiPriority w:val="99"/>
    <w:semiHidden/>
    <w:unhideWhenUsed/>
    <w:rsid w:val="00EB1CD0"/>
    <w:pPr>
      <w:numPr>
        <w:numId w:val="9"/>
      </w:numPr>
      <w:contextualSpacing/>
    </w:pPr>
  </w:style>
  <w:style w:type="paragraph" w:styleId="ListBullet3">
    <w:name w:val="List Bullet 3"/>
    <w:basedOn w:val="Normal"/>
    <w:uiPriority w:val="99"/>
    <w:semiHidden/>
    <w:unhideWhenUsed/>
    <w:rsid w:val="00EB1CD0"/>
    <w:pPr>
      <w:numPr>
        <w:numId w:val="10"/>
      </w:numPr>
      <w:contextualSpacing/>
    </w:pPr>
  </w:style>
  <w:style w:type="paragraph" w:styleId="ListBullet4">
    <w:name w:val="List Bullet 4"/>
    <w:basedOn w:val="Normal"/>
    <w:uiPriority w:val="99"/>
    <w:semiHidden/>
    <w:unhideWhenUsed/>
    <w:rsid w:val="00EB1CD0"/>
    <w:pPr>
      <w:numPr>
        <w:numId w:val="11"/>
      </w:numPr>
      <w:contextualSpacing/>
    </w:pPr>
  </w:style>
  <w:style w:type="paragraph" w:styleId="ListNumber">
    <w:name w:val="List Number"/>
    <w:basedOn w:val="Normal"/>
    <w:uiPriority w:val="99"/>
    <w:semiHidden/>
    <w:unhideWhenUsed/>
    <w:rsid w:val="00EB1CD0"/>
    <w:pPr>
      <w:numPr>
        <w:numId w:val="12"/>
      </w:numPr>
      <w:contextualSpacing/>
    </w:pPr>
  </w:style>
  <w:style w:type="paragraph" w:styleId="ListNumber2">
    <w:name w:val="List Number 2"/>
    <w:basedOn w:val="Normal"/>
    <w:uiPriority w:val="99"/>
    <w:semiHidden/>
    <w:unhideWhenUsed/>
    <w:rsid w:val="00EB1CD0"/>
    <w:pPr>
      <w:numPr>
        <w:numId w:val="13"/>
      </w:numPr>
      <w:contextualSpacing/>
    </w:pPr>
  </w:style>
  <w:style w:type="paragraph" w:styleId="ListNumber3">
    <w:name w:val="List Number 3"/>
    <w:basedOn w:val="Normal"/>
    <w:uiPriority w:val="99"/>
    <w:semiHidden/>
    <w:unhideWhenUsed/>
    <w:rsid w:val="003F1EDA"/>
    <w:pPr>
      <w:numPr>
        <w:numId w:val="14"/>
      </w:numPr>
      <w:tabs>
        <w:tab w:val="clear" w:pos="926"/>
        <w:tab w:val="num" w:pos="360"/>
      </w:tabs>
      <w:ind w:left="0" w:firstLine="0"/>
      <w:contextualSpacing/>
    </w:pPr>
  </w:style>
  <w:style w:type="paragraph" w:styleId="ListNumber4">
    <w:name w:val="List Number 4"/>
    <w:basedOn w:val="Normal"/>
    <w:uiPriority w:val="99"/>
    <w:semiHidden/>
    <w:unhideWhenUsed/>
    <w:rsid w:val="00EB1CD0"/>
    <w:pPr>
      <w:numPr>
        <w:numId w:val="15"/>
      </w:numPr>
      <w:contextualSpacing/>
    </w:pPr>
  </w:style>
  <w:style w:type="character" w:styleId="CommentReference">
    <w:name w:val="annotation reference"/>
    <w:basedOn w:val="DefaultParagraphFont"/>
    <w:uiPriority w:val="99"/>
    <w:semiHidden/>
    <w:unhideWhenUsed/>
    <w:rsid w:val="00D566C6"/>
    <w:rPr>
      <w:sz w:val="16"/>
      <w:szCs w:val="16"/>
    </w:rPr>
  </w:style>
  <w:style w:type="paragraph" w:styleId="CommentText">
    <w:name w:val="annotation text"/>
    <w:basedOn w:val="Normal"/>
    <w:link w:val="CommentTextChar"/>
    <w:uiPriority w:val="99"/>
    <w:semiHidden/>
    <w:unhideWhenUsed/>
    <w:rsid w:val="00D566C6"/>
    <w:rPr>
      <w:sz w:val="20"/>
      <w:szCs w:val="20"/>
    </w:rPr>
  </w:style>
  <w:style w:type="character" w:customStyle="1" w:styleId="CommentTextChar">
    <w:name w:val="Comment Text Char"/>
    <w:basedOn w:val="DefaultParagraphFont"/>
    <w:link w:val="CommentText"/>
    <w:uiPriority w:val="99"/>
    <w:semiHidden/>
    <w:rsid w:val="00D566C6"/>
    <w:rPr>
      <w:rFonts w:ascii="Times New Roman" w:hAnsi="Times New Roman" w:cs="Times New Roman"/>
      <w:sz w:val="20"/>
      <w:szCs w:val="20"/>
      <w:lang w:val="bg-BG"/>
    </w:rPr>
  </w:style>
  <w:style w:type="paragraph" w:styleId="CommentSubject">
    <w:name w:val="annotation subject"/>
    <w:basedOn w:val="CommentText"/>
    <w:next w:val="CommentText"/>
    <w:link w:val="CommentSubjectChar"/>
    <w:uiPriority w:val="99"/>
    <w:semiHidden/>
    <w:unhideWhenUsed/>
    <w:rsid w:val="00D566C6"/>
    <w:rPr>
      <w:b/>
      <w:bCs/>
    </w:rPr>
  </w:style>
  <w:style w:type="character" w:customStyle="1" w:styleId="CommentSubjectChar">
    <w:name w:val="Comment Subject Char"/>
    <w:basedOn w:val="CommentTextChar"/>
    <w:link w:val="CommentSubject"/>
    <w:uiPriority w:val="99"/>
    <w:semiHidden/>
    <w:rsid w:val="00D566C6"/>
    <w:rPr>
      <w:rFonts w:ascii="Times New Roman" w:hAnsi="Times New Roman" w:cs="Times New Roman"/>
      <w:b/>
      <w:bCs/>
      <w:sz w:val="20"/>
      <w:szCs w:val="20"/>
      <w:lang w:val="bg-BG"/>
    </w:rPr>
  </w:style>
  <w:style w:type="paragraph" w:styleId="BalloonText">
    <w:name w:val="Balloon Text"/>
    <w:basedOn w:val="Normal"/>
    <w:link w:val="BalloonTextChar"/>
    <w:uiPriority w:val="99"/>
    <w:semiHidden/>
    <w:unhideWhenUsed/>
    <w:rsid w:val="00D566C6"/>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66C6"/>
    <w:rPr>
      <w:rFonts w:ascii="Segoe UI" w:hAnsi="Segoe UI" w:cs="Segoe UI"/>
      <w:sz w:val="18"/>
      <w:szCs w:val="18"/>
      <w:lang w:val="bg-BG"/>
    </w:rPr>
  </w:style>
  <w:style w:type="character" w:styleId="Hyperlink">
    <w:name w:val="Hyperlink"/>
    <w:basedOn w:val="DefaultParagraphFont"/>
    <w:uiPriority w:val="99"/>
    <w:unhideWhenUsed/>
    <w:rsid w:val="00D566C6"/>
    <w:rPr>
      <w:color w:val="0000FF" w:themeColor="hyperlink"/>
      <w:u w:val="single"/>
    </w:rPr>
  </w:style>
  <w:style w:type="character" w:styleId="Strong">
    <w:name w:val="Strong"/>
    <w:basedOn w:val="DefaultParagraphFont"/>
    <w:uiPriority w:val="22"/>
    <w:qFormat/>
    <w:rsid w:val="00F0793D"/>
    <w:rPr>
      <w:b/>
      <w:bCs/>
    </w:rPr>
  </w:style>
  <w:style w:type="paragraph" w:styleId="Revision">
    <w:name w:val="Revision"/>
    <w:hidden/>
    <w:uiPriority w:val="99"/>
    <w:semiHidden/>
    <w:rsid w:val="000652E4"/>
    <w:pPr>
      <w:spacing w:after="0" w:line="240" w:lineRule="auto"/>
    </w:pPr>
    <w:rPr>
      <w:rFonts w:ascii="Times New Roman" w:hAnsi="Times New Roman" w:cs="Times New Roman"/>
      <w:sz w:val="24"/>
    </w:rPr>
  </w:style>
  <w:style w:type="paragraph" w:customStyle="1" w:styleId="CM1">
    <w:name w:val="CM1"/>
    <w:basedOn w:val="Normal"/>
    <w:next w:val="Normal"/>
    <w:uiPriority w:val="99"/>
    <w:rsid w:val="0020244B"/>
    <w:pPr>
      <w:autoSpaceDE w:val="0"/>
      <w:autoSpaceDN w:val="0"/>
      <w:adjustRightInd w:val="0"/>
      <w:spacing w:before="0" w:after="0"/>
      <w:jc w:val="left"/>
    </w:pPr>
    <w:rPr>
      <w:rFonts w:ascii="EUAlbertina" w:hAnsi="EUAlbertina" w:cstheme="minorBidi"/>
      <w:szCs w:val="24"/>
    </w:rPr>
  </w:style>
  <w:style w:type="paragraph" w:customStyle="1" w:styleId="CM3">
    <w:name w:val="CM3"/>
    <w:basedOn w:val="Normal"/>
    <w:next w:val="Normal"/>
    <w:uiPriority w:val="99"/>
    <w:rsid w:val="0020244B"/>
    <w:pPr>
      <w:autoSpaceDE w:val="0"/>
      <w:autoSpaceDN w:val="0"/>
      <w:adjustRightInd w:val="0"/>
      <w:spacing w:before="0" w:after="0"/>
      <w:jc w:val="left"/>
    </w:pPr>
    <w:rPr>
      <w:rFonts w:ascii="EUAlbertina" w:hAnsi="EUAlbertina" w:cstheme="minorBidi"/>
      <w:szCs w:val="24"/>
    </w:rPr>
  </w:style>
  <w:style w:type="paragraph" w:customStyle="1" w:styleId="CM4">
    <w:name w:val="CM4"/>
    <w:basedOn w:val="Normal"/>
    <w:next w:val="Normal"/>
    <w:uiPriority w:val="99"/>
    <w:rsid w:val="0020244B"/>
    <w:pPr>
      <w:autoSpaceDE w:val="0"/>
      <w:autoSpaceDN w:val="0"/>
      <w:adjustRightInd w:val="0"/>
      <w:spacing w:before="0" w:after="0"/>
      <w:jc w:val="left"/>
    </w:pPr>
    <w:rPr>
      <w:rFonts w:ascii="EUAlbertina" w:hAnsi="EUAlbertina" w:cstheme="minorBidi"/>
      <w:szCs w:val="24"/>
    </w:rPr>
  </w:style>
  <w:style w:type="paragraph" w:styleId="Header">
    <w:name w:val="header"/>
    <w:basedOn w:val="Normal"/>
    <w:link w:val="HeaderChar"/>
    <w:uiPriority w:val="99"/>
    <w:semiHidden/>
    <w:unhideWhenUsed/>
    <w:rsid w:val="00877878"/>
    <w:pPr>
      <w:tabs>
        <w:tab w:val="center" w:pos="4535"/>
        <w:tab w:val="right" w:pos="9071"/>
      </w:tabs>
      <w:spacing w:before="0"/>
    </w:pPr>
  </w:style>
  <w:style w:type="character" w:customStyle="1" w:styleId="HeaderChar">
    <w:name w:val="Header Char"/>
    <w:basedOn w:val="DefaultParagraphFont"/>
    <w:link w:val="Header"/>
    <w:uiPriority w:val="99"/>
    <w:semiHidden/>
    <w:rsid w:val="0087787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87787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87787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87787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87787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87787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87787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87787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87787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877878"/>
    <w:pPr>
      <w:spacing w:after="240"/>
      <w:jc w:val="center"/>
    </w:pPr>
    <w:rPr>
      <w:b/>
      <w:sz w:val="28"/>
    </w:rPr>
  </w:style>
  <w:style w:type="paragraph" w:styleId="TOC1">
    <w:name w:val="toc 1"/>
    <w:basedOn w:val="Normal"/>
    <w:next w:val="Normal"/>
    <w:uiPriority w:val="39"/>
    <w:semiHidden/>
    <w:unhideWhenUsed/>
    <w:rsid w:val="00877878"/>
    <w:pPr>
      <w:tabs>
        <w:tab w:val="right" w:leader="dot" w:pos="9071"/>
      </w:tabs>
      <w:spacing w:before="60"/>
      <w:ind w:left="850" w:hanging="850"/>
      <w:jc w:val="left"/>
    </w:pPr>
  </w:style>
  <w:style w:type="paragraph" w:styleId="TOC2">
    <w:name w:val="toc 2"/>
    <w:basedOn w:val="Normal"/>
    <w:next w:val="Normal"/>
    <w:uiPriority w:val="39"/>
    <w:semiHidden/>
    <w:unhideWhenUsed/>
    <w:rsid w:val="00877878"/>
    <w:pPr>
      <w:tabs>
        <w:tab w:val="right" w:leader="dot" w:pos="9071"/>
      </w:tabs>
      <w:spacing w:before="60"/>
      <w:ind w:left="850" w:hanging="850"/>
      <w:jc w:val="left"/>
    </w:pPr>
  </w:style>
  <w:style w:type="paragraph" w:styleId="TOC3">
    <w:name w:val="toc 3"/>
    <w:basedOn w:val="Normal"/>
    <w:next w:val="Normal"/>
    <w:uiPriority w:val="39"/>
    <w:semiHidden/>
    <w:unhideWhenUsed/>
    <w:rsid w:val="00877878"/>
    <w:pPr>
      <w:tabs>
        <w:tab w:val="right" w:leader="dot" w:pos="9071"/>
      </w:tabs>
      <w:spacing w:before="60"/>
      <w:ind w:left="850" w:hanging="850"/>
      <w:jc w:val="left"/>
    </w:pPr>
  </w:style>
  <w:style w:type="paragraph" w:styleId="TOC4">
    <w:name w:val="toc 4"/>
    <w:basedOn w:val="Normal"/>
    <w:next w:val="Normal"/>
    <w:uiPriority w:val="39"/>
    <w:semiHidden/>
    <w:unhideWhenUsed/>
    <w:rsid w:val="00877878"/>
    <w:pPr>
      <w:tabs>
        <w:tab w:val="right" w:leader="dot" w:pos="9071"/>
      </w:tabs>
      <w:spacing w:before="60"/>
      <w:ind w:left="850" w:hanging="850"/>
      <w:jc w:val="left"/>
    </w:pPr>
  </w:style>
  <w:style w:type="paragraph" w:styleId="TOC5">
    <w:name w:val="toc 5"/>
    <w:basedOn w:val="Normal"/>
    <w:next w:val="Normal"/>
    <w:uiPriority w:val="39"/>
    <w:semiHidden/>
    <w:unhideWhenUsed/>
    <w:rsid w:val="00877878"/>
    <w:pPr>
      <w:tabs>
        <w:tab w:val="right" w:leader="dot" w:pos="9071"/>
      </w:tabs>
      <w:spacing w:before="300"/>
      <w:jc w:val="left"/>
    </w:pPr>
  </w:style>
  <w:style w:type="paragraph" w:styleId="TOC6">
    <w:name w:val="toc 6"/>
    <w:basedOn w:val="Normal"/>
    <w:next w:val="Normal"/>
    <w:uiPriority w:val="39"/>
    <w:semiHidden/>
    <w:unhideWhenUsed/>
    <w:rsid w:val="00877878"/>
    <w:pPr>
      <w:tabs>
        <w:tab w:val="right" w:leader="dot" w:pos="9071"/>
      </w:tabs>
      <w:spacing w:before="240"/>
      <w:jc w:val="left"/>
    </w:pPr>
  </w:style>
  <w:style w:type="paragraph" w:styleId="TOC7">
    <w:name w:val="toc 7"/>
    <w:basedOn w:val="Normal"/>
    <w:next w:val="Normal"/>
    <w:uiPriority w:val="39"/>
    <w:semiHidden/>
    <w:unhideWhenUsed/>
    <w:rsid w:val="00877878"/>
    <w:pPr>
      <w:tabs>
        <w:tab w:val="right" w:leader="dot" w:pos="9071"/>
      </w:tabs>
      <w:spacing w:before="180"/>
      <w:jc w:val="left"/>
    </w:pPr>
  </w:style>
  <w:style w:type="paragraph" w:styleId="TOC8">
    <w:name w:val="toc 8"/>
    <w:basedOn w:val="Normal"/>
    <w:next w:val="Normal"/>
    <w:uiPriority w:val="39"/>
    <w:semiHidden/>
    <w:unhideWhenUsed/>
    <w:rsid w:val="00877878"/>
    <w:pPr>
      <w:tabs>
        <w:tab w:val="right" w:leader="dot" w:pos="9071"/>
      </w:tabs>
      <w:jc w:val="left"/>
    </w:pPr>
  </w:style>
  <w:style w:type="paragraph" w:styleId="TOC9">
    <w:name w:val="toc 9"/>
    <w:basedOn w:val="Normal"/>
    <w:next w:val="Normal"/>
    <w:uiPriority w:val="39"/>
    <w:semiHidden/>
    <w:unhideWhenUsed/>
    <w:rsid w:val="00877878"/>
    <w:pPr>
      <w:tabs>
        <w:tab w:val="right" w:leader="dot" w:pos="9071"/>
      </w:tabs>
    </w:pPr>
  </w:style>
  <w:style w:type="paragraph" w:customStyle="1" w:styleId="HeaderLandscape">
    <w:name w:val="HeaderLandscape"/>
    <w:basedOn w:val="Normal"/>
    <w:rsid w:val="00877878"/>
    <w:pPr>
      <w:tabs>
        <w:tab w:val="center" w:pos="7285"/>
        <w:tab w:val="right" w:pos="14003"/>
      </w:tabs>
      <w:spacing w:before="0"/>
    </w:pPr>
  </w:style>
  <w:style w:type="paragraph" w:customStyle="1" w:styleId="FooterLandscape">
    <w:name w:val="FooterLandscape"/>
    <w:basedOn w:val="Normal"/>
    <w:rsid w:val="0087787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877878"/>
    <w:rPr>
      <w:shd w:val="clear" w:color="auto" w:fill="auto"/>
      <w:vertAlign w:val="superscript"/>
    </w:rPr>
  </w:style>
  <w:style w:type="paragraph" w:customStyle="1" w:styleId="HeaderSensitivity">
    <w:name w:val="Header Sensitivity"/>
    <w:basedOn w:val="Normal"/>
    <w:rsid w:val="0087787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rsid w:val="0087787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877878"/>
    <w:pPr>
      <w:ind w:left="850"/>
    </w:pPr>
  </w:style>
  <w:style w:type="paragraph" w:customStyle="1" w:styleId="Text2">
    <w:name w:val="Text 2"/>
    <w:basedOn w:val="Normal"/>
    <w:rsid w:val="00877878"/>
    <w:pPr>
      <w:ind w:left="1417"/>
    </w:pPr>
  </w:style>
  <w:style w:type="paragraph" w:customStyle="1" w:styleId="Text3">
    <w:name w:val="Text 3"/>
    <w:basedOn w:val="Normal"/>
    <w:rsid w:val="00877878"/>
    <w:pPr>
      <w:ind w:left="1984"/>
    </w:pPr>
  </w:style>
  <w:style w:type="paragraph" w:customStyle="1" w:styleId="Text4">
    <w:name w:val="Text 4"/>
    <w:basedOn w:val="Normal"/>
    <w:rsid w:val="00877878"/>
    <w:pPr>
      <w:ind w:left="2551"/>
    </w:pPr>
  </w:style>
  <w:style w:type="paragraph" w:customStyle="1" w:styleId="NormalCentered">
    <w:name w:val="Normal Centered"/>
    <w:basedOn w:val="Normal"/>
    <w:rsid w:val="00877878"/>
    <w:pPr>
      <w:jc w:val="center"/>
    </w:pPr>
  </w:style>
  <w:style w:type="paragraph" w:customStyle="1" w:styleId="NormalLeft">
    <w:name w:val="Normal Left"/>
    <w:basedOn w:val="Normal"/>
    <w:rsid w:val="00877878"/>
    <w:pPr>
      <w:jc w:val="left"/>
    </w:pPr>
  </w:style>
  <w:style w:type="paragraph" w:customStyle="1" w:styleId="NormalRight">
    <w:name w:val="Normal Right"/>
    <w:basedOn w:val="Normal"/>
    <w:rsid w:val="00877878"/>
    <w:pPr>
      <w:jc w:val="right"/>
    </w:pPr>
  </w:style>
  <w:style w:type="paragraph" w:customStyle="1" w:styleId="QuotedText">
    <w:name w:val="Quoted Text"/>
    <w:basedOn w:val="Normal"/>
    <w:rsid w:val="00877878"/>
    <w:pPr>
      <w:ind w:left="1417"/>
    </w:pPr>
  </w:style>
  <w:style w:type="paragraph" w:customStyle="1" w:styleId="Point0">
    <w:name w:val="Point 0"/>
    <w:basedOn w:val="Normal"/>
    <w:rsid w:val="00877878"/>
    <w:pPr>
      <w:ind w:left="850" w:hanging="850"/>
    </w:pPr>
  </w:style>
  <w:style w:type="paragraph" w:customStyle="1" w:styleId="Point1">
    <w:name w:val="Point 1"/>
    <w:basedOn w:val="Normal"/>
    <w:rsid w:val="00877878"/>
    <w:pPr>
      <w:ind w:left="1417" w:hanging="567"/>
    </w:pPr>
  </w:style>
  <w:style w:type="paragraph" w:customStyle="1" w:styleId="Point2">
    <w:name w:val="Point 2"/>
    <w:basedOn w:val="Normal"/>
    <w:rsid w:val="00877878"/>
    <w:pPr>
      <w:ind w:left="1984" w:hanging="567"/>
    </w:pPr>
  </w:style>
  <w:style w:type="paragraph" w:customStyle="1" w:styleId="Point3">
    <w:name w:val="Point 3"/>
    <w:basedOn w:val="Normal"/>
    <w:rsid w:val="00877878"/>
    <w:pPr>
      <w:ind w:left="2551" w:hanging="567"/>
    </w:pPr>
  </w:style>
  <w:style w:type="paragraph" w:customStyle="1" w:styleId="Point4">
    <w:name w:val="Point 4"/>
    <w:basedOn w:val="Normal"/>
    <w:rsid w:val="00877878"/>
    <w:pPr>
      <w:ind w:left="3118" w:hanging="567"/>
    </w:pPr>
  </w:style>
  <w:style w:type="paragraph" w:customStyle="1" w:styleId="Tiret0">
    <w:name w:val="Tiret 0"/>
    <w:basedOn w:val="Point0"/>
    <w:rsid w:val="00877878"/>
    <w:pPr>
      <w:numPr>
        <w:numId w:val="17"/>
      </w:numPr>
    </w:pPr>
  </w:style>
  <w:style w:type="paragraph" w:customStyle="1" w:styleId="Tiret1">
    <w:name w:val="Tiret 1"/>
    <w:basedOn w:val="Point1"/>
    <w:rsid w:val="00877878"/>
    <w:pPr>
      <w:numPr>
        <w:numId w:val="18"/>
      </w:numPr>
    </w:pPr>
  </w:style>
  <w:style w:type="paragraph" w:customStyle="1" w:styleId="Tiret2">
    <w:name w:val="Tiret 2"/>
    <w:basedOn w:val="Point2"/>
    <w:rsid w:val="00877878"/>
    <w:pPr>
      <w:numPr>
        <w:numId w:val="19"/>
      </w:numPr>
    </w:pPr>
  </w:style>
  <w:style w:type="paragraph" w:customStyle="1" w:styleId="Tiret3">
    <w:name w:val="Tiret 3"/>
    <w:basedOn w:val="Point3"/>
    <w:rsid w:val="00877878"/>
    <w:pPr>
      <w:numPr>
        <w:numId w:val="20"/>
      </w:numPr>
    </w:pPr>
  </w:style>
  <w:style w:type="paragraph" w:customStyle="1" w:styleId="Tiret4">
    <w:name w:val="Tiret 4"/>
    <w:basedOn w:val="Point4"/>
    <w:rsid w:val="00877878"/>
    <w:pPr>
      <w:numPr>
        <w:numId w:val="21"/>
      </w:numPr>
    </w:pPr>
  </w:style>
  <w:style w:type="paragraph" w:customStyle="1" w:styleId="PointDouble0">
    <w:name w:val="PointDouble 0"/>
    <w:basedOn w:val="Normal"/>
    <w:rsid w:val="00877878"/>
    <w:pPr>
      <w:tabs>
        <w:tab w:val="left" w:pos="850"/>
      </w:tabs>
      <w:ind w:left="1417" w:hanging="1417"/>
    </w:pPr>
  </w:style>
  <w:style w:type="paragraph" w:customStyle="1" w:styleId="PointDouble1">
    <w:name w:val="PointDouble 1"/>
    <w:basedOn w:val="Normal"/>
    <w:rsid w:val="00877878"/>
    <w:pPr>
      <w:tabs>
        <w:tab w:val="left" w:pos="1417"/>
      </w:tabs>
      <w:ind w:left="1984" w:hanging="1134"/>
    </w:pPr>
  </w:style>
  <w:style w:type="paragraph" w:customStyle="1" w:styleId="PointDouble2">
    <w:name w:val="PointDouble 2"/>
    <w:basedOn w:val="Normal"/>
    <w:rsid w:val="00877878"/>
    <w:pPr>
      <w:tabs>
        <w:tab w:val="left" w:pos="1984"/>
      </w:tabs>
      <w:ind w:left="2551" w:hanging="1134"/>
    </w:pPr>
  </w:style>
  <w:style w:type="paragraph" w:customStyle="1" w:styleId="PointDouble3">
    <w:name w:val="PointDouble 3"/>
    <w:basedOn w:val="Normal"/>
    <w:rsid w:val="00877878"/>
    <w:pPr>
      <w:tabs>
        <w:tab w:val="left" w:pos="2551"/>
      </w:tabs>
      <w:ind w:left="3118" w:hanging="1134"/>
    </w:pPr>
  </w:style>
  <w:style w:type="paragraph" w:customStyle="1" w:styleId="PointDouble4">
    <w:name w:val="PointDouble 4"/>
    <w:basedOn w:val="Normal"/>
    <w:rsid w:val="00877878"/>
    <w:pPr>
      <w:tabs>
        <w:tab w:val="left" w:pos="3118"/>
      </w:tabs>
      <w:ind w:left="3685" w:hanging="1134"/>
    </w:pPr>
  </w:style>
  <w:style w:type="paragraph" w:customStyle="1" w:styleId="PointTriple0">
    <w:name w:val="PointTriple 0"/>
    <w:basedOn w:val="Normal"/>
    <w:rsid w:val="00877878"/>
    <w:pPr>
      <w:tabs>
        <w:tab w:val="left" w:pos="850"/>
        <w:tab w:val="left" w:pos="1417"/>
      </w:tabs>
      <w:ind w:left="1984" w:hanging="1984"/>
    </w:pPr>
  </w:style>
  <w:style w:type="paragraph" w:customStyle="1" w:styleId="PointTriple1">
    <w:name w:val="PointTriple 1"/>
    <w:basedOn w:val="Normal"/>
    <w:rsid w:val="00877878"/>
    <w:pPr>
      <w:tabs>
        <w:tab w:val="left" w:pos="1417"/>
        <w:tab w:val="left" w:pos="1984"/>
      </w:tabs>
      <w:ind w:left="2551" w:hanging="1701"/>
    </w:pPr>
  </w:style>
  <w:style w:type="paragraph" w:customStyle="1" w:styleId="PointTriple2">
    <w:name w:val="PointTriple 2"/>
    <w:basedOn w:val="Normal"/>
    <w:rsid w:val="00877878"/>
    <w:pPr>
      <w:tabs>
        <w:tab w:val="left" w:pos="1984"/>
        <w:tab w:val="left" w:pos="2551"/>
      </w:tabs>
      <w:ind w:left="3118" w:hanging="1701"/>
    </w:pPr>
  </w:style>
  <w:style w:type="paragraph" w:customStyle="1" w:styleId="PointTriple3">
    <w:name w:val="PointTriple 3"/>
    <w:basedOn w:val="Normal"/>
    <w:rsid w:val="00877878"/>
    <w:pPr>
      <w:tabs>
        <w:tab w:val="left" w:pos="2551"/>
        <w:tab w:val="left" w:pos="3118"/>
      </w:tabs>
      <w:ind w:left="3685" w:hanging="1701"/>
    </w:pPr>
  </w:style>
  <w:style w:type="paragraph" w:customStyle="1" w:styleId="PointTriple4">
    <w:name w:val="PointTriple 4"/>
    <w:basedOn w:val="Normal"/>
    <w:rsid w:val="00877878"/>
    <w:pPr>
      <w:tabs>
        <w:tab w:val="left" w:pos="3118"/>
        <w:tab w:val="left" w:pos="3685"/>
      </w:tabs>
      <w:ind w:left="4252" w:hanging="1701"/>
    </w:pPr>
  </w:style>
  <w:style w:type="paragraph" w:customStyle="1" w:styleId="NumPar1">
    <w:name w:val="NumPar 1"/>
    <w:basedOn w:val="Normal"/>
    <w:next w:val="Text1"/>
    <w:rsid w:val="00877878"/>
    <w:pPr>
      <w:numPr>
        <w:numId w:val="22"/>
      </w:numPr>
    </w:pPr>
  </w:style>
  <w:style w:type="paragraph" w:customStyle="1" w:styleId="NumPar2">
    <w:name w:val="NumPar 2"/>
    <w:basedOn w:val="Normal"/>
    <w:next w:val="Text1"/>
    <w:rsid w:val="00877878"/>
    <w:pPr>
      <w:numPr>
        <w:ilvl w:val="1"/>
        <w:numId w:val="22"/>
      </w:numPr>
    </w:pPr>
  </w:style>
  <w:style w:type="paragraph" w:customStyle="1" w:styleId="NumPar3">
    <w:name w:val="NumPar 3"/>
    <w:basedOn w:val="Normal"/>
    <w:next w:val="Text1"/>
    <w:rsid w:val="00877878"/>
    <w:pPr>
      <w:numPr>
        <w:ilvl w:val="2"/>
        <w:numId w:val="22"/>
      </w:numPr>
    </w:pPr>
  </w:style>
  <w:style w:type="paragraph" w:customStyle="1" w:styleId="NumPar4">
    <w:name w:val="NumPar 4"/>
    <w:basedOn w:val="Normal"/>
    <w:next w:val="Text1"/>
    <w:rsid w:val="00877878"/>
    <w:pPr>
      <w:numPr>
        <w:ilvl w:val="3"/>
        <w:numId w:val="22"/>
      </w:numPr>
    </w:pPr>
  </w:style>
  <w:style w:type="paragraph" w:customStyle="1" w:styleId="ManualNumPar1">
    <w:name w:val="Manual NumPar 1"/>
    <w:basedOn w:val="Normal"/>
    <w:next w:val="Text1"/>
    <w:rsid w:val="00877878"/>
    <w:pPr>
      <w:ind w:left="850" w:hanging="850"/>
    </w:pPr>
  </w:style>
  <w:style w:type="paragraph" w:customStyle="1" w:styleId="ManualNumPar2">
    <w:name w:val="Manual NumPar 2"/>
    <w:basedOn w:val="Normal"/>
    <w:next w:val="Text1"/>
    <w:rsid w:val="00877878"/>
    <w:pPr>
      <w:ind w:left="850" w:hanging="850"/>
    </w:pPr>
  </w:style>
  <w:style w:type="paragraph" w:customStyle="1" w:styleId="ManualNumPar3">
    <w:name w:val="Manual NumPar 3"/>
    <w:basedOn w:val="Normal"/>
    <w:next w:val="Text1"/>
    <w:rsid w:val="00877878"/>
    <w:pPr>
      <w:ind w:left="850" w:hanging="850"/>
    </w:pPr>
  </w:style>
  <w:style w:type="paragraph" w:customStyle="1" w:styleId="ManualNumPar4">
    <w:name w:val="Manual NumPar 4"/>
    <w:basedOn w:val="Normal"/>
    <w:next w:val="Text1"/>
    <w:rsid w:val="00877878"/>
    <w:pPr>
      <w:ind w:left="850" w:hanging="850"/>
    </w:pPr>
  </w:style>
  <w:style w:type="paragraph" w:customStyle="1" w:styleId="QuotedNumPar">
    <w:name w:val="Quoted NumPar"/>
    <w:basedOn w:val="Normal"/>
    <w:rsid w:val="00877878"/>
    <w:pPr>
      <w:ind w:left="1417" w:hanging="567"/>
    </w:pPr>
  </w:style>
  <w:style w:type="paragraph" w:customStyle="1" w:styleId="ManualHeading1">
    <w:name w:val="Manual Heading 1"/>
    <w:basedOn w:val="Normal"/>
    <w:next w:val="Text1"/>
    <w:rsid w:val="0087787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877878"/>
    <w:pPr>
      <w:keepNext/>
      <w:tabs>
        <w:tab w:val="left" w:pos="850"/>
      </w:tabs>
      <w:ind w:left="850" w:hanging="850"/>
      <w:outlineLvl w:val="1"/>
    </w:pPr>
    <w:rPr>
      <w:b/>
    </w:rPr>
  </w:style>
  <w:style w:type="paragraph" w:customStyle="1" w:styleId="ManualHeading3">
    <w:name w:val="Manual Heading 3"/>
    <w:basedOn w:val="Normal"/>
    <w:next w:val="Text1"/>
    <w:rsid w:val="00877878"/>
    <w:pPr>
      <w:keepNext/>
      <w:tabs>
        <w:tab w:val="left" w:pos="850"/>
      </w:tabs>
      <w:ind w:left="850" w:hanging="850"/>
      <w:outlineLvl w:val="2"/>
    </w:pPr>
    <w:rPr>
      <w:i/>
    </w:rPr>
  </w:style>
  <w:style w:type="paragraph" w:customStyle="1" w:styleId="ManualHeading4">
    <w:name w:val="Manual Heading 4"/>
    <w:basedOn w:val="Normal"/>
    <w:next w:val="Text1"/>
    <w:rsid w:val="00877878"/>
    <w:pPr>
      <w:keepNext/>
      <w:tabs>
        <w:tab w:val="left" w:pos="850"/>
      </w:tabs>
      <w:ind w:left="850" w:hanging="850"/>
      <w:outlineLvl w:val="3"/>
    </w:pPr>
  </w:style>
  <w:style w:type="paragraph" w:customStyle="1" w:styleId="ChapterTitle">
    <w:name w:val="ChapterTitle"/>
    <w:basedOn w:val="Normal"/>
    <w:next w:val="Normal"/>
    <w:rsid w:val="00877878"/>
    <w:pPr>
      <w:keepNext/>
      <w:spacing w:after="360"/>
      <w:jc w:val="center"/>
    </w:pPr>
    <w:rPr>
      <w:b/>
      <w:sz w:val="32"/>
    </w:rPr>
  </w:style>
  <w:style w:type="paragraph" w:customStyle="1" w:styleId="PartTitle">
    <w:name w:val="PartTitle"/>
    <w:basedOn w:val="Normal"/>
    <w:next w:val="ChapterTitle"/>
    <w:rsid w:val="00877878"/>
    <w:pPr>
      <w:keepNext/>
      <w:pageBreakBefore/>
      <w:spacing w:after="360"/>
      <w:jc w:val="center"/>
    </w:pPr>
    <w:rPr>
      <w:b/>
      <w:sz w:val="36"/>
    </w:rPr>
  </w:style>
  <w:style w:type="paragraph" w:customStyle="1" w:styleId="SectionTitle">
    <w:name w:val="SectionTitle"/>
    <w:basedOn w:val="Normal"/>
    <w:next w:val="Heading1"/>
    <w:rsid w:val="00877878"/>
    <w:pPr>
      <w:keepNext/>
      <w:spacing w:after="360"/>
      <w:jc w:val="center"/>
    </w:pPr>
    <w:rPr>
      <w:b/>
      <w:smallCaps/>
      <w:sz w:val="28"/>
    </w:rPr>
  </w:style>
  <w:style w:type="paragraph" w:customStyle="1" w:styleId="TableTitle">
    <w:name w:val="Table Title"/>
    <w:basedOn w:val="Normal"/>
    <w:next w:val="Normal"/>
    <w:rsid w:val="00877878"/>
    <w:pPr>
      <w:jc w:val="center"/>
    </w:pPr>
    <w:rPr>
      <w:b/>
    </w:rPr>
  </w:style>
  <w:style w:type="character" w:customStyle="1" w:styleId="Marker">
    <w:name w:val="Marker"/>
    <w:basedOn w:val="DefaultParagraphFont"/>
    <w:rsid w:val="00877878"/>
    <w:rPr>
      <w:color w:val="0000FF"/>
      <w:shd w:val="clear" w:color="auto" w:fill="auto"/>
    </w:rPr>
  </w:style>
  <w:style w:type="character" w:customStyle="1" w:styleId="Marker1">
    <w:name w:val="Marker1"/>
    <w:basedOn w:val="DefaultParagraphFont"/>
    <w:rsid w:val="00877878"/>
    <w:rPr>
      <w:color w:val="008000"/>
      <w:shd w:val="clear" w:color="auto" w:fill="auto"/>
    </w:rPr>
  </w:style>
  <w:style w:type="character" w:customStyle="1" w:styleId="Marker2">
    <w:name w:val="Marker2"/>
    <w:basedOn w:val="DefaultParagraphFont"/>
    <w:rsid w:val="00877878"/>
    <w:rPr>
      <w:color w:val="FF0000"/>
      <w:shd w:val="clear" w:color="auto" w:fill="auto"/>
    </w:rPr>
  </w:style>
  <w:style w:type="paragraph" w:customStyle="1" w:styleId="Point0number">
    <w:name w:val="Point 0 (number)"/>
    <w:basedOn w:val="Normal"/>
    <w:rsid w:val="00877878"/>
    <w:pPr>
      <w:numPr>
        <w:numId w:val="24"/>
      </w:numPr>
    </w:pPr>
  </w:style>
  <w:style w:type="paragraph" w:customStyle="1" w:styleId="Point1number">
    <w:name w:val="Point 1 (number)"/>
    <w:basedOn w:val="Normal"/>
    <w:rsid w:val="00877878"/>
    <w:pPr>
      <w:numPr>
        <w:ilvl w:val="2"/>
        <w:numId w:val="24"/>
      </w:numPr>
    </w:pPr>
  </w:style>
  <w:style w:type="paragraph" w:customStyle="1" w:styleId="Point2number">
    <w:name w:val="Point 2 (number)"/>
    <w:basedOn w:val="Normal"/>
    <w:rsid w:val="00877878"/>
    <w:pPr>
      <w:numPr>
        <w:ilvl w:val="4"/>
        <w:numId w:val="24"/>
      </w:numPr>
    </w:pPr>
  </w:style>
  <w:style w:type="paragraph" w:customStyle="1" w:styleId="Point3number">
    <w:name w:val="Point 3 (number)"/>
    <w:basedOn w:val="Normal"/>
    <w:rsid w:val="00877878"/>
    <w:pPr>
      <w:numPr>
        <w:ilvl w:val="6"/>
        <w:numId w:val="24"/>
      </w:numPr>
    </w:pPr>
  </w:style>
  <w:style w:type="paragraph" w:customStyle="1" w:styleId="Point0letter">
    <w:name w:val="Point 0 (letter)"/>
    <w:basedOn w:val="Normal"/>
    <w:rsid w:val="00877878"/>
    <w:pPr>
      <w:numPr>
        <w:ilvl w:val="1"/>
        <w:numId w:val="24"/>
      </w:numPr>
    </w:pPr>
  </w:style>
  <w:style w:type="paragraph" w:customStyle="1" w:styleId="Point1letter">
    <w:name w:val="Point 1 (letter)"/>
    <w:basedOn w:val="Normal"/>
    <w:rsid w:val="00877878"/>
    <w:pPr>
      <w:numPr>
        <w:ilvl w:val="3"/>
        <w:numId w:val="24"/>
      </w:numPr>
    </w:pPr>
  </w:style>
  <w:style w:type="paragraph" w:customStyle="1" w:styleId="Point2letter">
    <w:name w:val="Point 2 (letter)"/>
    <w:basedOn w:val="Normal"/>
    <w:rsid w:val="00877878"/>
    <w:pPr>
      <w:numPr>
        <w:ilvl w:val="5"/>
        <w:numId w:val="24"/>
      </w:numPr>
    </w:pPr>
  </w:style>
  <w:style w:type="paragraph" w:customStyle="1" w:styleId="Point3letter">
    <w:name w:val="Point 3 (letter)"/>
    <w:basedOn w:val="Normal"/>
    <w:rsid w:val="00877878"/>
    <w:pPr>
      <w:numPr>
        <w:ilvl w:val="7"/>
        <w:numId w:val="24"/>
      </w:numPr>
    </w:pPr>
  </w:style>
  <w:style w:type="paragraph" w:customStyle="1" w:styleId="Point4letter">
    <w:name w:val="Point 4 (letter)"/>
    <w:basedOn w:val="Normal"/>
    <w:rsid w:val="00877878"/>
    <w:pPr>
      <w:numPr>
        <w:ilvl w:val="8"/>
        <w:numId w:val="24"/>
      </w:numPr>
    </w:pPr>
  </w:style>
  <w:style w:type="paragraph" w:customStyle="1" w:styleId="Bullet0">
    <w:name w:val="Bullet 0"/>
    <w:basedOn w:val="Normal"/>
    <w:rsid w:val="00877878"/>
    <w:pPr>
      <w:numPr>
        <w:numId w:val="25"/>
      </w:numPr>
    </w:pPr>
  </w:style>
  <w:style w:type="paragraph" w:customStyle="1" w:styleId="Bullet1">
    <w:name w:val="Bullet 1"/>
    <w:basedOn w:val="Normal"/>
    <w:rsid w:val="00877878"/>
    <w:pPr>
      <w:numPr>
        <w:numId w:val="26"/>
      </w:numPr>
    </w:pPr>
  </w:style>
  <w:style w:type="paragraph" w:customStyle="1" w:styleId="Bullet2">
    <w:name w:val="Bullet 2"/>
    <w:basedOn w:val="Normal"/>
    <w:rsid w:val="00877878"/>
    <w:pPr>
      <w:numPr>
        <w:numId w:val="27"/>
      </w:numPr>
    </w:pPr>
  </w:style>
  <w:style w:type="paragraph" w:customStyle="1" w:styleId="Bullet3">
    <w:name w:val="Bullet 3"/>
    <w:basedOn w:val="Normal"/>
    <w:rsid w:val="00877878"/>
    <w:pPr>
      <w:numPr>
        <w:numId w:val="28"/>
      </w:numPr>
    </w:pPr>
  </w:style>
  <w:style w:type="paragraph" w:customStyle="1" w:styleId="Bullet4">
    <w:name w:val="Bullet 4"/>
    <w:basedOn w:val="Normal"/>
    <w:rsid w:val="00877878"/>
    <w:pPr>
      <w:numPr>
        <w:numId w:val="29"/>
      </w:numPr>
    </w:pPr>
  </w:style>
  <w:style w:type="paragraph" w:customStyle="1" w:styleId="Langue">
    <w:name w:val="Langue"/>
    <w:basedOn w:val="Normal"/>
    <w:next w:val="Rfrenceinterne"/>
    <w:rsid w:val="0087787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877878"/>
    <w:pPr>
      <w:spacing w:before="0" w:after="0"/>
      <w:jc w:val="left"/>
    </w:pPr>
    <w:rPr>
      <w:rFonts w:ascii="Arial" w:hAnsi="Arial" w:cs="Arial"/>
    </w:rPr>
  </w:style>
  <w:style w:type="paragraph" w:customStyle="1" w:styleId="Emission">
    <w:name w:val="Emission"/>
    <w:basedOn w:val="Normal"/>
    <w:next w:val="Rfrenceinstitutionnelle"/>
    <w:rsid w:val="00877878"/>
    <w:pPr>
      <w:spacing w:before="0" w:after="0"/>
      <w:ind w:left="5103"/>
      <w:jc w:val="left"/>
    </w:pPr>
  </w:style>
  <w:style w:type="paragraph" w:customStyle="1" w:styleId="Rfrenceinstitutionnelle">
    <w:name w:val="Référence institutionnelle"/>
    <w:basedOn w:val="Normal"/>
    <w:next w:val="Confidentialit"/>
    <w:rsid w:val="00877878"/>
    <w:pPr>
      <w:spacing w:before="0" w:after="240"/>
      <w:ind w:left="5103"/>
      <w:jc w:val="left"/>
    </w:pPr>
  </w:style>
  <w:style w:type="paragraph" w:customStyle="1" w:styleId="Pagedecouverture">
    <w:name w:val="Page de couverture"/>
    <w:basedOn w:val="Normal"/>
    <w:next w:val="Normal"/>
    <w:rsid w:val="00877878"/>
    <w:pPr>
      <w:spacing w:before="0" w:after="0"/>
    </w:pPr>
  </w:style>
  <w:style w:type="paragraph" w:customStyle="1" w:styleId="Declassification">
    <w:name w:val="Declassification"/>
    <w:basedOn w:val="Normal"/>
    <w:next w:val="Normal"/>
    <w:rsid w:val="00877878"/>
    <w:pPr>
      <w:spacing w:before="0" w:after="0"/>
    </w:pPr>
  </w:style>
  <w:style w:type="paragraph" w:customStyle="1" w:styleId="Disclaimer">
    <w:name w:val="Disclaimer"/>
    <w:basedOn w:val="Normal"/>
    <w:rsid w:val="0087787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rsid w:val="00877878"/>
    <w:pPr>
      <w:jc w:val="center"/>
    </w:pPr>
    <w:rPr>
      <w:b/>
      <w:u w:val="single"/>
    </w:rPr>
  </w:style>
  <w:style w:type="paragraph" w:customStyle="1" w:styleId="Annexetitre">
    <w:name w:val="Annexe titre"/>
    <w:basedOn w:val="Normal"/>
    <w:next w:val="Normal"/>
    <w:rsid w:val="00877878"/>
    <w:pPr>
      <w:jc w:val="center"/>
    </w:pPr>
    <w:rPr>
      <w:b/>
      <w:u w:val="single"/>
    </w:rPr>
  </w:style>
  <w:style w:type="paragraph" w:customStyle="1" w:styleId="Annexetitrefichefinancire">
    <w:name w:val="Annexe titre (fiche financière)"/>
    <w:basedOn w:val="Normal"/>
    <w:next w:val="Normal"/>
    <w:rsid w:val="00877878"/>
    <w:pPr>
      <w:jc w:val="center"/>
    </w:pPr>
    <w:rPr>
      <w:b/>
      <w:u w:val="single"/>
    </w:rPr>
  </w:style>
  <w:style w:type="paragraph" w:customStyle="1" w:styleId="Applicationdirecte">
    <w:name w:val="Application directe"/>
    <w:basedOn w:val="Normal"/>
    <w:next w:val="Fait"/>
    <w:rsid w:val="00877878"/>
    <w:pPr>
      <w:spacing w:before="480"/>
    </w:pPr>
  </w:style>
  <w:style w:type="paragraph" w:customStyle="1" w:styleId="Avertissementtitre">
    <w:name w:val="Avertissement titre"/>
    <w:basedOn w:val="Normal"/>
    <w:next w:val="Normal"/>
    <w:rsid w:val="00877878"/>
    <w:pPr>
      <w:keepNext/>
      <w:spacing w:before="480"/>
    </w:pPr>
    <w:rPr>
      <w:u w:val="single"/>
    </w:rPr>
  </w:style>
  <w:style w:type="paragraph" w:customStyle="1" w:styleId="Confidence">
    <w:name w:val="Confidence"/>
    <w:basedOn w:val="Normal"/>
    <w:next w:val="Normal"/>
    <w:rsid w:val="00877878"/>
    <w:pPr>
      <w:spacing w:before="360"/>
      <w:jc w:val="center"/>
    </w:pPr>
  </w:style>
  <w:style w:type="paragraph" w:customStyle="1" w:styleId="Confidentialit">
    <w:name w:val="Confidentialité"/>
    <w:basedOn w:val="Normal"/>
    <w:next w:val="TypedudocumentPagedecouverture"/>
    <w:rsid w:val="00877878"/>
    <w:pPr>
      <w:spacing w:before="240" w:after="240"/>
      <w:ind w:left="5103"/>
      <w:jc w:val="left"/>
    </w:pPr>
    <w:rPr>
      <w:i/>
      <w:sz w:val="32"/>
    </w:rPr>
  </w:style>
  <w:style w:type="paragraph" w:customStyle="1" w:styleId="Considrant">
    <w:name w:val="Considérant"/>
    <w:basedOn w:val="Normal"/>
    <w:rsid w:val="00877878"/>
    <w:pPr>
      <w:numPr>
        <w:numId w:val="30"/>
      </w:numPr>
    </w:pPr>
  </w:style>
  <w:style w:type="paragraph" w:customStyle="1" w:styleId="Corrigendum">
    <w:name w:val="Corrigendum"/>
    <w:basedOn w:val="Normal"/>
    <w:next w:val="Normal"/>
    <w:rsid w:val="00877878"/>
    <w:pPr>
      <w:spacing w:before="0" w:after="240"/>
      <w:jc w:val="left"/>
    </w:pPr>
  </w:style>
  <w:style w:type="paragraph" w:customStyle="1" w:styleId="Datedadoption">
    <w:name w:val="Date d'adoption"/>
    <w:basedOn w:val="Normal"/>
    <w:next w:val="Titreobjet"/>
    <w:rsid w:val="00877878"/>
    <w:pPr>
      <w:spacing w:before="360" w:after="0"/>
      <w:jc w:val="center"/>
    </w:pPr>
    <w:rPr>
      <w:b/>
    </w:rPr>
  </w:style>
  <w:style w:type="paragraph" w:customStyle="1" w:styleId="Exposdesmotifstitre">
    <w:name w:val="Exposé des motifs titre"/>
    <w:basedOn w:val="Normal"/>
    <w:next w:val="Normal"/>
    <w:rsid w:val="00877878"/>
    <w:pPr>
      <w:jc w:val="center"/>
    </w:pPr>
    <w:rPr>
      <w:b/>
      <w:u w:val="single"/>
    </w:rPr>
  </w:style>
  <w:style w:type="paragraph" w:customStyle="1" w:styleId="Fait">
    <w:name w:val="Fait à"/>
    <w:basedOn w:val="Normal"/>
    <w:next w:val="Institutionquisigne"/>
    <w:rsid w:val="00877878"/>
    <w:pPr>
      <w:keepNext/>
      <w:spacing w:after="0"/>
    </w:pPr>
  </w:style>
  <w:style w:type="paragraph" w:customStyle="1" w:styleId="Formuledadoption">
    <w:name w:val="Formule d'adoption"/>
    <w:basedOn w:val="Normal"/>
    <w:next w:val="Titrearticle"/>
    <w:rsid w:val="00877878"/>
    <w:pPr>
      <w:keepNext/>
    </w:pPr>
  </w:style>
  <w:style w:type="paragraph" w:customStyle="1" w:styleId="Institutionquiagit">
    <w:name w:val="Institution qui agit"/>
    <w:basedOn w:val="Normal"/>
    <w:next w:val="Normal"/>
    <w:rsid w:val="00877878"/>
    <w:pPr>
      <w:keepNext/>
      <w:spacing w:before="600"/>
    </w:pPr>
  </w:style>
  <w:style w:type="paragraph" w:customStyle="1" w:styleId="Institutionquisigne">
    <w:name w:val="Institution qui signe"/>
    <w:basedOn w:val="Normal"/>
    <w:next w:val="Personnequisigne"/>
    <w:rsid w:val="00877878"/>
    <w:pPr>
      <w:keepNext/>
      <w:tabs>
        <w:tab w:val="left" w:pos="4252"/>
      </w:tabs>
      <w:spacing w:before="720" w:after="0"/>
    </w:pPr>
    <w:rPr>
      <w:i/>
    </w:rPr>
  </w:style>
  <w:style w:type="paragraph" w:customStyle="1" w:styleId="ManualConsidrant">
    <w:name w:val="Manual Considérant"/>
    <w:basedOn w:val="Normal"/>
    <w:rsid w:val="00877878"/>
    <w:pPr>
      <w:ind w:left="709" w:hanging="709"/>
    </w:pPr>
  </w:style>
  <w:style w:type="paragraph" w:customStyle="1" w:styleId="Personnequisigne">
    <w:name w:val="Personne qui signe"/>
    <w:basedOn w:val="Normal"/>
    <w:next w:val="Institutionquisigne"/>
    <w:rsid w:val="00877878"/>
    <w:pPr>
      <w:tabs>
        <w:tab w:val="left" w:pos="4252"/>
      </w:tabs>
      <w:spacing w:before="0" w:after="0"/>
      <w:jc w:val="left"/>
    </w:pPr>
    <w:rPr>
      <w:i/>
    </w:rPr>
  </w:style>
  <w:style w:type="paragraph" w:customStyle="1" w:styleId="Rfrenceinterinstitutionnelle">
    <w:name w:val="Référence interinstitutionnelle"/>
    <w:basedOn w:val="Normal"/>
    <w:next w:val="Statut"/>
    <w:rsid w:val="00877878"/>
    <w:pPr>
      <w:spacing w:before="0" w:after="0"/>
      <w:ind w:left="5103"/>
      <w:jc w:val="left"/>
    </w:pPr>
  </w:style>
  <w:style w:type="paragraph" w:customStyle="1" w:styleId="Rfrenceinterne">
    <w:name w:val="Référence interne"/>
    <w:basedOn w:val="Normal"/>
    <w:next w:val="Rfrenceinterinstitutionnelle"/>
    <w:rsid w:val="00877878"/>
    <w:pPr>
      <w:spacing w:before="0" w:after="0"/>
      <w:ind w:left="5103"/>
      <w:jc w:val="left"/>
    </w:pPr>
  </w:style>
  <w:style w:type="paragraph" w:customStyle="1" w:styleId="Statut">
    <w:name w:val="Statut"/>
    <w:basedOn w:val="Normal"/>
    <w:next w:val="Typedudocument"/>
    <w:rsid w:val="00877878"/>
    <w:pPr>
      <w:spacing w:before="360" w:after="0"/>
      <w:jc w:val="center"/>
    </w:pPr>
  </w:style>
  <w:style w:type="paragraph" w:customStyle="1" w:styleId="Titrearticle">
    <w:name w:val="Titre article"/>
    <w:basedOn w:val="Normal"/>
    <w:next w:val="Normal"/>
    <w:rsid w:val="00877878"/>
    <w:pPr>
      <w:keepNext/>
      <w:spacing w:before="360"/>
      <w:jc w:val="center"/>
    </w:pPr>
    <w:rPr>
      <w:i/>
    </w:rPr>
  </w:style>
  <w:style w:type="paragraph" w:customStyle="1" w:styleId="Titreobjet">
    <w:name w:val="Titre objet"/>
    <w:basedOn w:val="Normal"/>
    <w:next w:val="IntrtEEE"/>
    <w:rsid w:val="00877878"/>
    <w:pPr>
      <w:spacing w:before="360" w:after="360"/>
      <w:jc w:val="center"/>
    </w:pPr>
    <w:rPr>
      <w:b/>
    </w:rPr>
  </w:style>
  <w:style w:type="paragraph" w:customStyle="1" w:styleId="Typedudocument">
    <w:name w:val="Type du document"/>
    <w:basedOn w:val="Normal"/>
    <w:next w:val="Titreobjet"/>
    <w:rsid w:val="00877878"/>
    <w:pPr>
      <w:spacing w:before="360" w:after="0"/>
      <w:jc w:val="center"/>
    </w:pPr>
    <w:rPr>
      <w:b/>
    </w:rPr>
  </w:style>
  <w:style w:type="character" w:customStyle="1" w:styleId="Added">
    <w:name w:val="Added"/>
    <w:basedOn w:val="DefaultParagraphFont"/>
    <w:rsid w:val="00877878"/>
    <w:rPr>
      <w:b/>
      <w:u w:val="single"/>
      <w:shd w:val="clear" w:color="auto" w:fill="auto"/>
    </w:rPr>
  </w:style>
  <w:style w:type="character" w:customStyle="1" w:styleId="Deleted">
    <w:name w:val="Deleted"/>
    <w:basedOn w:val="DefaultParagraphFont"/>
    <w:rsid w:val="00877878"/>
    <w:rPr>
      <w:strike/>
      <w:dstrike w:val="0"/>
      <w:shd w:val="clear" w:color="auto" w:fill="auto"/>
    </w:rPr>
  </w:style>
  <w:style w:type="paragraph" w:customStyle="1" w:styleId="Address">
    <w:name w:val="Address"/>
    <w:basedOn w:val="Normal"/>
    <w:next w:val="Normal"/>
    <w:rsid w:val="00877878"/>
    <w:pPr>
      <w:keepLines/>
      <w:spacing w:line="360" w:lineRule="auto"/>
      <w:ind w:left="3402"/>
      <w:jc w:val="left"/>
    </w:pPr>
  </w:style>
  <w:style w:type="paragraph" w:customStyle="1" w:styleId="Objetexterne">
    <w:name w:val="Objet externe"/>
    <w:basedOn w:val="Normal"/>
    <w:next w:val="Normal"/>
    <w:rsid w:val="00877878"/>
    <w:rPr>
      <w:i/>
      <w:caps/>
    </w:rPr>
  </w:style>
  <w:style w:type="paragraph" w:customStyle="1" w:styleId="Supertitre">
    <w:name w:val="Supertitre"/>
    <w:basedOn w:val="Normal"/>
    <w:next w:val="Normal"/>
    <w:rsid w:val="00877878"/>
    <w:pPr>
      <w:spacing w:before="0" w:after="600"/>
      <w:jc w:val="center"/>
    </w:pPr>
    <w:rPr>
      <w:b/>
    </w:rPr>
  </w:style>
  <w:style w:type="paragraph" w:customStyle="1" w:styleId="Languesfaisantfoi">
    <w:name w:val="Langues faisant foi"/>
    <w:basedOn w:val="Normal"/>
    <w:next w:val="Normal"/>
    <w:rsid w:val="00877878"/>
    <w:pPr>
      <w:spacing w:before="360" w:after="0"/>
      <w:jc w:val="center"/>
    </w:pPr>
  </w:style>
  <w:style w:type="paragraph" w:customStyle="1" w:styleId="Rfrencecroise">
    <w:name w:val="Référence croisée"/>
    <w:basedOn w:val="Normal"/>
    <w:rsid w:val="00877878"/>
    <w:pPr>
      <w:spacing w:before="0" w:after="0"/>
      <w:jc w:val="center"/>
    </w:pPr>
  </w:style>
  <w:style w:type="paragraph" w:customStyle="1" w:styleId="Fichefinanciretitre">
    <w:name w:val="Fiche financière titre"/>
    <w:basedOn w:val="Normal"/>
    <w:next w:val="Normal"/>
    <w:rsid w:val="00877878"/>
    <w:pPr>
      <w:jc w:val="center"/>
    </w:pPr>
    <w:rPr>
      <w:b/>
      <w:u w:val="single"/>
    </w:rPr>
  </w:style>
  <w:style w:type="paragraph" w:customStyle="1" w:styleId="DatedadoptionPagedecouverture">
    <w:name w:val="Date d'adoption (Page de couverture)"/>
    <w:basedOn w:val="Datedadoption"/>
    <w:next w:val="TitreobjetPagedecouverture"/>
    <w:rsid w:val="00877878"/>
  </w:style>
  <w:style w:type="paragraph" w:customStyle="1" w:styleId="RfrenceinterinstitutionnellePagedecouverture">
    <w:name w:val="Référence interinstitutionnelle (Page de couverture)"/>
    <w:basedOn w:val="Rfrenceinterinstitutionnelle"/>
    <w:next w:val="Confidentialit"/>
    <w:rsid w:val="00877878"/>
  </w:style>
  <w:style w:type="paragraph" w:customStyle="1" w:styleId="StatutPagedecouverture">
    <w:name w:val="Statut (Page de couverture)"/>
    <w:basedOn w:val="Statut"/>
    <w:next w:val="TypedudocumentPagedecouverture"/>
    <w:rsid w:val="00877878"/>
  </w:style>
  <w:style w:type="paragraph" w:customStyle="1" w:styleId="TitreobjetPagedecouverture">
    <w:name w:val="Titre objet (Page de couverture)"/>
    <w:basedOn w:val="Titreobjet"/>
    <w:next w:val="IntrtEEEPagedecouverture"/>
    <w:rsid w:val="00877878"/>
  </w:style>
  <w:style w:type="paragraph" w:customStyle="1" w:styleId="TypedudocumentPagedecouverture">
    <w:name w:val="Type du document (Page de couverture)"/>
    <w:basedOn w:val="Typedudocument"/>
    <w:next w:val="TitreobjetPagedecouverture"/>
    <w:rsid w:val="00877878"/>
  </w:style>
  <w:style w:type="paragraph" w:customStyle="1" w:styleId="Volume">
    <w:name w:val="Volume"/>
    <w:basedOn w:val="Normal"/>
    <w:next w:val="Confidentialit"/>
    <w:rsid w:val="00877878"/>
    <w:pPr>
      <w:spacing w:before="0" w:after="240"/>
      <w:ind w:left="5103"/>
      <w:jc w:val="left"/>
    </w:pPr>
  </w:style>
  <w:style w:type="paragraph" w:customStyle="1" w:styleId="IntrtEEE">
    <w:name w:val="Intérêt EEE"/>
    <w:basedOn w:val="Languesfaisantfoi"/>
    <w:next w:val="Normal"/>
    <w:rsid w:val="00877878"/>
    <w:pPr>
      <w:spacing w:after="240"/>
    </w:pPr>
  </w:style>
  <w:style w:type="paragraph" w:customStyle="1" w:styleId="Accompagnant">
    <w:name w:val="Accompagnant"/>
    <w:basedOn w:val="Normal"/>
    <w:next w:val="Typeacteprincipal"/>
    <w:rsid w:val="00877878"/>
    <w:pPr>
      <w:spacing w:before="0" w:after="240"/>
      <w:jc w:val="center"/>
    </w:pPr>
    <w:rPr>
      <w:b/>
      <w:i/>
    </w:rPr>
  </w:style>
  <w:style w:type="paragraph" w:customStyle="1" w:styleId="Typeacteprincipal">
    <w:name w:val="Type acte principal"/>
    <w:basedOn w:val="Normal"/>
    <w:next w:val="Objetacteprincipal"/>
    <w:rsid w:val="00877878"/>
    <w:pPr>
      <w:spacing w:before="0" w:after="240"/>
      <w:jc w:val="center"/>
    </w:pPr>
    <w:rPr>
      <w:b/>
    </w:rPr>
  </w:style>
  <w:style w:type="paragraph" w:customStyle="1" w:styleId="Objetacteprincipal">
    <w:name w:val="Objet acte principal"/>
    <w:basedOn w:val="Normal"/>
    <w:next w:val="Titrearticle"/>
    <w:rsid w:val="00877878"/>
    <w:pPr>
      <w:spacing w:before="0" w:after="360"/>
      <w:jc w:val="center"/>
    </w:pPr>
    <w:rPr>
      <w:b/>
    </w:rPr>
  </w:style>
  <w:style w:type="paragraph" w:customStyle="1" w:styleId="IntrtEEEPagedecouverture">
    <w:name w:val="Intérêt EEE (Page de couverture)"/>
    <w:basedOn w:val="IntrtEEE"/>
    <w:next w:val="Rfrencecroise"/>
    <w:rsid w:val="00877878"/>
  </w:style>
  <w:style w:type="paragraph" w:customStyle="1" w:styleId="AccompagnantPagedecouverture">
    <w:name w:val="Accompagnant (Page de couverture)"/>
    <w:basedOn w:val="Accompagnant"/>
    <w:next w:val="TypeacteprincipalPagedecouverture"/>
    <w:rsid w:val="00877878"/>
  </w:style>
  <w:style w:type="paragraph" w:customStyle="1" w:styleId="TypeacteprincipalPagedecouverture">
    <w:name w:val="Type acte principal (Page de couverture)"/>
    <w:basedOn w:val="Typeacteprincipal"/>
    <w:next w:val="ObjetacteprincipalPagedecouverture"/>
    <w:rsid w:val="00877878"/>
  </w:style>
  <w:style w:type="paragraph" w:customStyle="1" w:styleId="ObjetacteprincipalPagedecouverture">
    <w:name w:val="Objet acte principal (Page de couverture)"/>
    <w:basedOn w:val="Objetacteprincipal"/>
    <w:next w:val="Rfrencecroise"/>
    <w:rsid w:val="00877878"/>
  </w:style>
  <w:style w:type="paragraph" w:customStyle="1" w:styleId="LanguesfaisantfoiPagedecouverture">
    <w:name w:val="Langues faisant foi (Page de couverture)"/>
    <w:basedOn w:val="Normal"/>
    <w:next w:val="Normal"/>
    <w:rsid w:val="0087787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5569">
      <w:bodyDiv w:val="1"/>
      <w:marLeft w:val="0"/>
      <w:marRight w:val="0"/>
      <w:marTop w:val="0"/>
      <w:marBottom w:val="0"/>
      <w:divBdr>
        <w:top w:val="none" w:sz="0" w:space="0" w:color="auto"/>
        <w:left w:val="none" w:sz="0" w:space="0" w:color="auto"/>
        <w:bottom w:val="none" w:sz="0" w:space="0" w:color="auto"/>
        <w:right w:val="none" w:sz="0" w:space="0" w:color="auto"/>
      </w:divBdr>
    </w:div>
    <w:div w:id="302665228">
      <w:bodyDiv w:val="1"/>
      <w:marLeft w:val="0"/>
      <w:marRight w:val="0"/>
      <w:marTop w:val="0"/>
      <w:marBottom w:val="0"/>
      <w:divBdr>
        <w:top w:val="none" w:sz="0" w:space="0" w:color="auto"/>
        <w:left w:val="none" w:sz="0" w:space="0" w:color="auto"/>
        <w:bottom w:val="none" w:sz="0" w:space="0" w:color="auto"/>
        <w:right w:val="none" w:sz="0" w:space="0" w:color="auto"/>
      </w:divBdr>
    </w:div>
    <w:div w:id="769157198">
      <w:bodyDiv w:val="1"/>
      <w:marLeft w:val="0"/>
      <w:marRight w:val="0"/>
      <w:marTop w:val="0"/>
      <w:marBottom w:val="0"/>
      <w:divBdr>
        <w:top w:val="none" w:sz="0" w:space="0" w:color="auto"/>
        <w:left w:val="none" w:sz="0" w:space="0" w:color="auto"/>
        <w:bottom w:val="none" w:sz="0" w:space="0" w:color="auto"/>
        <w:right w:val="none" w:sz="0" w:space="0" w:color="auto"/>
      </w:divBdr>
    </w:div>
    <w:div w:id="859782244">
      <w:bodyDiv w:val="1"/>
      <w:marLeft w:val="0"/>
      <w:marRight w:val="0"/>
      <w:marTop w:val="0"/>
      <w:marBottom w:val="0"/>
      <w:divBdr>
        <w:top w:val="none" w:sz="0" w:space="0" w:color="auto"/>
        <w:left w:val="none" w:sz="0" w:space="0" w:color="auto"/>
        <w:bottom w:val="none" w:sz="0" w:space="0" w:color="auto"/>
        <w:right w:val="none" w:sz="0" w:space="0" w:color="auto"/>
      </w:divBdr>
    </w:div>
    <w:div w:id="1405713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C6BF9C-B56A-4333-BA0E-50899ADFD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1</Pages>
  <Words>2639</Words>
  <Characters>15341</Characters>
  <Application>Microsoft Office Word</Application>
  <DocSecurity>0</DocSecurity>
  <Lines>309</Lines>
  <Paragraphs>103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17906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BERNARD Thalie (FISMA)</dc:creator>
  <cp:lastModifiedBy>LWCR</cp:lastModifiedBy>
  <cp:revision>3</cp:revision>
  <cp:lastPrinted>2018-06-21T14:12:00Z</cp:lastPrinted>
  <dcterms:created xsi:type="dcterms:W3CDTF">2018-09-20T07:29:00Z</dcterms:created>
  <dcterms:modified xsi:type="dcterms:W3CDTF">2018-09-20T07:29:00Z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6.0.1.0</vt:lpwstr>
  </property>
  <property fmtid="{D5CDD505-2E9C-101B-9397-08002B2CF9AE}" pid="4" name="Last edited using">
    <vt:lpwstr>LW 6.0.1, Build 20180503</vt:lpwstr>
  </property>
  <property fmtid="{D5CDD505-2E9C-101B-9397-08002B2CF9AE}" pid="5" name="Created using">
    <vt:lpwstr>LW 6.0, Build 20171009</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