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rPr>
        <w:t>Příloha II: Pokyny</w:t>
      </w:r>
    </w:p>
    <w:p w:rsidR="001E5EDF" w:rsidRPr="00D92B3C" w:rsidRDefault="001E5EDF" w:rsidP="001E5EDF">
      <w:pPr>
        <w:rPr>
          <w:rFonts w:ascii="Times New Roman" w:hAnsi="Times New Roman" w:cs="Times New Roman"/>
          <w:b/>
          <w:color w:val="000000" w:themeColor="text1"/>
          <w:sz w:val="20"/>
          <w:szCs w:val="20"/>
        </w:rPr>
      </w:pPr>
    </w:p>
    <w:p w:rsidR="001E5EDF" w:rsidRDefault="001E5EDF" w:rsidP="00385C06">
      <w:pPr>
        <w:rPr>
          <w:rFonts w:ascii="Times New Roman" w:hAnsi="Times New Roman" w:cs="Times New Roman"/>
          <w:b/>
          <w:color w:val="000000" w:themeColor="text1"/>
          <w:sz w:val="20"/>
          <w:szCs w:val="20"/>
        </w:rPr>
      </w:pPr>
    </w:p>
    <w:sdt>
      <w:sdtPr>
        <w:rPr>
          <w:noProof w:val="0"/>
          <w:szCs w:val="24"/>
        </w:rPr>
        <w:id w:val="1282604416"/>
        <w:docPartObj>
          <w:docPartGallery w:val="Table of Contents"/>
          <w:docPartUnique/>
        </w:docPartObj>
      </w:sdtPr>
      <w:sdtEndPr>
        <w:rPr>
          <w:b/>
          <w:bCs/>
        </w:rPr>
      </w:sdtEndPr>
      <w:sdtContent>
        <w:p w:rsidR="0051754C" w:rsidRDefault="0051754C">
          <w:pPr>
            <w:pStyle w:val="TOC2"/>
            <w:rPr>
              <w:lang w:val="en-GB" w:eastAsia="en-GB" w:bidi="ar-SA"/>
            </w:rPr>
          </w:pPr>
          <w:r>
            <w:fldChar w:fldCharType="begin"/>
          </w:r>
          <w:r>
            <w:instrText xml:space="preserve"> TOC \o "1-3" \h \z \u </w:instrText>
          </w:r>
          <w:r>
            <w:fldChar w:fldCharType="separate"/>
          </w:r>
          <w:hyperlink w:anchor="_Toc525209600" w:history="1">
            <w:r w:rsidRPr="008D39E5">
              <w:rPr>
                <w:rStyle w:val="Hyperlink"/>
                <w:rFonts w:ascii="Times New Roman" w:hAnsi="Times New Roman" w:cs="Times New Roman"/>
              </w:rPr>
              <w:t>I.</w:t>
            </w:r>
            <w:r>
              <w:rPr>
                <w:lang w:val="en-GB" w:eastAsia="en-GB" w:bidi="ar-SA"/>
              </w:rPr>
              <w:tab/>
            </w:r>
            <w:r w:rsidRPr="008D39E5">
              <w:rPr>
                <w:rStyle w:val="Hyperlink"/>
                <w:rFonts w:ascii="Times New Roman" w:hAnsi="Times New Roman"/>
              </w:rPr>
              <w:t>Obecné pokyny</w:t>
            </w:r>
            <w:r>
              <w:rPr>
                <w:webHidden/>
              </w:rPr>
              <w:tab/>
            </w:r>
            <w:r>
              <w:rPr>
                <w:webHidden/>
              </w:rPr>
              <w:fldChar w:fldCharType="begin"/>
            </w:r>
            <w:r>
              <w:rPr>
                <w:webHidden/>
              </w:rPr>
              <w:instrText xml:space="preserve"> PAGEREF _Toc525209600 \h </w:instrText>
            </w:r>
            <w:r>
              <w:rPr>
                <w:webHidden/>
              </w:rPr>
            </w:r>
            <w:r>
              <w:rPr>
                <w:webHidden/>
              </w:rPr>
              <w:fldChar w:fldCharType="separate"/>
            </w:r>
            <w:r>
              <w:rPr>
                <w:webHidden/>
              </w:rPr>
              <w:t>2</w:t>
            </w:r>
            <w:r>
              <w:rPr>
                <w:webHidden/>
              </w:rPr>
              <w:fldChar w:fldCharType="end"/>
            </w:r>
          </w:hyperlink>
        </w:p>
        <w:p w:rsidR="0051754C" w:rsidRDefault="00A06593">
          <w:pPr>
            <w:pStyle w:val="TOC2"/>
            <w:rPr>
              <w:lang w:val="en-GB" w:eastAsia="en-GB" w:bidi="ar-SA"/>
            </w:rPr>
          </w:pPr>
          <w:hyperlink w:anchor="_Toc525209601" w:history="1">
            <w:r w:rsidR="0051754C" w:rsidRPr="008D39E5">
              <w:rPr>
                <w:rStyle w:val="Hyperlink"/>
                <w:rFonts w:ascii="Times New Roman" w:hAnsi="Times New Roman" w:cs="Times New Roman"/>
              </w:rPr>
              <w:t>I.1</w:t>
            </w:r>
            <w:r w:rsidR="0051754C">
              <w:rPr>
                <w:lang w:val="en-GB" w:eastAsia="en-GB" w:bidi="ar-SA"/>
              </w:rPr>
              <w:tab/>
            </w:r>
            <w:r w:rsidR="0051754C" w:rsidRPr="008D39E5">
              <w:rPr>
                <w:rStyle w:val="Hyperlink"/>
                <w:rFonts w:ascii="Times New Roman" w:hAnsi="Times New Roman"/>
              </w:rPr>
              <w:t>Struktura</w:t>
            </w:r>
            <w:r w:rsidR="0051754C">
              <w:rPr>
                <w:webHidden/>
              </w:rPr>
              <w:tab/>
            </w:r>
            <w:r w:rsidR="0051754C">
              <w:rPr>
                <w:webHidden/>
              </w:rPr>
              <w:fldChar w:fldCharType="begin"/>
            </w:r>
            <w:r w:rsidR="0051754C">
              <w:rPr>
                <w:webHidden/>
              </w:rPr>
              <w:instrText xml:space="preserve"> PAGEREF _Toc525209601 \h </w:instrText>
            </w:r>
            <w:r w:rsidR="0051754C">
              <w:rPr>
                <w:webHidden/>
              </w:rPr>
            </w:r>
            <w:r w:rsidR="0051754C">
              <w:rPr>
                <w:webHidden/>
              </w:rPr>
              <w:fldChar w:fldCharType="separate"/>
            </w:r>
            <w:r w:rsidR="0051754C">
              <w:rPr>
                <w:webHidden/>
              </w:rPr>
              <w:t>2</w:t>
            </w:r>
            <w:r w:rsidR="0051754C">
              <w:rPr>
                <w:webHidden/>
              </w:rPr>
              <w:fldChar w:fldCharType="end"/>
            </w:r>
          </w:hyperlink>
        </w:p>
        <w:p w:rsidR="0051754C" w:rsidRDefault="00A06593">
          <w:pPr>
            <w:pStyle w:val="TOC2"/>
            <w:rPr>
              <w:lang w:val="en-GB" w:eastAsia="en-GB" w:bidi="ar-SA"/>
            </w:rPr>
          </w:pPr>
          <w:hyperlink w:anchor="_Toc525209602" w:history="1">
            <w:r w:rsidR="0051754C" w:rsidRPr="008D39E5">
              <w:rPr>
                <w:rStyle w:val="Hyperlink"/>
                <w:rFonts w:ascii="Times New Roman" w:hAnsi="Times New Roman" w:cs="Times New Roman"/>
              </w:rPr>
              <w:t>I.2</w:t>
            </w:r>
            <w:r w:rsidR="0051754C">
              <w:rPr>
                <w:lang w:val="en-GB" w:eastAsia="en-GB" w:bidi="ar-SA"/>
              </w:rPr>
              <w:tab/>
            </w:r>
            <w:r w:rsidR="0051754C" w:rsidRPr="008D39E5">
              <w:rPr>
                <w:rStyle w:val="Hyperlink"/>
                <w:rFonts w:ascii="Times New Roman" w:hAnsi="Times New Roman"/>
              </w:rPr>
              <w:t>Odkazy</w:t>
            </w:r>
            <w:r w:rsidR="0051754C">
              <w:rPr>
                <w:webHidden/>
              </w:rPr>
              <w:tab/>
            </w:r>
            <w:r w:rsidR="0051754C">
              <w:rPr>
                <w:webHidden/>
              </w:rPr>
              <w:fldChar w:fldCharType="begin"/>
            </w:r>
            <w:r w:rsidR="0051754C">
              <w:rPr>
                <w:webHidden/>
              </w:rPr>
              <w:instrText xml:space="preserve"> PAGEREF _Toc525209602 \h </w:instrText>
            </w:r>
            <w:r w:rsidR="0051754C">
              <w:rPr>
                <w:webHidden/>
              </w:rPr>
            </w:r>
            <w:r w:rsidR="0051754C">
              <w:rPr>
                <w:webHidden/>
              </w:rPr>
              <w:fldChar w:fldCharType="separate"/>
            </w:r>
            <w:r w:rsidR="0051754C">
              <w:rPr>
                <w:webHidden/>
              </w:rPr>
              <w:t>2</w:t>
            </w:r>
            <w:r w:rsidR="0051754C">
              <w:rPr>
                <w:webHidden/>
              </w:rPr>
              <w:fldChar w:fldCharType="end"/>
            </w:r>
          </w:hyperlink>
        </w:p>
        <w:p w:rsidR="0051754C" w:rsidRDefault="00A06593">
          <w:pPr>
            <w:pStyle w:val="TOC2"/>
            <w:rPr>
              <w:lang w:val="en-GB" w:eastAsia="en-GB" w:bidi="ar-SA"/>
            </w:rPr>
          </w:pPr>
          <w:hyperlink w:anchor="_Toc525209603" w:history="1">
            <w:r w:rsidR="0051754C" w:rsidRPr="008D39E5">
              <w:rPr>
                <w:rStyle w:val="Hyperlink"/>
                <w:rFonts w:ascii="Times New Roman" w:hAnsi="Times New Roman" w:cs="Times New Roman"/>
              </w:rPr>
              <w:t>I.3</w:t>
            </w:r>
            <w:r w:rsidR="0051754C">
              <w:rPr>
                <w:lang w:val="en-GB" w:eastAsia="en-GB" w:bidi="ar-SA"/>
              </w:rPr>
              <w:tab/>
            </w:r>
            <w:r w:rsidR="0051754C" w:rsidRPr="008D39E5">
              <w:rPr>
                <w:rStyle w:val="Hyperlink"/>
                <w:rFonts w:ascii="Times New Roman" w:hAnsi="Times New Roman"/>
              </w:rPr>
              <w:t>Účetní standardy</w:t>
            </w:r>
            <w:r w:rsidR="0051754C">
              <w:rPr>
                <w:webHidden/>
              </w:rPr>
              <w:tab/>
            </w:r>
            <w:r w:rsidR="0051754C">
              <w:rPr>
                <w:webHidden/>
              </w:rPr>
              <w:fldChar w:fldCharType="begin"/>
            </w:r>
            <w:r w:rsidR="0051754C">
              <w:rPr>
                <w:webHidden/>
              </w:rPr>
              <w:instrText xml:space="preserve"> PAGEREF _Toc525209603 \h </w:instrText>
            </w:r>
            <w:r w:rsidR="0051754C">
              <w:rPr>
                <w:webHidden/>
              </w:rPr>
            </w:r>
            <w:r w:rsidR="0051754C">
              <w:rPr>
                <w:webHidden/>
              </w:rPr>
              <w:fldChar w:fldCharType="separate"/>
            </w:r>
            <w:r w:rsidR="0051754C">
              <w:rPr>
                <w:webHidden/>
              </w:rPr>
              <w:t>3</w:t>
            </w:r>
            <w:r w:rsidR="0051754C">
              <w:rPr>
                <w:webHidden/>
              </w:rPr>
              <w:fldChar w:fldCharType="end"/>
            </w:r>
          </w:hyperlink>
        </w:p>
        <w:p w:rsidR="0051754C" w:rsidRDefault="00A06593">
          <w:pPr>
            <w:pStyle w:val="TOC2"/>
            <w:rPr>
              <w:lang w:val="en-GB" w:eastAsia="en-GB" w:bidi="ar-SA"/>
            </w:rPr>
          </w:pPr>
          <w:hyperlink w:anchor="_Toc525209604" w:history="1">
            <w:r w:rsidR="0051754C" w:rsidRPr="008D39E5">
              <w:rPr>
                <w:rStyle w:val="Hyperlink"/>
                <w:rFonts w:ascii="Times New Roman" w:hAnsi="Times New Roman" w:cs="Times New Roman"/>
              </w:rPr>
              <w:t>I.4</w:t>
            </w:r>
            <w:r w:rsidR="0051754C">
              <w:rPr>
                <w:lang w:val="en-GB" w:eastAsia="en-GB" w:bidi="ar-SA"/>
              </w:rPr>
              <w:tab/>
            </w:r>
            <w:r w:rsidR="0051754C" w:rsidRPr="008D39E5">
              <w:rPr>
                <w:rStyle w:val="Hyperlink"/>
                <w:rFonts w:ascii="Times New Roman" w:hAnsi="Times New Roman"/>
              </w:rPr>
              <w:t>Rozsah konsolidace</w:t>
            </w:r>
            <w:r w:rsidR="0051754C">
              <w:rPr>
                <w:webHidden/>
              </w:rPr>
              <w:tab/>
            </w:r>
            <w:r w:rsidR="0051754C">
              <w:rPr>
                <w:webHidden/>
              </w:rPr>
              <w:fldChar w:fldCharType="begin"/>
            </w:r>
            <w:r w:rsidR="0051754C">
              <w:rPr>
                <w:webHidden/>
              </w:rPr>
              <w:instrText xml:space="preserve"> PAGEREF _Toc525209604 \h </w:instrText>
            </w:r>
            <w:r w:rsidR="0051754C">
              <w:rPr>
                <w:webHidden/>
              </w:rPr>
            </w:r>
            <w:r w:rsidR="0051754C">
              <w:rPr>
                <w:webHidden/>
              </w:rPr>
              <w:fldChar w:fldCharType="separate"/>
            </w:r>
            <w:r w:rsidR="0051754C">
              <w:rPr>
                <w:webHidden/>
              </w:rPr>
              <w:t>3</w:t>
            </w:r>
            <w:r w:rsidR="0051754C">
              <w:rPr>
                <w:webHidden/>
              </w:rPr>
              <w:fldChar w:fldCharType="end"/>
            </w:r>
          </w:hyperlink>
        </w:p>
        <w:p w:rsidR="0051754C" w:rsidRDefault="00A06593">
          <w:pPr>
            <w:pStyle w:val="TOC2"/>
            <w:rPr>
              <w:lang w:val="en-GB" w:eastAsia="en-GB" w:bidi="ar-SA"/>
            </w:rPr>
          </w:pPr>
          <w:hyperlink w:anchor="_Toc525209605" w:history="1">
            <w:r w:rsidR="0051754C" w:rsidRPr="008D39E5">
              <w:rPr>
                <w:rStyle w:val="Hyperlink"/>
                <w:rFonts w:ascii="Times New Roman" w:hAnsi="Times New Roman" w:cs="Times New Roman"/>
              </w:rPr>
              <w:t>I.5</w:t>
            </w:r>
            <w:r w:rsidR="0051754C">
              <w:rPr>
                <w:lang w:val="en-GB" w:eastAsia="en-GB" w:bidi="ar-SA"/>
              </w:rPr>
              <w:tab/>
            </w:r>
            <w:r w:rsidR="0051754C" w:rsidRPr="008D39E5">
              <w:rPr>
                <w:rStyle w:val="Hyperlink"/>
                <w:rFonts w:ascii="Times New Roman" w:hAnsi="Times New Roman"/>
              </w:rPr>
              <w:t>Číslování a další pravidla</w:t>
            </w:r>
            <w:r w:rsidR="0051754C">
              <w:rPr>
                <w:webHidden/>
              </w:rPr>
              <w:tab/>
            </w:r>
            <w:r w:rsidR="0051754C">
              <w:rPr>
                <w:webHidden/>
              </w:rPr>
              <w:fldChar w:fldCharType="begin"/>
            </w:r>
            <w:r w:rsidR="0051754C">
              <w:rPr>
                <w:webHidden/>
              </w:rPr>
              <w:instrText xml:space="preserve"> PAGEREF _Toc525209605 \h </w:instrText>
            </w:r>
            <w:r w:rsidR="0051754C">
              <w:rPr>
                <w:webHidden/>
              </w:rPr>
            </w:r>
            <w:r w:rsidR="0051754C">
              <w:rPr>
                <w:webHidden/>
              </w:rPr>
              <w:fldChar w:fldCharType="separate"/>
            </w:r>
            <w:r w:rsidR="0051754C">
              <w:rPr>
                <w:webHidden/>
              </w:rPr>
              <w:t>4</w:t>
            </w:r>
            <w:r w:rsidR="0051754C">
              <w:rPr>
                <w:webHidden/>
              </w:rPr>
              <w:fldChar w:fldCharType="end"/>
            </w:r>
          </w:hyperlink>
        </w:p>
        <w:p w:rsidR="0051754C" w:rsidRDefault="00A06593">
          <w:pPr>
            <w:pStyle w:val="TOC2"/>
            <w:rPr>
              <w:lang w:val="en-GB" w:eastAsia="en-GB" w:bidi="ar-SA"/>
            </w:rPr>
          </w:pPr>
          <w:hyperlink w:anchor="_Toc525209606" w:history="1">
            <w:r w:rsidR="0051754C" w:rsidRPr="008D39E5">
              <w:rPr>
                <w:rStyle w:val="Hyperlink"/>
                <w:rFonts w:ascii="Times New Roman" w:hAnsi="Times New Roman" w:cs="Times New Roman"/>
              </w:rPr>
              <w:t>II.</w:t>
            </w:r>
            <w:r w:rsidR="0051754C">
              <w:rPr>
                <w:lang w:val="en-GB" w:eastAsia="en-GB" w:bidi="ar-SA"/>
              </w:rPr>
              <w:tab/>
            </w:r>
            <w:r w:rsidR="0051754C" w:rsidRPr="008D39E5">
              <w:rPr>
                <w:rStyle w:val="Hyperlink"/>
                <w:rFonts w:ascii="Times New Roman" w:hAnsi="Times New Roman"/>
              </w:rPr>
              <w:t>Pokyny týkající se vzorů</w:t>
            </w:r>
            <w:r w:rsidR="0051754C">
              <w:rPr>
                <w:webHidden/>
              </w:rPr>
              <w:tab/>
            </w:r>
            <w:r w:rsidR="0051754C">
              <w:rPr>
                <w:webHidden/>
              </w:rPr>
              <w:fldChar w:fldCharType="begin"/>
            </w:r>
            <w:r w:rsidR="0051754C">
              <w:rPr>
                <w:webHidden/>
              </w:rPr>
              <w:instrText xml:space="preserve"> PAGEREF _Toc525209606 \h </w:instrText>
            </w:r>
            <w:r w:rsidR="0051754C">
              <w:rPr>
                <w:webHidden/>
              </w:rPr>
            </w:r>
            <w:r w:rsidR="0051754C">
              <w:rPr>
                <w:webHidden/>
              </w:rPr>
              <w:fldChar w:fldCharType="separate"/>
            </w:r>
            <w:r w:rsidR="0051754C">
              <w:rPr>
                <w:webHidden/>
              </w:rPr>
              <w:t>4</w:t>
            </w:r>
            <w:r w:rsidR="0051754C">
              <w:rPr>
                <w:webHidden/>
              </w:rPr>
              <w:fldChar w:fldCharType="end"/>
            </w:r>
          </w:hyperlink>
        </w:p>
        <w:p w:rsidR="0051754C" w:rsidRDefault="00A06593">
          <w:pPr>
            <w:pStyle w:val="TOC2"/>
            <w:rPr>
              <w:lang w:val="en-GB" w:eastAsia="en-GB" w:bidi="ar-SA"/>
            </w:rPr>
          </w:pPr>
          <w:hyperlink w:anchor="_Toc525209607" w:history="1">
            <w:r w:rsidR="0051754C" w:rsidRPr="008D39E5">
              <w:rPr>
                <w:rStyle w:val="Hyperlink"/>
                <w:rFonts w:ascii="Times New Roman" w:hAnsi="Times New Roman" w:cs="Times New Roman"/>
              </w:rPr>
              <w:t>II.1</w:t>
            </w:r>
            <w:r w:rsidR="0051754C">
              <w:rPr>
                <w:lang w:val="en-GB" w:eastAsia="en-GB" w:bidi="ar-SA"/>
              </w:rPr>
              <w:tab/>
            </w:r>
            <w:r w:rsidR="0051754C" w:rsidRPr="008D39E5">
              <w:rPr>
                <w:rStyle w:val="Hyperlink"/>
                <w:rFonts w:ascii="Times New Roman" w:hAnsi="Times New Roman"/>
              </w:rPr>
              <w:t>Z 01.00 – Organizační struktura (ORG)</w:t>
            </w:r>
            <w:r w:rsidR="0051754C">
              <w:rPr>
                <w:webHidden/>
              </w:rPr>
              <w:tab/>
            </w:r>
            <w:r w:rsidR="0051754C">
              <w:rPr>
                <w:webHidden/>
              </w:rPr>
              <w:fldChar w:fldCharType="begin"/>
            </w:r>
            <w:r w:rsidR="0051754C">
              <w:rPr>
                <w:webHidden/>
              </w:rPr>
              <w:instrText xml:space="preserve"> PAGEREF _Toc525209607 \h </w:instrText>
            </w:r>
            <w:r w:rsidR="0051754C">
              <w:rPr>
                <w:webHidden/>
              </w:rPr>
            </w:r>
            <w:r w:rsidR="0051754C">
              <w:rPr>
                <w:webHidden/>
              </w:rPr>
              <w:fldChar w:fldCharType="separate"/>
            </w:r>
            <w:r w:rsidR="0051754C">
              <w:rPr>
                <w:webHidden/>
              </w:rPr>
              <w:t>4</w:t>
            </w:r>
            <w:r w:rsidR="0051754C">
              <w:rPr>
                <w:webHidden/>
              </w:rPr>
              <w:fldChar w:fldCharType="end"/>
            </w:r>
          </w:hyperlink>
        </w:p>
        <w:p w:rsidR="0051754C" w:rsidRDefault="00A06593">
          <w:pPr>
            <w:pStyle w:val="TOC2"/>
            <w:rPr>
              <w:lang w:val="en-GB" w:eastAsia="en-GB" w:bidi="ar-SA"/>
            </w:rPr>
          </w:pPr>
          <w:hyperlink w:anchor="_Toc525209608" w:history="1">
            <w:r w:rsidR="0051754C" w:rsidRPr="008D39E5">
              <w:rPr>
                <w:rStyle w:val="Hyperlink"/>
                <w:rFonts w:ascii="Times New Roman" w:hAnsi="Times New Roman" w:cs="Times New Roman"/>
              </w:rPr>
              <w:t>II.2</w:t>
            </w:r>
            <w:r w:rsidR="0051754C">
              <w:rPr>
                <w:lang w:val="en-GB" w:eastAsia="en-GB" w:bidi="ar-SA"/>
              </w:rPr>
              <w:tab/>
            </w:r>
            <w:r w:rsidR="0051754C" w:rsidRPr="008D39E5">
              <w:rPr>
                <w:rStyle w:val="Hyperlink"/>
                <w:rFonts w:ascii="Times New Roman" w:hAnsi="Times New Roman"/>
              </w:rPr>
              <w:t>Z 02.00 – Struktura pasiv (LIAB)</w:t>
            </w:r>
            <w:r w:rsidR="0051754C">
              <w:rPr>
                <w:webHidden/>
              </w:rPr>
              <w:tab/>
            </w:r>
            <w:r w:rsidR="0051754C">
              <w:rPr>
                <w:webHidden/>
              </w:rPr>
              <w:fldChar w:fldCharType="begin"/>
            </w:r>
            <w:r w:rsidR="0051754C">
              <w:rPr>
                <w:webHidden/>
              </w:rPr>
              <w:instrText xml:space="preserve"> PAGEREF _Toc525209608 \h </w:instrText>
            </w:r>
            <w:r w:rsidR="0051754C">
              <w:rPr>
                <w:webHidden/>
              </w:rPr>
            </w:r>
            <w:r w:rsidR="0051754C">
              <w:rPr>
                <w:webHidden/>
              </w:rPr>
              <w:fldChar w:fldCharType="separate"/>
            </w:r>
            <w:r w:rsidR="0051754C">
              <w:rPr>
                <w:webHidden/>
              </w:rPr>
              <w:t>7</w:t>
            </w:r>
            <w:r w:rsidR="0051754C">
              <w:rPr>
                <w:webHidden/>
              </w:rPr>
              <w:fldChar w:fldCharType="end"/>
            </w:r>
          </w:hyperlink>
        </w:p>
        <w:p w:rsidR="0051754C" w:rsidRDefault="00A06593">
          <w:pPr>
            <w:pStyle w:val="TOC2"/>
            <w:rPr>
              <w:lang w:val="en-GB" w:eastAsia="en-GB" w:bidi="ar-SA"/>
            </w:rPr>
          </w:pPr>
          <w:hyperlink w:anchor="_Toc525209609" w:history="1">
            <w:r w:rsidR="0051754C" w:rsidRPr="008D39E5">
              <w:rPr>
                <w:rStyle w:val="Hyperlink"/>
                <w:rFonts w:ascii="Times New Roman" w:hAnsi="Times New Roman" w:cs="Times New Roman"/>
              </w:rPr>
              <w:t>II.3</w:t>
            </w:r>
            <w:r w:rsidR="0051754C">
              <w:rPr>
                <w:lang w:val="en-GB" w:eastAsia="en-GB" w:bidi="ar-SA"/>
              </w:rPr>
              <w:tab/>
            </w:r>
            <w:r w:rsidR="0051754C" w:rsidRPr="008D39E5">
              <w:rPr>
                <w:rStyle w:val="Hyperlink"/>
                <w:rFonts w:ascii="Times New Roman" w:hAnsi="Times New Roman"/>
              </w:rPr>
              <w:t>Z 03.00 – Kapitálové požadavky (OWN)</w:t>
            </w:r>
            <w:r w:rsidR="0051754C">
              <w:rPr>
                <w:webHidden/>
              </w:rPr>
              <w:tab/>
            </w:r>
            <w:r w:rsidR="0051754C">
              <w:rPr>
                <w:webHidden/>
              </w:rPr>
              <w:fldChar w:fldCharType="begin"/>
            </w:r>
            <w:r w:rsidR="0051754C">
              <w:rPr>
                <w:webHidden/>
              </w:rPr>
              <w:instrText xml:space="preserve"> PAGEREF _Toc525209609 \h </w:instrText>
            </w:r>
            <w:r w:rsidR="0051754C">
              <w:rPr>
                <w:webHidden/>
              </w:rPr>
            </w:r>
            <w:r w:rsidR="0051754C">
              <w:rPr>
                <w:webHidden/>
              </w:rPr>
              <w:fldChar w:fldCharType="separate"/>
            </w:r>
            <w:r w:rsidR="0051754C">
              <w:rPr>
                <w:webHidden/>
              </w:rPr>
              <w:t>13</w:t>
            </w:r>
            <w:r w:rsidR="0051754C">
              <w:rPr>
                <w:webHidden/>
              </w:rPr>
              <w:fldChar w:fldCharType="end"/>
            </w:r>
          </w:hyperlink>
        </w:p>
        <w:p w:rsidR="0051754C" w:rsidRDefault="00A06593">
          <w:pPr>
            <w:pStyle w:val="TOC2"/>
            <w:rPr>
              <w:lang w:val="en-GB" w:eastAsia="en-GB" w:bidi="ar-SA"/>
            </w:rPr>
          </w:pPr>
          <w:hyperlink w:anchor="_Toc525209610" w:history="1">
            <w:r w:rsidR="0051754C" w:rsidRPr="008D39E5">
              <w:rPr>
                <w:rStyle w:val="Hyperlink"/>
                <w:rFonts w:ascii="Times New Roman" w:hAnsi="Times New Roman" w:cs="Times New Roman"/>
              </w:rPr>
              <w:t>II.4</w:t>
            </w:r>
            <w:r w:rsidR="0051754C">
              <w:rPr>
                <w:lang w:val="en-GB" w:eastAsia="en-GB" w:bidi="ar-SA"/>
              </w:rPr>
              <w:tab/>
            </w:r>
            <w:r w:rsidR="0051754C" w:rsidRPr="008D39E5">
              <w:rPr>
                <w:rStyle w:val="Hyperlink"/>
                <w:rFonts w:ascii="Times New Roman" w:hAnsi="Times New Roman"/>
              </w:rPr>
              <w:t>Z 04.00 – Finanční propojení v rámci skupiny (IFC)</w:t>
            </w:r>
            <w:r w:rsidR="0051754C">
              <w:rPr>
                <w:webHidden/>
              </w:rPr>
              <w:tab/>
            </w:r>
            <w:r w:rsidR="0051754C">
              <w:rPr>
                <w:webHidden/>
              </w:rPr>
              <w:fldChar w:fldCharType="begin"/>
            </w:r>
            <w:r w:rsidR="0051754C">
              <w:rPr>
                <w:webHidden/>
              </w:rPr>
              <w:instrText xml:space="preserve"> PAGEREF _Toc525209610 \h </w:instrText>
            </w:r>
            <w:r w:rsidR="0051754C">
              <w:rPr>
                <w:webHidden/>
              </w:rPr>
            </w:r>
            <w:r w:rsidR="0051754C">
              <w:rPr>
                <w:webHidden/>
              </w:rPr>
              <w:fldChar w:fldCharType="separate"/>
            </w:r>
            <w:r w:rsidR="0051754C">
              <w:rPr>
                <w:webHidden/>
              </w:rPr>
              <w:t>17</w:t>
            </w:r>
            <w:r w:rsidR="0051754C">
              <w:rPr>
                <w:webHidden/>
              </w:rPr>
              <w:fldChar w:fldCharType="end"/>
            </w:r>
          </w:hyperlink>
        </w:p>
        <w:p w:rsidR="0051754C" w:rsidRDefault="00A06593">
          <w:pPr>
            <w:pStyle w:val="TOC2"/>
            <w:rPr>
              <w:lang w:val="en-GB" w:eastAsia="en-GB" w:bidi="ar-SA"/>
            </w:rPr>
          </w:pPr>
          <w:hyperlink w:anchor="_Toc525209611" w:history="1">
            <w:r w:rsidR="0051754C" w:rsidRPr="008D39E5">
              <w:rPr>
                <w:rStyle w:val="Hyperlink"/>
                <w:rFonts w:ascii="Times New Roman" w:hAnsi="Times New Roman" w:cs="Times New Roman"/>
              </w:rPr>
              <w:t>II.5</w:t>
            </w:r>
            <w:r w:rsidR="0051754C">
              <w:rPr>
                <w:lang w:val="en-GB" w:eastAsia="en-GB" w:bidi="ar-SA"/>
              </w:rPr>
              <w:tab/>
            </w:r>
            <w:r w:rsidR="0051754C" w:rsidRPr="008D39E5">
              <w:rPr>
                <w:rStyle w:val="Hyperlink"/>
                <w:rFonts w:ascii="Times New Roman" w:hAnsi="Times New Roman"/>
              </w:rPr>
              <w:t>Z 05.01 a Z 05.02 – Hlavní protistrany (MCP)</w:t>
            </w:r>
            <w:r w:rsidR="0051754C">
              <w:rPr>
                <w:webHidden/>
              </w:rPr>
              <w:tab/>
            </w:r>
            <w:r w:rsidR="0051754C">
              <w:rPr>
                <w:webHidden/>
              </w:rPr>
              <w:fldChar w:fldCharType="begin"/>
            </w:r>
            <w:r w:rsidR="0051754C">
              <w:rPr>
                <w:webHidden/>
              </w:rPr>
              <w:instrText xml:space="preserve"> PAGEREF _Toc525209611 \h </w:instrText>
            </w:r>
            <w:r w:rsidR="0051754C">
              <w:rPr>
                <w:webHidden/>
              </w:rPr>
            </w:r>
            <w:r w:rsidR="0051754C">
              <w:rPr>
                <w:webHidden/>
              </w:rPr>
              <w:fldChar w:fldCharType="separate"/>
            </w:r>
            <w:r w:rsidR="0051754C">
              <w:rPr>
                <w:webHidden/>
              </w:rPr>
              <w:t>19</w:t>
            </w:r>
            <w:r w:rsidR="0051754C">
              <w:rPr>
                <w:webHidden/>
              </w:rPr>
              <w:fldChar w:fldCharType="end"/>
            </w:r>
          </w:hyperlink>
        </w:p>
        <w:p w:rsidR="0051754C" w:rsidRDefault="00A06593">
          <w:pPr>
            <w:pStyle w:val="TOC2"/>
            <w:rPr>
              <w:lang w:val="en-GB" w:eastAsia="en-GB" w:bidi="ar-SA"/>
            </w:rPr>
          </w:pPr>
          <w:hyperlink w:anchor="_Toc525209612" w:history="1">
            <w:r w:rsidR="0051754C" w:rsidRPr="008D39E5">
              <w:rPr>
                <w:rStyle w:val="Hyperlink"/>
                <w:rFonts w:ascii="Times New Roman" w:hAnsi="Times New Roman" w:cs="Times New Roman"/>
              </w:rPr>
              <w:t>II.6</w:t>
            </w:r>
            <w:r w:rsidR="0051754C">
              <w:rPr>
                <w:lang w:val="en-GB" w:eastAsia="en-GB" w:bidi="ar-SA"/>
              </w:rPr>
              <w:tab/>
            </w:r>
            <w:r w:rsidR="0051754C" w:rsidRPr="008D39E5">
              <w:rPr>
                <w:rStyle w:val="Hyperlink"/>
                <w:rFonts w:ascii="Times New Roman" w:hAnsi="Times New Roman"/>
              </w:rPr>
              <w:t>Z 06.00 – Pojištění vkladů (Z-DIS)</w:t>
            </w:r>
            <w:r w:rsidR="0051754C">
              <w:rPr>
                <w:webHidden/>
              </w:rPr>
              <w:tab/>
            </w:r>
            <w:r w:rsidR="0051754C">
              <w:rPr>
                <w:webHidden/>
              </w:rPr>
              <w:fldChar w:fldCharType="begin"/>
            </w:r>
            <w:r w:rsidR="0051754C">
              <w:rPr>
                <w:webHidden/>
              </w:rPr>
              <w:instrText xml:space="preserve"> PAGEREF _Toc525209612 \h </w:instrText>
            </w:r>
            <w:r w:rsidR="0051754C">
              <w:rPr>
                <w:webHidden/>
              </w:rPr>
            </w:r>
            <w:r w:rsidR="0051754C">
              <w:rPr>
                <w:webHidden/>
              </w:rPr>
              <w:fldChar w:fldCharType="separate"/>
            </w:r>
            <w:r w:rsidR="0051754C">
              <w:rPr>
                <w:webHidden/>
              </w:rPr>
              <w:t>22</w:t>
            </w:r>
            <w:r w:rsidR="0051754C">
              <w:rPr>
                <w:webHidden/>
              </w:rPr>
              <w:fldChar w:fldCharType="end"/>
            </w:r>
          </w:hyperlink>
        </w:p>
        <w:p w:rsidR="0051754C" w:rsidRDefault="00A06593">
          <w:pPr>
            <w:pStyle w:val="TOC2"/>
            <w:rPr>
              <w:lang w:val="en-GB" w:eastAsia="en-GB" w:bidi="ar-SA"/>
            </w:rPr>
          </w:pPr>
          <w:hyperlink w:anchor="_Toc525209613" w:history="1">
            <w:r w:rsidR="0051754C" w:rsidRPr="008D39E5">
              <w:rPr>
                <w:rStyle w:val="Hyperlink"/>
                <w:rFonts w:ascii="Times New Roman" w:hAnsi="Times New Roman" w:cs="Times New Roman"/>
              </w:rPr>
              <w:t>II.7</w:t>
            </w:r>
            <w:r w:rsidR="0051754C">
              <w:rPr>
                <w:lang w:val="en-GB" w:eastAsia="en-GB" w:bidi="ar-SA"/>
              </w:rPr>
              <w:tab/>
            </w:r>
            <w:r w:rsidR="0051754C" w:rsidRPr="008D39E5">
              <w:rPr>
                <w:rStyle w:val="Hyperlink"/>
                <w:rFonts w:ascii="Times New Roman" w:hAnsi="Times New Roman"/>
              </w:rPr>
              <w:t>Zásadní funkce a hlavní obory podnikání</w:t>
            </w:r>
            <w:r w:rsidR="0051754C">
              <w:rPr>
                <w:webHidden/>
              </w:rPr>
              <w:tab/>
            </w:r>
            <w:r w:rsidR="0051754C">
              <w:rPr>
                <w:webHidden/>
              </w:rPr>
              <w:fldChar w:fldCharType="begin"/>
            </w:r>
            <w:r w:rsidR="0051754C">
              <w:rPr>
                <w:webHidden/>
              </w:rPr>
              <w:instrText xml:space="preserve"> PAGEREF _Toc525209613 \h </w:instrText>
            </w:r>
            <w:r w:rsidR="0051754C">
              <w:rPr>
                <w:webHidden/>
              </w:rPr>
            </w:r>
            <w:r w:rsidR="0051754C">
              <w:rPr>
                <w:webHidden/>
              </w:rPr>
              <w:fldChar w:fldCharType="separate"/>
            </w:r>
            <w:r w:rsidR="0051754C">
              <w:rPr>
                <w:webHidden/>
              </w:rPr>
              <w:t>24</w:t>
            </w:r>
            <w:r w:rsidR="0051754C">
              <w:rPr>
                <w:webHidden/>
              </w:rPr>
              <w:fldChar w:fldCharType="end"/>
            </w:r>
          </w:hyperlink>
        </w:p>
        <w:p w:rsidR="0051754C" w:rsidRDefault="00A06593">
          <w:pPr>
            <w:pStyle w:val="TOC2"/>
            <w:rPr>
              <w:lang w:val="en-GB" w:eastAsia="en-GB" w:bidi="ar-SA"/>
            </w:rPr>
          </w:pPr>
          <w:hyperlink w:anchor="_Toc525209614" w:history="1">
            <w:r w:rsidR="0051754C" w:rsidRPr="008D39E5">
              <w:rPr>
                <w:rStyle w:val="Hyperlink"/>
                <w:rFonts w:ascii="Times New Roman" w:hAnsi="Times New Roman" w:cs="Times New Roman"/>
              </w:rPr>
              <w:t>II.8</w:t>
            </w:r>
            <w:r w:rsidR="0051754C">
              <w:rPr>
                <w:lang w:val="en-GB" w:eastAsia="en-GB" w:bidi="ar-SA"/>
              </w:rPr>
              <w:tab/>
            </w:r>
            <w:r w:rsidR="0051754C" w:rsidRPr="008D39E5">
              <w:rPr>
                <w:rStyle w:val="Hyperlink"/>
                <w:rFonts w:ascii="Times New Roman" w:hAnsi="Times New Roman"/>
              </w:rPr>
              <w:t>Z 08.00 – Klíčové služby (SERV)</w:t>
            </w:r>
            <w:r w:rsidR="0051754C">
              <w:rPr>
                <w:webHidden/>
              </w:rPr>
              <w:tab/>
            </w:r>
            <w:r w:rsidR="0051754C">
              <w:rPr>
                <w:webHidden/>
              </w:rPr>
              <w:fldChar w:fldCharType="begin"/>
            </w:r>
            <w:r w:rsidR="0051754C">
              <w:rPr>
                <w:webHidden/>
              </w:rPr>
              <w:instrText xml:space="preserve"> PAGEREF _Toc525209614 \h </w:instrText>
            </w:r>
            <w:r w:rsidR="0051754C">
              <w:rPr>
                <w:webHidden/>
              </w:rPr>
            </w:r>
            <w:r w:rsidR="0051754C">
              <w:rPr>
                <w:webHidden/>
              </w:rPr>
              <w:fldChar w:fldCharType="separate"/>
            </w:r>
            <w:r w:rsidR="0051754C">
              <w:rPr>
                <w:webHidden/>
              </w:rPr>
              <w:t>33</w:t>
            </w:r>
            <w:r w:rsidR="0051754C">
              <w:rPr>
                <w:webHidden/>
              </w:rPr>
              <w:fldChar w:fldCharType="end"/>
            </w:r>
          </w:hyperlink>
        </w:p>
        <w:p w:rsidR="0051754C" w:rsidRDefault="00A06593">
          <w:pPr>
            <w:pStyle w:val="TOC2"/>
            <w:rPr>
              <w:lang w:val="en-GB" w:eastAsia="en-GB" w:bidi="ar-SA"/>
            </w:rPr>
          </w:pPr>
          <w:hyperlink w:anchor="_Toc525209615" w:history="1">
            <w:r w:rsidR="0051754C" w:rsidRPr="008D39E5">
              <w:rPr>
                <w:rStyle w:val="Hyperlink"/>
                <w:rFonts w:ascii="Times New Roman" w:hAnsi="Times New Roman" w:cs="Times New Roman"/>
              </w:rPr>
              <w:t>II.9</w:t>
            </w:r>
            <w:r w:rsidR="0051754C">
              <w:rPr>
                <w:lang w:val="en-GB" w:eastAsia="en-GB" w:bidi="ar-SA"/>
              </w:rPr>
              <w:tab/>
            </w:r>
            <w:r w:rsidR="0051754C" w:rsidRPr="008D39E5">
              <w:rPr>
                <w:rStyle w:val="Hyperlink"/>
                <w:rFonts w:ascii="Times New Roman" w:hAnsi="Times New Roman"/>
              </w:rPr>
              <w:t>Z 09.00 – Klíčové služby infrastruktury finančních trhů – Poskytovatelé a uživatelé – Zmapování podle zásadních funkcí</w:t>
            </w:r>
            <w:r w:rsidR="0051754C">
              <w:rPr>
                <w:webHidden/>
              </w:rPr>
              <w:tab/>
            </w:r>
            <w:r w:rsidR="0051754C">
              <w:rPr>
                <w:webHidden/>
              </w:rPr>
              <w:fldChar w:fldCharType="begin"/>
            </w:r>
            <w:r w:rsidR="0051754C">
              <w:rPr>
                <w:webHidden/>
              </w:rPr>
              <w:instrText xml:space="preserve"> PAGEREF _Toc525209615 \h </w:instrText>
            </w:r>
            <w:r w:rsidR="0051754C">
              <w:rPr>
                <w:webHidden/>
              </w:rPr>
            </w:r>
            <w:r w:rsidR="0051754C">
              <w:rPr>
                <w:webHidden/>
              </w:rPr>
              <w:fldChar w:fldCharType="separate"/>
            </w:r>
            <w:r w:rsidR="0051754C">
              <w:rPr>
                <w:webHidden/>
              </w:rPr>
              <w:t>37</w:t>
            </w:r>
            <w:r w:rsidR="0051754C">
              <w:rPr>
                <w:webHidden/>
              </w:rPr>
              <w:fldChar w:fldCharType="end"/>
            </w:r>
          </w:hyperlink>
        </w:p>
        <w:p w:rsidR="0051754C" w:rsidRDefault="00A06593">
          <w:pPr>
            <w:pStyle w:val="TOC2"/>
            <w:rPr>
              <w:lang w:val="en-GB" w:eastAsia="en-GB" w:bidi="ar-SA"/>
            </w:rPr>
          </w:pPr>
          <w:hyperlink w:anchor="_Toc525209616" w:history="1">
            <w:r w:rsidR="0051754C" w:rsidRPr="008D39E5">
              <w:rPr>
                <w:rStyle w:val="Hyperlink"/>
                <w:rFonts w:ascii="Times New Roman" w:hAnsi="Times New Roman" w:cs="Times New Roman"/>
              </w:rPr>
              <w:t>II.10</w:t>
            </w:r>
            <w:r w:rsidR="0051754C">
              <w:rPr>
                <w:lang w:val="en-GB" w:eastAsia="en-GB" w:bidi="ar-SA"/>
              </w:rPr>
              <w:tab/>
            </w:r>
            <w:r w:rsidR="0051754C" w:rsidRPr="008D39E5">
              <w:rPr>
                <w:rStyle w:val="Hyperlink"/>
                <w:rFonts w:ascii="Times New Roman" w:hAnsi="Times New Roman"/>
              </w:rPr>
              <w:t>Klíčové informační systémy</w:t>
            </w:r>
            <w:r w:rsidR="0051754C">
              <w:rPr>
                <w:webHidden/>
              </w:rPr>
              <w:tab/>
            </w:r>
            <w:r w:rsidR="0051754C">
              <w:rPr>
                <w:webHidden/>
              </w:rPr>
              <w:fldChar w:fldCharType="begin"/>
            </w:r>
            <w:r w:rsidR="0051754C">
              <w:rPr>
                <w:webHidden/>
              </w:rPr>
              <w:instrText xml:space="preserve"> PAGEREF _Toc525209616 \h </w:instrText>
            </w:r>
            <w:r w:rsidR="0051754C">
              <w:rPr>
                <w:webHidden/>
              </w:rPr>
            </w:r>
            <w:r w:rsidR="0051754C">
              <w:rPr>
                <w:webHidden/>
              </w:rPr>
              <w:fldChar w:fldCharType="separate"/>
            </w:r>
            <w:r w:rsidR="0051754C">
              <w:rPr>
                <w:webHidden/>
              </w:rPr>
              <w:t>39</w:t>
            </w:r>
            <w:r w:rsidR="0051754C">
              <w:rPr>
                <w:webHidden/>
              </w:rPr>
              <w:fldChar w:fldCharType="end"/>
            </w:r>
          </w:hyperlink>
        </w:p>
        <w:p w:rsidR="00421CDC" w:rsidRPr="00D92B3C" w:rsidRDefault="0051754C" w:rsidP="0051754C">
          <w:r>
            <w:rPr>
              <w:b/>
              <w:bCs/>
              <w:noProof/>
            </w:rPr>
            <w:fldChar w:fldCharType="end"/>
          </w:r>
        </w:p>
      </w:sdtContent>
    </w:sdt>
    <w:p w:rsidR="00385C06" w:rsidRPr="00D92B3C" w:rsidRDefault="00385C06" w:rsidP="00385C06">
      <w:pPr>
        <w:rPr>
          <w:rFonts w:ascii="Times New Roman" w:hAnsi="Times New Roman" w:cs="Times New Roman"/>
          <w:b/>
          <w:color w:val="000000" w:themeColor="text1"/>
          <w:sz w:val="20"/>
          <w:szCs w:val="20"/>
        </w:rPr>
      </w:pP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bookmarkStart w:id="2" w:name="_Toc525209600"/>
      <w:r>
        <w:rPr>
          <w:rFonts w:ascii="Times New Roman" w:hAnsi="Times New Roman"/>
        </w:rPr>
        <w:lastRenderedPageBreak/>
        <w:t>Obecné pokyny</w:t>
      </w:r>
      <w:bookmarkEnd w:id="0"/>
      <w:bookmarkEnd w:id="1"/>
      <w:bookmarkEnd w:id="2"/>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3" w:name="_Toc509909033"/>
      <w:bookmarkStart w:id="4" w:name="_Toc525209601"/>
      <w:r>
        <w:rPr>
          <w:rFonts w:ascii="Times New Roman" w:hAnsi="Times New Roman"/>
        </w:rPr>
        <w:t>Struktura</w:t>
      </w:r>
      <w:bookmarkEnd w:id="3"/>
      <w:bookmarkEnd w:id="4"/>
    </w:p>
    <w:p w:rsidR="002B2A61" w:rsidRPr="00D92B3C" w:rsidRDefault="002B2A61" w:rsidP="00A06593">
      <w:pPr>
        <w:pStyle w:val="numberedparagraph"/>
        <w:rPr>
          <w:rFonts w:cs="Times New Roman"/>
        </w:rPr>
      </w:pPr>
      <w:r>
        <w:t>Tento rámec se skládá z 15 vzorů rozdělených do 3 bloků:</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„Všeobecné informace“, které uvádějí přehled organizační struktury skupiny a jejích subjektů, distribuci aktiv a objemy rizikových expozic. Tento blok zahrnuje vzor „Z 01.00 – Organizační struktura (ORG)“;</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„Informace o rozvahových položkách a podrozvahových položkách“, které uvádějí finanční údaje o pasivech, kapitálu, finančním propojení mezi subjekty skupiny, závazcích vůči hlavním protistranám a podrozvahových položkách přijatých od hlavních protistran a pojištění vkladů. Tento blok se skládá z 6 vzorů:</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02.00 – Struktura pasiv (LIAB)“;</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03.00 – Kapitálové požadavky (OWN)“;</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04.00 – Finanční propojení v rámci skupiny (IFC)“;</w:t>
      </w:r>
    </w:p>
    <w:p w:rsidR="001F072D" w:rsidRPr="00D92B3C" w:rsidRDefault="00C87003"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Dva vzory o hlavních protistranách „Z 05.01 – Závazky vůči hlavním protistranám (Z-MCP 1)“ a „Z 05.02 – Podrozvahové položky od hlavních protistran (Z-MCP 2)“;</w:t>
      </w:r>
    </w:p>
    <w:p w:rsidR="00A040CC" w:rsidRPr="00274771"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06.00 – Pojištění vkladů (Z-DIS)“;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„Zásadní funkce“, které poskytují přehled zásadních funkcí a mapují je podle právních subjektů, hlavních oborů podnikání, klíčových služeb, infrastruktury finančních trhů a informačních systémů. Tento blok se skládá ze 7 vzorů:</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4 vzory pro identifikaci zásadních funkcí a jejich zmapování podle hlavních oborů podnikání a subjektů skupiny „Z 07.01 – Kritické posouzení ekonomických funkcí (Z-FUNC 1)“, „Z 07.02 – Zmapování zásadních funkcí podle právních subjektů (Z-FUNC 2)“, „Z 07.03 – Zmapování hlavních oborů podnikání podle právních subjektů (Z-FUNC 3)“ a „Z 07.04 – Zmapování zásadních funkcí podle hlavních oborů podnikání (Z-FUNC 4)“;</w:t>
      </w:r>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„Z 08.00 – Klíčové služby (Z-SERV)“;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„Z 09.00 – Služby infrastruktury finančních trhů – Poskytovatelé a uživatelé – Zmapování podle zásadních funkcí (Z-FMI)“;</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2 vzory pro klíčové informační systémy „Z 10.01 – Klíčové informační systémy (všeobecné </w:t>
      </w:r>
      <w:proofErr w:type="gramStart"/>
      <w:r>
        <w:rPr>
          <w:rFonts w:ascii="Times New Roman" w:hAnsi="Times New Roman"/>
          <w:color w:val="000000" w:themeColor="text1"/>
          <w:sz w:val="20"/>
        </w:rPr>
        <w:t>informace) (Z-CIS</w:t>
      </w:r>
      <w:proofErr w:type="gramEnd"/>
      <w:r>
        <w:rPr>
          <w:rFonts w:ascii="Times New Roman" w:hAnsi="Times New Roman"/>
          <w:color w:val="000000" w:themeColor="text1"/>
          <w:sz w:val="20"/>
        </w:rPr>
        <w:t xml:space="preserve"> 1)“ a „Z 10.02 – Zmapování informačních systémů (Z-CIS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5" w:name="_Toc509909034"/>
      <w:bookmarkStart w:id="6" w:name="_Toc525209602"/>
      <w:r>
        <w:rPr>
          <w:rFonts w:ascii="Times New Roman" w:hAnsi="Times New Roman"/>
        </w:rPr>
        <w:t>Odkazy</w:t>
      </w:r>
      <w:bookmarkEnd w:id="5"/>
      <w:bookmarkEnd w:id="6"/>
    </w:p>
    <w:p w:rsidR="00C93D9F" w:rsidRPr="00D92B3C" w:rsidRDefault="00C93D9F" w:rsidP="00A06593">
      <w:pPr>
        <w:pStyle w:val="numberedparagraph"/>
        <w:rPr>
          <w:rFonts w:cs="Times New Roman"/>
        </w:rPr>
      </w:pPr>
      <w:r>
        <w:t>Pro účely této přílohy se používají tyto zkratky:</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„BCBS“ se rozumí Basilejský výbor pro bankovní dohled při Bance pro mezinárodní platby;</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„CPMI“ se rozumí Výbor pro platební styk a tržní infrastrukturu při Bance pro mezinárodní platby;</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lastRenderedPageBreak/>
        <w:t>„FINREP“ se rozumí vzory finančních informací uvedené v přílohách III a IV a doplňující pokyny uvedené v příloze V prováděcího nařízení Komise (EU) č. 680/2014</w:t>
      </w:r>
      <w:r>
        <w:rPr>
          <w:rStyle w:val="FootnoteReference"/>
          <w:rFonts w:ascii="Times New Roman" w:hAnsi="Times New Roman"/>
          <w:sz w:val="20"/>
        </w:rPr>
        <w:footnoteReference w:id="1"/>
      </w:r>
      <w:r>
        <w:rPr>
          <w:rFonts w:ascii="Times New Roman" w:hAnsi="Times New Roman"/>
          <w:color w:val="000000" w:themeColor="text1"/>
          <w:sz w:val="20"/>
        </w:rPr>
        <w:t>;</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(OF)“ se rozumí přílohy I (vzory) a II (pokyny) prováděcího nařízení (EU) č. 680/2014;</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(LR)“ se rozumí přílohy X (vzory) a XI (pokyny) prováděcího nařízení (EU) č. 680/2014;</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„FSB“ se rozumí Rada pro finanční stabilitu;</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„IAS“ se rozumí mezinárodní účetní standardy definované v článku 2 nařízení Evropského parlamentu a Rady (ES) č. 1606/2002</w:t>
      </w:r>
      <w:r>
        <w:rPr>
          <w:vertAlign w:val="superscript"/>
        </w:rPr>
        <w:footnoteReference w:id="2"/>
      </w:r>
      <w:r>
        <w:rPr>
          <w:rFonts w:ascii="Times New Roman" w:hAnsi="Times New Roman"/>
          <w:color w:val="000000" w:themeColor="text1"/>
          <w:sz w:val="20"/>
        </w:rPr>
        <w:t>;</w:t>
      </w:r>
    </w:p>
    <w:p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„IFRS“ se rozumí mezinárodní standardy účetního výkaznictví definované v článku 2 nařízení (EU) č. 1606/2002</w:t>
      </w:r>
      <w:r>
        <w:rPr>
          <w:rStyle w:val="FootnoteReference"/>
          <w:rFonts w:ascii="Times New Roman" w:hAnsi="Times New Roman"/>
          <w:color w:val="000000" w:themeColor="text1"/>
          <w:sz w:val="20"/>
        </w:rPr>
        <w:footnoteReference w:id="3"/>
      </w:r>
      <w:r>
        <w:rPr>
          <w:rFonts w:ascii="Times New Roman" w:hAnsi="Times New Roman"/>
          <w:color w:val="000000" w:themeColor="text1"/>
          <w:sz w:val="20"/>
        </w:rPr>
        <w:t>;</w:t>
      </w:r>
    </w:p>
    <w:p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  „kódem LEI“ se rozumí identifikační kód právnické osoby, jehož cílem je dosáhnout jedinečné a celosvětové identifikace účastníků finančních transakcí, navržený Radou pro finanční stabilitu (FSB) a schválený skupinou G20. Do doby, než bude plně funkční globální systém LEI, přiřazuje místní provozní jednotka účastníkům předběžné kódy LEI, které byly schváleny Výborem pro regulatorní dohled (ROC, podrobné informace lze nalézt na těchto webových stránkách: </w:t>
      </w:r>
      <w:hyperlink r:id="rId9">
        <w:r>
          <w:rPr>
            <w:rStyle w:val="Hyperlink"/>
            <w:rFonts w:ascii="Times New Roman" w:hAnsi="Times New Roman"/>
            <w:color w:val="000000" w:themeColor="text1"/>
            <w:sz w:val="20"/>
          </w:rPr>
          <w:t>www.leiroc.org</w:t>
        </w:r>
      </w:hyperlink>
      <w:r>
        <w:rPr>
          <w:rFonts w:ascii="Times New Roman" w:hAnsi="Times New Roman"/>
          <w:color w:val="000000" w:themeColor="text1"/>
          <w:sz w:val="20"/>
        </w:rPr>
        <w:t>). Pokud pro danou protistranu existuje identifikační kód právnické osoby (kód LEI), používá se pro identifikaci této protistrany;</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„NGAAP“ neboli „vnitrostátními obecně uznávanými účetními zásadami“ se rozumí vnitrostátní účetní rámce vypracované podle směrnice 86/635/EHS</w:t>
      </w:r>
      <w:r>
        <w:rPr>
          <w:rStyle w:val="FootnoteReference"/>
          <w:color w:val="000000" w:themeColor="text1"/>
        </w:rPr>
        <w:footnoteReference w:id="4"/>
      </w:r>
      <w:r>
        <w:rPr>
          <w:rFonts w:ascii="Times New Roman" w:hAnsi="Times New Roman"/>
          <w:color w:val="000000" w:themeColor="text1"/>
          <w:sz w:val="20"/>
        </w:rPr>
        <w:t>.</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7" w:name="_Toc509909035"/>
      <w:bookmarkStart w:id="8" w:name="_Toc525209603"/>
      <w:r>
        <w:rPr>
          <w:rFonts w:ascii="Times New Roman" w:hAnsi="Times New Roman"/>
        </w:rPr>
        <w:t>Účetní standardy</w:t>
      </w:r>
      <w:bookmarkEnd w:id="7"/>
      <w:bookmarkEnd w:id="8"/>
    </w:p>
    <w:p w:rsidR="002B2A61" w:rsidRPr="00D52306" w:rsidRDefault="00A75967" w:rsidP="00A06593">
      <w:pPr>
        <w:pStyle w:val="numberedparagraph"/>
        <w:rPr>
          <w:rFonts w:cs="Times New Roman"/>
        </w:rPr>
      </w:pPr>
      <w:r>
        <w:t xml:space="preserve">Pokud není v těchto pokynech uvedeno jinak, vykazují instituce všechny částky na základě účetního rámce, který používají pro vykazování finančních údajů v souladu s články 9 až 11 prováděcího nařízení (EU) č. 680/2014. Instituce, které nemusí vykazovat finanční údaje podle prováděcího nařízení (EU) č. 680/2014, uplatňují pravidla podle svého příslušného účetního rámce. </w:t>
      </w:r>
    </w:p>
    <w:p w:rsidR="002B2A61" w:rsidRPr="00D92B3C" w:rsidRDefault="002B2A61" w:rsidP="00A06593">
      <w:pPr>
        <w:pStyle w:val="numberedparagraph"/>
        <w:rPr>
          <w:rFonts w:cs="Times New Roman"/>
        </w:rPr>
      </w:pPr>
      <w:r>
        <w:t>U institucí, které vykazují finanční údaje podle mezinárodních standardů účetního výkaznictví (IFRS), byly vloženy odkazy na příslušné standardy IFRS.</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9" w:name="_Toc509909036"/>
      <w:bookmarkStart w:id="10" w:name="_Toc525209604"/>
      <w:r>
        <w:rPr>
          <w:rFonts w:ascii="Times New Roman" w:hAnsi="Times New Roman"/>
        </w:rPr>
        <w:t>Rozsah konsolidace</w:t>
      </w:r>
      <w:bookmarkEnd w:id="9"/>
      <w:bookmarkEnd w:id="10"/>
    </w:p>
    <w:p w:rsidR="00CF3051" w:rsidRPr="00D92B3C" w:rsidRDefault="00883A6B" w:rsidP="00A06593">
      <w:pPr>
        <w:pStyle w:val="numberedparagraph"/>
        <w:rPr>
          <w:rFonts w:cs="Times New Roman"/>
        </w:rPr>
      </w:pPr>
      <w:r>
        <w:t xml:space="preserve">Tento rámec se podle vzoru vztahuje </w:t>
      </w:r>
      <w:proofErr w:type="gramStart"/>
      <w:r>
        <w:t>na</w:t>
      </w:r>
      <w:proofErr w:type="gramEnd"/>
      <w:r>
        <w:t>:</w:t>
      </w:r>
    </w:p>
    <w:p w:rsidR="00CF3051" w:rsidRPr="00D92B3C" w:rsidRDefault="00883A6B" w:rsidP="00A06593">
      <w:pPr>
        <w:pStyle w:val="numberedparagraph"/>
        <w:numPr>
          <w:ilvl w:val="0"/>
          <w:numId w:val="39"/>
        </w:numPr>
        <w:rPr>
          <w:rFonts w:cs="Times New Roman"/>
        </w:rPr>
      </w:pPr>
      <w:r>
        <w:t>konsolidaci na základě účetní konsolidace (subjekty zařazené do konsolidovaných účetních závěrek podle platného účetního rámce);</w:t>
      </w:r>
    </w:p>
    <w:p w:rsidR="00CF3051" w:rsidRPr="00D92B3C" w:rsidRDefault="00883A6B" w:rsidP="00A06593">
      <w:pPr>
        <w:pStyle w:val="numberedparagraph"/>
        <w:numPr>
          <w:ilvl w:val="0"/>
          <w:numId w:val="39"/>
        </w:numPr>
        <w:rPr>
          <w:rFonts w:cs="Times New Roman"/>
        </w:rPr>
      </w:pPr>
      <w:r>
        <w:t>obezřetnostní konsolidaci (subjekty v rámci konsolidace podle kapitoly 2 hlavy II části první nařízení Evropského parlamentu a Rady (EU) č. 575/2013</w:t>
      </w:r>
      <w:r>
        <w:rPr>
          <w:rStyle w:val="FootnoteReference"/>
        </w:rPr>
        <w:footnoteReference w:id="5"/>
      </w:r>
      <w:r>
        <w:t xml:space="preserve">) na úrovni mateřské společnosti v Unii; </w:t>
      </w:r>
    </w:p>
    <w:p w:rsidR="00CF3051" w:rsidRPr="00D92B3C" w:rsidRDefault="00883A6B" w:rsidP="00A06593">
      <w:pPr>
        <w:pStyle w:val="numberedparagraph"/>
        <w:numPr>
          <w:ilvl w:val="0"/>
          <w:numId w:val="39"/>
        </w:numPr>
        <w:rPr>
          <w:rFonts w:cs="Times New Roman"/>
        </w:rPr>
      </w:pPr>
      <w:r>
        <w:t>konsolidaci na úrovni subjektu v režimu řešení krize pro skupinu v režimu řešení krize.</w:t>
      </w:r>
    </w:p>
    <w:p w:rsidR="00883A6B" w:rsidRPr="00D92B3C" w:rsidRDefault="009E43E8" w:rsidP="00A06593">
      <w:pPr>
        <w:pStyle w:val="numberedparagraph"/>
        <w:rPr>
          <w:rFonts w:cs="Times New Roman"/>
        </w:rPr>
      </w:pPr>
      <w:r>
        <w:lastRenderedPageBreak/>
        <w:t>U každého vzoru dodržují instituce základ konsolidace nebo základy platné podle článku 4 tohoto nařízení.</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11" w:name="_Toc509909037"/>
      <w:bookmarkStart w:id="12" w:name="_Toc525209605"/>
      <w:r>
        <w:rPr>
          <w:rFonts w:ascii="Times New Roman" w:hAnsi="Times New Roman"/>
        </w:rPr>
        <w:t>Číslování a další pravidla</w:t>
      </w:r>
      <w:bookmarkEnd w:id="11"/>
      <w:bookmarkEnd w:id="12"/>
    </w:p>
    <w:p w:rsidR="00863EFA" w:rsidRPr="00D92B3C" w:rsidRDefault="00863EFA" w:rsidP="00A06593">
      <w:pPr>
        <w:pStyle w:val="numberedparagraph"/>
        <w:rPr>
          <w:rFonts w:cs="Times New Roman"/>
        </w:rPr>
      </w:pPr>
      <w:r>
        <w:t>Tyto pokyny se v odkazech na sloupce, řádky a buňky vzorů řídí podle níže uvedených pravidel označování. Uvedené číselné kódy se běžně používají v pravidlech pro ověřování.</w:t>
      </w:r>
    </w:p>
    <w:p w:rsidR="00863EFA" w:rsidRPr="00D92B3C" w:rsidRDefault="00863EFA" w:rsidP="00A06593">
      <w:pPr>
        <w:pStyle w:val="numberedparagraph"/>
        <w:rPr>
          <w:rFonts w:cs="Times New Roman"/>
        </w:rPr>
      </w:pPr>
      <w:r>
        <w:t>V odkazech na sloupce, řádky a buňky vzoru se v těchto pokynech používá toto obecné označení: {vzor; řádek; sloupec}.</w:t>
      </w:r>
    </w:p>
    <w:p w:rsidR="00863EFA" w:rsidRPr="00D92B3C" w:rsidRDefault="00863EFA" w:rsidP="00A06593">
      <w:pPr>
        <w:pStyle w:val="numberedparagraph"/>
        <w:rPr>
          <w:rFonts w:cs="Times New Roman"/>
        </w:rPr>
      </w:pPr>
      <w:r>
        <w:t>V případě ověřování v rámci vzoru, kdy se používají pouze datové body tohoto vzoru, označení neodkazuje na vzor: {vzor; sloupec}.</w:t>
      </w:r>
    </w:p>
    <w:p w:rsidR="00863EFA" w:rsidRPr="00D92B3C" w:rsidRDefault="00863EFA" w:rsidP="00A06593">
      <w:pPr>
        <w:pStyle w:val="numberedparagraph"/>
        <w:rPr>
          <w:rFonts w:cs="Times New Roman"/>
        </w:rPr>
      </w:pPr>
      <w:r>
        <w:t>V případě vzoru s jen jedním sloupcem se odkazuje pouze na řádky: {vzor; řádek}.</w:t>
      </w:r>
    </w:p>
    <w:p w:rsidR="00863EFA" w:rsidRPr="00D92B3C" w:rsidRDefault="00863EFA" w:rsidP="00A06593">
      <w:pPr>
        <w:pStyle w:val="numberedparagraph"/>
        <w:rPr>
          <w:rFonts w:cs="Times New Roman"/>
        </w:rPr>
      </w:pPr>
      <w:r>
        <w:t>Hvězdička se používá na vyjádření, že ověření je provedeno pro dříve uvedené řádky nebo sloupec.</w:t>
      </w:r>
    </w:p>
    <w:p w:rsidR="00E857A0" w:rsidRPr="00D92B3C" w:rsidRDefault="00B343C7" w:rsidP="00A06593">
      <w:pPr>
        <w:pStyle w:val="numberedparagraph"/>
        <w:rPr>
          <w:rFonts w:cs="Times New Roman"/>
        </w:rPr>
      </w:pPr>
      <w:r>
        <w:t>Pokud se některá položka nevztahuje na subjekty, za něž se výkaz předkládá, odpovídající pole se ponechá prázdné.</w:t>
      </w:r>
    </w:p>
    <w:p w:rsidR="00E108B3" w:rsidRPr="00D92B3C" w:rsidRDefault="00E108B3" w:rsidP="00A06593">
      <w:pPr>
        <w:pStyle w:val="numberedparagraph"/>
        <w:rPr>
          <w:rFonts w:cs="Times New Roman"/>
        </w:rPr>
      </w:pPr>
      <w:r>
        <w:t>Když tyto pokyny odkazují na primární klíč, znamená to sloupec nebo kombinaci sloupců určených k jedinečné identifikaci všech řádků vzoru. Primární klíč obsahuje jedinečnou hodnotu pro každý řádek vzoru. Nesmí obsahovat nulovou hodnotu.</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13" w:name="_Toc492542319"/>
      <w:bookmarkStart w:id="14" w:name="_Toc509909038"/>
      <w:bookmarkStart w:id="15" w:name="_Toc525209606"/>
      <w:r>
        <w:rPr>
          <w:rFonts w:ascii="Times New Roman" w:hAnsi="Times New Roman"/>
        </w:rPr>
        <w:t>Pokyny týkající se vzorů</w:t>
      </w:r>
      <w:bookmarkEnd w:id="13"/>
      <w:bookmarkEnd w:id="14"/>
      <w:bookmarkEnd w:id="15"/>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6" w:name="_Toc493236007"/>
      <w:bookmarkStart w:id="17" w:name="_Toc509909039"/>
      <w:bookmarkStart w:id="18" w:name="_Toc525209607"/>
      <w:bookmarkEnd w:id="16"/>
      <w:r>
        <w:rPr>
          <w:rFonts w:ascii="Times New Roman" w:hAnsi="Times New Roman"/>
        </w:rPr>
        <w:t>Z 01.00 – Organizační struktura (ORG)</w:t>
      </w:r>
      <w:bookmarkEnd w:id="17"/>
      <w:bookmarkEnd w:id="18"/>
    </w:p>
    <w:p w:rsidR="00E13CE3" w:rsidRPr="00D92B3C" w:rsidRDefault="00E13CE3" w:rsidP="00EC261B">
      <w:pPr>
        <w:pStyle w:val="Instructionsberschrift3"/>
      </w:pPr>
      <w:r>
        <w:t>Obecné poznámky</w:t>
      </w:r>
    </w:p>
    <w:p w:rsidR="00273F69" w:rsidRPr="00D92B3C" w:rsidRDefault="00E13CE3" w:rsidP="00A06593">
      <w:pPr>
        <w:pStyle w:val="numberedparagraph"/>
        <w:rPr>
          <w:rFonts w:cs="Times New Roman"/>
        </w:rPr>
      </w:pPr>
      <w:r>
        <w:t xml:space="preserve">Tento vzor poskytuje přehled právní a vlastnické struktury skupiny. Předkládá se jeden vzor pro všechny subjekty skupiny splňující minimální práh stanovený v čl. 4 odst. 2 písm. a) tohoto nařízení. V tomto vzoru se uvádějí pouze právní subjekty. </w:t>
      </w:r>
    </w:p>
    <w:p w:rsidR="00E13CE3" w:rsidRPr="00D92B3C" w:rsidRDefault="00AF189E" w:rsidP="00EC261B">
      <w:pPr>
        <w:pStyle w:val="Instructionsberschrift3"/>
      </w:pPr>
      <w:r>
        <w:t>Pokyny týkající se konkrétních pozic</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785"/>
        <w:gridCol w:w="8298"/>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Sloupce</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Pokyny</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pacing w:val="-1"/>
                <w:w w:val="95"/>
                <w:sz w:val="20"/>
              </w:rPr>
              <w:t>Subjekt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Název</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Název subjektu. Úřední název, jak je uveden ve statutárních dokumentech společnosti, včetně označení právní formy.</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Kód</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Kód subjektu. U institucí je kódem 20místný alfanumerický kód LEI. U jiných subjektů je kódem 20místný alfanumerický kód LEI nebo, není-li k dispozici, kód podle jednotné kodifikace platné v Unii nebo, není-li k dispozici, vnitrostátní kód.</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Tento kód je jedinečný a používá se jednotně ve všech vzorech. Kód má vždy hodnotu.</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lastRenderedPageBreak/>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Kód LEI</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20místný alfanumerický kód LEI subjektu, je-li k dispozici.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Typ subjektu</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Typ subjektu v pořadí podle priority je jeden z následujících:</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„Úvěrová instituce“</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Tato kategorie zahrnuje úvěrové instituce ve smyslu čl. 4 odst. 1 bodu 1 nařízení (EU) č. 575/2013 bez zahrnutí subjektů uvedených v čl. 2 odst. 5 směrnice 2013/36/EU</w:t>
            </w:r>
            <w:r>
              <w:rPr>
                <w:rStyle w:val="FootnoteReference"/>
                <w:color w:val="000000" w:themeColor="text1"/>
              </w:rPr>
              <w:footnoteReference w:id="6"/>
            </w:r>
            <w:r>
              <w:rPr>
                <w:rFonts w:ascii="Times New Roman" w:hAnsi="Times New Roman"/>
                <w:color w:val="000000" w:themeColor="text1"/>
                <w:sz w:val="20"/>
              </w:rPr>
              <w:t xml:space="preserve">;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„Investiční podnik, který podléhá požadavku na počáteční kapitál stanovenému v čl. 28 odst. 2 směrnice 2013/36/EU“</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Tato kategorie zahrnuje investiční podniky ve smyslu čl. 4 odst. 1 bodu 2 nařízení (EU) č. 575/2013, který podléhá požadavku na počáteční kapitál stanovenému v čl. 28 odst. 2 směrnice 2013/36/EU.</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„Investiční podnik, který nepodléhá požadavku na počáteční kapitál stanovenému v čl. 28 odst. 2 směrnice 2013/36/EU“</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„Finanční instituce“</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Tato kategorie zahrnuje finanční instituce ve smyslu čl. 4 odst. 1 bodu 26 nařízení (EU) č. 575/2013 jiné než subjekty klasifikované jako „holdingová společnost“ popsaná níže v bodu e).</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„Holdingová společnost“</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Tato kategorie zahrnuje kterýkoli z následujících subjektů:</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finanční holdingová společnost ve smyslu čl. 4 odst. 1 bodu 20 nařízení (EU) č.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smíšená finanční holdingová společnost ve smyslu čl. 4 odst. 1 bodu 21 nařízení (EU) č.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holdingová společnost se smíšenou činností ve smyslu čl. 4 odst. 1 bodu 22 nařízení (EU) č. 575/2013,</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mateřská finanční holdingová společnost v členském státě ve smyslu čl. 4 odst. 1 bodu 30 nařízení (EU) č.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mateřská finanční holdingová společnost v EU ve smyslu čl. 4 odst. 1 bodu 31 nařízení (EU) č.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mateřská smíšená finanční holdingová společnost v členském státě ve smyslu čl. 4 odst. 1 bodu 32 nařízení (EU) č. 575/2013,</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mateřská smíšená finanční holdingová společnost v EU ve smyslu čl. 4 odst. 1 bodu 33 nařízení (EU) č. 575/2013.</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„Pojišťovna“</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Tato kategorie zahrnuje pojišťovny ve smyslu článku 13 směrnice Evropského parlamentu a Rady 2009/138/ES</w:t>
            </w:r>
            <w:r>
              <w:rPr>
                <w:rStyle w:val="FootnoteReference"/>
                <w:rFonts w:ascii="Times New Roman" w:hAnsi="Times New Roman"/>
                <w:color w:val="000000" w:themeColor="text1"/>
                <w:sz w:val="20"/>
              </w:rPr>
              <w:footnoteReference w:id="7"/>
            </w:r>
            <w:r>
              <w:rPr>
                <w:rFonts w:ascii="Times New Roman" w:hAnsi="Times New Roman"/>
                <w:color w:val="000000" w:themeColor="text1"/>
                <w:sz w:val="20"/>
              </w:rPr>
              <w:t>.</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„Jiný druh subjektu“, pokud subjekt nespadá do žádné z výše uvedených kategorií.</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Stát</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Dvoupísmenný kód ISO 3166–1 státu, v němž je subjekt registrován, přičemž státem může být členský stát nebo třetí země.</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Zahrnuto do obezřetnostních pravidel</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Uveďte tyto zkratky:</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Ano;</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t>N – Ne.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Článek 7 Výjimka z nařízení o kapitálových požadavcích</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Uveďte tyto zkratky:</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jestliže příslušný orgán udělil výjimku z uplatňování čl. 6 odst. 1 nařízení (EU) č. 575/2013 podle článku 7 nařízení (EU) č. 575/2013;</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jinak.</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Článek 10 Výjimka z nařízení o kapitálových požadavcích</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Uveďte tyto zkratky:</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 jestliže příslušný orgán uplatnil výjimku podle článku 10 nařízení (EU) č. 575/2013.</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jinak.</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Aktiva celkem</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Aktiva celkem podle definice pro účely FINREP {F 01.01;380,010}</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Celkový objem rizikové expozice</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Celkový objem rizikové expozice podle definice pro účely COREP (OF): {C 02.00;010;010}</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Tato položka se neuvádí za subjekty, které nejsou institucemi, a subjekty využívající výjimku podle článku 7 nebo článku 10 nařízení (EU) č. 575/2013.</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Míra expozice pákového poměru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Míra expozice pákového poměru celkem podle definice pro účely COREP (LR): {C 47.00;290;010}</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Tato položka se neuvádí za subjekty, které nejsou institucemi, a subjekty využívající výjimku podle článku 7 nebo článku 10 nařízení (EU) č. 575/2013.</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Účetní standardy</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Účetní standardy používané subjektem. Uveďte tyto zkratky:</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IFRS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nGAAP</w:t>
            </w:r>
            <w:proofErr w:type="spellEnd"/>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Příspěvek k celkovému objemu konsolidovaných aktiv</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Částka, kterou subjekt přispívá k celkovým konsolidovaným aktivům skupiny, jíž se výkaz týká.</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Příspěvek k celkovému objemu konsolidované expozice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Částka, kterou subjekt přispívá k celkové konsolidované expozici skupiny, jíž se výkaz týká.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Příspěvek ke konsolidované míře expozice pákového poměru</w:t>
            </w:r>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Částka, kterou subjekt přispívá k celkové konsolidované míře expozice pákového poměru skupiny, jíž se výkaz týká.</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Příslušný právní subjekt</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Zda subjekt představuje příslušný právní subjekt podle definice v článku 2 tohoto nařízení.</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Přímá mateřská společnost</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Přímá mateřská společnost subjektu. Vykazuje se pouze přímá mateřská společnost, která má více než 5 % </w:t>
            </w:r>
            <w:r>
              <w:rPr>
                <w:rFonts w:ascii="Times New Roman" w:hAnsi="Times New Roman"/>
                <w:color w:val="000000" w:themeColor="text1"/>
                <w:spacing w:val="-2"/>
                <w:w w:val="95"/>
                <w:sz w:val="20"/>
              </w:rPr>
              <w:lastRenderedPageBreak/>
              <w:t>hlasovacích práv v subjektu.</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Jestliže má subjekt více než jednu přímou mateřskou společnost, vykazuje se pouze přímá mateřská společnost s nejvyšším kapitálovým podílem, případně s nejvyšším podílem hlasovacích práv.</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Název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rPr>
              <w:t>Název přímé mateřské společnosti subjektu.</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Kód</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Kód přímé mateřské společnosti. U institucí je kódem 20místný alfanumerický kód LEI. U jiných subjektů je kódem 20místný alfanumerický kód LEI nebo, není-li k dispozici, kód podle jednotné kodifikace platné v Unii nebo, není-li k dispozici, vnitrostátní kód.</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Tento kód je jedinečný a používá se jednotně ve všech vzorech. Kód má vždy hodnotu.</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rPr>
              <w:t>Kód LEI</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sz w:val="20"/>
              </w:rPr>
              <w:t>20místný alfanumerický kód LEI subjektu, je-li k dispozici.</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Základní kapitál</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Výše základního kapitálu, kterou má v subjektu přímá mateřská společnost, bez rezerv.</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Hlasovací práva v subjektu</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pacing w:val="-1"/>
                <w:w w:val="95"/>
                <w:sz w:val="20"/>
              </w:rPr>
              <w:t>Procento hlasovacích práv, které má v subjektu přímá mateřská společnost.</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Tento údaj se požaduje pouze v případě, že se jedna akcie nerovná jednomu hlasu (hlasovací práva se tedy nerovnají základnímu kapitálu).</w:t>
            </w:r>
          </w:p>
        </w:tc>
      </w:tr>
    </w:tbl>
    <w:p w:rsidR="00E13CE3" w:rsidRPr="00D92B3C"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2"/>
      <w:bookmarkStart w:id="20" w:name="_Toc509909040"/>
      <w:bookmarkStart w:id="21" w:name="_Toc525209608"/>
      <w:r>
        <w:rPr>
          <w:rFonts w:ascii="Times New Roman" w:hAnsi="Times New Roman"/>
        </w:rPr>
        <w:t>Z 02.00 – Struktura pasiv (LIAB)</w:t>
      </w:r>
      <w:bookmarkEnd w:id="19"/>
      <w:bookmarkEnd w:id="20"/>
      <w:bookmarkEnd w:id="21"/>
    </w:p>
    <w:p w:rsidR="005B4526" w:rsidRPr="00D92B3C" w:rsidRDefault="005B4526" w:rsidP="00EC261B">
      <w:pPr>
        <w:pStyle w:val="Instructionsberschrift3"/>
      </w:pPr>
      <w:r>
        <w:t>Obecné poznámky</w:t>
      </w:r>
    </w:p>
    <w:p w:rsidR="00E13CE3" w:rsidRPr="00D92B3C" w:rsidRDefault="00E13CE3" w:rsidP="00A06593">
      <w:pPr>
        <w:pStyle w:val="numberedparagraph"/>
        <w:rPr>
          <w:rFonts w:cs="Times New Roman"/>
        </w:rPr>
      </w:pPr>
      <w:r>
        <w:t>Tento vzor vyžaduje podrobné informace o struktuře pasiv subjektu nebo skupiny. Pasiva se dělí na závazky vyloučené z rekapitalizace z vnitřních zdrojů a závazky, které nejsou vyloučené z rekapitalizace z vnitřních zdrojů. Další dělení se uvádí podle tříd závazků, tříd protistran a splatnosti.</w:t>
      </w:r>
    </w:p>
    <w:p w:rsidR="00E13CE3" w:rsidRPr="00D92B3C" w:rsidRDefault="00BD69D5" w:rsidP="00A06593">
      <w:pPr>
        <w:pStyle w:val="numberedparagraph"/>
        <w:rPr>
          <w:rFonts w:cs="Times New Roman"/>
        </w:rPr>
      </w:pPr>
      <w:r>
        <w:t>Pokud je v tomto vzoru stanoveno dělení podle splatnosti, je zbytkovou splatností doba do smluvní splatnosti nebo, pokud existuje explicitní nebo implicitní či smluvní nebo zákonné právo vlastníka nástroje na předčasné splacení, do prvního data, kdy toto právo vznikne. Zálohy na splátky jistiny se dělí do odpovídajících košů splatnosti. V příslušných případech se splatnost uvažuje samostatně pro částku jistiny a pro vzniklý úrok.</w:t>
      </w:r>
    </w:p>
    <w:p w:rsidR="00E13CE3" w:rsidRPr="00D92B3C" w:rsidRDefault="00296A07" w:rsidP="00A06593">
      <w:pPr>
        <w:pStyle w:val="numberedparagraph"/>
        <w:rPr>
          <w:rFonts w:cs="Times New Roman"/>
        </w:rPr>
      </w:pPr>
      <w:r>
        <w:t xml:space="preserve">Standardně jsou částky vykazované v tomto vzoru nesplacenými částkami. Nesplacená částka pohledávky nebo nástroje je součtem výše jistiny a vzniklého úroku z pohledávky nebo nástroje. Zůstatek nesplacených částek se rovná hodnotě pohledávky, kterou by věřitel mohl přihlásit do insolvenčního řízení. </w:t>
      </w:r>
    </w:p>
    <w:p w:rsidR="00E13CE3" w:rsidRPr="00D92B3C" w:rsidRDefault="009927F0" w:rsidP="00A06593">
      <w:pPr>
        <w:pStyle w:val="numberedparagraph"/>
        <w:rPr>
          <w:rFonts w:cs="Times New Roman"/>
        </w:rPr>
      </w:pPr>
      <w:r>
        <w:t xml:space="preserve">Odchylně od předchozího odstavce se rozvahové závazky vyplývající z derivátů (vykazované na řádku 0330) vykazují v účetní hodnotě. Účetní hodnotou je účetní hodnota definovaná pro účely FINREP, a to buď podle mezinárodních standardů účetního výkaznictví IFRS, případně podle vnitrostátních obecně uznávaných účetních zásad. Jinak se používají údaje podle vnitrostátních obecně uznávaných účetních zásad. </w:t>
      </w:r>
    </w:p>
    <w:p w:rsidR="00E13CE3" w:rsidRPr="00D92B3C" w:rsidRDefault="00E13CE3" w:rsidP="00EC261B">
      <w:pPr>
        <w:pStyle w:val="Instructionsberschrift3"/>
      </w:pPr>
      <w:r>
        <w:t>Pokyny týkající se konkrétních pozic</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lastRenderedPageBreak/>
              <w:t>Sloupce</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Pokyny</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Domácnosti</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FINREP, příloha V část první odst. 42 písm. f)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 xml:space="preserve">Jednotlivci nebo skupiny jednotlivců jako spotřebitelé a výrobci zboží a poskytovatelé nefinančních služeb určených výhradně pro jejich vlastní konečnou spotřebu a jako výrobci tržního zboží a poskytovatelé nefinančních a finančních služeb, nejsou-li jejich aktivity aktivitami </w:t>
            </w:r>
            <w:proofErr w:type="spellStart"/>
            <w:r>
              <w:rPr>
                <w:rFonts w:ascii="Times New Roman" w:hAnsi="Times New Roman"/>
                <w:color w:val="000000" w:themeColor="text1"/>
                <w:spacing w:val="-2"/>
                <w:w w:val="95"/>
                <w:sz w:val="20"/>
              </w:rPr>
              <w:t>kvazispolečností</w:t>
            </w:r>
            <w:proofErr w:type="spellEnd"/>
            <w:r>
              <w:rPr>
                <w:rFonts w:ascii="Times New Roman" w:hAnsi="Times New Roman"/>
                <w:color w:val="000000" w:themeColor="text1"/>
                <w:spacing w:val="-2"/>
                <w:w w:val="95"/>
                <w:sz w:val="20"/>
              </w:rPr>
              <w:t>. Patří sem i neziskové organizace, které slouží domácnostem a které se zabývají převážně výrobou netržního zboží a poskytováním netržních služeb, jež jsou určeny pro konkrétní skupiny domácností.</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Nefinanční podniky (MSP)</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Příloha, hlava I, čl. 2 odst. 1 doporučení Komise ze dne 6. května 2003</w:t>
            </w:r>
            <w:r>
              <w:rPr>
                <w:rStyle w:val="FootnoteReference"/>
                <w:color w:val="1A171C"/>
                <w:spacing w:val="-2"/>
                <w:w w:val="95"/>
              </w:rPr>
              <w:footnoteReference w:id="8"/>
            </w:r>
            <w:r>
              <w:rPr>
                <w:rFonts w:ascii="Times New Roman" w:hAnsi="Times New Roman"/>
                <w:color w:val="000000" w:themeColor="text1"/>
                <w:spacing w:val="-2"/>
                <w:w w:val="95"/>
                <w:sz w:val="20"/>
              </w:rPr>
              <w:t>; FINREP, příloha V část první odst. 5 písm. i).</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Podniky, které zaměstnávají méně než 250 osob a jejichž roční obrat nepřesahuje 50 milionů Eur anebo jejichž bilanční suma roční rozvahy nepřesahuje 43 milionů Eur.</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Nefinanční podniky (jiné než MSP)</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příloha V část první odst. 42 písm. 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Společnosti a </w:t>
            </w:r>
            <w:proofErr w:type="spellStart"/>
            <w:r>
              <w:rPr>
                <w:rFonts w:ascii="Times New Roman" w:hAnsi="Times New Roman"/>
                <w:color w:val="000000" w:themeColor="text1"/>
                <w:spacing w:val="-2"/>
                <w:w w:val="95"/>
                <w:sz w:val="20"/>
              </w:rPr>
              <w:t>kvazispolečnosti</w:t>
            </w:r>
            <w:proofErr w:type="spellEnd"/>
            <w:r>
              <w:rPr>
                <w:rFonts w:ascii="Times New Roman" w:hAnsi="Times New Roman"/>
                <w:color w:val="000000" w:themeColor="text1"/>
                <w:spacing w:val="-2"/>
                <w:w w:val="95"/>
                <w:sz w:val="20"/>
              </w:rPr>
              <w:t>, které se nezabývají finančním zprostředkováním, nýbrž převážně výrobou tržního zboží a poskytováním nefinančních služeb ve smyslu nařízení Evropské centrální banky (EU) č. 1071/2013</w:t>
            </w:r>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Kromě „MSP“ vykázaných ve sloupci 0020.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Úvěrové instituce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příloha V část první odst. 42 písm. c)</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Úvěrové instituce ve smyslu čl. 4 odst. 1 bod 1) nařízení (EU) č. 575/2013 a mezinárodní rozvojové banky.</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Jiné finanční podniky</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příloha V část první odst. 42 písm. d)</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Kromě úvěrových institucí veškeré finanční podniky a </w:t>
            </w:r>
            <w:proofErr w:type="spellStart"/>
            <w:r>
              <w:rPr>
                <w:rFonts w:ascii="Times New Roman" w:hAnsi="Times New Roman"/>
                <w:color w:val="000000" w:themeColor="text1"/>
                <w:spacing w:val="-2"/>
                <w:w w:val="95"/>
                <w:sz w:val="20"/>
              </w:rPr>
              <w:t>kvazispolečnosti</w:t>
            </w:r>
            <w:proofErr w:type="spellEnd"/>
            <w:r>
              <w:rPr>
                <w:rFonts w:ascii="Times New Roman" w:hAnsi="Times New Roman"/>
                <w:color w:val="000000" w:themeColor="text1"/>
                <w:spacing w:val="-2"/>
                <w:w w:val="95"/>
                <w:sz w:val="20"/>
              </w:rPr>
              <w:t xml:space="preserve">, jako jsou investiční podniky, investiční fondy, pojišťovny, penzijní fondy, subjekty kolektivního investování a clearingové systémy a ostatní finanční zprostředkovatelé, pomocné finanční instituce a </w:t>
            </w:r>
            <w:proofErr w:type="spellStart"/>
            <w:r>
              <w:rPr>
                <w:rFonts w:ascii="Times New Roman" w:hAnsi="Times New Roman"/>
                <w:color w:val="000000" w:themeColor="text1"/>
                <w:spacing w:val="-2"/>
                <w:w w:val="95"/>
                <w:sz w:val="20"/>
              </w:rPr>
              <w:t>kaptivní</w:t>
            </w:r>
            <w:proofErr w:type="spellEnd"/>
            <w:r>
              <w:rPr>
                <w:rFonts w:ascii="Times New Roman" w:hAnsi="Times New Roman"/>
                <w:color w:val="000000" w:themeColor="text1"/>
                <w:spacing w:val="-2"/>
                <w:w w:val="95"/>
                <w:sz w:val="20"/>
              </w:rPr>
              <w:t xml:space="preserve"> finanční instituce a půjčovatelé peněz.</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Ústřední vlády a centrální banky</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příloha V část první odst. 42 písm. a) a b)</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Centrální banky a ústřední vlády, orgány celostátní nebo regionální správy a místní samosprávy včetně správních orgánů a nekomerčních podniků, ale kromě veřejných a soukromých společností ve vlastnictví těchto správních orgánů, které vykonávají obchodní činnost (a které jsou podle své činnosti vykazovány jako „úvěrové instituce“, „jiné finanční podniky“ nebo „nefinanční podniky“); fondy sociálního zabezpečení; a mezinárodní organizace, jako je Evropská unie, Mezinárodní měnový fond a Banka pro mezinárodní platby.</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Neurčené, kotované v obchodním systému</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Pokud není známa totožnost vlastníka cenného papíru, protože jsou nástroje kótovány v obchodním systému podle definice uvedené ve směrnici Evropského parlamentu a Rady 2014/65/EU ze dne 15. května 2014 o trzích finančních nástrojů, přiřadí se částky do tohoto sloupce.</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Neurčené, nekotované v obchodním systému</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Pokud není známa totožnost vlastníka cenného papíru a nástroje nejsou kótovány v obchodním systému, přiřadí se částky do tohoto sloupce, přičemž není požadováno další dělení podle protistran. Subjekty vyvinou maximální úsilí, aby identifikovaly protistrany a omezily na minimum použití tohoto sloupce.</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Celkem</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 toho: v rámci skupiny</w:t>
            </w:r>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Závazky vůči subjektům zahrnutým do konsolidovaných účetních závěrek konečné mateřské společnosti (na rozdíl od konsolidace podle právních předpisů).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 toho: závazky řídící se právem třetí země, kromě emisí v rámci skupiny</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Zahrnují hrubé částky závazků řídících se právem třetí země a/nebo závazků subjektů skupiny usazených v třetích zemích. Závazky v rámci skupiny jsou vyloučeny.</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Pokud orgán příslušný k řešení krize potvrdil, že je přesvědčen podle čl. 45 odst. 5 směrnice Evropského parlamentu a Rady 2014/59/EU</w:t>
            </w:r>
            <w:r>
              <w:rPr>
                <w:rStyle w:val="FootnoteReference"/>
                <w:color w:val="000000" w:themeColor="text1"/>
                <w:spacing w:val="-2"/>
                <w:w w:val="95"/>
              </w:rPr>
              <w:footnoteReference w:id="10"/>
            </w:r>
            <w:r>
              <w:rPr>
                <w:rFonts w:ascii="Times New Roman" w:hAnsi="Times New Roman"/>
                <w:color w:val="000000" w:themeColor="text1"/>
                <w:spacing w:val="-2"/>
                <w:w w:val="95"/>
                <w:sz w:val="20"/>
              </w:rPr>
              <w:t>, že jakékoli rozhodnutí orgánu příslušného k řešení krize o odpisu či konverzi závazku nabude účinnosti podle práva uvedené třetí země, v této rubrice se daný závazek neuvádí.</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Řádky</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Pokyny</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Závazky vyloučené z rekapitalizace z vnitřních zdrojů</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Směrnice 2014/59/EU v čl. 44 odst. 2 stanoví, že „Orgány příslušné k řešení krize nesmějí vykonávat pravomoci k odpisu nebo konverzi ve vztahu k těmto závazkům, ať se řídí právem členského státu nebo třetí země“.</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Pojištěné vklady</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Částka pojištěných vkladů podle definice bodu 5 čl. 2 odst. 1 směrnice Evropského parlamentu a Rady 2014/49/EU</w:t>
            </w:r>
            <w:r>
              <w:rPr>
                <w:rStyle w:val="FootnoteReference"/>
                <w:color w:val="000000" w:themeColor="text1"/>
              </w:rPr>
              <w:footnoteReference w:id="11"/>
            </w:r>
            <w:r>
              <w:rPr>
                <w:rFonts w:ascii="Times New Roman" w:hAnsi="Times New Roman"/>
                <w:color w:val="000000" w:themeColor="text1"/>
                <w:spacing w:val="-2"/>
                <w:w w:val="95"/>
                <w:sz w:val="20"/>
              </w:rPr>
              <w:t xml:space="preserve"> kromě dočasných vysokých zůstatků podle definice uvedené v čl. 6 odst. 2 </w:t>
            </w:r>
            <w:proofErr w:type="gramStart"/>
            <w:r>
              <w:rPr>
                <w:rFonts w:ascii="Times New Roman" w:hAnsi="Times New Roman"/>
                <w:color w:val="000000" w:themeColor="text1"/>
                <w:spacing w:val="-2"/>
                <w:w w:val="95"/>
                <w:sz w:val="20"/>
              </w:rPr>
              <w:t>této</w:t>
            </w:r>
            <w:proofErr w:type="gramEnd"/>
            <w:r>
              <w:rPr>
                <w:rFonts w:ascii="Times New Roman" w:hAnsi="Times New Roman"/>
                <w:color w:val="000000" w:themeColor="text1"/>
                <w:spacing w:val="-2"/>
                <w:w w:val="95"/>
                <w:sz w:val="20"/>
              </w:rPr>
              <w:t xml:space="preserve"> směrnice.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Zajištěné závazky – zajištěná část</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44 odst. 2 písm. b) směrnice 2014/59/EU</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Zajištěné závazky včetně ujednání o </w:t>
            </w:r>
            <w:proofErr w:type="spellStart"/>
            <w:r>
              <w:rPr>
                <w:rFonts w:ascii="Times New Roman" w:hAnsi="Times New Roman"/>
                <w:color w:val="000000" w:themeColor="text1"/>
                <w:spacing w:val="-2"/>
                <w:w w:val="95"/>
                <w:sz w:val="20"/>
              </w:rPr>
              <w:t>repo</w:t>
            </w:r>
            <w:proofErr w:type="spellEnd"/>
            <w:r>
              <w:rPr>
                <w:rFonts w:ascii="Times New Roman" w:hAnsi="Times New Roman"/>
                <w:color w:val="000000" w:themeColor="text1"/>
                <w:spacing w:val="-2"/>
                <w:w w:val="95"/>
                <w:sz w:val="20"/>
              </w:rPr>
              <w:t xml:space="preserve"> operacích, krytých dluhopisů a závazků v podobě finančních nástrojů, které tvoří nedílnou součást krycího portfolia a které jsou podle vnitrostátního práva zajištěny podobným způsobem jako kryté dluhopisy.</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Ani požadavek na zajištění toho, aby všechna zajištěná aktiva související s krycím portfoliem krytých dluhopisů zůstala nedotčena, oddělena a dostatečně financována, ani vyloučení podle čl. 44 odst. 2 písm. b) směrnice 2014/59/EU nebrání orgánům příslušným k řešení krize, aby tam, kde je to vhodné, uvedené pravomoci vykonaly ve vztahu k jakékoli části zajištěného závazku nebo závazku, pro nějž bylo poskytnuto zajištění přesahující hodnotu aktiv, zástavy nebo zajištění, vůči nimž je zajištěn. Tato nekrytá částka uvedených zajištěných závazků se nevykazuje na tomto řádku, ale vykazuje se na řádku 0340 v dalším rozdělení.</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Závazky centrálních bank, které jsou kryty seskupením kolaterálu (například hlavními refinančními operacemi, dlouhodobou refinanční operací, cílenými dlouhodobějšími refinančními operacemi atd.), se považují za zajištěné závazky.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lastRenderedPageBreak/>
              <w:t>Zvláštním druhem závazků jsou pozice ze zajištění (např. hotovostní zajištění) přijaté a vykázané v rozvaze. Pokud jsou tyto pozice ze zajištění právně závazné s pozicí aktiv, považují se pro účely tohoto výkazu za zajištěné závazky.</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Závazky vůči klientům, jsou-li chráněny při insolvenci</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44 odst. 2 písm. c) směrnice 2014/59/EU</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Veškeré závazky vzniklé v důsledku toho, že instituce nebo subjekt podle čl. 1 odst. 1 písm. b), c) nebo d) směrnice 2014/59/EU má v držení aktiva nebo finanční prostředky klienta, včetně aktiv nebo finančních prostředků klienta držených jménem SKIPCP ve smyslu čl. 1 odst. 2 směrnice Evropského parlamentu a Rady 2009/65/ES</w:t>
            </w:r>
            <w:r>
              <w:rPr>
                <w:rStyle w:val="FootnoteReference"/>
                <w:color w:val="000000" w:themeColor="text1"/>
                <w:spacing w:val="-2"/>
                <w:w w:val="95"/>
              </w:rPr>
              <w:footnoteReference w:id="12"/>
            </w:r>
            <w:r>
              <w:rPr>
                <w:rFonts w:ascii="Times New Roman" w:hAnsi="Times New Roman"/>
                <w:color w:val="000000" w:themeColor="text1"/>
                <w:spacing w:val="-2"/>
                <w:w w:val="95"/>
                <w:sz w:val="20"/>
              </w:rPr>
              <w:t xml:space="preserve"> nebo alternativních investičních fondů ve smyslu čl. 4 odst. 1 písm. a) směrnice Evropského parlamentu a Rady 2011/61/EU</w:t>
            </w:r>
            <w:r>
              <w:rPr>
                <w:rStyle w:val="FootnoteReference"/>
                <w:color w:val="000000" w:themeColor="text1"/>
                <w:spacing w:val="-2"/>
                <w:w w:val="95"/>
              </w:rPr>
              <w:footnoteReference w:id="13"/>
            </w:r>
            <w:r>
              <w:rPr>
                <w:rFonts w:ascii="Times New Roman" w:hAnsi="Times New Roman"/>
                <w:color w:val="000000" w:themeColor="text1"/>
                <w:spacing w:val="-2"/>
                <w:w w:val="95"/>
                <w:sz w:val="20"/>
              </w:rPr>
              <w:t>, pokud je tento klient chráněn příslušným insolvenčním právem.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Fiduciární závazky, jsou-li chráněny při insolvenci</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44 odst. 2 písm. d) směrnice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Veškeré závazky vzniklé v důsledku fiduciárního vztahu mezi institucí nebo subjektem uvedeným v čl. 1 odst. 1 písm. b), c) nebo d) směrnice 2014/59/EU (coby fiduciárním zmocněncem) a jinou osobou (coby oprávněným), vztahuje-li se na takového oprávněného ochrana podle příslušného insolvenčního nebo občanského práva.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Závazky vůči úvěrovým institucím kratší než 7 dní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44 odst. 2 písm. e) směrnice 2014/59/EU</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Závazky s původní splatností kratší než sedm dní vůči úvěrovým institucím jiným než subjektům, které jsou součástí stejné účetní skupiny.</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Závazky vůči systémům (provozovatelům systémů) kratší než 7 dní</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44 odst. 2 písm. f) směrnice 2014/59/EU</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Závazky se zbytkovou dobou splatnosti kratší než sedm dní vůči systémům nebo provozovatelům systémů určeným podle směrnice Evropského parlamentu a Rady 98/26/ES</w:t>
            </w:r>
            <w:r>
              <w:rPr>
                <w:rStyle w:val="FootnoteReference"/>
                <w:color w:val="000000" w:themeColor="text1"/>
                <w:spacing w:val="-2"/>
                <w:w w:val="95"/>
              </w:rPr>
              <w:footnoteReference w:id="14"/>
            </w:r>
            <w:r>
              <w:rPr>
                <w:rFonts w:ascii="Times New Roman" w:hAnsi="Times New Roman"/>
                <w:color w:val="000000" w:themeColor="text1"/>
                <w:spacing w:val="-2"/>
                <w:w w:val="95"/>
                <w:sz w:val="20"/>
              </w:rPr>
              <w:t xml:space="preserve"> nebo jejich účastníkům a vznikající z účasti v takovém systému.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Závazky vůči zaměstnancům</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44 odst. 2 písm. g) bod i) směrnice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Závazky vůči zaměstnanci, ve vztahu ke splatné mzdě, důchodovým dávkám nebo jiné pevné odměně, s výjimkou pohyblivé složky odměny, která není regulována kolektivní smlouvou. Nevztahuje se to však na pohyblivou složku odměny osob podstupujících podstatné riziko uvedených v čl. 92 odst. 2 směrnice 2013/36/EU.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Závazky nezbytné pro každodenní fungování</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Čl. 44 odst. 2 písm. g) bod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směrnice 2014/59/EU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Závazky vůči obchodnímu věřiteli, vzniklé na základě poskytování zboží nebo služeb instituci nebo subjektu uvedenému v čl. 1 odst. 1 písm. b), c) nebo d) směrnice 2014/59/EU nezbytných pro každodenní fungování jejich operací, včetně IT služeb, energií a pronájmu, obsluhy a údržby prostor.</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Závazky vůči daňovým orgánům a orgánům sociálního zabezpečení, jsou-li prioritní</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Čl. 44 odst. 2 písm. g) bod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směrnice 2014/59/EU</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Závazky vůči daňovým orgánům a orgánům sociálního zabezpečení, pokud jsou tyto závazky podle příslušného práva prioritní.</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Závazky vůči systémům pojištění vkladů</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Čl. 44 odst. 2 písm. g) bod </w:t>
            </w:r>
            <w:proofErr w:type="spellStart"/>
            <w:r>
              <w:rPr>
                <w:rFonts w:ascii="Times New Roman" w:hAnsi="Times New Roman"/>
                <w:color w:val="000000" w:themeColor="text1"/>
                <w:spacing w:val="-2"/>
                <w:w w:val="95"/>
                <w:sz w:val="20"/>
              </w:rPr>
              <w:t>iv</w:t>
            </w:r>
            <w:proofErr w:type="spellEnd"/>
            <w:r>
              <w:rPr>
                <w:rFonts w:ascii="Times New Roman" w:hAnsi="Times New Roman"/>
                <w:color w:val="000000" w:themeColor="text1"/>
                <w:spacing w:val="-2"/>
                <w:w w:val="95"/>
                <w:sz w:val="20"/>
              </w:rPr>
              <w:t>) směrnice 2014/59/EU</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Závazky vůči systémům pojištění vkladů vzniklé z příspěvků splatných v souladu se směrnicí 2014/49/EU.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Závazky nevyloučené z rekapitalizace z vnitřních zdrojů</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Je to součet řádků 0310, 0320, 0334, 0340, 0350, 0360, 0365, 0370, 0380, 0390 a 0400.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Vklady, které nejsou pojištěné, ale jsou přednostní</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Článek 108 směrnice 2014/59/EU</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Vklady podle definice uvedené v čl. 2 odst. 1 bod 3 směrnice 2014/49/EU, které nesplňují podmínky pro vyloučení z rekapitalizace z vnitřních zdrojů (čl. 44 odst. 2 písm. a) směrnice 2014/59/EU), ale pro které se předpokládá preferenční zacházení v souladu s článkem 108 směrnice 2014/59/EU.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Vklady, které nejsou pojištěné a nejsou přednostní</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Vklady podle definice uvedené v čl. 2 odst. 1 bod 3 směrnice 2014/49/EU, které nesplňují podmínky pro vyloučení z rekapitalizace z vnitřních zdrojů ani pro preferenční zacházení při uplatnění čl. 44 odst. 2 písm. a) nebo článku 108 směrnice 2014/59/EU.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Rozvahové závazky vyplývající z derivátů</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Účetní hodnota závazků vyplývajících z derivátů, u celkové částky odpovídající FINREP: {F 01.02;020;010) + {F 01.02;150;010}.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Součet čistých pozic pasiv při zohlednění smluvních skupin transakcí se započtením – po přecenění podle tržní hodnoty a před započtením kolaterálu</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Standardně součet všech čistých tržních hodnot derivátových závazků podle smluvních skupin transakcí se započtením. Skupina transakcí se započtením se vykazuje pouze v případě, že čistou tržní hodnotu skupiny transakcí představuje závazek. Proto se deriváty, které nepodléhají ujednání o započtení, považují za jednotlivou smlouvou, tzn., jako by šlo o skupinu transakcí se započtením pouze s jedním derivátem.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Součet čistých pozic pasiv při zohlednění smluvních skupin transakcí se započtením – po přecenění podle tržní hodnoty a po započtení kolaterálu</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Ocenění v řádku 0331 podléhá přecenění podle kolaterálu zaúčtovaného na zajištění této expozice, takže výsledkem je součet těchto čistých tržních hodnot po započtení kolaterálu v jeho tržní hodnotě.</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Součet čistých pozic pasiv při zohlednění smluvních skupin transakcí se započtením – po přecenění podle tržní hodnoty, po započtení kolaterálu a se zahrnutím odhadu částek po závěrečném vypořádání</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 souladu s nařízením Komise v přenesené pravomoci 2016/1401</w:t>
            </w:r>
            <w:r>
              <w:rPr>
                <w:rStyle w:val="FootnoteReference"/>
                <w:color w:val="1A171C"/>
                <w:spacing w:val="-2"/>
                <w:w w:val="95"/>
              </w:rPr>
              <w:footnoteReference w:id="15"/>
            </w:r>
            <w:r>
              <w:rPr>
                <w:rFonts w:ascii="Times New Roman" w:hAnsi="Times New Roman"/>
                <w:color w:val="000000" w:themeColor="text1"/>
                <w:spacing w:val="-2"/>
                <w:w w:val="95"/>
                <w:sz w:val="20"/>
              </w:rPr>
              <w:t xml:space="preserve"> o ocenění závazků vzniklých z derivátů další částka po závěrečném vypořádání zahrnující výši ztrát nebo nákladů vzniklých protistranám derivátů nebo zisky realizované těmito protistranami nahrazením či získáním ekonomického ekvivalentu klíčových podmínek smluv a opčních práv stran v souvislosti s těmito ukončenými smlouvami.</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Odhady požadované pro stanovení částky pro závěrečné vypořádání v souladu s výše uvedeným nařízením mohou být v individuálních případech celkem obtížné. Proto lze místo nich použít přibližné hodnoty, které </w:t>
            </w:r>
            <w:r>
              <w:rPr>
                <w:rFonts w:ascii="Times New Roman" w:hAnsi="Times New Roman"/>
                <w:color w:val="000000" w:themeColor="text1"/>
                <w:spacing w:val="-2"/>
                <w:w w:val="95"/>
                <w:sz w:val="20"/>
              </w:rPr>
              <w:lastRenderedPageBreak/>
              <w:t>mohou vycházet z dostupných údajů, jako jsou obezřetnostní pravidla pro tržní riziko. Pokud se ukáže, že není možné vypočítat částku po závěrečném vypořádání pro derivátové závazky, rovná se vykázaná částka částce vykázané na řádku 0332.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Součet čistých pozic pasiv při zohlednění obezřetnostních pravidel pro započtení</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Vykazují se čisté pozice pasiv pro deriváty po zohlednění obezřetnostních pravidel pro započtení podle článku 429 nařízení (EU) č. 575/2013 (týkajících se výpočtu celkové míry expozic pro účely pákového poměru).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pacing w:val="-2"/>
                <w:w w:val="95"/>
                <w:sz w:val="20"/>
              </w:rPr>
              <w:t>Nekolateralizované</w:t>
            </w:r>
            <w:proofErr w:type="spellEnd"/>
            <w:r>
              <w:rPr>
                <w:rFonts w:ascii="Times New Roman" w:hAnsi="Times New Roman"/>
                <w:b/>
                <w:color w:val="000000" w:themeColor="text1"/>
                <w:spacing w:val="-2"/>
                <w:w w:val="95"/>
                <w:sz w:val="20"/>
              </w:rPr>
              <w:t xml:space="preserve"> zajištěné závazky</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Výše zajištěného závazku nebo závazku, pro nějž bylo poskytnuto zajištění přesahující hodnotu aktiv, zástavy nebo zajištění, vůči nimž je zajištěn. Zahrnuje to „nedostatečně zajištěnou“ část jakéhokoli </w:t>
            </w:r>
            <w:proofErr w:type="spellStart"/>
            <w:r>
              <w:rPr>
                <w:rFonts w:ascii="Times New Roman" w:hAnsi="Times New Roman"/>
                <w:color w:val="000000" w:themeColor="text1"/>
                <w:spacing w:val="-2"/>
                <w:w w:val="95"/>
                <w:sz w:val="20"/>
              </w:rPr>
              <w:t>kolateralizovaného</w:t>
            </w:r>
            <w:proofErr w:type="spellEnd"/>
            <w:r>
              <w:rPr>
                <w:rFonts w:ascii="Times New Roman" w:hAnsi="Times New Roman"/>
                <w:color w:val="000000" w:themeColor="text1"/>
                <w:spacing w:val="-2"/>
                <w:w w:val="95"/>
                <w:sz w:val="20"/>
              </w:rPr>
              <w:t xml:space="preserve"> závazku, například nedostatečně zajištěnou část krytých dluhopisů nebo </w:t>
            </w:r>
            <w:proofErr w:type="spellStart"/>
            <w:r>
              <w:rPr>
                <w:rFonts w:ascii="Times New Roman" w:hAnsi="Times New Roman"/>
                <w:color w:val="000000" w:themeColor="text1"/>
                <w:spacing w:val="-2"/>
                <w:w w:val="95"/>
                <w:sz w:val="20"/>
              </w:rPr>
              <w:t>repo</w:t>
            </w:r>
            <w:proofErr w:type="spellEnd"/>
            <w:r>
              <w:rPr>
                <w:rFonts w:ascii="Times New Roman" w:hAnsi="Times New Roman"/>
                <w:color w:val="000000" w:themeColor="text1"/>
                <w:spacing w:val="-2"/>
                <w:w w:val="95"/>
                <w:sz w:val="20"/>
              </w:rPr>
              <w:t xml:space="preserve"> obchodů.</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Strukturované dluhopisy</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Strukturované dluhopisy jsou pro tento účel definovány jako dluhové obligace, které obsahují vloženou derivátovou složku, přičemž výnosy souvisí s podkladovým cenným papírem nebo indexem (veřejným nebo individuálním, jako jsou akcie nebo dluhopisy, úrokové sazby s pevným výnosem nebo úvěr, devizy, komodity atd.). Strukturované dluhopisy nezahrnují dluhové nástroje, které obsahují pouze kupní nebo prodejní opce, tj. hodnota nástroje nezávisí na žádné vložené derivátové složce.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Prioritní nezajištěné závazky</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Zahrnují všechny prioritní, nezajištěné nástroje, které nejsou zařazeny do kategorie strukturovaných dluhopisů.</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Prioritní nepreferenční závazky</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Výše kterýchkoli těchto závazků:</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Nezajištěné pohledávky vyplývající z dluhových nástrojů, jež splňují podmínky stanovené v čl. 108 odst. 2 písm. a), b) a c) a čl. 108 odst. 3 směrnice 2014/59/EU;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Nezajištěné pohledávky vyplývající z dluhových nástrojů uvedených pod písm. b) prvního podstavce čl. 108 odst. 5 směrnice 2014/59/EU; nebo</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Dluhové nástroje s nejnižším stupněm priority patřící mezi běžné nezajištěné pohledávky vyplývající z dluhových nástrojů uvedených v čl. 108 odst. 7 směrnice 2014/59/EU, u nichž členský stát v souladu s tímto odstavcem stanovil, že mají stejný stupeň priority jako pohledávky, které splňují podmínky písm. a), b) a c) druhého a třetího odstavce článku 108 směrnice 2014/59/EU.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Podřízené závazky</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Závazky, které budou podle vnitrostátních právních předpisů o úpadku splaceny až po splacení všech tříd pohledávek běžných věřitelů a prioritních nepreferenčních věřitelů v plné výši. Zahrnují smluvní podřízené závazky a závazky podřízené ze zákona. U holdingových společností mohou být v této kategorii vykazovány také nepodřízené dluhové cenné papíry (tj. strukturální podřízení).</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Do této kategorie se zařazují pouze podřízené nástroje, které nejsou vykázány jako kapitál. </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Tento řádek zahrnuje také tu část podřízených závazků, které v zásadě splňují požadavky na kapitál, ale nejsou zahrnuty do kapitálu v důsledku ustanovení o vyřazování, jako je článek 64 nařízení (EU) č. 575/2013 (zbytková splatnost) nebo část 10 nařízení (EU) č. 575/2013 (dopad zachování právních účinků).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Jiné způsobilé závazky podle minimálních požadavků na kapitál</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Každý nástroj, který je způsobilý podle minimálních požadavků na kapitál a způsobilé závazky, ale není zachycen v řádcích 0320 a 0340 až 0370.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Nefinanční závazky</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Tento řádek zachycuje nefinanční závazky, které se netýkají dluhových nástrojů, jež mohou držitelé odepsat </w:t>
            </w:r>
            <w:r>
              <w:rPr>
                <w:rFonts w:ascii="Times New Roman" w:hAnsi="Times New Roman"/>
                <w:color w:val="000000" w:themeColor="text1"/>
                <w:spacing w:val="-2"/>
                <w:w w:val="95"/>
                <w:sz w:val="20"/>
              </w:rPr>
              <w:lastRenderedPageBreak/>
              <w:t xml:space="preserve">z praktických důvodů, jako jsou ustanovení týkající se soudních sporů, jichž se subjekt účastní.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Zbývající závazky</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Každý závazek nevykázaný v řádcích 0100 až 0390.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rPr>
              <w:t>Kapitál</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4 odst. 1 bod 118 a článek 72 nařízení (EU) č. 575/2013</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Stejná definice jako pro účely COREP (OF): {C 01.00;010;010}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 xml:space="preserve">Kmenový kapitál </w:t>
            </w:r>
            <w:proofErr w:type="spellStart"/>
            <w:r>
              <w:rPr>
                <w:rFonts w:ascii="Times New Roman" w:hAnsi="Times New Roman"/>
                <w:b/>
                <w:color w:val="000000" w:themeColor="text1"/>
                <w:spacing w:val="-2"/>
                <w:w w:val="95"/>
                <w:sz w:val="20"/>
              </w:rPr>
              <w:t>tier</w:t>
            </w:r>
            <w:proofErr w:type="spellEnd"/>
            <w:r>
              <w:rPr>
                <w:rFonts w:ascii="Times New Roman" w:hAnsi="Times New Roman"/>
                <w:b/>
                <w:color w:val="000000" w:themeColor="text1"/>
                <w:spacing w:val="-2"/>
                <w:w w:val="95"/>
                <w:sz w:val="20"/>
              </w:rPr>
              <w:t xml:space="preserve"> 1</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Článek 50 nařízení (EU) č.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Stejná definice jako pro účely COREP (OF): {C 01.00;020;010}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 toho: kapitálové nástroje/akciový kapitál</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Právní nástroje, které představují (část) kmenového kapitálu </w:t>
            </w:r>
            <w:proofErr w:type="spellStart"/>
            <w:r>
              <w:rPr>
                <w:rFonts w:ascii="Times New Roman" w:hAnsi="Times New Roman"/>
                <w:color w:val="000000" w:themeColor="text1"/>
                <w:spacing w:val="-2"/>
                <w:w w:val="95"/>
                <w:sz w:val="20"/>
              </w:rPr>
              <w:t>tier</w:t>
            </w:r>
            <w:proofErr w:type="spellEnd"/>
            <w:r>
              <w:rPr>
                <w:rFonts w:ascii="Times New Roman" w:hAnsi="Times New Roman"/>
                <w:color w:val="000000" w:themeColor="text1"/>
                <w:spacing w:val="-2"/>
                <w:w w:val="95"/>
                <w:sz w:val="20"/>
              </w:rPr>
              <w:t xml:space="preserve"> 1 ve formě kapitálových nástrojů/akciového kapitálu.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 toho: nástroje, které jsou řazeny na stejné úrovni jako kmenové akcie</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Právní nástroje, které představují (část) kmenového kapitálu </w:t>
            </w:r>
            <w:proofErr w:type="spellStart"/>
            <w:r>
              <w:rPr>
                <w:rFonts w:ascii="Times New Roman" w:hAnsi="Times New Roman"/>
                <w:color w:val="000000" w:themeColor="text1"/>
                <w:spacing w:val="-2"/>
                <w:w w:val="95"/>
                <w:sz w:val="20"/>
              </w:rPr>
              <w:t>tier</w:t>
            </w:r>
            <w:proofErr w:type="spellEnd"/>
            <w:r>
              <w:rPr>
                <w:rFonts w:ascii="Times New Roman" w:hAnsi="Times New Roman"/>
                <w:color w:val="000000" w:themeColor="text1"/>
                <w:spacing w:val="-2"/>
                <w:w w:val="95"/>
                <w:sz w:val="20"/>
              </w:rPr>
              <w:t xml:space="preserve"> 1 ve formě nástrojů jiných než kapitálových nástrojů/akciového kapitálu, ale které jsou řazeny na stejné úrovni jako tato kategorie.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 xml:space="preserve">Vedlejší kapitál </w:t>
            </w:r>
            <w:proofErr w:type="spellStart"/>
            <w:r>
              <w:rPr>
                <w:rFonts w:ascii="Times New Roman" w:hAnsi="Times New Roman"/>
                <w:b/>
                <w:color w:val="000000" w:themeColor="text1"/>
                <w:spacing w:val="-2"/>
                <w:w w:val="95"/>
                <w:sz w:val="20"/>
              </w:rPr>
              <w:t>tier</w:t>
            </w:r>
            <w:proofErr w:type="spellEnd"/>
            <w:r>
              <w:rPr>
                <w:rFonts w:ascii="Times New Roman" w:hAnsi="Times New Roman"/>
                <w:b/>
                <w:color w:val="000000" w:themeColor="text1"/>
                <w:spacing w:val="-2"/>
                <w:w w:val="95"/>
                <w:sz w:val="20"/>
              </w:rPr>
              <w:t xml:space="preserve"> 1</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Článek 61 nařízení (EU) č.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Stejná definice jako pro účely COREP (OF): {C 01.00;530;010}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 toho: (část) podřízených závazků vykazovaných jako kapitál</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Právní nástroje, které představují (část) vedlejšího kapitálu </w:t>
            </w:r>
            <w:proofErr w:type="spellStart"/>
            <w:r>
              <w:rPr>
                <w:rFonts w:ascii="Times New Roman" w:hAnsi="Times New Roman"/>
                <w:color w:val="000000" w:themeColor="text1"/>
                <w:spacing w:val="-2"/>
                <w:w w:val="95"/>
                <w:sz w:val="20"/>
              </w:rPr>
              <w:t>tier</w:t>
            </w:r>
            <w:proofErr w:type="spellEnd"/>
            <w:r>
              <w:rPr>
                <w:rFonts w:ascii="Times New Roman" w:hAnsi="Times New Roman"/>
                <w:color w:val="000000" w:themeColor="text1"/>
                <w:spacing w:val="-2"/>
                <w:w w:val="95"/>
                <w:sz w:val="20"/>
              </w:rPr>
              <w:t xml:space="preserve"> 1.</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Kapitál </w:t>
            </w:r>
            <w:proofErr w:type="spellStart"/>
            <w:r>
              <w:rPr>
                <w:rFonts w:ascii="Times New Roman" w:hAnsi="Times New Roman"/>
                <w:b/>
                <w:color w:val="000000" w:themeColor="text1"/>
                <w:sz w:val="20"/>
              </w:rPr>
              <w:t>tier</w:t>
            </w:r>
            <w:proofErr w:type="spellEnd"/>
            <w:r>
              <w:rPr>
                <w:rFonts w:ascii="Times New Roman" w:hAnsi="Times New Roman"/>
                <w:b/>
                <w:color w:val="000000" w:themeColor="text1"/>
                <w:sz w:val="20"/>
              </w:rPr>
              <w:t xml:space="preserve"> 2</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Článek 71 nařízení (EU) č.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Stejná definice jako pro účely COREP (OF): {C 01.00;750;010}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 toho: (část) podřízených závazků vykazovaných jako kapitál</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Toto rozdělení označuje právní nástroje, které představují (část) kapitálu </w:t>
            </w:r>
            <w:proofErr w:type="spellStart"/>
            <w:r>
              <w:rPr>
                <w:rFonts w:ascii="Times New Roman" w:hAnsi="Times New Roman"/>
                <w:color w:val="000000" w:themeColor="text1"/>
                <w:spacing w:val="-2"/>
                <w:w w:val="95"/>
                <w:sz w:val="20"/>
              </w:rPr>
              <w:t>tier</w:t>
            </w:r>
            <w:proofErr w:type="spellEnd"/>
            <w:r>
              <w:rPr>
                <w:rFonts w:ascii="Times New Roman" w:hAnsi="Times New Roman"/>
                <w:color w:val="000000" w:themeColor="text1"/>
                <w:spacing w:val="-2"/>
                <w:w w:val="95"/>
                <w:sz w:val="20"/>
              </w:rPr>
              <w:t xml:space="preserve"> 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Celkové závazky a kapitál včetně derivátových závazků</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Součet všech závazků vykazovaných v tomto vzoru a výše regulatorního kapitálu. Za tímto účelem se sečtou částky z výše uvedených řádků. Pokud jde o deriváty, použije se hodnota z řádku 0334 „Součet čistých pozic pasiv po zohlednění obezřetnostních pravidel pro započtení“.</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2" w:name="_Toc492542323"/>
      <w:bookmarkStart w:id="23" w:name="_Toc509909041"/>
      <w:bookmarkStart w:id="24" w:name="_Toc525209609"/>
      <w:r>
        <w:rPr>
          <w:rFonts w:ascii="Times New Roman" w:hAnsi="Times New Roman"/>
        </w:rPr>
        <w:t>Z 03.00 – Kapitálové požadavky (OWN)</w:t>
      </w:r>
      <w:bookmarkEnd w:id="22"/>
      <w:bookmarkEnd w:id="23"/>
      <w:bookmarkEnd w:id="24"/>
    </w:p>
    <w:p w:rsidR="00F73F97" w:rsidRPr="00D92B3C" w:rsidRDefault="00F73F97" w:rsidP="00EC261B">
      <w:pPr>
        <w:pStyle w:val="Instructionsberschrift3"/>
      </w:pPr>
      <w:r>
        <w:t>Obecné poznámky</w:t>
      </w:r>
    </w:p>
    <w:p w:rsidR="002449CC" w:rsidRPr="00D92B3C" w:rsidRDefault="002449CC" w:rsidP="00A06593">
      <w:pPr>
        <w:pStyle w:val="numberedparagraph"/>
        <w:rPr>
          <w:rFonts w:cs="Times New Roman"/>
        </w:rPr>
      </w:pPr>
      <w:r>
        <w:t>V tomto vzoru se uvádějí údaje o požadavcích na kapitál subjektu nebo skupiny.</w:t>
      </w:r>
    </w:p>
    <w:p w:rsidR="00B93E39" w:rsidRPr="00D92B3C" w:rsidRDefault="00B93E39" w:rsidP="00A06593">
      <w:pPr>
        <w:pStyle w:val="numberedparagraph"/>
        <w:rPr>
          <w:rFonts w:cs="Times New Roman"/>
        </w:rPr>
      </w:pPr>
      <w:r>
        <w:t>Všechny vykázané údaje odrážejí kapitálové požadavky platné k referenčnímu datu pro vykazování.</w:t>
      </w:r>
    </w:p>
    <w:p w:rsidR="00B93E39" w:rsidRPr="00D92B3C" w:rsidRDefault="000447AD" w:rsidP="00A06593">
      <w:pPr>
        <w:pStyle w:val="numberedparagraph"/>
        <w:rPr>
          <w:rFonts w:cs="Times New Roman"/>
        </w:rPr>
      </w:pPr>
      <w:r>
        <w:t>Informace o požadavcích podle pilíře 2 vykázané v tomto vzoru vycházejí z nejnovějšího dostupného úředního oznámení o přezkumu a vyhodnocení vydaného příslušným orgánem.</w:t>
      </w:r>
    </w:p>
    <w:p w:rsidR="00066E8E" w:rsidRPr="00D92B3C" w:rsidRDefault="00066E8E" w:rsidP="00A06593">
      <w:pPr>
        <w:pStyle w:val="numberedparagraph"/>
        <w:rPr>
          <w:rFonts w:cs="Times New Roman"/>
        </w:rPr>
      </w:pPr>
      <w:r>
        <w:lastRenderedPageBreak/>
        <w:t>Pokud subjekt, jehož se výkaz týká, nepodléhá kapitálovým požadavkům na individuálním základě, vyplní pouze řádek 0110.</w:t>
      </w:r>
    </w:p>
    <w:p w:rsidR="00E13CE3" w:rsidRPr="00D92B3C" w:rsidRDefault="00E13CE3" w:rsidP="00EC261B">
      <w:pPr>
        <w:pStyle w:val="Instructionsberschrift3"/>
      </w:pPr>
      <w:r>
        <w:t>Pokyny týkající se konkrétních pozic</w:t>
      </w:r>
    </w:p>
    <w:tbl>
      <w:tblPr>
        <w:tblW w:w="0" w:type="auto"/>
        <w:tblCellMar>
          <w:top w:w="57" w:type="dxa"/>
          <w:left w:w="57" w:type="dxa"/>
          <w:bottom w:w="57" w:type="dxa"/>
          <w:right w:w="0" w:type="dxa"/>
        </w:tblCellMar>
        <w:tblLook w:val="01E0" w:firstRow="1" w:lastRow="1" w:firstColumn="1" w:lastColumn="1" w:noHBand="0" w:noVBand="0"/>
      </w:tblPr>
      <w:tblGrid>
        <w:gridCol w:w="744"/>
        <w:gridCol w:w="8339"/>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Řádky</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Pokyny</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color w:val="000000" w:themeColor="text1"/>
                <w:sz w:val="20"/>
              </w:rPr>
              <w:t>Celkový objem rizikové expozice</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92 odst. 3 nařízení (EU) č. 575/2013</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pacing w:val="-1"/>
                <w:w w:val="95"/>
                <w:sz w:val="20"/>
              </w:rPr>
              <w:t>Viz Z 01.00, sloupec 0100</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Celkový objem rizikové expozice podle definice pro účely COREP (OF): {C 02.00;010;010}</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Příspěvek k celkovému objemu rizikové expozice na konsolidované úrovni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Viz Z 01.00, sloupec 0140</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Celková míra expozice pákového poměru podle definice pro účely COREP (LR): {C 47.00;290;010}</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Tato položka se vykazuje pouze u subjektů, které nepodléhají kapitálovým požadavkům na individuálním základě.</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Požadavky na počáteční kapitál a pákový poměr</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Počáteční kapitál</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Články 12, 28 až 31 směrnice 2013/36/EU a článek 93 nařízení (EU) č. 575/2013</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Výše počátečního kapitálu požadovaného jako podmínka povolení zahájení činnosti instituce.</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Požadavek na pákový poměr</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Požadavek na pákový poměr platný pro subjekt nebo skupinu, vyjádřený jako procento z celkové míry expozice pákového poměru. Pokud není stanoven žádný formální požadavek, ponechají subjekty tuto buňku prázdnou.</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Celková míra expozice pákového poměru je definována stejně jako pro účely COREP (LR): {C 47.00;290;010}</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Požadavky na celkový kapitálový poměr podle procesu přezkumu a vyhodnocení (TSCR)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03.00;130;010}</w:t>
            </w:r>
          </w:p>
          <w:p w:rsidR="00517EFA" w:rsidRPr="00D92B3C" w:rsidRDefault="00517EFA" w:rsidP="001140F6">
            <w:pPr>
              <w:pStyle w:val="InstructionsText"/>
              <w:numPr>
                <w:ilvl w:val="0"/>
                <w:numId w:val="0"/>
              </w:numPr>
              <w:rPr>
                <w:rFonts w:cs="Times New Roman"/>
                <w:szCs w:val="20"/>
              </w:rPr>
            </w:pPr>
            <w:r>
              <w:t xml:space="preserve">Součet následujících bodů i) a </w:t>
            </w:r>
            <w:proofErr w:type="spellStart"/>
            <w:r>
              <w:t>ii</w:t>
            </w:r>
            <w:proofErr w:type="spellEnd"/>
            <w:r>
              <w:t>):</w:t>
            </w:r>
          </w:p>
          <w:p w:rsidR="00517EFA" w:rsidRPr="00D92B3C" w:rsidRDefault="00517EFA" w:rsidP="001140F6">
            <w:pPr>
              <w:pStyle w:val="InstructionsText"/>
              <w:rPr>
                <w:rFonts w:cs="Times New Roman"/>
                <w:szCs w:val="20"/>
              </w:rPr>
            </w:pPr>
            <w:r>
              <w:t xml:space="preserve">celkový kapitálový poměr (8 %), jak je uvedeno v čl. 92 odst. 1 písm. c) nařízení (EU) č. 575/2013; </w:t>
            </w:r>
          </w:p>
          <w:p w:rsidR="00517EFA" w:rsidRPr="00D92B3C" w:rsidRDefault="00517EFA" w:rsidP="001140F6">
            <w:pPr>
              <w:pStyle w:val="InstructionsText"/>
              <w:rPr>
                <w:rFonts w:cs="Times New Roman"/>
                <w:szCs w:val="20"/>
              </w:rPr>
            </w:pPr>
            <w:r>
              <w:t>požadavky na dodatečný kapitálový poměr (požadavky podle pilíře 2 – P2R) stanovené v souladu s kritérii uvedenými v pokynech ke společným postupům a metodikám procesu přezkumu a vyhodnocení a zátěžovému testování orgánu EBA</w:t>
            </w:r>
            <w:r>
              <w:rPr>
                <w:i/>
              </w:rPr>
              <w:t xml:space="preserve"> </w:t>
            </w:r>
            <w:r>
              <w:t>(EBA SREP GL).</w:t>
            </w:r>
          </w:p>
          <w:p w:rsidR="00517EFA" w:rsidRPr="00D92B3C" w:rsidRDefault="00517EFA" w:rsidP="001140F6">
            <w:pPr>
              <w:pStyle w:val="InstructionsText"/>
              <w:numPr>
                <w:ilvl w:val="0"/>
                <w:numId w:val="0"/>
              </w:numPr>
              <w:rPr>
                <w:rFonts w:cs="Times New Roman"/>
                <w:szCs w:val="20"/>
              </w:rPr>
            </w:pPr>
            <w:r>
              <w:t>Tato položka vyjadřuje požadavky na celkový kapitálový poměr podle procesu přezkumu a vyhodnocení (TSCR) sdělený institucí příslušným orgánem. Požadavky na celkový SREP kapitálový poměr jsou definovány v části 1.2 pokynů EBA SREP GL.</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Jestliže příslušný orgán nesdělil žádné dodatečné kapitálové požadavky, uvádí se pouze bod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Požadavky na celkový SREP kapitálový poměr: složený z kmenového kapitálu </w:t>
            </w:r>
            <w:proofErr w:type="spellStart"/>
            <w:r>
              <w:rPr>
                <w:rFonts w:ascii="Times New Roman" w:hAnsi="Times New Roman"/>
                <w:b/>
                <w:color w:val="000000" w:themeColor="text1"/>
                <w:sz w:val="20"/>
              </w:rPr>
              <w:t>tier</w:t>
            </w:r>
            <w:proofErr w:type="spellEnd"/>
            <w:r>
              <w:rPr>
                <w:rFonts w:ascii="Times New Roman" w:hAnsi="Times New Roman"/>
                <w:b/>
                <w:color w:val="000000" w:themeColor="text1"/>
                <w:sz w:val="20"/>
              </w:rPr>
              <w:t xml:space="preserve"> 1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03.00;140;010}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 xml:space="preserve">Součet následujících bodů i) a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lastRenderedPageBreak/>
              <w:t>i)</w:t>
            </w:r>
            <w:r>
              <w:tab/>
            </w:r>
            <w:r>
              <w:rPr>
                <w:rFonts w:ascii="Times New Roman" w:hAnsi="Times New Roman"/>
                <w:color w:val="000000" w:themeColor="text1"/>
                <w:sz w:val="20"/>
              </w:rPr>
              <w:t xml:space="preserve">poměr kmenového kapitálu </w:t>
            </w:r>
            <w:proofErr w:type="spellStart"/>
            <w:r>
              <w:rPr>
                <w:rFonts w:ascii="Times New Roman" w:hAnsi="Times New Roman"/>
                <w:color w:val="000000" w:themeColor="text1"/>
                <w:sz w:val="20"/>
              </w:rPr>
              <w:t>tier</w:t>
            </w:r>
            <w:proofErr w:type="spellEnd"/>
            <w:r>
              <w:rPr>
                <w:rFonts w:ascii="Times New Roman" w:hAnsi="Times New Roman"/>
                <w:color w:val="000000" w:themeColor="text1"/>
                <w:sz w:val="20"/>
              </w:rPr>
              <w:t xml:space="preserve"> 1 (4,5 %) podle čl. 92 odst. 1 písm. a) nařízení (EU) č. 575/2013;</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w:t>
            </w:r>
            <w:r>
              <w:tab/>
            </w:r>
            <w:r>
              <w:rPr>
                <w:rFonts w:ascii="Times New Roman" w:hAnsi="Times New Roman"/>
                <w:color w:val="000000" w:themeColor="text1"/>
                <w:sz w:val="20"/>
              </w:rPr>
              <w:t xml:space="preserve">část poměru P2R uvedeného v bodu </w:t>
            </w:r>
            <w:proofErr w:type="spellStart"/>
            <w:r>
              <w:rPr>
                <w:rFonts w:ascii="Times New Roman" w:hAnsi="Times New Roman"/>
                <w:color w:val="000000" w:themeColor="text1"/>
                <w:sz w:val="20"/>
              </w:rPr>
              <w:t>ii</w:t>
            </w:r>
            <w:proofErr w:type="spellEnd"/>
            <w:r>
              <w:rPr>
                <w:rFonts w:ascii="Times New Roman" w:hAnsi="Times New Roman"/>
                <w:color w:val="000000" w:themeColor="text1"/>
                <w:sz w:val="20"/>
              </w:rPr>
              <w:t xml:space="preserve">) řádku 300, který má být podle požadavku příslušného orgánu udržován ve formě kmenového kapitálu </w:t>
            </w:r>
            <w:proofErr w:type="spellStart"/>
            <w:r>
              <w:rPr>
                <w:rFonts w:ascii="Times New Roman" w:hAnsi="Times New Roman"/>
                <w:color w:val="000000" w:themeColor="text1"/>
                <w:sz w:val="20"/>
              </w:rPr>
              <w:t>tier</w:t>
            </w:r>
            <w:proofErr w:type="spellEnd"/>
            <w:r>
              <w:rPr>
                <w:rFonts w:ascii="Times New Roman" w:hAnsi="Times New Roman"/>
                <w:color w:val="000000" w:themeColor="text1"/>
                <w:sz w:val="20"/>
              </w:rPr>
              <w:t xml:space="preserve"> 1.</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 xml:space="preserve">Jestliže příslušný orgán nesdělil žádné dodatečné požadavky na kapitál, který má být udržován ve formě kmenového kapitálu </w:t>
            </w:r>
            <w:proofErr w:type="spellStart"/>
            <w:r>
              <w:rPr>
                <w:rFonts w:ascii="Times New Roman" w:hAnsi="Times New Roman"/>
                <w:color w:val="000000" w:themeColor="text1"/>
                <w:sz w:val="20"/>
              </w:rPr>
              <w:t>tier</w:t>
            </w:r>
            <w:proofErr w:type="spellEnd"/>
            <w:r>
              <w:rPr>
                <w:rFonts w:ascii="Times New Roman" w:hAnsi="Times New Roman"/>
                <w:color w:val="000000" w:themeColor="text1"/>
                <w:sz w:val="20"/>
              </w:rPr>
              <w:t xml:space="preserve"> 1, uvádí se pouze bod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1140F6">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 xml:space="preserve">Požadavky na celkový SREP kapitálový poměr: složený z kmenového kapitálu </w:t>
            </w:r>
            <w:proofErr w:type="spellStart"/>
            <w:r>
              <w:rPr>
                <w:rStyle w:val="InstructionsTabelleberschrift"/>
                <w:rFonts w:ascii="Times New Roman" w:hAnsi="Times New Roman"/>
                <w:color w:val="000000" w:themeColor="text1"/>
                <w:u w:val="none"/>
              </w:rPr>
              <w:t>tier</w:t>
            </w:r>
            <w:proofErr w:type="spellEnd"/>
            <w:r>
              <w:rPr>
                <w:rStyle w:val="InstructionsTabelleberschrift"/>
                <w:rFonts w:ascii="Times New Roman" w:hAnsi="Times New Roman"/>
                <w:color w:val="000000" w:themeColor="text1"/>
                <w:u w:val="none"/>
              </w:rPr>
              <w:t xml:space="preserve"> 1</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03.00;150;010}</w:t>
            </w:r>
          </w:p>
          <w:p w:rsidR="00122E1B" w:rsidRPr="00D92B3C" w:rsidRDefault="00122E1B" w:rsidP="001140F6">
            <w:pPr>
              <w:pStyle w:val="InstructionsText"/>
              <w:numPr>
                <w:ilvl w:val="0"/>
                <w:numId w:val="0"/>
              </w:numPr>
              <w:rPr>
                <w:rFonts w:cs="Times New Roman"/>
                <w:szCs w:val="20"/>
              </w:rPr>
            </w:pPr>
            <w:r>
              <w:t xml:space="preserve">Součet následujících bodů i) a </w:t>
            </w:r>
            <w:proofErr w:type="spellStart"/>
            <w:r>
              <w:t>ii</w:t>
            </w:r>
            <w:proofErr w:type="spellEnd"/>
            <w:r>
              <w:t>):</w:t>
            </w:r>
          </w:p>
          <w:p w:rsidR="00122E1B" w:rsidRPr="00D92B3C" w:rsidRDefault="00122E1B" w:rsidP="001140F6">
            <w:pPr>
              <w:pStyle w:val="InstructionsText"/>
              <w:numPr>
                <w:ilvl w:val="0"/>
                <w:numId w:val="58"/>
              </w:numPr>
              <w:rPr>
                <w:rFonts w:cs="Times New Roman"/>
                <w:szCs w:val="20"/>
              </w:rPr>
            </w:pPr>
            <w:r>
              <w:t xml:space="preserve">poměr kmenového kapitálu </w:t>
            </w:r>
            <w:proofErr w:type="spellStart"/>
            <w:r>
              <w:t>tier</w:t>
            </w:r>
            <w:proofErr w:type="spellEnd"/>
            <w:r>
              <w:t xml:space="preserve"> 1 (6 %) podle čl. 92 odst. 1 písm. b) nařízení (EU) č. 575/2013;</w:t>
            </w:r>
          </w:p>
          <w:p w:rsidR="00122E1B" w:rsidRPr="00D92B3C" w:rsidRDefault="00122E1B" w:rsidP="001140F6">
            <w:pPr>
              <w:pStyle w:val="InstructionsText"/>
              <w:numPr>
                <w:ilvl w:val="0"/>
                <w:numId w:val="58"/>
              </w:numPr>
              <w:rPr>
                <w:rFonts w:cs="Times New Roman"/>
                <w:bCs/>
                <w:szCs w:val="20"/>
                <w:u w:val="single"/>
              </w:rPr>
            </w:pPr>
            <w:r>
              <w:t xml:space="preserve">část poměru P2R uvedeného v bodu </w:t>
            </w:r>
            <w:proofErr w:type="spellStart"/>
            <w:r>
              <w:t>ii</w:t>
            </w:r>
            <w:proofErr w:type="spellEnd"/>
            <w:r>
              <w:t xml:space="preserve">) řádku 300, který má být podle požadavku příslušného orgánu udržován ve formě kmenového kapitálu </w:t>
            </w:r>
            <w:proofErr w:type="spellStart"/>
            <w:r>
              <w:t>tier</w:t>
            </w:r>
            <w:proofErr w:type="spellEnd"/>
            <w:r>
              <w:t xml:space="preserve"> 1.</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 xml:space="preserve">Jestliže příslušný orgán nesdělil žádné dodatečné požadavky na kapitál, který má být udržován ve formě kmenového kapitálu </w:t>
            </w:r>
            <w:proofErr w:type="spellStart"/>
            <w:r>
              <w:rPr>
                <w:rFonts w:ascii="Times New Roman" w:hAnsi="Times New Roman"/>
                <w:color w:val="000000" w:themeColor="text1"/>
                <w:sz w:val="20"/>
              </w:rPr>
              <w:t>tier</w:t>
            </w:r>
            <w:proofErr w:type="spellEnd"/>
            <w:r>
              <w:rPr>
                <w:rFonts w:ascii="Times New Roman" w:hAnsi="Times New Roman"/>
                <w:color w:val="000000" w:themeColor="text1"/>
                <w:sz w:val="20"/>
              </w:rPr>
              <w:t xml:space="preserve"> 1, uvádí se pouze bod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Požadavek kombinovaných kapitálových rezerv</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128 bod 6 směrnice 2013/36/EU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04.00;740;010}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Bezpečnostní kapitálová rezerva</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Články 128 bod 1) a 129 směrnice 2013/36/EU</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pacing w:val="-2"/>
                <w:w w:val="95"/>
                <w:sz w:val="20"/>
              </w:rPr>
              <w:t>COREP (OF): {C 04.00;750;010}).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 xml:space="preserve">Podle čl. 129 odst. 1 je bezpečnostní kapitálová rezerva další částkou kmenového kapitálu </w:t>
            </w:r>
            <w:proofErr w:type="spellStart"/>
            <w:r>
              <w:rPr>
                <w:rFonts w:ascii="Times New Roman" w:hAnsi="Times New Roman"/>
                <w:color w:val="000000" w:themeColor="text1"/>
                <w:sz w:val="20"/>
              </w:rPr>
              <w:t>tier</w:t>
            </w:r>
            <w:proofErr w:type="spellEnd"/>
            <w:r>
              <w:rPr>
                <w:rFonts w:ascii="Times New Roman" w:hAnsi="Times New Roman"/>
                <w:color w:val="000000" w:themeColor="text1"/>
                <w:sz w:val="20"/>
              </w:rPr>
              <w:t xml:space="preserve"> 1. Vzhledem ke skutečnosti, že bezpečnostní kapitálová rezerva 2,5 % je stabilní, vykazuje se v této buňce částka.</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 xml:space="preserve">Bezpečnostní rezerva v důsledku </w:t>
            </w:r>
            <w:proofErr w:type="spellStart"/>
            <w:r>
              <w:rPr>
                <w:rStyle w:val="InstructionsTabelleberschrift"/>
                <w:rFonts w:ascii="Times New Roman" w:hAnsi="Times New Roman"/>
                <w:color w:val="000000" w:themeColor="text1"/>
                <w:u w:val="none"/>
              </w:rPr>
              <w:t>makroobezřetnostního</w:t>
            </w:r>
            <w:proofErr w:type="spellEnd"/>
            <w:r>
              <w:rPr>
                <w:rStyle w:val="InstructionsTabelleberschrift"/>
                <w:rFonts w:ascii="Times New Roman" w:hAnsi="Times New Roman"/>
                <w:color w:val="000000" w:themeColor="text1"/>
                <w:u w:val="none"/>
              </w:rPr>
              <w:t xml:space="preserve"> nebo systémového rizika zjištěného na úrovni členského státu</w:t>
            </w:r>
          </w:p>
          <w:p w:rsidR="005337DD" w:rsidRPr="00D92B3C"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t xml:space="preserve">Čl. 458 odst. 2 písm. d) bod </w:t>
            </w:r>
            <w:proofErr w:type="spellStart"/>
            <w:r>
              <w:rPr>
                <w:rStyle w:val="InstructionsTabelleberschrift"/>
                <w:rFonts w:ascii="Times New Roman" w:hAnsi="Times New Roman"/>
                <w:b w:val="0"/>
                <w:color w:val="000000" w:themeColor="text1"/>
                <w:u w:val="none"/>
              </w:rPr>
              <w:t>iv</w:t>
            </w:r>
            <w:proofErr w:type="spellEnd"/>
            <w:r>
              <w:rPr>
                <w:rStyle w:val="InstructionsTabelleberschrift"/>
                <w:rFonts w:ascii="Times New Roman" w:hAnsi="Times New Roman"/>
                <w:b w:val="0"/>
                <w:color w:val="000000" w:themeColor="text1"/>
                <w:u w:val="none"/>
              </w:rPr>
              <w:t>) nařízení (EU) č. 575/2013</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pacing w:val="-2"/>
                <w:w w:val="95"/>
                <w:sz w:val="20"/>
              </w:rPr>
              <w:t>COREP (OF): {C 04.00;760;010}).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 xml:space="preserve">V této buňce se vykazuje výše bezpečnostní rezervy v důsledku </w:t>
            </w:r>
            <w:proofErr w:type="spellStart"/>
            <w:r>
              <w:rPr>
                <w:rFonts w:ascii="Times New Roman" w:hAnsi="Times New Roman"/>
                <w:color w:val="000000" w:themeColor="text1"/>
                <w:sz w:val="20"/>
              </w:rPr>
              <w:t>makroobezřetnostního</w:t>
            </w:r>
            <w:proofErr w:type="spellEnd"/>
            <w:r>
              <w:rPr>
                <w:rFonts w:ascii="Times New Roman" w:hAnsi="Times New Roman"/>
                <w:color w:val="000000" w:themeColor="text1"/>
                <w:sz w:val="20"/>
              </w:rPr>
              <w:t xml:space="preserve"> nebo systémového rizika zjištěného na úrovni členského státu, která může být vyžadována podle článku 458 nařízení (EU) č. 575/2013 vedle bezpečnostní kapitálové rezervy.</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Vykazovaná částka představuje částku kapitálu potřebného na splnění příslušných požadavků na kapitálovou rezervu k datu vykázání.</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Proticyklická</w:t>
            </w:r>
            <w:proofErr w:type="spellEnd"/>
            <w:r>
              <w:rPr>
                <w:rFonts w:ascii="Times New Roman" w:hAnsi="Times New Roman"/>
                <w:b/>
                <w:color w:val="000000" w:themeColor="text1"/>
                <w:sz w:val="20"/>
              </w:rPr>
              <w:t xml:space="preserve"> kapitálová rezerva stanovená konkrétně pro danou instituci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128 bod 2), články 130, 135–140 směrnice 2013/36/EU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(viz COREP (OF): {C 04.00;770;010}).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Vykazovaná částka představuje částku kapitálu potřebného na splnění příslušných požadavků na kapitálovou rezervu k datu vykázání.</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Kapitálová rezerva pro krytí systémového rizika</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Čl. 128 bod 5), články 133 a 134 směrnice 2013/36/EU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(viz COREP (OF): {C 04.00;780;010}).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Vykazovaná částka představuje částku kapitálu potřebného na splnění příslušných požadavků na kapitálovou rezervu k datu vykázání.</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Kapitálová rezerva pro globální systémově významné instituce (G-SVI)</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Články 128 bod 3) a 131 směrnice 2013/36/EU</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04.00;800;010}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Vykazovaná částka představuje částku kapitálu potřebného na splnění příslušných požadavků na kapitálovou rezervu k datu vykázání.</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Kapitálová rezerva pro jiné systémově významné instituce (J-SVI)</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Články 128 bod 4) a 131 směrnice 2013/36/EU</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04.00;810;010}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Vykazovaná částka představuje částku kapitálu potřebného na splnění příslušných požadavků na kapitálovou rezervu k datu vykázání.</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Poměr celkových kapitálových požadavků</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03.00;160;010}</w:t>
            </w:r>
          </w:p>
          <w:p w:rsidR="00B77E4E" w:rsidRPr="00D92B3C" w:rsidRDefault="00B77E4E" w:rsidP="001140F6">
            <w:pPr>
              <w:pStyle w:val="InstructionsText"/>
              <w:numPr>
                <w:ilvl w:val="0"/>
                <w:numId w:val="0"/>
              </w:numPr>
              <w:ind w:left="221"/>
              <w:rPr>
                <w:rFonts w:cs="Times New Roman"/>
                <w:szCs w:val="20"/>
              </w:rPr>
            </w:pPr>
            <w:r>
              <w:t xml:space="preserve">Součet následujících bodů i) a </w:t>
            </w:r>
            <w:proofErr w:type="spellStart"/>
            <w:r>
              <w:t>ii</w:t>
            </w:r>
            <w:proofErr w:type="spellEnd"/>
            <w:r>
              <w:t>):</w:t>
            </w:r>
          </w:p>
          <w:p w:rsidR="00B77E4E" w:rsidRPr="00D92B3C" w:rsidRDefault="00B77E4E" w:rsidP="001140F6">
            <w:pPr>
              <w:pStyle w:val="InstructionsText"/>
              <w:numPr>
                <w:ilvl w:val="0"/>
                <w:numId w:val="52"/>
              </w:numPr>
              <w:rPr>
                <w:rFonts w:cs="Times New Roman"/>
                <w:szCs w:val="20"/>
              </w:rPr>
            </w:pPr>
            <w:r>
              <w:t>požadavky na celkový SREP kapitálový poměr uvedený v řádku 0300;</w:t>
            </w:r>
          </w:p>
          <w:p w:rsidR="00B77E4E" w:rsidRPr="00D92B3C" w:rsidRDefault="00B77E4E" w:rsidP="001140F6">
            <w:pPr>
              <w:pStyle w:val="InstructionsText"/>
              <w:numPr>
                <w:ilvl w:val="0"/>
                <w:numId w:val="52"/>
              </w:numPr>
              <w:rPr>
                <w:rFonts w:cs="Times New Roman"/>
                <w:szCs w:val="20"/>
              </w:rPr>
            </w:pPr>
            <w:r>
              <w:t>pokud je to v souladu s platnými právními předpisy, poměr požadavku kombinovaných kapitálových rezerv uvedený v čl. 128 bod 6 směrnice 2013/36/EU.</w:t>
            </w:r>
          </w:p>
          <w:p w:rsidR="00B77E4E" w:rsidRPr="00D92B3C" w:rsidRDefault="00B77E4E" w:rsidP="001140F6">
            <w:pPr>
              <w:pStyle w:val="InstructionsText"/>
              <w:numPr>
                <w:ilvl w:val="0"/>
                <w:numId w:val="0"/>
              </w:numPr>
              <w:rPr>
                <w:rFonts w:cs="Times New Roman"/>
                <w:szCs w:val="20"/>
              </w:rPr>
            </w:pPr>
            <w:r>
              <w:t>Tato položka vyjadřuje poměr celkových kapitálových požadavků definovaný v části 1.2 pokynů EBA SREP GL.</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Jestliže se neuplatňuje žádný požadavek na rezervu, uvádí se pouze bod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Poměr celkových kapitálových požadavků: složený z kmenového kapitálu </w:t>
            </w:r>
            <w:proofErr w:type="spellStart"/>
            <w:r>
              <w:rPr>
                <w:rFonts w:ascii="Times New Roman" w:hAnsi="Times New Roman"/>
                <w:b/>
                <w:color w:val="000000" w:themeColor="text1"/>
                <w:sz w:val="20"/>
              </w:rPr>
              <w:t>tier</w:t>
            </w:r>
            <w:proofErr w:type="spellEnd"/>
            <w:r>
              <w:rPr>
                <w:rFonts w:ascii="Times New Roman" w:hAnsi="Times New Roman"/>
                <w:b/>
                <w:color w:val="000000" w:themeColor="text1"/>
                <w:sz w:val="20"/>
              </w:rPr>
              <w:t xml:space="preserve"> 1</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03.00;170;010}</w:t>
            </w:r>
          </w:p>
          <w:p w:rsidR="004E1838" w:rsidRPr="00D92B3C" w:rsidRDefault="004E1838" w:rsidP="001140F6">
            <w:pPr>
              <w:pStyle w:val="InstructionsText"/>
              <w:numPr>
                <w:ilvl w:val="0"/>
                <w:numId w:val="0"/>
              </w:numPr>
              <w:rPr>
                <w:rFonts w:cs="Times New Roman"/>
                <w:szCs w:val="20"/>
              </w:rPr>
            </w:pPr>
            <w:r>
              <w:t xml:space="preserve">Součet následujících bodů i) a </w:t>
            </w:r>
            <w:proofErr w:type="spellStart"/>
            <w:r>
              <w:t>ii</w:t>
            </w:r>
            <w:proofErr w:type="spellEnd"/>
            <w:r>
              <w:t>):</w:t>
            </w:r>
          </w:p>
          <w:p w:rsidR="004E1838" w:rsidRPr="00D92B3C" w:rsidRDefault="004E1838" w:rsidP="001140F6">
            <w:pPr>
              <w:pStyle w:val="InstructionsText"/>
              <w:numPr>
                <w:ilvl w:val="0"/>
                <w:numId w:val="53"/>
              </w:numPr>
              <w:rPr>
                <w:rFonts w:cs="Times New Roman"/>
                <w:szCs w:val="20"/>
              </w:rPr>
            </w:pPr>
            <w:r>
              <w:t xml:space="preserve">požadavky na celkový SREP kapitálový poměr složený z kmenového kapitálu </w:t>
            </w:r>
            <w:proofErr w:type="spellStart"/>
            <w:r>
              <w:t>tier</w:t>
            </w:r>
            <w:proofErr w:type="spellEnd"/>
            <w:r>
              <w:t xml:space="preserve"> 1 uvedený v řádku 0310;</w:t>
            </w:r>
          </w:p>
          <w:p w:rsidR="004E1838" w:rsidRPr="00D92B3C" w:rsidRDefault="004E1838" w:rsidP="001140F6">
            <w:pPr>
              <w:pStyle w:val="InstructionsText"/>
              <w:numPr>
                <w:ilvl w:val="0"/>
                <w:numId w:val="53"/>
              </w:numPr>
              <w:rPr>
                <w:rFonts w:cs="Times New Roman"/>
                <w:bCs/>
                <w:szCs w:val="20"/>
                <w:u w:val="single"/>
              </w:rPr>
            </w:pPr>
            <w:r>
              <w:t>pokud je to v souladu s platnými právními předpisy, poměr požadavku kombinovaných kapitálových rezerv uvedený v čl. 128 bod 6 směrnice 2013/36/EU.</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Jestliže se neuplatňuje žádný požadavek na rezervu, uvádí se pouze bod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Poměr celkových kapitálových požadavků: složený z kmenového kapitálu </w:t>
            </w:r>
            <w:proofErr w:type="spellStart"/>
            <w:r>
              <w:rPr>
                <w:rFonts w:ascii="Times New Roman" w:hAnsi="Times New Roman"/>
                <w:b/>
                <w:color w:val="000000" w:themeColor="text1"/>
                <w:sz w:val="20"/>
              </w:rPr>
              <w:t>tier</w:t>
            </w:r>
            <w:proofErr w:type="spellEnd"/>
            <w:r>
              <w:rPr>
                <w:rFonts w:ascii="Times New Roman" w:hAnsi="Times New Roman"/>
                <w:b/>
                <w:color w:val="000000" w:themeColor="text1"/>
                <w:sz w:val="20"/>
              </w:rPr>
              <w:t xml:space="preserve"> 1</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03.00;180;010}</w:t>
            </w:r>
          </w:p>
          <w:p w:rsidR="004E1838" w:rsidRPr="00D92B3C" w:rsidRDefault="004E1838" w:rsidP="001140F6">
            <w:pPr>
              <w:pStyle w:val="InstructionsText"/>
              <w:numPr>
                <w:ilvl w:val="0"/>
                <w:numId w:val="0"/>
              </w:numPr>
              <w:ind w:left="221"/>
              <w:rPr>
                <w:rFonts w:cs="Times New Roman"/>
                <w:szCs w:val="20"/>
              </w:rPr>
            </w:pPr>
            <w:r>
              <w:t xml:space="preserve">Součet následujících bodů i) a </w:t>
            </w:r>
            <w:proofErr w:type="spellStart"/>
            <w:r>
              <w:t>ii</w:t>
            </w:r>
            <w:proofErr w:type="spellEnd"/>
            <w:r>
              <w:t>):</w:t>
            </w:r>
          </w:p>
          <w:p w:rsidR="004E1838" w:rsidRPr="00D92B3C" w:rsidRDefault="004E1838" w:rsidP="001140F6">
            <w:pPr>
              <w:pStyle w:val="InstructionsText"/>
              <w:numPr>
                <w:ilvl w:val="0"/>
                <w:numId w:val="54"/>
              </w:numPr>
              <w:rPr>
                <w:rFonts w:cs="Times New Roman"/>
                <w:szCs w:val="20"/>
              </w:rPr>
            </w:pPr>
            <w:r>
              <w:t xml:space="preserve">požadavky na celkový SREP kapitálový poměr složený z kmenového kapitálu </w:t>
            </w:r>
            <w:proofErr w:type="spellStart"/>
            <w:r>
              <w:t>tier</w:t>
            </w:r>
            <w:proofErr w:type="spellEnd"/>
            <w:r>
              <w:t xml:space="preserve"> 1, uvedený v řádku 0320;</w:t>
            </w:r>
          </w:p>
          <w:p w:rsidR="004E1838" w:rsidRPr="00D92B3C" w:rsidRDefault="004E1838" w:rsidP="001140F6">
            <w:pPr>
              <w:pStyle w:val="InstructionsText"/>
              <w:numPr>
                <w:ilvl w:val="0"/>
                <w:numId w:val="54"/>
              </w:numPr>
              <w:rPr>
                <w:rFonts w:cs="Times New Roman"/>
                <w:bCs/>
                <w:szCs w:val="20"/>
                <w:u w:val="single"/>
              </w:rPr>
            </w:pPr>
            <w:r>
              <w:t>pokud je to v souladu s platnými právními předpisy, poměr požadavku kombinovaných kapitálových rezerv uvedený v čl. 128 bod 6 směrnice 2013/36/EU.</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lastRenderedPageBreak/>
              <w:t>Jestliže se neuplatňuje žádný požadavek na rezervu, uvádí se pouze bod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Poměr celkových kapitálových požadavků a požadavků podle pokynů v rámci pilíře 2 (P2G)</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03.00;190;010}</w:t>
            </w:r>
          </w:p>
          <w:p w:rsidR="00B27F8F" w:rsidRPr="00D92B3C" w:rsidRDefault="00B27F8F" w:rsidP="001140F6">
            <w:pPr>
              <w:pStyle w:val="InstructionsText"/>
              <w:numPr>
                <w:ilvl w:val="0"/>
                <w:numId w:val="0"/>
              </w:numPr>
              <w:rPr>
                <w:rFonts w:cs="Times New Roman"/>
                <w:szCs w:val="20"/>
              </w:rPr>
            </w:pPr>
            <w:r>
              <w:t xml:space="preserve">Součet následujících bodů i) a </w:t>
            </w:r>
            <w:proofErr w:type="spellStart"/>
            <w:r>
              <w:t>ii</w:t>
            </w:r>
            <w:proofErr w:type="spellEnd"/>
            <w:r>
              <w:t>):</w:t>
            </w:r>
          </w:p>
          <w:p w:rsidR="00B27F8F" w:rsidRPr="00D92B3C" w:rsidRDefault="00B27F8F" w:rsidP="001140F6">
            <w:pPr>
              <w:pStyle w:val="InstructionsText"/>
              <w:numPr>
                <w:ilvl w:val="0"/>
                <w:numId w:val="55"/>
              </w:numPr>
              <w:rPr>
                <w:rFonts w:cs="Times New Roman"/>
                <w:szCs w:val="20"/>
              </w:rPr>
            </w:pPr>
            <w:r>
              <w:t>poměr celkových kapitálových požadavků uvedený v řádku 0500;</w:t>
            </w:r>
          </w:p>
          <w:p w:rsidR="00B27F8F" w:rsidRPr="00D92B3C" w:rsidRDefault="00B27F8F" w:rsidP="001140F6">
            <w:pPr>
              <w:pStyle w:val="InstructionsText"/>
              <w:numPr>
                <w:ilvl w:val="0"/>
                <w:numId w:val="55"/>
              </w:numPr>
              <w:rPr>
                <w:rFonts w:cs="Times New Roman"/>
                <w:bCs/>
                <w:szCs w:val="20"/>
                <w:u w:val="single"/>
              </w:rPr>
            </w:pPr>
            <w:r>
              <w:t>případně, požadavky podle pokynů v rámci pilíře 2 (P2G) definované v dokumentu EBA SREP GL. Požadavky podle pokynů v rámci pilíře 2 se zahrnují pouze v případě, že je instituci sdělil příslušný orgán</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Jestliže příslušný orgán nesdělil žádné požadavky podle pokynů v rámci pilíře 2, uvádí se pouze bod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Poměr celkových kapitálových požadavků: složený z kmenového kapitálu </w:t>
            </w:r>
            <w:proofErr w:type="spellStart"/>
            <w:r>
              <w:rPr>
                <w:rFonts w:ascii="Times New Roman" w:hAnsi="Times New Roman"/>
                <w:b/>
                <w:color w:val="000000" w:themeColor="text1"/>
                <w:sz w:val="20"/>
              </w:rPr>
              <w:t>tier</w:t>
            </w:r>
            <w:proofErr w:type="spellEnd"/>
            <w:r>
              <w:rPr>
                <w:rFonts w:ascii="Times New Roman" w:hAnsi="Times New Roman"/>
                <w:b/>
                <w:color w:val="000000" w:themeColor="text1"/>
                <w:sz w:val="20"/>
              </w:rPr>
              <w:t xml:space="preserve"> 1</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03.00;200;010}</w:t>
            </w:r>
          </w:p>
          <w:p w:rsidR="00B27F8F" w:rsidRPr="00D92B3C" w:rsidRDefault="00B27F8F" w:rsidP="001140F6">
            <w:pPr>
              <w:pStyle w:val="InstructionsText"/>
              <w:numPr>
                <w:ilvl w:val="0"/>
                <w:numId w:val="0"/>
              </w:numPr>
              <w:rPr>
                <w:rFonts w:cs="Times New Roman"/>
                <w:szCs w:val="20"/>
              </w:rPr>
            </w:pPr>
            <w:r>
              <w:t xml:space="preserve">Součet následujících bodů i) a </w:t>
            </w:r>
            <w:proofErr w:type="spellStart"/>
            <w:r>
              <w:t>ii</w:t>
            </w:r>
            <w:proofErr w:type="spellEnd"/>
            <w:r>
              <w:t>):</w:t>
            </w:r>
          </w:p>
          <w:p w:rsidR="00B27F8F" w:rsidRPr="00D92B3C" w:rsidRDefault="00B27F8F" w:rsidP="001140F6">
            <w:pPr>
              <w:pStyle w:val="InstructionsText"/>
              <w:numPr>
                <w:ilvl w:val="0"/>
                <w:numId w:val="56"/>
              </w:numPr>
              <w:rPr>
                <w:rFonts w:cs="Times New Roman"/>
                <w:szCs w:val="20"/>
              </w:rPr>
            </w:pPr>
            <w:r>
              <w:t xml:space="preserve">poměr celkových kapitálových požadavků složený z kmenového kapitálu </w:t>
            </w:r>
            <w:proofErr w:type="spellStart"/>
            <w:r>
              <w:t>tier</w:t>
            </w:r>
            <w:proofErr w:type="spellEnd"/>
            <w:r>
              <w:t xml:space="preserve"> 1, uvedený v řádku 0520;</w:t>
            </w:r>
          </w:p>
          <w:p w:rsidR="00B27F8F" w:rsidRPr="00D92B3C" w:rsidRDefault="00B27F8F" w:rsidP="001140F6">
            <w:pPr>
              <w:pStyle w:val="InstructionsText"/>
              <w:numPr>
                <w:ilvl w:val="0"/>
                <w:numId w:val="56"/>
              </w:numPr>
              <w:rPr>
                <w:rFonts w:cs="Times New Roman"/>
                <w:bCs/>
                <w:szCs w:val="20"/>
                <w:u w:val="single"/>
              </w:rPr>
            </w:pPr>
            <w:r>
              <w:t xml:space="preserve">případně část poměru P2G uvedeného v bodu </w:t>
            </w:r>
            <w:proofErr w:type="spellStart"/>
            <w:r>
              <w:t>ii</w:t>
            </w:r>
            <w:proofErr w:type="spellEnd"/>
            <w:r>
              <w:t xml:space="preserve">) v řádku 0600, který má být podle požadavku příslušného orgánu udržován ve formě kmenového kapitálu </w:t>
            </w:r>
            <w:proofErr w:type="spellStart"/>
            <w:r>
              <w:t>tier</w:t>
            </w:r>
            <w:proofErr w:type="spellEnd"/>
            <w:r>
              <w:t xml:space="preserve"> 1. Požadavky podle pokynů v rámci pilíře 2 se zahrnují pouze v případě, že je instituci sdělil příslušný orgán.</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Jestliže příslušný orgán nesdělil žádné požadavky podle pokynů v rámci pilíře 2, uvádí se pouze bod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Poměr celkových kapitálových požadavků a požadavky podle pokynů v rámci pilíře 2: složené z kmenového kapitálu </w:t>
            </w:r>
            <w:proofErr w:type="spellStart"/>
            <w:r>
              <w:rPr>
                <w:rFonts w:ascii="Times New Roman" w:hAnsi="Times New Roman"/>
                <w:b/>
                <w:color w:val="000000" w:themeColor="text1"/>
                <w:sz w:val="20"/>
              </w:rPr>
              <w:t>tier</w:t>
            </w:r>
            <w:proofErr w:type="spellEnd"/>
            <w:r>
              <w:rPr>
                <w:rFonts w:ascii="Times New Roman" w:hAnsi="Times New Roman"/>
                <w:b/>
                <w:color w:val="000000" w:themeColor="text1"/>
                <w:sz w:val="20"/>
              </w:rPr>
              <w:t xml:space="preserve"> 1</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03.00;210;010}</w:t>
            </w:r>
          </w:p>
          <w:p w:rsidR="00B27F8F" w:rsidRPr="00D92B3C" w:rsidRDefault="00B27F8F" w:rsidP="001140F6">
            <w:pPr>
              <w:pStyle w:val="InstructionsText"/>
              <w:numPr>
                <w:ilvl w:val="0"/>
                <w:numId w:val="0"/>
              </w:numPr>
              <w:rPr>
                <w:rFonts w:cs="Times New Roman"/>
                <w:szCs w:val="20"/>
              </w:rPr>
            </w:pPr>
            <w:r>
              <w:t xml:space="preserve">Součet následujících bodů i) a </w:t>
            </w:r>
            <w:proofErr w:type="spellStart"/>
            <w:r>
              <w:t>ii</w:t>
            </w:r>
            <w:proofErr w:type="spellEnd"/>
            <w:r>
              <w:t>):</w:t>
            </w:r>
          </w:p>
          <w:p w:rsidR="00B27F8F" w:rsidRPr="00D92B3C" w:rsidRDefault="00B27F8F" w:rsidP="001140F6">
            <w:pPr>
              <w:pStyle w:val="InstructionsText"/>
              <w:numPr>
                <w:ilvl w:val="0"/>
                <w:numId w:val="57"/>
              </w:numPr>
              <w:rPr>
                <w:rFonts w:cs="Times New Roman"/>
                <w:szCs w:val="20"/>
              </w:rPr>
            </w:pPr>
            <w:r>
              <w:t xml:space="preserve">poměr celkových kapitálových požadavků složený z kmenového kapitálu </w:t>
            </w:r>
            <w:proofErr w:type="spellStart"/>
            <w:r>
              <w:t>tier</w:t>
            </w:r>
            <w:proofErr w:type="spellEnd"/>
            <w:r>
              <w:t xml:space="preserve"> 1 uvedený v řádku 0520;</w:t>
            </w:r>
          </w:p>
          <w:p w:rsidR="00B27F8F" w:rsidRPr="00D92B3C" w:rsidRDefault="00B27F8F" w:rsidP="001140F6">
            <w:pPr>
              <w:pStyle w:val="InstructionsText"/>
              <w:numPr>
                <w:ilvl w:val="0"/>
                <w:numId w:val="57"/>
              </w:numPr>
              <w:rPr>
                <w:rFonts w:cs="Times New Roman"/>
                <w:szCs w:val="20"/>
              </w:rPr>
            </w:pPr>
            <w:r>
              <w:t xml:space="preserve">případně část poměru P2G uvedeného v bodu </w:t>
            </w:r>
            <w:proofErr w:type="spellStart"/>
            <w:r>
              <w:t>ii</w:t>
            </w:r>
            <w:proofErr w:type="spellEnd"/>
            <w:r>
              <w:t xml:space="preserve">) v řádku 600, který má být podle požadavku příslušného orgánu udržován ve formě kmenového kapitálu </w:t>
            </w:r>
            <w:proofErr w:type="spellStart"/>
            <w:r>
              <w:t>tier</w:t>
            </w:r>
            <w:proofErr w:type="spellEnd"/>
            <w:r>
              <w:t xml:space="preserve"> 1. Požadavky podle pokynů v rámci pilíře 2 se zahrnují pouze v případě, že je instituci sdělil příslušný orgán.</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Jestliže příslušný orgán nesdělil žádné požadavky podle pokynů v rámci pilíře 2, uvádí se pouze bod i).</w:t>
            </w:r>
          </w:p>
        </w:tc>
      </w:tr>
    </w:tbl>
    <w:p w:rsidR="00FE3E96" w:rsidRPr="00D92B3C"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5" w:name="_Toc492542324"/>
      <w:bookmarkStart w:id="26" w:name="_Toc509909042"/>
      <w:bookmarkStart w:id="27" w:name="_Toc525209610"/>
      <w:r>
        <w:rPr>
          <w:rFonts w:ascii="Times New Roman" w:hAnsi="Times New Roman"/>
        </w:rPr>
        <w:t>Z 04.00 – Finanční propojení v rámci skupiny (IFC)</w:t>
      </w:r>
      <w:bookmarkEnd w:id="25"/>
      <w:bookmarkEnd w:id="26"/>
      <w:bookmarkEnd w:id="27"/>
    </w:p>
    <w:p w:rsidR="00E13CE3" w:rsidRPr="00D92B3C" w:rsidRDefault="00AD2380" w:rsidP="00EC261B">
      <w:pPr>
        <w:pStyle w:val="Instructionsberschrift3"/>
      </w:pPr>
      <w:r>
        <w:t>Obecné poznámky</w:t>
      </w:r>
    </w:p>
    <w:p w:rsidR="00E13CE3" w:rsidRPr="00D92B3C" w:rsidRDefault="00E13CE3" w:rsidP="00A06593">
      <w:pPr>
        <w:pStyle w:val="numberedparagraph"/>
        <w:rPr>
          <w:rFonts w:cs="Times New Roman"/>
        </w:rPr>
      </w:pPr>
      <w:r>
        <w:t xml:space="preserve">V tomto vzoru jsou vyžadovány údaje o závazcích v rámci skupiny, které nejsou vyloučeny z rekapitalizace z vnitřních zdrojů, kapitálových </w:t>
      </w:r>
      <w:proofErr w:type="gramStart"/>
      <w:r>
        <w:t>nástrojích</w:t>
      </w:r>
      <w:proofErr w:type="gramEnd"/>
      <w:r>
        <w:t xml:space="preserve"> a zárukách. </w:t>
      </w:r>
    </w:p>
    <w:p w:rsidR="00395330" w:rsidRPr="00D92B3C" w:rsidRDefault="00395330" w:rsidP="00A06593">
      <w:pPr>
        <w:pStyle w:val="numberedparagraph"/>
        <w:rPr>
          <w:rFonts w:cs="Times New Roman"/>
        </w:rPr>
      </w:pPr>
      <w:r>
        <w:t>Vykazují se všechna finanční propojení mezi příslušnými právními subjekty, které jsou zahrnuty do konsolidovaných účetních závěrek. Vykazované částky jsou souhrnné, pokud se týkají stejných protistran (emitenta i subjektu, v jehož prospěch byla záruka poskytnuta, věřitele, držitele i poskytovatele záruky) a stejného druhu závazků, kapitálových nástrojů nebo záruk.</w:t>
      </w:r>
    </w:p>
    <w:p w:rsidR="00E13CE3" w:rsidRPr="00D92B3C" w:rsidRDefault="00E13CE3" w:rsidP="00A06593">
      <w:pPr>
        <w:pStyle w:val="numberedparagraph"/>
        <w:rPr>
          <w:rFonts w:cs="Times New Roman"/>
        </w:rPr>
      </w:pPr>
      <w:r>
        <w:lastRenderedPageBreak/>
        <w:t>Kombinace hodnot vykázaných ve sloupcích 0020, 0040 a 0050 tohoto vzoru tvoří hlavní klíč, který musí být jedinečný pro každý řádek vzoru.</w:t>
      </w:r>
    </w:p>
    <w:p w:rsidR="00E13CE3" w:rsidRPr="00D92B3C" w:rsidRDefault="00E13CE3" w:rsidP="00715DAB">
      <w:pPr>
        <w:pStyle w:val="Instructionsberschrift3"/>
      </w:pPr>
      <w:r>
        <w:t>Pokyny týkající se konkrétních pozic</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Sloupce</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Pokyny</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Emitent nebo subjekt, v jehož prospěch byla záruka poskytnuta</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Právní subjekt, který vydává závazky nebo kapitálový nástroj nebo je subjektem, v jehož prospěch byla záruka poskytnuta.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Název subjektu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Musí být jiný než název subjektu uvedený ve sloupci 0030.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Kód emitenta nebo příjemce záruky. U institucí je kódem 20místný alfanumerický kód LEI. U jiných subjektů je kódem 20místný alfanumerický kód LEI nebo, není-li k dispozici, kód podle jednotné kodifikace platné v Unii nebo, není-li k dispozici, vnitrostátní kód.</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Tento kód je jedinečný a používá se jednotně ve všech vzorech.</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Kód musí být jiný než kód uvedený ve sloupci 0040.</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Věřitel, držitel nebo poskytovatel záruky</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Právní subjekt, který je věřitelem závazku, drží kapitálový nástroj nebo poskytuje záruku.</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Název subjektu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Musí být jiný než název subjektu uvedený ve sloupci 0010.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Kód věřitele, držitele nebo poskytovatele záruky. U institucí je kódem 20místný alfanumerický kód LEI. U jiných subjektů je kódem 20místný alfanumerický kód LEI nebo, není-li k dispozici, kód podle jednotné kodifikace platné v Unii nebo, není-li k dispozici, vnitrostátní kód.</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Tento kód je jedinečný a používá se jednotně ve všech vzorech.</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Musí být jiný než kód uvedený ve sloupci 0020.</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0050–0070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Finanční propojení</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 tomto poli se popisuje finanční propojení mezi příslušnými právními subjekty.</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Druh</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Vybere se z následujícího seznamu:</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Závazky v rámci skupiny</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Vklady, které nejsou pojištěné, ale jsou přednostní</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Stejná definice jako Z 02.00 (LIAB), řádek 0310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Vklady, které nejsou pojištěné a nejsou přednostní</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Stejná definice jako Z 02.00 (LIAB), řádek 0320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Závazky vyplývající z derivátů (částky po závěrečném vypořádání)</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Stejná definice jako Z 02.00 (LIAB), řádek 0330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proofErr w:type="spellStart"/>
            <w:r>
              <w:rPr>
                <w:rFonts w:ascii="Times New Roman" w:hAnsi="Times New Roman"/>
                <w:color w:val="000000" w:themeColor="text1"/>
                <w:spacing w:val="-2"/>
                <w:w w:val="95"/>
                <w:sz w:val="20"/>
              </w:rPr>
              <w:t>Nekolateralizované</w:t>
            </w:r>
            <w:proofErr w:type="spellEnd"/>
            <w:r>
              <w:rPr>
                <w:rFonts w:ascii="Times New Roman" w:hAnsi="Times New Roman"/>
                <w:color w:val="000000" w:themeColor="text1"/>
                <w:spacing w:val="-2"/>
                <w:w w:val="95"/>
                <w:sz w:val="20"/>
              </w:rPr>
              <w:t xml:space="preserve"> zajištěné závazky</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Stejná definice jako Z 02.00 (LIAB), řádek 0340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Strukturované dluhopisy</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Stejná definice jako Z 02.00 (LIAB), řádek 0350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Prioritní nezajištěné závazky</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lastRenderedPageBreak/>
              <w:t>Stejná definice jako Z 02.00 (LIAB), řádek 0360</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Prioritní nepreferenční závazky</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Stejná definice jako Z 02.00 (LIAB), řádek 0365</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Podřízené závazky</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Stejná definice jako Z 02.00 (LIAB), řádek 0370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Jiné způsobilé závazky podle minimálních požadavků na kapitál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Stejná definice jako Z 02.00 (LIAB), řádek 0380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Nefinanční závazky</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Stejná definice jako Z 02.00 (LIAB), řádek 0390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Zbývající závazky</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Stejná definice jako Z 02.00 (LIAB), řádek 0400. Každý závazek nevykázaný v předchozích položkách.</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Kapitál </w:t>
            </w:r>
            <w:proofErr w:type="spellStart"/>
            <w:r>
              <w:rPr>
                <w:rFonts w:ascii="Times New Roman" w:hAnsi="Times New Roman"/>
                <w:color w:val="000000" w:themeColor="text1"/>
                <w:spacing w:val="-2"/>
                <w:w w:val="95"/>
                <w:sz w:val="20"/>
              </w:rPr>
              <w:t>tier</w:t>
            </w:r>
            <w:proofErr w:type="spellEnd"/>
            <w:r>
              <w:rPr>
                <w:rFonts w:ascii="Times New Roman" w:hAnsi="Times New Roman"/>
                <w:color w:val="000000" w:themeColor="text1"/>
                <w:spacing w:val="-2"/>
                <w:w w:val="95"/>
                <w:sz w:val="20"/>
              </w:rPr>
              <w:t xml:space="preserve"> 2</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Stejná definice jako Z 02.00 (LIAB), řádek 0530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Vedlejší kapitál </w:t>
            </w:r>
            <w:proofErr w:type="spellStart"/>
            <w:r>
              <w:rPr>
                <w:rFonts w:ascii="Times New Roman" w:hAnsi="Times New Roman"/>
                <w:color w:val="000000" w:themeColor="text1"/>
                <w:spacing w:val="-2"/>
                <w:w w:val="95"/>
                <w:sz w:val="20"/>
              </w:rPr>
              <w:t>tier</w:t>
            </w:r>
            <w:proofErr w:type="spellEnd"/>
            <w:r>
              <w:rPr>
                <w:rFonts w:ascii="Times New Roman" w:hAnsi="Times New Roman"/>
                <w:color w:val="000000" w:themeColor="text1"/>
                <w:spacing w:val="-2"/>
                <w:w w:val="95"/>
                <w:sz w:val="20"/>
              </w:rPr>
              <w:t xml:space="preserve"> 1</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Stejná definice jako Z 02.00 (LIAB), řádek 0520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Kmenový kapitál </w:t>
            </w:r>
            <w:proofErr w:type="spellStart"/>
            <w:r>
              <w:rPr>
                <w:rFonts w:ascii="Times New Roman" w:hAnsi="Times New Roman"/>
                <w:color w:val="000000" w:themeColor="text1"/>
                <w:spacing w:val="-2"/>
                <w:w w:val="95"/>
                <w:sz w:val="20"/>
              </w:rPr>
              <w:t>tier</w:t>
            </w:r>
            <w:proofErr w:type="spellEnd"/>
            <w:r>
              <w:rPr>
                <w:rFonts w:ascii="Times New Roman" w:hAnsi="Times New Roman"/>
                <w:color w:val="000000" w:themeColor="text1"/>
                <w:spacing w:val="-2"/>
                <w:w w:val="95"/>
                <w:sz w:val="20"/>
              </w:rPr>
              <w:t xml:space="preserve"> 1</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Stejná definice jako Z 02.00 (LIAB), řádek 0510</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Záruky v rámci skupiny</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Emise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Záruky za konkrétní nástroje/závazky, které byly vydány</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Protistrana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Záruky poskytnuté konkrétní protistraně instituce</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Neomezené</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Obecné záruky neomezené na pevnou částku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Jiné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Jakýkoli druh záruky neuvedený v předchozích druzích.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Zůstatek</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 závazků (sloupec 0050, druhy </w:t>
            </w:r>
            <w:proofErr w:type="gramStart"/>
            <w:r>
              <w:rPr>
                <w:rFonts w:ascii="Times New Roman" w:hAnsi="Times New Roman"/>
                <w:color w:val="000000" w:themeColor="text1"/>
                <w:spacing w:val="-2"/>
                <w:w w:val="95"/>
                <w:sz w:val="20"/>
              </w:rPr>
              <w:t>L.1, L.</w:t>
            </w:r>
            <w:proofErr w:type="gramEnd"/>
            <w:r>
              <w:rPr>
                <w:rFonts w:ascii="Times New Roman" w:hAnsi="Times New Roman"/>
                <w:color w:val="000000" w:themeColor="text1"/>
                <w:spacing w:val="-2"/>
                <w:w w:val="95"/>
                <w:sz w:val="20"/>
              </w:rPr>
              <w:t xml:space="preserve">2 a L.4–L.14) zůstatek závazků v rámci skupiny; u závazků vyplývajících z derivátů (druh </w:t>
            </w:r>
            <w:proofErr w:type="gramStart"/>
            <w:r>
              <w:rPr>
                <w:rFonts w:ascii="Times New Roman" w:hAnsi="Times New Roman"/>
                <w:color w:val="000000" w:themeColor="text1"/>
                <w:spacing w:val="-2"/>
                <w:w w:val="95"/>
                <w:sz w:val="20"/>
              </w:rPr>
              <w:t>L.3) částky</w:t>
            </w:r>
            <w:proofErr w:type="gramEnd"/>
            <w:r>
              <w:rPr>
                <w:rFonts w:ascii="Times New Roman" w:hAnsi="Times New Roman"/>
                <w:color w:val="000000" w:themeColor="text1"/>
                <w:spacing w:val="-2"/>
                <w:w w:val="95"/>
                <w:sz w:val="20"/>
              </w:rPr>
              <w:t xml:space="preserve"> po závěrečném vypořádání definované pro účely vzoru Z 02.00 (LIAB), řádek 0333.</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 záruk (sloupec 0050, </w:t>
            </w:r>
            <w:proofErr w:type="gramStart"/>
            <w:r>
              <w:rPr>
                <w:rFonts w:ascii="Times New Roman" w:hAnsi="Times New Roman"/>
                <w:color w:val="000000" w:themeColor="text1"/>
                <w:spacing w:val="-2"/>
                <w:w w:val="95"/>
                <w:sz w:val="20"/>
              </w:rPr>
              <w:t>hodnoty G.1–G.4) maximální</w:t>
            </w:r>
            <w:proofErr w:type="gramEnd"/>
            <w:r>
              <w:rPr>
                <w:rFonts w:ascii="Times New Roman" w:hAnsi="Times New Roman"/>
                <w:color w:val="000000" w:themeColor="text1"/>
                <w:spacing w:val="-2"/>
                <w:w w:val="95"/>
                <w:sz w:val="20"/>
              </w:rPr>
              <w:t xml:space="preserve"> potenciální částka budoucích plateb ze záruky.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 toho vydané podle práva třetí země</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Podíl zůstatku v peněžním vyjádření, který se řídí právem třetí země.</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z toho: způsobilé závazky podle minimálních požadavků na kapitál</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Zůstatek způsobilých závazků podle minimálních požadavků na kapitál vypočtený podle čl. 45 odst. 4 písm. a) a c) až f) směrnice 2014/59/EU. Pro tento účel se závazky nevylučují z výpočtu pouze proto, že jsou vydány nebo drženy subjektem skupiny.</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8" w:name="_Toc509909043"/>
      <w:bookmarkStart w:id="29" w:name="_Toc525209611"/>
      <w:r>
        <w:rPr>
          <w:rFonts w:ascii="Times New Roman" w:hAnsi="Times New Roman"/>
        </w:rPr>
        <w:t xml:space="preserve">Z 05.01 a Z 05.02 – </w:t>
      </w:r>
      <w:bookmarkStart w:id="30" w:name="_Toc492542325"/>
      <w:r>
        <w:rPr>
          <w:rFonts w:ascii="Times New Roman" w:hAnsi="Times New Roman"/>
        </w:rPr>
        <w:t>Hlavní protistrany (MCP)</w:t>
      </w:r>
      <w:bookmarkEnd w:id="28"/>
      <w:bookmarkEnd w:id="29"/>
      <w:bookmarkEnd w:id="30"/>
    </w:p>
    <w:p w:rsidR="00BF5063" w:rsidRPr="00D92B3C" w:rsidRDefault="00BF5063" w:rsidP="00715DAB">
      <w:pPr>
        <w:pStyle w:val="Instructionsberschrift3"/>
      </w:pPr>
      <w:r>
        <w:t>Obecné poznámky</w:t>
      </w:r>
    </w:p>
    <w:p w:rsidR="00747EE2" w:rsidRPr="00D92B3C" w:rsidRDefault="005B6B0C" w:rsidP="00A06593">
      <w:pPr>
        <w:pStyle w:val="numberedparagraph"/>
        <w:rPr>
          <w:rFonts w:cs="Times New Roman"/>
        </w:rPr>
      </w:pPr>
      <w:r>
        <w:t>V těchto vzorech se uvádějí informace o závazcích vůči hlavním protistranám (Z 05.01) a podrozvahových položkách přijatých od hlavních protistran (Z 05.02). Vykázané částky jsou souhrnné, pokud patří stejné protistraně a představují stejný druh závazků nebo podrozvahových položek.</w:t>
      </w:r>
    </w:p>
    <w:p w:rsidR="0056559D" w:rsidRPr="00D92B3C" w:rsidRDefault="007B491F" w:rsidP="00A06593">
      <w:pPr>
        <w:pStyle w:val="numberedparagraph"/>
        <w:rPr>
          <w:rFonts w:cs="Times New Roman"/>
        </w:rPr>
      </w:pPr>
      <w:r>
        <w:t>V těchto vzorech se nevykazují závazky a podrozvahové položky, u nichž nelze určit protistranu. Nevykazují se závazky a podrozvahové položky, u nichž je protistranou subjekt zahrnutý do konsolidovaných účetních závěrek.</w:t>
      </w:r>
    </w:p>
    <w:p w:rsidR="00DF1EA4" w:rsidRPr="00D92B3C" w:rsidRDefault="00F7117F" w:rsidP="00715DAB">
      <w:pPr>
        <w:pStyle w:val="Instructionsberschrift3"/>
      </w:pPr>
      <w:r>
        <w:lastRenderedPageBreak/>
        <w:t>Z 05.01 – Závazky vůči hlavním protistranám – Pokyny týkající se konkrétních pozic</w:t>
      </w:r>
    </w:p>
    <w:p w:rsidR="00DF1EA4" w:rsidRPr="00D92B3C" w:rsidRDefault="00DF1EA4" w:rsidP="00A06593">
      <w:pPr>
        <w:pStyle w:val="numberedparagraph"/>
        <w:rPr>
          <w:rFonts w:cs="Times New Roman"/>
        </w:rPr>
      </w:pPr>
      <w:r>
        <w:t>Kombinace hodnot vykázaných ve sloupcích 0020 a 0060 tohoto vzoru tvoří hlavní klíč, který musí být jedinečný pro každý řádek vzoru.</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Sloupce</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Pokyny</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Protistrana</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Informace o hlavní protistraně, v souvislosti s níž závazek vzniká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Hlavní protistrany se určí sečtením zůstatků všech závazků subjektu nebo skupiny, za něž se výkaz předkládá, vůči každé protistraně nebo ekonomicky spjaté skupině klientů, kromě závazků vůči subjektům zahrnutým do konsolidovaných účetních závěrek.</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Protistrany a ekonomicky spjaté skupiny protistran se poté seřadí podle souhrnných zůstatků, aby bylo možné určit 10 největších hlavních protistran, o nichž se v tomto vzoru uvádějí informace.</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Definice „ekonomicky spjaté skupiny protistran“ odpovídá definici „ekonomicky spjaté skupiny klientů“ stanovené v čl. 4 odst. 1 bodu 39 nařízení (EU) č. 575/2013.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Pro účely tohoto vzoru nesmí být protistranou subjekt zahrnutý do konsolidovaných účetních závěrek.</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Název subjektu</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Název hlavní protistrany, případně název ekonomicky spjaté skupiny klientů.</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Názvem ekonomicky spjaté skupiny klientů je název mateřské společnosti, případně obchodní firma společnosti, pokud ekonomicky spjatá skupina klientů nemá mateřskou společnost.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Kód hlavní protistrany nebo ekonomicky spjaté skupiny klientů. U institucí je kódem 20místný alfanumerický kód LEI. U jiných subjektů je kódem 20místný alfanumerický kód LEI nebo, není-li k dispozici, kód podle jednotné kodifikace platné v Unii nebo, není-li k dispozici, vnitrostátní kód.</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Tento kód je jedinečný a používá se jednotně ve všech vzorech.</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Skupina nebo jednotlivá protistrana</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Instituce uvede „1“ pro jednotlivé hlavní protistrany a „2“ pro ekonomicky spjaté skupiny klientů.</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Stát</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Dvoupísmenný kód ISO 3166–1 státu, v němž je protistrana registrována. Zahrnuje </w:t>
            </w:r>
            <w:proofErr w:type="spellStart"/>
            <w:r>
              <w:rPr>
                <w:rFonts w:ascii="Times New Roman" w:hAnsi="Times New Roman"/>
                <w:color w:val="000000" w:themeColor="text1"/>
                <w:spacing w:val="-2"/>
                <w:w w:val="95"/>
                <w:sz w:val="20"/>
              </w:rPr>
              <w:t>pseudo</w:t>
            </w:r>
            <w:proofErr w:type="spellEnd"/>
            <w:r>
              <w:rPr>
                <w:rFonts w:ascii="Times New Roman" w:hAnsi="Times New Roman"/>
                <w:color w:val="000000" w:themeColor="text1"/>
                <w:spacing w:val="-2"/>
                <w:w w:val="95"/>
                <w:sz w:val="20"/>
              </w:rPr>
              <w:t xml:space="preserve">-ISO kódy pro mezinárodní organizace, které jsou k dispozici v posledním vydání příručky </w:t>
            </w:r>
            <w:proofErr w:type="spellStart"/>
            <w:r>
              <w:rPr>
                <w:rFonts w:ascii="Times New Roman" w:hAnsi="Times New Roman"/>
                <w:color w:val="000000" w:themeColor="text1"/>
                <w:spacing w:val="-2"/>
                <w:w w:val="95"/>
                <w:sz w:val="20"/>
              </w:rPr>
              <w:t>Eurostat</w:t>
            </w:r>
            <w:proofErr w:type="spellEnd"/>
            <w:r>
              <w:rPr>
                <w:rFonts w:ascii="Times New Roman" w:hAnsi="Times New Roman"/>
                <w:color w:val="000000" w:themeColor="text1"/>
                <w:spacing w:val="-2"/>
                <w:w w:val="95"/>
                <w:sz w:val="20"/>
              </w:rPr>
              <w:t xml:space="preserve"> „Balance </w:t>
            </w:r>
            <w:proofErr w:type="spellStart"/>
            <w:r>
              <w:rPr>
                <w:rFonts w:ascii="Times New Roman" w:hAnsi="Times New Roman"/>
                <w:color w:val="000000" w:themeColor="text1"/>
                <w:spacing w:val="-2"/>
                <w:w w:val="95"/>
                <w:sz w:val="20"/>
              </w:rPr>
              <w:t>of</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Payments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Vademecum</w:t>
            </w:r>
            <w:proofErr w:type="spellEnd"/>
            <w:r>
              <w:rPr>
                <w:rFonts w:ascii="Times New Roman" w:hAnsi="Times New Roman"/>
                <w:color w:val="000000" w:themeColor="text1"/>
                <w:spacing w:val="-2"/>
                <w:w w:val="95"/>
                <w:sz w:val="20"/>
              </w:rPr>
              <w:t xml:space="preserve">“.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Stát se určí odkazem na sídlo protistrany. U ekonomicky spjatých skupin klientů stát, v němž je registrována mateřská společnost.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Odvětví</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Každé protistraně se přiřadí jedno odvětví podle tříd hospodářských odvětví (FINREP, příloha V, část 1, kapitola 6):</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centrální banky,</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ústřední vlády.</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Úvěrové instituce: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jiné finanční podniky,</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nefinanční podniky,</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domácnosti.</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 ekonomicky spjatých skupin klientů se žádné odvětví nevykazuje.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Druh</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Druh závazku bude jeden z druhů uvedených ve vzoru Z 02.00 – Struktura pasiv (LIAB), a to:</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L.0.</w:t>
            </w:r>
            <w:r>
              <w:tab/>
            </w:r>
            <w:r>
              <w:rPr>
                <w:rFonts w:ascii="Times New Roman" w:hAnsi="Times New Roman"/>
                <w:color w:val="000000" w:themeColor="text1"/>
                <w:spacing w:val="-2"/>
                <w:w w:val="95"/>
                <w:sz w:val="20"/>
              </w:rPr>
              <w:t>Závazky</w:t>
            </w:r>
            <w:proofErr w:type="gramEnd"/>
            <w:r>
              <w:rPr>
                <w:rFonts w:ascii="Times New Roman" w:hAnsi="Times New Roman"/>
                <w:color w:val="000000" w:themeColor="text1"/>
                <w:spacing w:val="-2"/>
                <w:w w:val="95"/>
                <w:sz w:val="20"/>
              </w:rPr>
              <w:t xml:space="preserve"> vyloučené z rekapitalizace z vnitřních zdrojů</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L.1.</w:t>
            </w:r>
            <w:r>
              <w:tab/>
            </w:r>
            <w:r>
              <w:rPr>
                <w:rFonts w:ascii="Times New Roman" w:hAnsi="Times New Roman"/>
                <w:color w:val="000000" w:themeColor="text1"/>
                <w:spacing w:val="-2"/>
                <w:w w:val="95"/>
                <w:sz w:val="20"/>
              </w:rPr>
              <w:t>Vklady</w:t>
            </w:r>
            <w:proofErr w:type="gramEnd"/>
            <w:r>
              <w:rPr>
                <w:rFonts w:ascii="Times New Roman" w:hAnsi="Times New Roman"/>
                <w:color w:val="000000" w:themeColor="text1"/>
                <w:spacing w:val="-2"/>
                <w:w w:val="95"/>
                <w:sz w:val="20"/>
              </w:rPr>
              <w:t>, které nejsou pojištěné, ale jsou přednostní</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L.2.</w:t>
            </w:r>
            <w:r>
              <w:tab/>
            </w:r>
            <w:r>
              <w:rPr>
                <w:rFonts w:ascii="Times New Roman" w:hAnsi="Times New Roman"/>
                <w:color w:val="000000" w:themeColor="text1"/>
                <w:spacing w:val="-2"/>
                <w:w w:val="95"/>
                <w:sz w:val="20"/>
              </w:rPr>
              <w:t>Vklady</w:t>
            </w:r>
            <w:proofErr w:type="gramEnd"/>
            <w:r>
              <w:rPr>
                <w:rFonts w:ascii="Times New Roman" w:hAnsi="Times New Roman"/>
                <w:color w:val="000000" w:themeColor="text1"/>
                <w:spacing w:val="-2"/>
                <w:w w:val="95"/>
                <w:sz w:val="20"/>
              </w:rPr>
              <w:t>, které nejsou pojištěné a nejsou přednostní;</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L.3.</w:t>
            </w:r>
            <w:r>
              <w:tab/>
            </w:r>
            <w:r>
              <w:rPr>
                <w:rFonts w:ascii="Times New Roman" w:hAnsi="Times New Roman"/>
                <w:color w:val="000000" w:themeColor="text1"/>
                <w:spacing w:val="-2"/>
                <w:w w:val="95"/>
                <w:sz w:val="20"/>
              </w:rPr>
              <w:t>Závazky</w:t>
            </w:r>
            <w:proofErr w:type="gramEnd"/>
            <w:r>
              <w:rPr>
                <w:rFonts w:ascii="Times New Roman" w:hAnsi="Times New Roman"/>
                <w:color w:val="000000" w:themeColor="text1"/>
                <w:spacing w:val="-2"/>
                <w:w w:val="95"/>
                <w:sz w:val="20"/>
              </w:rPr>
              <w:t xml:space="preserve"> vyplývající z derivátů</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L.4.</w:t>
            </w:r>
            <w:r>
              <w:tab/>
            </w:r>
            <w:proofErr w:type="spellStart"/>
            <w:r>
              <w:rPr>
                <w:rFonts w:ascii="Times New Roman" w:hAnsi="Times New Roman"/>
                <w:color w:val="000000" w:themeColor="text1"/>
                <w:spacing w:val="-2"/>
                <w:w w:val="95"/>
                <w:sz w:val="20"/>
              </w:rPr>
              <w:t>Nekolateralizované</w:t>
            </w:r>
            <w:proofErr w:type="spellEnd"/>
            <w:proofErr w:type="gramEnd"/>
            <w:r>
              <w:rPr>
                <w:rFonts w:ascii="Times New Roman" w:hAnsi="Times New Roman"/>
                <w:color w:val="000000" w:themeColor="text1"/>
                <w:spacing w:val="-2"/>
                <w:w w:val="95"/>
                <w:sz w:val="20"/>
              </w:rPr>
              <w:t xml:space="preserve"> zajištěné závazky</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L.5.</w:t>
            </w:r>
            <w:r>
              <w:tab/>
            </w:r>
            <w:r>
              <w:rPr>
                <w:rFonts w:ascii="Times New Roman" w:hAnsi="Times New Roman"/>
                <w:color w:val="000000" w:themeColor="text1"/>
                <w:spacing w:val="-2"/>
                <w:w w:val="95"/>
                <w:sz w:val="20"/>
              </w:rPr>
              <w:t>Strukturované</w:t>
            </w:r>
            <w:proofErr w:type="gramEnd"/>
            <w:r>
              <w:rPr>
                <w:rFonts w:ascii="Times New Roman" w:hAnsi="Times New Roman"/>
                <w:color w:val="000000" w:themeColor="text1"/>
                <w:spacing w:val="-2"/>
                <w:w w:val="95"/>
                <w:sz w:val="20"/>
              </w:rPr>
              <w:t xml:space="preserve"> dluhopisy</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L.6.</w:t>
            </w:r>
            <w:r>
              <w:tab/>
            </w:r>
            <w:r>
              <w:rPr>
                <w:rFonts w:ascii="Times New Roman" w:hAnsi="Times New Roman"/>
                <w:color w:val="000000" w:themeColor="text1"/>
                <w:spacing w:val="-2"/>
                <w:w w:val="95"/>
                <w:sz w:val="20"/>
              </w:rPr>
              <w:t>Prioritní</w:t>
            </w:r>
            <w:proofErr w:type="gramEnd"/>
            <w:r>
              <w:rPr>
                <w:rFonts w:ascii="Times New Roman" w:hAnsi="Times New Roman"/>
                <w:color w:val="000000" w:themeColor="text1"/>
                <w:spacing w:val="-2"/>
                <w:w w:val="95"/>
                <w:sz w:val="20"/>
              </w:rPr>
              <w:t xml:space="preserve"> nezajištěné závazky</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L.7        Prioritní</w:t>
            </w:r>
            <w:proofErr w:type="gramEnd"/>
            <w:r>
              <w:rPr>
                <w:rFonts w:ascii="Times New Roman" w:hAnsi="Times New Roman"/>
                <w:color w:val="000000" w:themeColor="text1"/>
                <w:spacing w:val="-2"/>
                <w:w w:val="95"/>
                <w:sz w:val="20"/>
              </w:rPr>
              <w:t xml:space="preserve"> nepreferenční závazky</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L.8.</w:t>
            </w:r>
            <w:r>
              <w:tab/>
            </w:r>
            <w:r>
              <w:rPr>
                <w:rFonts w:ascii="Times New Roman" w:hAnsi="Times New Roman"/>
                <w:color w:val="000000" w:themeColor="text1"/>
                <w:spacing w:val="-2"/>
                <w:w w:val="95"/>
                <w:sz w:val="20"/>
              </w:rPr>
              <w:t>Podřízené</w:t>
            </w:r>
            <w:proofErr w:type="gramEnd"/>
            <w:r>
              <w:rPr>
                <w:rFonts w:ascii="Times New Roman" w:hAnsi="Times New Roman"/>
                <w:color w:val="000000" w:themeColor="text1"/>
                <w:spacing w:val="-2"/>
                <w:w w:val="95"/>
                <w:sz w:val="20"/>
              </w:rPr>
              <w:t xml:space="preserve"> závazky (nevykazované jako kapitál)</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L.9.</w:t>
            </w:r>
            <w:r>
              <w:tab/>
            </w:r>
            <w:r>
              <w:rPr>
                <w:rFonts w:ascii="Times New Roman" w:hAnsi="Times New Roman"/>
                <w:color w:val="000000" w:themeColor="text1"/>
                <w:spacing w:val="-2"/>
                <w:w w:val="95"/>
                <w:sz w:val="20"/>
              </w:rPr>
              <w:t>Jiné</w:t>
            </w:r>
            <w:proofErr w:type="gramEnd"/>
            <w:r>
              <w:rPr>
                <w:rFonts w:ascii="Times New Roman" w:hAnsi="Times New Roman"/>
                <w:color w:val="000000" w:themeColor="text1"/>
                <w:spacing w:val="-2"/>
                <w:w w:val="95"/>
                <w:sz w:val="20"/>
              </w:rPr>
              <w:t xml:space="preserve"> způsobilé závazky podle minimálních požadavků na kapitál</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L.10</w:t>
            </w:r>
            <w:proofErr w:type="gramEnd"/>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Nefinanční závazky</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proofErr w:type="gramStart"/>
            <w:r>
              <w:rPr>
                <w:rFonts w:ascii="Times New Roman" w:hAnsi="Times New Roman"/>
                <w:color w:val="000000" w:themeColor="text1"/>
                <w:spacing w:val="-2"/>
                <w:w w:val="95"/>
                <w:sz w:val="20"/>
              </w:rPr>
              <w:t>L.11</w:t>
            </w:r>
            <w:proofErr w:type="gramEnd"/>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Zbývající závazky</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Jestliže se závazky vůči hlavní protistraně skládají z více než jednoho z výše uvedených druhů, vykazuje se každý druh závazku na samostatném řádku.</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Částka</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Částka se rovná definici „zůstatku“ předepsané ve vzoru Z 02.00 – Struktura pasiv. U závazků vyplývajících z derivátů (druh </w:t>
            </w:r>
            <w:proofErr w:type="gramStart"/>
            <w:r>
              <w:rPr>
                <w:rFonts w:ascii="Times New Roman" w:hAnsi="Times New Roman"/>
                <w:color w:val="000000" w:themeColor="text1"/>
                <w:spacing w:val="-2"/>
                <w:w w:val="95"/>
                <w:sz w:val="20"/>
              </w:rPr>
              <w:t>L.3) se</w:t>
            </w:r>
            <w:proofErr w:type="gramEnd"/>
            <w:r>
              <w:rPr>
                <w:rFonts w:ascii="Times New Roman" w:hAnsi="Times New Roman"/>
                <w:color w:val="000000" w:themeColor="text1"/>
                <w:spacing w:val="-2"/>
                <w:w w:val="95"/>
                <w:sz w:val="20"/>
              </w:rPr>
              <w:t xml:space="preserve"> vykazují částky po závěrečném vypořádání definované pro účely řádku 0333 vzoru Z 02.00.</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Z 05.02 – Podrozvahové položky přijaté od hlavních protistran: Pokyny týkající se konkrétních pozic</w:t>
      </w:r>
    </w:p>
    <w:p w:rsidR="0056559D" w:rsidRPr="00D92B3C" w:rsidRDefault="005A6A04" w:rsidP="00A06593">
      <w:pPr>
        <w:pStyle w:val="numberedparagraph"/>
        <w:rPr>
          <w:rFonts w:cs="Times New Roman"/>
        </w:rPr>
      </w:pPr>
      <w:r>
        <w:t>Kombinace hodnot vykázaných ve sloupcích 0020 a 0060 tohoto vzoru tvoří hlavní klíč, který musí být jedinečný pro každý řádek vzoru.</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Sloupce</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Pokyny</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Protistrany</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Informace o podrozvahových položkách přijatých od hlavních protistran.</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Podrozvahové položky přijaté od hlavních protistran se určují sečtením celkové nominální výše příslibů a finančních záruk přijatých (podle definice pro účely FINREP, vzor F 09) subjektem nebo subjekty skupiny, za něž je výkaz předkládán, od protistran nebo ekonomicky spjaté skupiny klientů. Podrozvahové položky přijaté od hlavních protistran nezahrnují subjekty zahrnuté do konsolidovaných účetních závěrek skupiny. Protistrany a ekonomicky spjaté skupiny protistran se poté seřadí podle souhrnných částek, aby bylo možné určit 10 největších podrozvahových položek přijatých od hlavních protistran, o nichž se v tomto vzoru uvádějí informace.</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Pro účely tohoto vzoru se vykazují pouze protistrany, které nejsou zahrnuty do konsolidovaných účetních závěrek.</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Název subjektu</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Viz pokyny k sloupci 0010 v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Viz pokyny k sloupci 0020 v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Skupina nebo jednotlivá protistrana</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Viz pokyny k sloupci 0030 v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Stát</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Viz pokyny k sloupci 0040 v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Odvětví</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Viz pokyny k sloupci 0050 v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Druh</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Druhem podrozvahové expozice bude jeden z následujících druhů podle definice uvedené ve FINREP, vzor F 09.02:</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OBS.1.</w:t>
            </w:r>
            <w:r>
              <w:tab/>
            </w:r>
            <w:r>
              <w:rPr>
                <w:rFonts w:ascii="Times New Roman" w:hAnsi="Times New Roman"/>
                <w:color w:val="000000" w:themeColor="text1"/>
                <w:spacing w:val="-2"/>
                <w:w w:val="95"/>
                <w:sz w:val="20"/>
              </w:rPr>
              <w:t>Přijaté úvěrové přísliby</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OBS.2.</w:t>
            </w:r>
            <w:r>
              <w:tab/>
            </w:r>
            <w:r>
              <w:rPr>
                <w:rFonts w:ascii="Times New Roman" w:hAnsi="Times New Roman"/>
                <w:color w:val="000000" w:themeColor="text1"/>
                <w:spacing w:val="-2"/>
                <w:w w:val="95"/>
                <w:sz w:val="20"/>
              </w:rPr>
              <w:t>Přijaté finanční záruky</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OBS.3.</w:t>
            </w:r>
            <w:r>
              <w:tab/>
            </w:r>
            <w:r>
              <w:rPr>
                <w:rFonts w:ascii="Times New Roman" w:hAnsi="Times New Roman"/>
                <w:color w:val="000000" w:themeColor="text1"/>
                <w:spacing w:val="-2"/>
                <w:w w:val="95"/>
                <w:sz w:val="20"/>
              </w:rPr>
              <w:t>Ostatní přijaté úvěrové přísliby</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Jestliže se podrozvahové položky přijaté od hlavní protistrany skládají z více než jednoho z výše uvedených druhů, vykazuje se každý druh podrozvahové položky na samostatném řádku.</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color w:val="000000" w:themeColor="text1"/>
                <w:sz w:val="20"/>
              </w:rPr>
              <w:t xml:space="preserve">Částka </w:t>
            </w:r>
          </w:p>
        </w:tc>
      </w:tr>
    </w:tbl>
    <w:p w:rsidR="00241763" w:rsidRPr="00D92B3C" w:rsidRDefault="00241763" w:rsidP="0056559D">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1" w:name="_Toc492542326"/>
      <w:bookmarkStart w:id="32" w:name="_Toc509909044"/>
      <w:bookmarkStart w:id="33" w:name="_Toc525209612"/>
      <w:r>
        <w:rPr>
          <w:rFonts w:ascii="Times New Roman" w:hAnsi="Times New Roman"/>
        </w:rPr>
        <w:t>Z 06.00 – Pojištění vkladů (Z-DIS)</w:t>
      </w:r>
      <w:bookmarkEnd w:id="31"/>
      <w:bookmarkEnd w:id="32"/>
      <w:bookmarkEnd w:id="33"/>
    </w:p>
    <w:p w:rsidR="008F7980" w:rsidRPr="00D92B3C" w:rsidRDefault="006A7DCF" w:rsidP="00715DAB">
      <w:pPr>
        <w:pStyle w:val="Instructionsberschrift3"/>
      </w:pPr>
      <w:r>
        <w:t>Obecné poznámky</w:t>
      </w:r>
    </w:p>
    <w:p w:rsidR="0076289A" w:rsidRPr="00D92B3C" w:rsidRDefault="00DF64E1" w:rsidP="00A06593">
      <w:pPr>
        <w:pStyle w:val="numberedparagraph"/>
        <w:rPr>
          <w:rFonts w:cs="Times New Roman"/>
        </w:rPr>
      </w:pPr>
      <w:r>
        <w:t>Tento vzor poskytuje přehled pojištění vkladů v rámci skupiny a systémy pojištění vkladů, v nichž jsou úvěrové instituce, které jsou relevantními právními subjekty, členy.</w:t>
      </w:r>
    </w:p>
    <w:p w:rsidR="000C2D75" w:rsidRPr="00D92B3C" w:rsidRDefault="0057049E" w:rsidP="00A06593">
      <w:pPr>
        <w:pStyle w:val="numberedparagraph"/>
        <w:rPr>
          <w:rFonts w:cs="Times New Roman"/>
        </w:rPr>
      </w:pPr>
      <w:r>
        <w:t>Každá úvěrová instituce patřící do skupiny se vykazuje na samostatném řádku.</w:t>
      </w:r>
    </w:p>
    <w:p w:rsidR="006A7DCF" w:rsidRPr="00D92B3C" w:rsidRDefault="006A7DCF" w:rsidP="00715DAB">
      <w:pPr>
        <w:pStyle w:val="Instructionsberschrift3"/>
      </w:pPr>
      <w:r>
        <w:t>Pokyny týkající se konkrétních pozic</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Pokyny</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Subjekt</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Název subjektu</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Název subjektu vykázaný v Z 01.00 – Organizační struktura (ORG).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Kód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Kód subjektu vykázaný v Z 01.00 – Organizační struktura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 to identifikátor řádku a musí být jedinečný pro každý řádek vzoru.</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Systém pojištění vkladů</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4 odst. 3 směrnice 2014/49/EU</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Název úředně uznaného systému pojištění vkladů, jehož je subjekt členem, při uplatňování směrnice 2014/49/EU. Bude to systém pojištění vkladů v členském státě, v němž je subjekt registrován, při vyloučení jiných systémů pojištění vkladů, které mohou v jiných členských státech poskytovat další („doplňkovou“) ochranu zákazníkům subjektu v pobočce v tomto členském státě. Pokud je instituce členem institucionálního systému ochrany, který je také úředně uznán jako systém pojištění vkladů podle čl. 4 odst. 2 směrnice 2014/49/EU, bude název systému pojištění vkladů stejný jako název </w:t>
            </w:r>
            <w:r>
              <w:rPr>
                <w:rFonts w:ascii="Times New Roman" w:hAnsi="Times New Roman"/>
                <w:color w:val="000000" w:themeColor="text1"/>
                <w:spacing w:val="-2"/>
                <w:w w:val="95"/>
                <w:sz w:val="20"/>
              </w:rPr>
              <w:lastRenderedPageBreak/>
              <w:t>institucionálního systému ochrany v řádku 050.</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Systém pojištění vkladů se zvolí pro každou zemi, v níž je subjekt registrován, z těchto systémů:</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Pro Rakousko</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der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Bankiers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Sparkassen-Haftungs</w:t>
            </w:r>
            <w:proofErr w:type="spellEnd"/>
            <w:r>
              <w:rPr>
                <w:rFonts w:ascii="Times New Roman" w:hAnsi="Times New Roman"/>
                <w:color w:val="000000" w:themeColor="text1"/>
                <w:spacing w:val="-2"/>
                <w:w w:val="95"/>
                <w:sz w:val="20"/>
              </w:rPr>
              <w:t xml:space="preserve">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Österreichische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Raiffeisen-Einlagensicherung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eGen</w:t>
            </w:r>
            <w:proofErr w:type="spellEnd"/>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Volksbank</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Hypo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Haftungs-Gesellschaft</w:t>
            </w:r>
            <w:proofErr w:type="spellEnd"/>
            <w:r>
              <w:rPr>
                <w:rFonts w:ascii="Times New Roman" w:hAnsi="Times New Roman"/>
                <w:color w:val="000000" w:themeColor="text1"/>
                <w:spacing w:val="-2"/>
                <w:w w:val="95"/>
                <w:sz w:val="20"/>
              </w:rPr>
              <w:t xml:space="preserve"> </w:t>
            </w:r>
            <w:proofErr w:type="spellStart"/>
            <w:proofErr w:type="gramStart"/>
            <w:r>
              <w:rPr>
                <w:rFonts w:ascii="Times New Roman" w:hAnsi="Times New Roman"/>
                <w:color w:val="000000" w:themeColor="text1"/>
                <w:spacing w:val="-2"/>
                <w:w w:val="95"/>
                <w:sz w:val="20"/>
              </w:rPr>
              <w:t>m.b.H</w:t>
            </w:r>
            <w:proofErr w:type="spellEnd"/>
            <w:r>
              <w:rPr>
                <w:rFonts w:ascii="Times New Roman" w:hAnsi="Times New Roman"/>
                <w:color w:val="000000" w:themeColor="text1"/>
                <w:spacing w:val="-2"/>
                <w:w w:val="95"/>
                <w:sz w:val="20"/>
              </w:rPr>
              <w:t>.</w:t>
            </w:r>
            <w:proofErr w:type="gram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Belgie</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Garantiefonds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voor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financiële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diensten</w:t>
            </w:r>
            <w:proofErr w:type="spellEnd"/>
            <w:r>
              <w:rPr>
                <w:rFonts w:ascii="Times New Roman" w:hAnsi="Times New Roman"/>
                <w:color w:val="000000" w:themeColor="text1"/>
                <w:spacing w:val="-2"/>
                <w:w w:val="95"/>
                <w:sz w:val="20"/>
              </w:rPr>
              <w:t xml:space="preserve"> / </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pour</w:t>
            </w:r>
            <w:proofErr w:type="spellEnd"/>
            <w:r>
              <w:rPr>
                <w:rFonts w:ascii="Times New Roman" w:hAnsi="Times New Roman"/>
                <w:color w:val="000000" w:themeColor="text1"/>
                <w:spacing w:val="-2"/>
                <w:w w:val="95"/>
                <w:sz w:val="20"/>
              </w:rPr>
              <w:t xml:space="preserve"> les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financiers</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Bulharsko</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Фондът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за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гарантиране</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на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влоговете</w:t>
            </w:r>
            <w:proofErr w:type="spellEnd"/>
            <w:r>
              <w:rPr>
                <w:rFonts w:ascii="Times New Roman" w:hAnsi="Times New Roman"/>
                <w:color w:val="000000" w:themeColor="text1"/>
                <w:spacing w:val="-2"/>
                <w:w w:val="95"/>
                <w:sz w:val="20"/>
              </w:rPr>
              <w:t xml:space="preserve"> в </w:t>
            </w:r>
            <w:proofErr w:type="spellStart"/>
            <w:r>
              <w:rPr>
                <w:rFonts w:ascii="Times New Roman" w:hAnsi="Times New Roman"/>
                <w:color w:val="000000" w:themeColor="text1"/>
                <w:spacing w:val="-2"/>
                <w:w w:val="95"/>
                <w:sz w:val="20"/>
              </w:rPr>
              <w:t>банките</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Chorvatsko</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Državna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agencija</w:t>
            </w:r>
            <w:proofErr w:type="spellEnd"/>
            <w:r>
              <w:rPr>
                <w:rFonts w:ascii="Times New Roman" w:hAnsi="Times New Roman"/>
                <w:color w:val="000000" w:themeColor="text1"/>
                <w:spacing w:val="-2"/>
                <w:w w:val="95"/>
                <w:sz w:val="20"/>
              </w:rPr>
              <w:t xml:space="preserve"> za </w:t>
            </w:r>
            <w:proofErr w:type="spellStart"/>
            <w:r>
              <w:rPr>
                <w:rFonts w:ascii="Times New Roman" w:hAnsi="Times New Roman"/>
                <w:color w:val="000000" w:themeColor="text1"/>
                <w:spacing w:val="-2"/>
                <w:w w:val="95"/>
                <w:sz w:val="20"/>
              </w:rPr>
              <w:t>osiguranje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štednih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uloga</w:t>
            </w:r>
            <w:proofErr w:type="spellEnd"/>
            <w:r>
              <w:rPr>
                <w:rFonts w:ascii="Times New Roman" w:hAnsi="Times New Roman"/>
                <w:color w:val="000000" w:themeColor="text1"/>
                <w:spacing w:val="-2"/>
                <w:w w:val="95"/>
                <w:sz w:val="20"/>
              </w:rPr>
              <w:t xml:space="preserve"> i </w:t>
            </w:r>
            <w:proofErr w:type="spellStart"/>
            <w:r>
              <w:rPr>
                <w:rFonts w:ascii="Times New Roman" w:hAnsi="Times New Roman"/>
                <w:color w:val="000000" w:themeColor="text1"/>
                <w:spacing w:val="-2"/>
                <w:w w:val="95"/>
                <w:sz w:val="20"/>
              </w:rPr>
              <w:t>sanaciju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banaka</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Kypr</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Σύστημ</w:t>
            </w:r>
            <w:proofErr w:type="spellEnd"/>
            <w:r>
              <w:rPr>
                <w:rFonts w:ascii="Times New Roman" w:hAnsi="Times New Roman"/>
                <w:color w:val="000000" w:themeColor="text1"/>
                <w:spacing w:val="-2"/>
                <w:w w:val="95"/>
                <w:sz w:val="20"/>
              </w:rPr>
              <w:t xml:space="preserve">α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των</w:t>
            </w:r>
            <w:proofErr w:type="spellEnd"/>
            <w:r>
              <w:rPr>
                <w:rFonts w:ascii="Times New Roman" w:hAnsi="Times New Roman"/>
                <w:color w:val="000000" w:themeColor="text1"/>
                <w:spacing w:val="-2"/>
                <w:w w:val="95"/>
                <w:sz w:val="20"/>
              </w:rPr>
              <w:t xml:space="preserve"> Κατα</w:t>
            </w:r>
            <w:proofErr w:type="spellStart"/>
            <w:r>
              <w:rPr>
                <w:rFonts w:ascii="Times New Roman" w:hAnsi="Times New Roman"/>
                <w:color w:val="000000" w:themeColor="text1"/>
                <w:spacing w:val="-2"/>
                <w:w w:val="95"/>
                <w:sz w:val="20"/>
              </w:rPr>
              <w:t>θέσεων</w:t>
            </w:r>
            <w:proofErr w:type="spellEnd"/>
            <w:r>
              <w:rPr>
                <w:rFonts w:ascii="Times New Roman" w:hAnsi="Times New Roman"/>
                <w:color w:val="000000" w:themeColor="text1"/>
                <w:spacing w:val="-2"/>
                <w:w w:val="95"/>
                <w:sz w:val="20"/>
              </w:rPr>
              <w:t xml:space="preserve"> και </w:t>
            </w:r>
            <w:proofErr w:type="spellStart"/>
            <w:r>
              <w:rPr>
                <w:rFonts w:ascii="Times New Roman" w:hAnsi="Times New Roman"/>
                <w:color w:val="000000" w:themeColor="text1"/>
                <w:spacing w:val="-2"/>
                <w:w w:val="95"/>
                <w:sz w:val="20"/>
              </w:rPr>
              <w:t>Εξυγί</w:t>
            </w:r>
            <w:proofErr w:type="spellEnd"/>
            <w:r>
              <w:rPr>
                <w:rFonts w:ascii="Times New Roman" w:hAnsi="Times New Roman"/>
                <w:color w:val="000000" w:themeColor="text1"/>
                <w:spacing w:val="-2"/>
                <w:w w:val="95"/>
                <w:sz w:val="20"/>
              </w:rPr>
              <w:t xml:space="preserve">ανσης </w:t>
            </w:r>
            <w:proofErr w:type="spellStart"/>
            <w:r>
              <w:rPr>
                <w:rFonts w:ascii="Times New Roman" w:hAnsi="Times New Roman"/>
                <w:color w:val="000000" w:themeColor="text1"/>
                <w:spacing w:val="-2"/>
                <w:w w:val="95"/>
                <w:sz w:val="20"/>
              </w:rPr>
              <w:t>Πιστωτικών</w:t>
            </w:r>
            <w:proofErr w:type="spellEnd"/>
            <w:r>
              <w:rPr>
                <w:rFonts w:ascii="Times New Roman" w:hAnsi="Times New Roman"/>
                <w:color w:val="000000" w:themeColor="text1"/>
                <w:spacing w:val="-2"/>
                <w:w w:val="95"/>
                <w:sz w:val="20"/>
              </w:rPr>
              <w:t xml:space="preserve"> και </w:t>
            </w:r>
            <w:proofErr w:type="spellStart"/>
            <w:r>
              <w:rPr>
                <w:rFonts w:ascii="Times New Roman" w:hAnsi="Times New Roman"/>
                <w:color w:val="000000" w:themeColor="text1"/>
                <w:spacing w:val="-2"/>
                <w:w w:val="95"/>
                <w:sz w:val="20"/>
              </w:rPr>
              <w:t>Άλλων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Ιδρυμάτων</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Česká republika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Garanční systém finančního trhu</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Dánsko</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Garantiformuen</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Estonsko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Tagastisfond</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Finsko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Talletussuojarahasto</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Francie</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des </w:t>
            </w:r>
            <w:proofErr w:type="spellStart"/>
            <w:r>
              <w:rPr>
                <w:rFonts w:ascii="Times New Roman" w:hAnsi="Times New Roman"/>
                <w:color w:val="000000" w:themeColor="text1"/>
                <w:spacing w:val="-2"/>
                <w:w w:val="95"/>
                <w:sz w:val="20"/>
              </w:rPr>
              <w:t>Dépôts</w:t>
            </w:r>
            <w:proofErr w:type="spellEnd"/>
            <w:r>
              <w:rPr>
                <w:rFonts w:ascii="Times New Roman" w:hAnsi="Times New Roman"/>
                <w:color w:val="000000" w:themeColor="text1"/>
                <w:spacing w:val="-2"/>
                <w:w w:val="95"/>
                <w:sz w:val="20"/>
              </w:rPr>
              <w:t xml:space="preserve"> et de </w:t>
            </w:r>
            <w:proofErr w:type="spellStart"/>
            <w:r>
              <w:rPr>
                <w:rFonts w:ascii="Times New Roman" w:hAnsi="Times New Roman"/>
                <w:color w:val="000000" w:themeColor="text1"/>
                <w:spacing w:val="-2"/>
                <w:w w:val="95"/>
                <w:sz w:val="20"/>
              </w:rPr>
              <w:t>Résolution</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Německo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des </w:t>
            </w:r>
            <w:proofErr w:type="spellStart"/>
            <w:r>
              <w:rPr>
                <w:rFonts w:ascii="Times New Roman" w:hAnsi="Times New Roman"/>
                <w:color w:val="000000" w:themeColor="text1"/>
                <w:spacing w:val="-2"/>
                <w:w w:val="95"/>
                <w:sz w:val="20"/>
              </w:rPr>
              <w:t>Bundesverbandes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Öffentlicher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Deutschlands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Sicherungseinrichtung</w:t>
            </w:r>
            <w:proofErr w:type="spellEnd"/>
            <w:r>
              <w:rPr>
                <w:rFonts w:ascii="Times New Roman" w:hAnsi="Times New Roman"/>
                <w:color w:val="000000" w:themeColor="text1"/>
                <w:spacing w:val="-2"/>
                <w:w w:val="95"/>
                <w:sz w:val="20"/>
              </w:rPr>
              <w:t xml:space="preserve"> des </w:t>
            </w:r>
            <w:proofErr w:type="spellStart"/>
            <w:r>
              <w:rPr>
                <w:rFonts w:ascii="Times New Roman" w:hAnsi="Times New Roman"/>
                <w:color w:val="000000" w:themeColor="text1"/>
                <w:spacing w:val="-2"/>
                <w:w w:val="95"/>
                <w:sz w:val="20"/>
              </w:rPr>
              <w:t>Deutschen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Sparkassen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Giroverbandes</w:t>
            </w:r>
            <w:proofErr w:type="spellEnd"/>
            <w:r>
              <w:rPr>
                <w:rFonts w:ascii="Times New Roman" w:hAnsi="Times New Roman"/>
                <w:color w:val="000000" w:themeColor="text1"/>
                <w:spacing w:val="-2"/>
                <w:w w:val="95"/>
                <w:sz w:val="20"/>
              </w:rPr>
              <w:t xml:space="preserve"> (DSGV-</w:t>
            </w:r>
            <w:proofErr w:type="spellStart"/>
            <w:r>
              <w:rPr>
                <w:rFonts w:ascii="Times New Roman" w:hAnsi="Times New Roman"/>
                <w:color w:val="000000" w:themeColor="text1"/>
                <w:spacing w:val="-2"/>
                <w:w w:val="95"/>
                <w:sz w:val="20"/>
              </w:rPr>
              <w:t>Haftungsverbund</w:t>
            </w:r>
            <w:proofErr w:type="spellEnd"/>
            <w:r>
              <w:rPr>
                <w:rFonts w:ascii="Times New Roman" w:hAnsi="Times New Roman"/>
                <w:color w:val="000000" w:themeColor="text1"/>
                <w:spacing w:val="-2"/>
                <w:w w:val="95"/>
                <w:sz w:val="20"/>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BVR </w:t>
            </w:r>
            <w:proofErr w:type="spellStart"/>
            <w:r>
              <w:rPr>
                <w:rFonts w:ascii="Times New Roman" w:hAnsi="Times New Roman"/>
                <w:color w:val="000000" w:themeColor="text1"/>
                <w:spacing w:val="-2"/>
                <w:w w:val="95"/>
                <w:sz w:val="20"/>
              </w:rPr>
              <w:t>Institutssicherung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Gibraltar</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Gibraltar Deposit </w:t>
            </w:r>
            <w:proofErr w:type="spellStart"/>
            <w:r>
              <w:rPr>
                <w:rFonts w:ascii="Times New Roman" w:hAnsi="Times New Roman"/>
                <w:color w:val="000000" w:themeColor="text1"/>
                <w:spacing w:val="-2"/>
                <w:w w:val="95"/>
                <w:sz w:val="20"/>
              </w:rPr>
              <w:t>Guarantee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Řecko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Τα</w:t>
            </w:r>
            <w:proofErr w:type="spellStart"/>
            <w:r>
              <w:rPr>
                <w:rFonts w:ascii="Times New Roman" w:hAnsi="Times New Roman"/>
                <w:color w:val="000000" w:themeColor="text1"/>
                <w:spacing w:val="-2"/>
                <w:w w:val="95"/>
                <w:sz w:val="20"/>
              </w:rPr>
              <w:t>μείο</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Κατα</w:t>
            </w:r>
            <w:proofErr w:type="spellStart"/>
            <w:r>
              <w:rPr>
                <w:rFonts w:ascii="Times New Roman" w:hAnsi="Times New Roman"/>
                <w:color w:val="000000" w:themeColor="text1"/>
                <w:spacing w:val="-2"/>
                <w:w w:val="95"/>
                <w:sz w:val="20"/>
              </w:rPr>
              <w:t>θέσεων</w:t>
            </w:r>
            <w:proofErr w:type="spellEnd"/>
            <w:r>
              <w:rPr>
                <w:rFonts w:ascii="Times New Roman" w:hAnsi="Times New Roman"/>
                <w:color w:val="000000" w:themeColor="text1"/>
                <w:spacing w:val="-2"/>
                <w:w w:val="95"/>
                <w:sz w:val="20"/>
              </w:rPr>
              <w:t xml:space="preserve"> και Επ</w:t>
            </w:r>
            <w:proofErr w:type="spellStart"/>
            <w:r>
              <w:rPr>
                <w:rFonts w:ascii="Times New Roman" w:hAnsi="Times New Roman"/>
                <w:color w:val="000000" w:themeColor="text1"/>
                <w:spacing w:val="-2"/>
                <w:w w:val="95"/>
                <w:sz w:val="20"/>
              </w:rPr>
              <w:t>ενδύσεων</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Maďarsko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Országos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Betétbiztosítási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Alap</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Island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Tryggingarsjóður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innstæðueigenda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fjárfesta</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Irsko</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lastRenderedPageBreak/>
              <w:t>Irish</w:t>
            </w:r>
            <w:proofErr w:type="spellEnd"/>
            <w:r>
              <w:rPr>
                <w:rFonts w:ascii="Times New Roman" w:hAnsi="Times New Roman"/>
                <w:color w:val="000000" w:themeColor="text1"/>
                <w:spacing w:val="-2"/>
                <w:w w:val="95"/>
                <w:sz w:val="20"/>
              </w:rPr>
              <w:t xml:space="preserve"> Deposit </w:t>
            </w:r>
            <w:proofErr w:type="spellStart"/>
            <w:r>
              <w:rPr>
                <w:rFonts w:ascii="Times New Roman" w:hAnsi="Times New Roman"/>
                <w:color w:val="000000" w:themeColor="text1"/>
                <w:spacing w:val="-2"/>
                <w:w w:val="95"/>
                <w:sz w:val="20"/>
              </w:rPr>
              <w:t>Protection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Itálie </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Interbancario</w:t>
            </w:r>
            <w:proofErr w:type="spellEnd"/>
            <w:r>
              <w:rPr>
                <w:rFonts w:ascii="Times New Roman" w:hAnsi="Times New Roman"/>
                <w:color w:val="000000" w:themeColor="text1"/>
                <w:spacing w:val="-2"/>
                <w:w w:val="95"/>
                <w:sz w:val="20"/>
              </w:rPr>
              <w:t xml:space="preserve"> di Tutela dei </w:t>
            </w:r>
            <w:proofErr w:type="spellStart"/>
            <w:r>
              <w:rPr>
                <w:rFonts w:ascii="Times New Roman" w:hAnsi="Times New Roman"/>
                <w:color w:val="000000" w:themeColor="text1"/>
                <w:spacing w:val="-2"/>
                <w:w w:val="95"/>
                <w:sz w:val="20"/>
              </w:rPr>
              <w:t>Depositi</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di </w:t>
            </w:r>
            <w:proofErr w:type="spellStart"/>
            <w:r>
              <w:rPr>
                <w:rFonts w:ascii="Times New Roman" w:hAnsi="Times New Roman"/>
                <w:color w:val="000000" w:themeColor="text1"/>
                <w:spacing w:val="-2"/>
                <w:w w:val="95"/>
                <w:sz w:val="20"/>
              </w:rPr>
              <w:t>Garanzia</w:t>
            </w:r>
            <w:proofErr w:type="spellEnd"/>
            <w:r>
              <w:rPr>
                <w:rFonts w:ascii="Times New Roman" w:hAnsi="Times New Roman"/>
                <w:color w:val="000000" w:themeColor="text1"/>
                <w:spacing w:val="-2"/>
                <w:w w:val="95"/>
                <w:sz w:val="20"/>
              </w:rPr>
              <w:t xml:space="preserve"> dei </w:t>
            </w:r>
            <w:proofErr w:type="spellStart"/>
            <w:r>
              <w:rPr>
                <w:rFonts w:ascii="Times New Roman" w:hAnsi="Times New Roman"/>
                <w:color w:val="000000" w:themeColor="text1"/>
                <w:spacing w:val="-2"/>
                <w:w w:val="95"/>
                <w:sz w:val="20"/>
              </w:rPr>
              <w:t>Depositanti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Credito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Cooperativo</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Lotyšsko</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Latvijas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Noguldījumu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fonds</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Lichtenštejnsko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Einlagensicherungs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Anlegerentschädigungs-Stiftung</w:t>
            </w:r>
            <w:proofErr w:type="spellEnd"/>
            <w:r>
              <w:rPr>
                <w:rFonts w:ascii="Times New Roman" w:hAnsi="Times New Roman"/>
                <w:color w:val="000000" w:themeColor="text1"/>
                <w:spacing w:val="-2"/>
                <w:w w:val="95"/>
                <w:sz w:val="20"/>
              </w:rPr>
              <w:t xml:space="preserve">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Litva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Indėlių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investicijų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draudimas</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Lucembursko</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 de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des </w:t>
            </w:r>
            <w:proofErr w:type="spellStart"/>
            <w:r>
              <w:rPr>
                <w:rFonts w:ascii="Times New Roman" w:hAnsi="Times New Roman"/>
                <w:color w:val="000000" w:themeColor="text1"/>
                <w:spacing w:val="-2"/>
                <w:w w:val="95"/>
                <w:sz w:val="20"/>
              </w:rPr>
              <w:t>Dépôts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Luxembourg</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Malta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Depositor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Nizozemsko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 </w:t>
            </w:r>
            <w:proofErr w:type="spellStart"/>
            <w:r>
              <w:rPr>
                <w:rFonts w:ascii="Times New Roman" w:hAnsi="Times New Roman"/>
                <w:color w:val="000000" w:themeColor="text1"/>
                <w:spacing w:val="-2"/>
                <w:w w:val="95"/>
                <w:sz w:val="20"/>
              </w:rPr>
              <w:t>Nederlandsche</w:t>
            </w:r>
            <w:proofErr w:type="spellEnd"/>
            <w:r>
              <w:rPr>
                <w:rFonts w:ascii="Times New Roman" w:hAnsi="Times New Roman"/>
                <w:color w:val="000000" w:themeColor="text1"/>
                <w:spacing w:val="-2"/>
                <w:w w:val="95"/>
                <w:sz w:val="20"/>
              </w:rPr>
              <w:t xml:space="preserve"> Bank, </w:t>
            </w:r>
            <w:proofErr w:type="spellStart"/>
            <w:r>
              <w:rPr>
                <w:rFonts w:ascii="Times New Roman" w:hAnsi="Times New Roman"/>
                <w:color w:val="000000" w:themeColor="text1"/>
                <w:spacing w:val="-2"/>
                <w:w w:val="95"/>
                <w:sz w:val="20"/>
              </w:rPr>
              <w:t>Depositogarantiestelsel</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Norsko</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Bankenes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sikringsfond</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Polsko</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Bankowy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Fundusz</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Gwarancyjny</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Portugalsko</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Fundo de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Fundo de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do </w:t>
            </w:r>
            <w:proofErr w:type="spellStart"/>
            <w:r>
              <w:rPr>
                <w:rFonts w:ascii="Times New Roman" w:hAnsi="Times New Roman"/>
                <w:color w:val="000000" w:themeColor="text1"/>
                <w:spacing w:val="-2"/>
                <w:w w:val="95"/>
                <w:sz w:val="20"/>
              </w:rPr>
              <w:t>Crédito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Agrícola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Mútuo</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Rumunsko</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Fondul</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Garantare</w:t>
            </w:r>
            <w:proofErr w:type="spellEnd"/>
            <w:r>
              <w:rPr>
                <w:rFonts w:ascii="Times New Roman" w:hAnsi="Times New Roman"/>
                <w:color w:val="000000" w:themeColor="text1"/>
                <w:spacing w:val="-2"/>
                <w:w w:val="95"/>
                <w:sz w:val="20"/>
              </w:rPr>
              <w:t xml:space="preserve"> a </w:t>
            </w:r>
            <w:proofErr w:type="spellStart"/>
            <w:r>
              <w:rPr>
                <w:rFonts w:ascii="Times New Roman" w:hAnsi="Times New Roman"/>
                <w:color w:val="000000" w:themeColor="text1"/>
                <w:spacing w:val="-2"/>
                <w:w w:val="95"/>
                <w:sz w:val="20"/>
              </w:rPr>
              <w:t>Depozitelor</w:t>
            </w:r>
            <w:proofErr w:type="spellEnd"/>
            <w:r>
              <w:rPr>
                <w:rFonts w:ascii="Times New Roman" w:hAnsi="Times New Roman"/>
                <w:color w:val="000000" w:themeColor="text1"/>
                <w:spacing w:val="-2"/>
                <w:w w:val="95"/>
                <w:sz w:val="20"/>
              </w:rPr>
              <w:t xml:space="preserve"> in </w:t>
            </w:r>
            <w:proofErr w:type="spellStart"/>
            <w:r>
              <w:rPr>
                <w:rFonts w:ascii="Times New Roman" w:hAnsi="Times New Roman"/>
                <w:color w:val="000000" w:themeColor="text1"/>
                <w:spacing w:val="-2"/>
                <w:w w:val="95"/>
                <w:sz w:val="20"/>
              </w:rPr>
              <w:t>Sistemul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Bancar</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Slovensko</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Fond ochrany </w:t>
            </w:r>
            <w:proofErr w:type="spellStart"/>
            <w:r>
              <w:rPr>
                <w:rFonts w:ascii="Times New Roman" w:hAnsi="Times New Roman"/>
                <w:color w:val="000000" w:themeColor="text1"/>
                <w:spacing w:val="-2"/>
                <w:w w:val="95"/>
                <w:sz w:val="20"/>
              </w:rPr>
              <w:t>vkladov</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Slovinsko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Banka </w:t>
            </w:r>
            <w:proofErr w:type="spellStart"/>
            <w:r>
              <w:rPr>
                <w:rFonts w:ascii="Times New Roman" w:hAnsi="Times New Roman"/>
                <w:color w:val="000000" w:themeColor="text1"/>
                <w:spacing w:val="-2"/>
                <w:w w:val="95"/>
                <w:sz w:val="20"/>
              </w:rPr>
              <w:t>Slovenije</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Španělsko</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Garantía</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Entidades</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Crédito</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Švédsko</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Riksgälden</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Spojené království</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Financial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Jestliže úředně uznaný systém pojištění vkladů, jehož je subjekt členem, není výše uveden, vykáže se „jiný“.</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Výše pojištěných vkladů</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2 odst. 1 bod 5 a čl. 6 odst. 2 směrnice 2014/49/EU</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Částka pojištěných vkladů podle definice bodu 5 čl. 2 odst. 1 ve spojení s článkem 6 směrnice 2014/49/EU, krytých systémem pojištění vkladů v řádku 00030, kromě dočasných vysokých zůstatků podle definice uvedené v čl. 6 </w:t>
            </w:r>
            <w:proofErr w:type="gramStart"/>
            <w:r>
              <w:rPr>
                <w:rFonts w:ascii="Times New Roman" w:hAnsi="Times New Roman"/>
                <w:color w:val="000000" w:themeColor="text1"/>
                <w:spacing w:val="-2"/>
                <w:w w:val="95"/>
                <w:sz w:val="20"/>
              </w:rPr>
              <w:t>odst. 2  směrnice</w:t>
            </w:r>
            <w:proofErr w:type="gramEnd"/>
            <w:r>
              <w:rPr>
                <w:rFonts w:ascii="Times New Roman" w:hAnsi="Times New Roman"/>
                <w:color w:val="000000" w:themeColor="text1"/>
                <w:spacing w:val="-2"/>
                <w:w w:val="95"/>
                <w:sz w:val="20"/>
              </w:rPr>
              <w:t xml:space="preserve"> 2014/49/EU.</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Institucionální systém ochrany</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113 odst. 7 nařízení (EU) č. 575/2013</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Název institucionálního systému ochrany podle čl. 113 odst. 7 nařízení (EU) č. 575/2013, jehož je subjekt členem. Jestliže subjekt není členem institucionálního systému ochrany, nevykazujte nic. Pokud je subjekt členem institucionálního systému ochrany, který je také úředně uznán jako systém pojištění vkladů podle čl. 4 odst. 2 směrnice 2014/49/EU, bude název institucionálního systému ochrany stejný jako název systému pojištění vkladů v řádku 030.</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Doplňková ochrana podle smluvního systému</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1 odst. 3 písm. a) směrnice 2014/49/EU</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Výše vkladů krytých smluvním systémem u subjektu.</w:t>
            </w:r>
          </w:p>
        </w:tc>
      </w:tr>
    </w:tbl>
    <w:p w:rsidR="0057049E" w:rsidRPr="00D92B3C"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34" w:name="_Toc492542327"/>
      <w:bookmarkStart w:id="35" w:name="_Toc509909045"/>
      <w:bookmarkStart w:id="36" w:name="_Toc525209613"/>
      <w:r>
        <w:rPr>
          <w:rFonts w:ascii="Times New Roman" w:hAnsi="Times New Roman"/>
        </w:rPr>
        <w:t>Zásadní funkce a hlavní obory podnikání</w:t>
      </w:r>
      <w:bookmarkEnd w:id="34"/>
      <w:bookmarkEnd w:id="35"/>
      <w:bookmarkEnd w:id="36"/>
    </w:p>
    <w:p w:rsidR="00AA4026" w:rsidRPr="00D92B3C" w:rsidRDefault="00AA4026" w:rsidP="00715DAB">
      <w:pPr>
        <w:pStyle w:val="Instructionsberschrift3"/>
      </w:pPr>
      <w:r>
        <w:t>Obecné poznámky</w:t>
      </w:r>
    </w:p>
    <w:p w:rsidR="001D72E4" w:rsidRPr="00D92B3C" w:rsidRDefault="001D72E4" w:rsidP="00A06593">
      <w:pPr>
        <w:pStyle w:val="numberedparagraph"/>
        <w:rPr>
          <w:rFonts w:cs="Times New Roman"/>
        </w:rPr>
      </w:pPr>
      <w:r>
        <w:t>Čtyři vzory v této části předkládají klíčové údaje a kvalitativní posouzení dopadu, nahraditelnosti a kritičnosti ekonomických funkcí poskytované skupinou a jsou doplněné o zmapování těchto zásadních funkcí podle hlavních směrů podnikání a právních subjektů.</w:t>
      </w:r>
    </w:p>
    <w:p w:rsidR="005B5989" w:rsidRPr="00D92B3C" w:rsidRDefault="0001511A" w:rsidP="00A06593">
      <w:pPr>
        <w:pStyle w:val="numberedparagraph"/>
        <w:rPr>
          <w:rFonts w:cs="Times New Roman"/>
        </w:rPr>
      </w:pPr>
      <w:r>
        <w:t>Konkrétně se tyto vzory věnují následujícím tématům:</w:t>
      </w:r>
    </w:p>
    <w:p w:rsidR="004D12A4" w:rsidRPr="00D92B3C" w:rsidRDefault="0000307C" w:rsidP="00A06593">
      <w:pPr>
        <w:pStyle w:val="numberedparagraph"/>
        <w:rPr>
          <w:rFonts w:cs="Times New Roman"/>
        </w:rPr>
      </w:pPr>
      <w:r>
        <w:t>Vzor Z 07.01 – Kritické posouzení ekonomických funkcí (FUNC 1) určuje podle kvantitativních a kvalitativních ukazatelů, zásadní funkce a funkce, které nemají zásadní charakter, vykonávané skupinou pro každý členský stát, v němž skupina působí;</w:t>
      </w:r>
    </w:p>
    <w:p w:rsidR="00DF4780" w:rsidRPr="00D92B3C" w:rsidRDefault="000103DF" w:rsidP="00A06593">
      <w:pPr>
        <w:pStyle w:val="numberedparagraph"/>
        <w:rPr>
          <w:rFonts w:cs="Times New Roman"/>
        </w:rPr>
      </w:pPr>
      <w:r>
        <w:t>Vzor Z 07.02 – Zmapování zásadních funkcí podle právních subjektů (FUNC 2) mapuje určené zásadní funkce podle právních subjektů a posuzuje, zda jsou jednotlivé právní subjekty považovány za podstatné pro výkon této zásadní funkce;</w:t>
      </w:r>
    </w:p>
    <w:p w:rsidR="00DF4780" w:rsidRPr="00D92B3C" w:rsidRDefault="00F7117F" w:rsidP="00A06593">
      <w:pPr>
        <w:pStyle w:val="numberedparagraph"/>
        <w:rPr>
          <w:rFonts w:cs="Times New Roman"/>
        </w:rPr>
      </w:pPr>
      <w:r>
        <w:t>Z 07.03 – Zmapování hlavních oborů podnikání podle právních subjektů (FUNC 3) poskytuje úplný seznam hlavních oborů podnikání a mapuje je podle právních subjektů;</w:t>
      </w:r>
    </w:p>
    <w:p w:rsidR="00DF4780" w:rsidRPr="00D92B3C" w:rsidRDefault="00AD488F" w:rsidP="00A06593">
      <w:pPr>
        <w:pStyle w:val="numberedparagraph"/>
        <w:rPr>
          <w:rFonts w:cs="Times New Roman"/>
        </w:rPr>
      </w:pPr>
      <w:r>
        <w:t>Vzor Z 07.04 – Zmapování zásadních funkcí podle hlavních oborů podnikání (FUNC 4) mapuje určené zásadní funkce podle oborů podnikání.</w:t>
      </w:r>
    </w:p>
    <w:p w:rsidR="003A344F" w:rsidRPr="00D92B3C" w:rsidRDefault="006B4A6D" w:rsidP="00A06593">
      <w:pPr>
        <w:pStyle w:val="numberedparagraph"/>
        <w:rPr>
          <w:rFonts w:cs="Times New Roman"/>
        </w:rPr>
      </w:pPr>
      <w:r>
        <w:t xml:space="preserve">Podle čl. 2 odst. 1 bodu 35 směrnice 2014/59/EU jsou zásadními funkcemi činnosti, služby nebo operace, jejichž přerušení by v jednom nebo více členských státech pravděpodobně vedlo k narušení služeb, jež mají zásadní význam pro reálnou ekonomiku, nebo k narušení finanční stability vzhledem k velikosti, podílu na trhu, vnější a vnitřní propojenosti, složitosti či přeshraniční činnosti instituce či skupiny, se zvláštním ohledem na nahraditelnost těchto činností, služeb či operací. </w:t>
      </w:r>
    </w:p>
    <w:p w:rsidR="0056559D" w:rsidRPr="00D92B3C" w:rsidRDefault="003A344F" w:rsidP="00A06593">
      <w:pPr>
        <w:pStyle w:val="numberedparagraph"/>
        <w:rPr>
          <w:rFonts w:cs="Times New Roman"/>
        </w:rPr>
      </w:pPr>
      <w:r>
        <w:lastRenderedPageBreak/>
        <w:t>Podle čl. 6 odst. 1 nařízení Komise (EU) 2016/778</w:t>
      </w:r>
      <w:r>
        <w:rPr>
          <w:vertAlign w:val="superscript"/>
        </w:rPr>
        <w:footnoteReference w:id="16"/>
      </w:r>
      <w:r>
        <w:t xml:space="preserve"> se funkce považuje za zásadní, pokud splňuje obě tyto podmínky:</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instituce zajišťuje dotyčnou funkci pro třetí strany, které nejsou přidruženy k instituci ani skupině, a</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náhlé narušení této funkce by pravděpodobně mělo podstatný negativní dopad na třetí strany, mělo by za následek šíření krize nebo narušení celkové důvěry účastníků trhu kvůli systémovému významu funkce pro třetí strany a systémovému významu instituce nebo skupiny při zajišťování dotyčné funkce.</w:t>
      </w:r>
    </w:p>
    <w:p w:rsidR="00291ADD" w:rsidRPr="00D92B3C" w:rsidRDefault="00AC1C52" w:rsidP="00A06593">
      <w:pPr>
        <w:pStyle w:val="numberedparagraph"/>
        <w:rPr>
          <w:rFonts w:cs="Times New Roman"/>
        </w:rPr>
      </w:pPr>
      <w:r>
        <w:t>Podle čl. 2 odst. 1 bodu 36 směrnice 2014/59/EU se „hlavními liniemi podnikání“ rozumí obory podnikání a související služby, které pro instituci nebo skupinu, jíž je instituce součástí, představují podstatný zdroj příjmů, zisku či franšízové hodnoty.</w:t>
      </w:r>
    </w:p>
    <w:p w:rsidR="007827E9" w:rsidRPr="00D92B3C" w:rsidRDefault="007827E9" w:rsidP="00A06593">
      <w:pPr>
        <w:pStyle w:val="numberedparagraph"/>
        <w:rPr>
          <w:rFonts w:cs="Times New Roman"/>
        </w:rPr>
      </w:pPr>
      <w:r>
        <w:t>Ekonomické funkce jsou pro účely tohoto vzoru funkce uvedené v následující tabulce.</w:t>
      </w:r>
    </w:p>
    <w:p w:rsidR="00881545" w:rsidRPr="00D92B3C" w:rsidRDefault="00905475" w:rsidP="00A06593">
      <w:pPr>
        <w:pStyle w:val="numberedparagraph"/>
        <w:rPr>
          <w:rFonts w:cs="Times New Roman"/>
        </w:rPr>
      </w:pPr>
      <w:r>
        <w:t>U každé kategorie ekonomických funkcí může být zvolena ekonomická funkce „jiná“, pokud tato funkce není obsažena v jiných definovaných funkcích.</w:t>
      </w:r>
    </w:p>
    <w:p w:rsidR="00AC1C52" w:rsidRPr="00D92B3C" w:rsidRDefault="005E0691" w:rsidP="00A06593">
      <w:pPr>
        <w:pStyle w:val="numberedparagraph"/>
        <w:rPr>
          <w:rFonts w:cs="Times New Roman"/>
        </w:rPr>
      </w:pPr>
      <w:r>
        <w:t>Protistrany uvedené v řádcích 0010 až 0070 a v řádcích 0080 až 0150 jsou definovány stejně jako odvětví protistrany uvedená ve FINREP, příloze V části 1 kapitole 6. „MSP“ jsou malé a střední podniky podle definice uvedené ve FINREP, příloha V část první odst. 5 písm.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Ekonomická funkce</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Vklady</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Přijímání vkladů je přijímání vkladů od nefinančních zprostředkovatelů. Nezahrnuje výpůjčky od jiných finančních zprostředkovatelů, které jsou zařazeny samostatně do „mezibankovního úvěrování“.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Vklady zahrnují: i) běžné účty / jednodenní vklady,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xml:space="preserve">) vklady s dohodnutou splatností a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xml:space="preserve">) vklady s výpovědní lhůtou, ale nezahrnují </w:t>
            </w:r>
            <w:proofErr w:type="spellStart"/>
            <w:r>
              <w:rPr>
                <w:rFonts w:ascii="Times New Roman" w:hAnsi="Times New Roman"/>
                <w:color w:val="000000" w:themeColor="text1"/>
                <w:spacing w:val="-2"/>
                <w:w w:val="95"/>
                <w:sz w:val="20"/>
              </w:rPr>
              <w:t>repo</w:t>
            </w:r>
            <w:proofErr w:type="spellEnd"/>
            <w:r>
              <w:rPr>
                <w:rFonts w:ascii="Times New Roman" w:hAnsi="Times New Roman"/>
                <w:color w:val="000000" w:themeColor="text1"/>
                <w:spacing w:val="-2"/>
                <w:w w:val="95"/>
                <w:sz w:val="20"/>
              </w:rPr>
              <w:t xml:space="preserve"> obchody.</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Odkazy: FSB </w:t>
            </w:r>
            <w:proofErr w:type="spellStart"/>
            <w:r>
              <w:rPr>
                <w:rFonts w:ascii="Times New Roman" w:hAnsi="Times New Roman"/>
                <w:color w:val="000000" w:themeColor="text1"/>
                <w:spacing w:val="-2"/>
                <w:w w:val="95"/>
                <w:sz w:val="20"/>
              </w:rPr>
              <w:t>Guidance</w:t>
            </w:r>
            <w:proofErr w:type="spellEnd"/>
            <w:r>
              <w:rPr>
                <w:rFonts w:ascii="Times New Roman" w:hAnsi="Times New Roman"/>
                <w:color w:val="000000" w:themeColor="text1"/>
                <w:spacing w:val="-2"/>
                <w:w w:val="95"/>
                <w:sz w:val="20"/>
              </w:rPr>
              <w:t xml:space="preserve"> on </w:t>
            </w:r>
            <w:proofErr w:type="spellStart"/>
            <w:r>
              <w:rPr>
                <w:rFonts w:ascii="Times New Roman" w:hAnsi="Times New Roman"/>
                <w:color w:val="000000" w:themeColor="text1"/>
                <w:spacing w:val="-2"/>
                <w:w w:val="95"/>
                <w:sz w:val="20"/>
              </w:rPr>
              <w:t>Identification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of</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Functions</w:t>
            </w:r>
            <w:proofErr w:type="spellEnd"/>
            <w:r>
              <w:rPr>
                <w:rFonts w:ascii="Times New Roman" w:hAnsi="Times New Roman"/>
                <w:color w:val="000000" w:themeColor="text1"/>
                <w:spacing w:val="-2"/>
                <w:w w:val="95"/>
                <w:sz w:val="20"/>
              </w:rPr>
              <w:t xml:space="preserve"> and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Shared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(2013) s. 14; příloha II část 2 body 9.1, 9.2 a 9.3 nařízení (EU) č.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Domácnosti</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Nefinanční podniky (MSP)</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Nefinanční podniky (jiné než MSP)</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Ústřední vlády</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Jiná odvětví / protistrany (1), (2) a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Úvěry</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Úvěry znamenají poskytování finančních prostředků nefinančním protistranám, jako jsou podniky a maloobchodní zákazníci. Poskytování úvěrů nefinančním protistranám je odlišná činnost a vykazuje se v „ mezibankovním úvěrování“. Úvěry zahrnují dluhové nástroje držené institucemi, ale nezahrnují dluhové nástroje, které jsou cennými papíry, bez ohledu na jejich účetní klasifikaci (např. držené do splatnosti nebo realizovatelné).</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Odkazy: FSB </w:t>
            </w:r>
            <w:proofErr w:type="spellStart"/>
            <w:r>
              <w:rPr>
                <w:rFonts w:ascii="Times New Roman" w:hAnsi="Times New Roman"/>
                <w:color w:val="000000" w:themeColor="text1"/>
                <w:spacing w:val="-2"/>
                <w:w w:val="95"/>
                <w:sz w:val="20"/>
              </w:rPr>
              <w:t>Guidance</w:t>
            </w:r>
            <w:proofErr w:type="spellEnd"/>
            <w:r>
              <w:rPr>
                <w:rFonts w:ascii="Times New Roman" w:hAnsi="Times New Roman"/>
                <w:color w:val="000000" w:themeColor="text1"/>
                <w:spacing w:val="-2"/>
                <w:w w:val="95"/>
                <w:sz w:val="20"/>
              </w:rPr>
              <w:t xml:space="preserve"> on </w:t>
            </w:r>
            <w:proofErr w:type="spellStart"/>
            <w:r>
              <w:rPr>
                <w:rFonts w:ascii="Times New Roman" w:hAnsi="Times New Roman"/>
                <w:color w:val="000000" w:themeColor="text1"/>
                <w:spacing w:val="-2"/>
                <w:w w:val="95"/>
                <w:sz w:val="20"/>
              </w:rPr>
              <w:t>Identification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of</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Functions</w:t>
            </w:r>
            <w:proofErr w:type="spellEnd"/>
            <w:r>
              <w:rPr>
                <w:rFonts w:ascii="Times New Roman" w:hAnsi="Times New Roman"/>
                <w:color w:val="000000" w:themeColor="text1"/>
                <w:spacing w:val="-2"/>
                <w:w w:val="95"/>
                <w:sz w:val="20"/>
              </w:rPr>
              <w:t xml:space="preserve"> and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Shared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(2013) s. 17; příloha II část 2 bod 2 nařízení (EU) č.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Domácnosti – úvěry na bydlení</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Úvěry na bydlení znamenají úvěry poskytnuté k financování investic do bytových nemovitostí k vlastnímu bydlení nebo k pronájmu, včetně stavby a rekonstrukce těchto bytových nemovitostí.</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Domácnosti – ostatní úvěry</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Nefinanční podniky – MSP</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Nefinanční podniky – jiné než MSP</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Ústřední vlády</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Jiná odvětví / protistrany (1), (2) a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Platby, hotovost, vypořádání, clearing, úschova</w:t>
            </w:r>
          </w:p>
          <w:p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Odkaz: FSB </w:t>
            </w:r>
            <w:proofErr w:type="spellStart"/>
            <w:r>
              <w:rPr>
                <w:rFonts w:ascii="Times New Roman" w:hAnsi="Times New Roman"/>
                <w:color w:val="000000" w:themeColor="text1"/>
                <w:spacing w:val="-2"/>
                <w:w w:val="95"/>
                <w:sz w:val="20"/>
              </w:rPr>
              <w:t>Guidance</w:t>
            </w:r>
            <w:proofErr w:type="spellEnd"/>
            <w:r>
              <w:rPr>
                <w:rFonts w:ascii="Times New Roman" w:hAnsi="Times New Roman"/>
                <w:color w:val="000000" w:themeColor="text1"/>
                <w:spacing w:val="-2"/>
                <w:w w:val="95"/>
                <w:sz w:val="20"/>
              </w:rPr>
              <w:t xml:space="preserve"> on </w:t>
            </w:r>
            <w:proofErr w:type="spellStart"/>
            <w:r>
              <w:rPr>
                <w:rFonts w:ascii="Times New Roman" w:hAnsi="Times New Roman"/>
                <w:color w:val="000000" w:themeColor="text1"/>
                <w:spacing w:val="-2"/>
                <w:w w:val="95"/>
                <w:sz w:val="20"/>
              </w:rPr>
              <w:t>Identification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of</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Functions</w:t>
            </w:r>
            <w:proofErr w:type="spellEnd"/>
            <w:r>
              <w:rPr>
                <w:rFonts w:ascii="Times New Roman" w:hAnsi="Times New Roman"/>
                <w:color w:val="000000" w:themeColor="text1"/>
                <w:spacing w:val="-2"/>
                <w:w w:val="95"/>
                <w:sz w:val="20"/>
              </w:rPr>
              <w:t xml:space="preserve"> and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Shared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(2013) s. 20.</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Ekonomické funkce zařazené v této rubrice zahrnují poskytování plateb, hotovosti, vypořádání, clearingu a úschovy ze strany úvěrové instituce jako zprostředkovatele mezi vlastními klienty nebo jako zprostředkovatele mezi klientem a jednou nebo několika relevantními infrastrukturami finančních trhů, nebo poskytování (nepřímého) přístupu k infrastrukturám finančních trhů nebo jiným bankám. V souladu s dokumentem </w:t>
            </w:r>
            <w:r>
              <w:rPr>
                <w:rFonts w:ascii="Times New Roman" w:hAnsi="Times New Roman"/>
                <w:i/>
                <w:color w:val="000000" w:themeColor="text1"/>
                <w:spacing w:val="-2"/>
                <w:w w:val="95"/>
                <w:sz w:val="20"/>
              </w:rPr>
              <w:t xml:space="preserve">FSB </w:t>
            </w:r>
            <w:proofErr w:type="spellStart"/>
            <w:r>
              <w:rPr>
                <w:rFonts w:ascii="Times New Roman" w:hAnsi="Times New Roman"/>
                <w:i/>
                <w:color w:val="000000" w:themeColor="text1"/>
                <w:spacing w:val="-2"/>
                <w:w w:val="95"/>
                <w:sz w:val="20"/>
              </w:rPr>
              <w:t>Guidance</w:t>
            </w:r>
            <w:proofErr w:type="spellEnd"/>
            <w:r>
              <w:rPr>
                <w:rFonts w:ascii="Times New Roman" w:hAnsi="Times New Roman"/>
                <w:i/>
                <w:color w:val="000000" w:themeColor="text1"/>
                <w:spacing w:val="-2"/>
                <w:w w:val="95"/>
                <w:sz w:val="20"/>
              </w:rPr>
              <w:t xml:space="preserve"> on </w:t>
            </w:r>
            <w:proofErr w:type="spellStart"/>
            <w:r>
              <w:rPr>
                <w:rFonts w:ascii="Times New Roman" w:hAnsi="Times New Roman"/>
                <w:i/>
                <w:color w:val="000000" w:themeColor="text1"/>
                <w:spacing w:val="-2"/>
                <w:w w:val="95"/>
                <w:sz w:val="20"/>
              </w:rPr>
              <w:t>Identification</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of</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Critical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Functions</w:t>
            </w:r>
            <w:proofErr w:type="spellEnd"/>
            <w:r>
              <w:rPr>
                <w:rFonts w:ascii="Times New Roman" w:hAnsi="Times New Roman"/>
                <w:i/>
                <w:color w:val="000000" w:themeColor="text1"/>
                <w:spacing w:val="-2"/>
                <w:w w:val="95"/>
                <w:sz w:val="20"/>
              </w:rPr>
              <w:t xml:space="preserve"> and </w:t>
            </w:r>
            <w:proofErr w:type="spellStart"/>
            <w:r>
              <w:rPr>
                <w:rFonts w:ascii="Times New Roman" w:hAnsi="Times New Roman"/>
                <w:i/>
                <w:color w:val="000000" w:themeColor="text1"/>
                <w:spacing w:val="-2"/>
                <w:w w:val="95"/>
                <w:sz w:val="20"/>
              </w:rPr>
              <w:t>Critical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Shared</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Services</w:t>
            </w:r>
            <w:proofErr w:type="spellEnd"/>
            <w:r>
              <w:rPr>
                <w:rFonts w:ascii="Times New Roman" w:hAnsi="Times New Roman"/>
                <w:color w:val="000000" w:themeColor="text1"/>
                <w:spacing w:val="-2"/>
                <w:w w:val="95"/>
                <w:sz w:val="20"/>
              </w:rPr>
              <w:t xml:space="preserve"> se platby, clearing a vypořádání omezuje na služby, které banky poskytují svým klientům. Tato kategorie nezahrnuje služby, které poskytují poskytovatelé (pouze) infrastruktur finančních trhů. Pro účely tohoto vzoru zahrnují infrastruktury finančních trhů platební systémy, systémy vypořádání obchodů s cennými papíry, centrální depozitáře cenných papírů a ústřední protistrany (a nezahrnují registry obchodních údajů).</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„Platební služba“, „platební transakce“ a „platební systém“ mají stejný význam, jak je definováno v čl. 4 odst. 3, 5 a 7 směrnice 2015/2366 o platebních službách na vnitřním trhu</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Platební služby měnovým finančním institucím</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Tento řádek zahrnuje platební služby nabízené měnovým finančním institucím s využitím nebo bez využití externích platebních systémů. Zahrnuje také korespondenční bankovní služby (platby s nimi spojené). Měnové a finanční instituce zahrnují všechny institucionální jednotky uvedené v dílčích sektorech: i)centrální banka; </w:t>
            </w:r>
            <w:proofErr w:type="spellStart"/>
            <w:r>
              <w:rPr>
                <w:rFonts w:ascii="Times New Roman" w:hAnsi="Times New Roman"/>
                <w:color w:val="000000" w:themeColor="text1"/>
                <w:spacing w:val="-2"/>
                <w:w w:val="95"/>
                <w:sz w:val="20"/>
              </w:rPr>
              <w:t>ii</w:t>
            </w:r>
            <w:proofErr w:type="spellEnd"/>
            <w:r>
              <w:rPr>
                <w:rFonts w:ascii="Times New Roman" w:hAnsi="Times New Roman"/>
                <w:color w:val="000000" w:themeColor="text1"/>
                <w:spacing w:val="-2"/>
                <w:w w:val="95"/>
                <w:sz w:val="20"/>
              </w:rPr>
              <w:t xml:space="preserve">) instituce přijímající vklady s výjimkou centrální banky; a </w:t>
            </w:r>
            <w:proofErr w:type="spellStart"/>
            <w:r>
              <w:rPr>
                <w:rFonts w:ascii="Times New Roman" w:hAnsi="Times New Roman"/>
                <w:color w:val="000000" w:themeColor="text1"/>
                <w:spacing w:val="-2"/>
                <w:w w:val="95"/>
                <w:sz w:val="20"/>
              </w:rPr>
              <w:t>iii</w:t>
            </w:r>
            <w:proofErr w:type="spellEnd"/>
            <w:r>
              <w:rPr>
                <w:rFonts w:ascii="Times New Roman" w:hAnsi="Times New Roman"/>
                <w:color w:val="000000" w:themeColor="text1"/>
                <w:spacing w:val="-2"/>
                <w:w w:val="95"/>
                <w:sz w:val="20"/>
              </w:rPr>
              <w:t>) fondy peněžního trhu.</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Platební služby jiným klientům než měnovým finančním institucím</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Platební služby nabízené klientům s využitím nebo bez využití externích platebních systémů. Zahrnují pouze fyzické nebo právnické osoby, které nespadají do sektoru měnových finančních institucí. Ze sektoru „jiní klienti než měnové a finanční instituce“ jsou vyloučeni také poskytovatelé platebních služeb.</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Hotovostní služby</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Poskytování hotovostních služeb klientům (fyzickým osobám a podnikům, pouze jiným klientům než měnovým a finančním institucím). Tyto služby se týkají výběrů z bankomatů a na pobočkách a nezahrnují jiné hotovostní služby (jako jsou služby přepravy hotovosti pro maloobchodní řetězce). Zahrnují výběr hotovosti pomocí šeků a na pobočkách pomocí bankovních formulářů (kdy mohou být jako prostředek identifikace používány karty).</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Služby vypořádání transakcí s cennými papíry</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Služby nabízené klientům pro potvrzení a clearing a vypořádání transakcí s cennými papíry s využitím </w:t>
            </w:r>
            <w:r>
              <w:rPr>
                <w:rFonts w:ascii="Times New Roman" w:hAnsi="Times New Roman"/>
                <w:color w:val="000000" w:themeColor="text1"/>
                <w:spacing w:val="-2"/>
                <w:w w:val="95"/>
                <w:sz w:val="20"/>
              </w:rPr>
              <w:lastRenderedPageBreak/>
              <w:t>nebo bez využití systémů vypořádání obchodů s cennými papíry. „Vypořádáním“ se rozumí provedení transakce s cennými papíry, která se uskutečňuje s cílem splnit povinnosti účastníků transakce prostřednictvím převodu hotovosti anebo cenných papírů.</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Clearingové služby ústřední protistrany</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Clearingové služby spojené s cennými papíry a deriváty poskytované klientům. Zahrnují rovněž poskytování nepřímého přístupu k ústřední protistraně.</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Služby úschovy</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Uložení a správa finančních nástrojů pro klienty a služby spojené s opatrovnictvím, jako je správa peněžních prostředků a kolaterálu.</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Jiné služby / činnosti / funkce (1), (2) a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Kapitálové trhy</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Činnosti na kapitálových trzích znamenají vydávání cenných papírů a obchodování s nimi, související poradenské služby a související služby, jako jsou makléřské služby a tvorba trhu.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Deriváty k obchodování (OTC)</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Čl. 2 odst. 5 a 7 NAŘÍZENÍ (EU) č. 648/2012</w:t>
            </w:r>
            <w:r>
              <w:rPr>
                <w:rStyle w:val="FootnoteReference"/>
                <w:rFonts w:ascii="Times New Roman" w:hAnsi="Times New Roman"/>
                <w:color w:val="000000" w:themeColor="text1"/>
                <w:spacing w:val="-2"/>
                <w:w w:val="95"/>
                <w:sz w:val="20"/>
              </w:rPr>
              <w:footnoteReference w:id="18"/>
            </w:r>
            <w:r>
              <w:rPr>
                <w:rFonts w:ascii="Times New Roman" w:hAnsi="Times New Roman"/>
                <w:color w:val="000000" w:themeColor="text1"/>
                <w:spacing w:val="-2"/>
                <w:w w:val="95"/>
                <w:sz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Derivátem nebo derivátovou smlouvou se rozumí finanční nástroj uvedený v bodech 4 až 10 části C přílohy I SMĚRNICE 2014/65/EU</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xml:space="preserve"> provedené články 38 a 39 NAŘÍZENÍ (ES) č. 1287/2006.</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OTC derivátem nebo OTC derivátovou smlouvou se rozumí derivátová smlouva, jejíž uzavření neprobíhá na regulovaném trhu ve smyslu čl. 4 odst. 1 bodu 21 směrnice 2014/65/EU ani na trhu třetí země považovaném za ekvivalentní regulovanému trhu v souladu s článkem 2a </w:t>
            </w:r>
            <w:proofErr w:type="gramStart"/>
            <w:r>
              <w:rPr>
                <w:rFonts w:ascii="Times New Roman" w:hAnsi="Times New Roman"/>
                <w:color w:val="000000" w:themeColor="text1"/>
                <w:spacing w:val="-2"/>
                <w:w w:val="95"/>
                <w:sz w:val="20"/>
              </w:rPr>
              <w:t>nařízení ( EU</w:t>
            </w:r>
            <w:proofErr w:type="gramEnd"/>
            <w:r>
              <w:rPr>
                <w:rFonts w:ascii="Times New Roman" w:hAnsi="Times New Roman"/>
                <w:color w:val="000000" w:themeColor="text1"/>
                <w:spacing w:val="-2"/>
                <w:w w:val="95"/>
                <w:sz w:val="20"/>
              </w:rPr>
              <w:t>) č. 648/2012.</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Částka, která se vykazuje, zahrnuje pouze deriváty obchodované na OTC trhu.</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Deriváty k obchodování (jiné než OTC)</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Všechny deriváty k obchodování kromě OTC derivátů k obchodování.</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Sekundární trhy / obchodování:</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Sekundární trh je trh, kde investoři nakupují a prodávají cenné papíry. Tato funkce se vztahuje na celé obchodní portfolio (tj. akcie, firemní úvěry, státní dluhopisy).</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Částka, která se vykazuje, zahrnuje hodnotu cenných papírů vyjádřenou jako celkovou výši cenných papírů k obchodování. Cenné papíry se vykazují v reálné hodnotě k datu vykázání.</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Tato částka nezahrnuje úvěry, deriváty a neobchodovatelná aktiva (např. pohledávky).</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Primární trhy / upisování</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Primárními trhy se rozumí činnost, kdy jsou společnostmi, vládami a jinými skupinami vydávány nové cenné papíry ke směně za účelem financování prostřednictvím cenných papírů ve formě dluhopisů nebo akcií (jako jsou kmenové a prioritní akcie, korporátní dluhopisy, vlastní a cizí směnky, státní dluhopisy). Činnost primárních trhů usnadňují skupiny upisovatelů.</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Jiné služby / činnosti / funkce (1), (2) a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Mezibankovní úvěrování</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Vzájemné výpůjčky a úvěry finančních protistran (úvěrové instituce a jiné finanční podniky) na mezibankovních trzích.</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lastRenderedPageBreak/>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Výpůjčky</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Výpůjčky od finančních protistran na mezibankovních trzích (včetně výpůjček formou </w:t>
            </w:r>
            <w:proofErr w:type="spellStart"/>
            <w:r>
              <w:rPr>
                <w:rFonts w:ascii="Times New Roman" w:hAnsi="Times New Roman"/>
                <w:color w:val="000000" w:themeColor="text1"/>
                <w:spacing w:val="-2"/>
                <w:w w:val="95"/>
                <w:sz w:val="20"/>
              </w:rPr>
              <w:t>repo</w:t>
            </w:r>
            <w:proofErr w:type="spellEnd"/>
            <w:r>
              <w:rPr>
                <w:rFonts w:ascii="Times New Roman" w:hAnsi="Times New Roman"/>
                <w:color w:val="000000" w:themeColor="text1"/>
                <w:spacing w:val="-2"/>
                <w:w w:val="95"/>
                <w:sz w:val="20"/>
              </w:rPr>
              <w:t xml:space="preserve"> obchodů, mezibankovních výpůjček, komerčních papírů, vkladních listů, fondů peněžního trhu, úvěrových linek, obchodních cenných papírů zajištěných aktivy a svěřeneckých vkladů).</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Deriváty (aktiva)</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Všechny deriváty s finančními protistranami účtované v rozvaze na straně aktiv. Na rozdíl od „kapitálových trhů“ zahrnují deriváty u „mezibankovního úvěrování“ všechny derivátové smlouvy s finančními protistranami (nejen vysokofrekvenční obchodování).</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Úvěry</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Úvěry finančním protistranám na mezibankovních trzích (včetně úvěrů formou reverzních </w:t>
            </w:r>
            <w:proofErr w:type="spellStart"/>
            <w:r>
              <w:rPr>
                <w:rFonts w:ascii="Times New Roman" w:hAnsi="Times New Roman"/>
                <w:color w:val="000000" w:themeColor="text1"/>
                <w:spacing w:val="-2"/>
                <w:w w:val="95"/>
                <w:sz w:val="20"/>
              </w:rPr>
              <w:t>repo</w:t>
            </w:r>
            <w:proofErr w:type="spellEnd"/>
            <w:r>
              <w:rPr>
                <w:rFonts w:ascii="Times New Roman" w:hAnsi="Times New Roman"/>
                <w:color w:val="000000" w:themeColor="text1"/>
                <w:spacing w:val="-2"/>
                <w:w w:val="95"/>
                <w:sz w:val="20"/>
              </w:rPr>
              <w:t xml:space="preserve"> operací, komerčních papírů, vkladních listů, fondů peněžního trhu, úvěrových linek, obchodních cenných papírů zajištěných aktivy a svěřeneckých vkladů).</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Deriváty (pasiva)</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Všechny deriváty s finančními protistranami účtované v rozvaze na straně pasiv.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5.5, 5.6, 5.7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Jiné druhy produktů (1), (2) a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Každá funkce z ekonomické funkce „mezibankovní úvěrování“, která není uvedena výše.</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07.01 – Kritické posouzení ekonomických funkcí (FUNC 1): Pokyny týkající se konkrétních pozic</w:t>
      </w:r>
    </w:p>
    <w:p w:rsidR="00336AC0" w:rsidRPr="00D92B3C" w:rsidRDefault="00336AC0" w:rsidP="00A06593">
      <w:pPr>
        <w:pStyle w:val="numberedparagraph"/>
        <w:rPr>
          <w:rFonts w:cs="Times New Roman"/>
        </w:rPr>
      </w:pPr>
      <w:r>
        <w:t>Tento vzor se vyplňuje jednou pro každý členský stát (označený jako „stát“), v němž skupina působí.</w:t>
      </w:r>
    </w:p>
    <w:p w:rsidR="00AE7D80" w:rsidRPr="00D92B3C" w:rsidRDefault="00336AC0" w:rsidP="00A06593">
      <w:pPr>
        <w:pStyle w:val="numberedparagraph"/>
        <w:rPr>
          <w:rFonts w:cs="Times New Roman"/>
        </w:rPr>
      </w:pPr>
      <w:r>
        <w:t>Zahrnuje všechny ekonomické funkce vykonávané v daném členském státě jakýmkoli subjektem skupiny bez ohledu na to, zda tato funkce představuje zásadní funkci.</w:t>
      </w:r>
    </w:p>
    <w:p w:rsidR="005244DF" w:rsidRPr="00D92B3C"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Řádky</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Pokyny</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Ekonomické funkce</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Ekonomické funkce definované výše</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Pokyny</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Popis ekonomické funkce</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Pokud je ekonomická funkce druhu „jiná“ (funkce 1.5–1.7, 2.6–2.8, 3.7–3.9, 4.5–4.7, 5.5–5.7), uvede se popis této funkce.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Tržní podíl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Odhad tržního podílu instituce nebo skupiny pro ekonomickou funkci v příslušné zemi. Jako procento z celkového trhu z hlediska peněžní částky.</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Peněžní částka</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Obsah tohoto sloupce závisí na poskytované ekonomické funkci:</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Vklady</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Účetní hodnota (včetně vzniklého úroku) přijatých vkladů</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Odkazy: FINREP, přílohy III a IV, šablona F 08.01 a příloha V, část druhá odstavec 97.</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Úvěry</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Hrubá účetní hodnota neznehodnocených a znehodnocených úvěrů a záloh (včetně vzniklého úroku). Objem úvěrů se považuje za ukazatel očekávaných budoucích úvěrů.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Odkazy: FINREP, přílohy III a IV, šablona F </w:t>
            </w:r>
            <w:proofErr w:type="gramStart"/>
            <w:r>
              <w:rPr>
                <w:rFonts w:ascii="Times New Roman" w:hAnsi="Times New Roman"/>
                <w:color w:val="000000" w:themeColor="text1"/>
                <w:spacing w:val="-2"/>
                <w:w w:val="95"/>
                <w:sz w:val="20"/>
              </w:rPr>
              <w:t>04.04.01</w:t>
            </w:r>
            <w:proofErr w:type="gramEnd"/>
            <w:r>
              <w:rPr>
                <w:rFonts w:ascii="Times New Roman" w:hAnsi="Times New Roman"/>
                <w:color w:val="000000" w:themeColor="text1"/>
                <w:spacing w:val="-2"/>
                <w:w w:val="95"/>
                <w:sz w:val="20"/>
              </w:rPr>
              <w:t xml:space="preserve"> a příloha V, část první odst. 34 písm. b).</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Platby, hotovost, vypořádání, clearing, úschova</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Obecně platí, že se vykazují průměrné denní transakce v průběhu roku. Pokud není tento údaj k dispozici, může být uveden průměr za kratší období (např. za několik měsíců).</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Konkrétně se u různých funkcí berou v úvahu tato měřítka: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platební služby (3.1 až 3.2): Hodnota odeslaných transakcí.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(Odkazy: čl. 4 odst. 5 směrnice 2015/2366/ES; ECB/2013/43),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hotovostní služby (3.3): Hodnota transakcí v bankomatech podle definice uvedené v tabulce 5a nařízení ECB/2013/43 a výběrů hotovosti na přepážkách podle definice uvedené v tabulce 4 nařízení ECB/2014/15,</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služby vypořádání transakcí s cennými papíry (3.4): Hodnota převodů cenných papírů zpracovaných v zastoupení klientů. Zahrnuje transakce vypořádané v rámci systému vypořádání obchodů s cennými papíry nebo vypořádané interně vykazujícími institucemi a „bezplatné“ transakce,</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Clearingové služby ústřední protistrany (3.5): pozice (expozice), které ústřední protistrany, v nichž je instituce členem, mají u instituce v zastoupení svých klientů. Uveďte průměrnou denní hodnotu otevřených pozic týkajících se činnosti klientů u ústředních protistran. Pokud není tento údaj k dispozici, můžete uvést průměry za kratší období (např. za několik měsíců),</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služby úschovy (3.6): Výše aktiv v úschově s použitím reálné hodnoty. Pokud není reálná hodnota k dispozici, je možné použít jiná měřítka včetně nominální hodnoty. V případech, kdy instituce poskytuje služby takovým subjektům, jako jsou subjekty kolektivního investování nebo penzijní fondy, mohou být příslušná aktiva vykázána v hodnotě, v níž tyto subjekty uvedená aktiva vykazují ve své vlastní rozvaze. Vykázané částky zahrnují případný vzniklý úrok.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(Odkaz: FINREP, přílohy III a IV, šablona F 22.02 sloupec 010)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Kapitálové trhy</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Pomyslná hodnota – Vykazuje se pouze u derivátů (4.1–4.2 ): hrubá nominální výše všech obchodů, které byly k referenčnímu datu uzavřeny, ale nebyly ještě vypořádány.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odkazy: ohledně definice: FINREP, příloha V část druhá odstavec 133; ohledně dat: FINREP, příloha III; IV a V:</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deriváty celkem (4.1–4.2): Šablona F 10.00 sloupec 030 řádek 290,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OTC deriváty (4.1): Šablona F 10.00 sloupec 030 řádky 300 + 310 + 320,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činnosti na sekundárních trzích (4.3). Účetní hodnota aktiv – účetní hodnota vykázaná v rozvaze na straně aktiv, včetně vzniklého úroku [FINREP: příloha V část první odstavec 27], kde jsou popsány kapitálové nástroje a dluhové cenné papíry [FINREP: příloha V část první odstavec 31], klasifikované jako „k obchodování“ [FINREP: příloha V část první odst. 15 písm. a) a odstavec 16 písm. 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odkaz: FINREP: příloha III šablona F 04.01 sloupec 010 řádky 010 + 060 + 120,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primární trhy (4.4): Výnos z poplatků – Poplatky a provize přijaté za zapojení do vzniku nebo emise cenných papírů nepocházejících ani nevydaných institucí,</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odkaz: FINREP: příloha III, IV šablona F 22.01 sloupec 010 řádky 030 + 180.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Mezibankovní úvěrování</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Hrubá účetní hodnota se použije podle definice v FINREP.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odkazy: FINREP: příloha V část druhá odstavec 34, FINREP: příloha III, IV, šablony:</w:t>
            </w:r>
            <w:r>
              <w:rPr>
                <w:rFonts w:ascii="Calibri" w:hAnsi="Calibri"/>
                <w:b/>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výpůjčky (5.1): šablona F 20.06 sloupec 010 řádky 100 + 110, všechny země,</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Deriváty (</w:t>
            </w:r>
            <w:proofErr w:type="gramStart"/>
            <w:r>
              <w:rPr>
                <w:rFonts w:ascii="Times New Roman" w:hAnsi="Times New Roman"/>
                <w:color w:val="000000" w:themeColor="text1"/>
                <w:spacing w:val="-2"/>
                <w:w w:val="95"/>
                <w:sz w:val="20"/>
              </w:rPr>
              <w:t>aktiva) (5.2</w:t>
            </w:r>
            <w:proofErr w:type="gramEnd"/>
            <w:r>
              <w:rPr>
                <w:rFonts w:ascii="Times New Roman" w:hAnsi="Times New Roman"/>
                <w:color w:val="000000" w:themeColor="text1"/>
                <w:spacing w:val="-2"/>
                <w:w w:val="95"/>
                <w:sz w:val="20"/>
              </w:rPr>
              <w:t>): šablona F20.04 sloupec 010 řádek 010, všechny země,</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Úvěry (5.3): šablona F 20.04 sloupec 010 řádky 170+180, všechny země,</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Deriváty (</w:t>
            </w:r>
            <w:proofErr w:type="gramStart"/>
            <w:r>
              <w:rPr>
                <w:rFonts w:ascii="Times New Roman" w:hAnsi="Times New Roman"/>
                <w:color w:val="000000" w:themeColor="text1"/>
                <w:spacing w:val="-2"/>
                <w:w w:val="95"/>
                <w:sz w:val="20"/>
              </w:rPr>
              <w:t>pasiva) (5.4</w:t>
            </w:r>
            <w:proofErr w:type="gramEnd"/>
            <w:r>
              <w:rPr>
                <w:rFonts w:ascii="Times New Roman" w:hAnsi="Times New Roman"/>
                <w:color w:val="000000" w:themeColor="text1"/>
                <w:spacing w:val="-2"/>
                <w:w w:val="95"/>
                <w:sz w:val="20"/>
              </w:rPr>
              <w:t>): šablona F 20.06 sloupec 010 řádek 010, všechny země.</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Číselný ukazatel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Obsah tohoto sloupce závisí na poskytované ekonomické funkci.</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Vklady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Celkový počet klientů, kteří uložili hodnoty vykázané v peněžní částce. Pokud klient používá více než jeden vkladový produkt / účet, bude tento klient započítán pouze jednou.</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Úvěry</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Celkový počet klientů. Pokud klient používá více úvěrových produktů / účtů, bude tento klient započítán pouze jednou.</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Platby, hotovost, vypořádání, clearing, úschova</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Obecně platí, že se vykazují průměrné denní transakce v průběhu roku. Pokud není tento údaj k dispozici, mohou být uvedeny průměry za kratší období (např. za několik měsíců).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Konkrétně se u různých funkcí použijí tato měřítka: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platební služby (3.1–3.2): Počet uskutečněných transakcí.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odkazy: čl. 4 odst. 5 směrnice EU 2015/2366/ES; ECB/2013/43,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hotovostní služby (3.3): Počet transakcí v bankomatech podle definice uvedené v tabulce 5a nařízení ECB/2013/43 a výběrů hotovosti na přepážkách podle definice uvedené v tabulce 4 nařízení ECB/2014/15,</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služby vypořádání transakcí s cennými papíry (3.4): Počet transakcí převodů cenných papírů zpracovaných v zastoupení klientů. Zahrnuje transakce vypořádané v rámci systému vypořádání obchodů s cennými papíry nebo vypořádané interně vykazující institucí nebo skupinou a „bezplatné“ transakce.</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Kapitálové trhy</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Počet protistran NEBO transakcí: U derivátů (4.1–4.2) a nástrojů sekundárního trhu (4.3) celkový počet protistran. U primárních trhů (4. 4) celkový počet upsaných transakcí.</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Mezibankovní úvěrování</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Celkový počet protistran Pokud má jedna protistrana více než jeden účet anebo více než jednu transakci, bude tato protistrana započítána pouze jednou.</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Dopad na trh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Odhadovaný dopad náhlého přerušení funkce na třetí strany, finanční trhy a reálnou ekonomiku se zohledněním velikosti, tržního podílu v dané zemi, vnější a vnitřní propojenosti, složitosti a přeshraničních činností instituce.</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Toto hodnocení dopadu se vyjadřuje kvalitativně jako „velký (H)“, „středně velký (MH)“, „středně malý (ML)“ nebo „malý (L)“.</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Hodnocení „H“ se zvolí, pokud má přerušení velký dopad na vnitrostátní trh; hodnocení „MH“, pokud je dopad významný; hodnocení „ML“, pokud je dopad podstatný, ale omezený; a hodnocení „L“, pokud je dopad malý.</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Nahraditelnost</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Čl. 6 odst. 3 nařízení v přenesené pravomoci (EU) 2016/778.</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Funkce se pokládá za nahraditelnou tehdy, pokud může být nahrazena přijatelným způsobem a v přiměřené lhůtě, čímž se zamezí systémovým problémům pro reálnou ekonomiku a finanční trhy V úvahu se vezmou tato kritéria:</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struktura trhu pro danou funkci a dostupnost jiných poskytovatelů;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b) schopnost ostatních poskytovatelů, pokud jde o kapacitu, požadavky na plnění dané funkce a možné překážky vstupu na trh nebo rozšíření činnosti;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 motivace ostatních poskytovatelů k převzetí těchto činností;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 doba, kterou uživatelé služby potřebují ke změně poskytovatele služby, a náklady na tuto změnu, doba, kterou potřebují ostatní konkurenti k převzetí funkcí, a to, zda je tato doba přiměřená, aby se zamezilo významnému narušení, v závislosti na druhu služby.</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Toto hodnocení dopadu se vyjadřuje kvalitativně jako „velký (H)“, „středně velký (MH)“, „středně malý (ML)“ nebo „malý (L)“.</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Hodnocení „H“ se zvolí, pokud může funkci v přiměřené lhůtě snadno poskytovat jiná banka za srovnatelných podmínek;</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hodnocení „L“, pokud funkci nelze snadno nebo rychle nahradit;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hodnocení „MH“ a „ML“ u nejednoznačných případů se zohledněním různých aspektů (např. tržní podíl, tržní koncentrace, čas potřebný na náhradu, jakož i právní překážky a provozní požadavky na vstup nebo expanzi).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Zásadní funkce</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 tomto sloupci se uvádí, zda je ekonomická funkce považována na trhu příslušného státu za zásadní při zohlednění kvantitativních údajů a ukazatelů kritičnosti v tomto vzoru.</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Uveďte „ano“ nebo „ne“.</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u w:val="single"/>
        </w:rPr>
        <w:t>Z 07.02 – Zmapování zásadních funkcí podle právních subjektů (FUNC 2): Pokyny týkající se konkrétních pozic</w:t>
      </w:r>
    </w:p>
    <w:p w:rsidR="00517C03" w:rsidRPr="00D92B3C" w:rsidRDefault="005F4132" w:rsidP="00A06593">
      <w:pPr>
        <w:pStyle w:val="numberedparagraph"/>
        <w:rPr>
          <w:rFonts w:cs="Times New Roman"/>
        </w:rPr>
      </w:pPr>
      <w:r>
        <w:t>Tento vzor se vyplňuje za celou skupinu. V tomto vzoru se vykazují pouze zásadní funkce určené jako takové ve vzoru {Z 07.01;070} (podle členského státu).</w:t>
      </w:r>
    </w:p>
    <w:p w:rsidR="00517C03" w:rsidRPr="00D92B3C" w:rsidRDefault="00517C03" w:rsidP="00A06593">
      <w:pPr>
        <w:pStyle w:val="numberedparagraph"/>
        <w:rPr>
          <w:rFonts w:cs="Times New Roman"/>
        </w:rPr>
      </w:pPr>
      <w:r>
        <w:t>Kombinace hodnot vykázaných ve sloupcích 0010, 0020 a 0040 tohoto vzoru tvoří hlavní klíč, který musí být jedinečný pro každý řádek vzoru.</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Pokyny</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Stát</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Stát, pro nějž je funkce zásadní, jak je vykázáno ve vzoru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Identifikace zásadních funkcí podle definice uvedené výše v kapitole 2.7.1.4 a podle vzoru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Název subjektu</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Název subjektu vykonávajícího zásadní funkci vykázaný ve vzoru Z 01.00 (ORG).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Jestliže stejné zásadní funkce vykonává ve stejném státu několik subjektů, vykazuje se každý subjekt na samostatném řádku.</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Kód subjektu vykonávajícího zásadní funkci vykázaný v Z 01.00 – Organizační struktura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Peněžní částka</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Peněžní vyjádření příspěvku právního subjektu k peněžní částce, jak je popsáno ve sloupci 0030 vzoru Z 07.01 (FUNC 1). </w:t>
            </w:r>
          </w:p>
        </w:tc>
      </w:tr>
    </w:tbl>
    <w:p w:rsidR="0056559D" w:rsidRPr="00D92B3C"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lastRenderedPageBreak/>
        <w:t>Z 07.03 – Zmapování hlavních oborů podnikání podle právních subjektů (FUNC 3): Pokyny týkající se konkrétních pozic</w:t>
      </w:r>
    </w:p>
    <w:p w:rsidR="008D7004" w:rsidRPr="00D92B3C" w:rsidRDefault="00356129" w:rsidP="00A06593">
      <w:pPr>
        <w:pStyle w:val="numberedparagraph"/>
        <w:rPr>
          <w:rFonts w:cs="Times New Roman"/>
        </w:rPr>
      </w:pPr>
      <w:r>
        <w:t>Kombinace hodnot vykázaných ve sloupcích 0020 a 0040 tohoto vzoru tvoří hlavní klíč, který musí být jedinečný pro každý řádek vzoru.</w:t>
      </w:r>
    </w:p>
    <w:p w:rsidR="002D7C07" w:rsidRPr="00D92B3C" w:rsidRDefault="002D7C07" w:rsidP="00A06593">
      <w:pPr>
        <w:pStyle w:val="numberedparagraph"/>
        <w:rPr>
          <w:rFonts w:cs="Times New Roman"/>
        </w:rPr>
      </w:pPr>
      <w:r>
        <w:t xml:space="preserve">V tomto vzoru se vykazují pouze podstatné subjekty určené v {Z 07.02;0060}.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Pokyny</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Hlavní obory podnikání</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Hlavní obory podnikání podle čl. 2 odst. 1 bod 36 a čl. 2 odst. 2 směrnice 2014/59/EU.</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oboru podnikání</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Jedinečná identifikace oboru podnikání, kterou uvede instituce.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Popis</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Popis hlavního oboru podnikání.</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Název subjektu</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Název subjektu vykázaný v Z 01.00 (ORG), který vykonává hlavní obor podnikání nebo je jeho součástí.</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Jestliže stejný hlavní obor podnikání vykonává nebo je jeho součástí několik subjektů, vykazuje se každý subjekt na samostatném řádku.</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Kód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Kód subjektu, který vykonává nebo je součástí stejného hlavního oboru podnikání, vykázaný ve vzoru Z 01.00 (ORG).</w:t>
            </w:r>
          </w:p>
        </w:tc>
      </w:tr>
    </w:tbl>
    <w:p w:rsidR="0056559D" w:rsidRPr="00D92B3C" w:rsidRDefault="00F7117F" w:rsidP="00715DAB">
      <w:pPr>
        <w:pStyle w:val="Instructionsberschrift3"/>
      </w:pPr>
      <w:r>
        <w:t>Z 07.04 – Zmapování zásadních funkcí podle hlavních oborů podnikání (FUNC 4): Pokyny týkající se konkrétních pozic</w:t>
      </w:r>
    </w:p>
    <w:p w:rsidR="003D0643" w:rsidRPr="00D92B3C" w:rsidRDefault="003D0643" w:rsidP="00A06593">
      <w:pPr>
        <w:pStyle w:val="numberedparagraph"/>
        <w:rPr>
          <w:rFonts w:cs="Times New Roman"/>
        </w:rPr>
      </w:pPr>
      <w:r>
        <w:t>Kombinace hodnot vykázaných ve sloupcích 0010, 0020 a 0040 tohoto vzoru tvoří hlavní klíč, který musí být jedinečný pro každý řádek vzoru.</w:t>
      </w:r>
    </w:p>
    <w:p w:rsidR="00347A09" w:rsidRPr="00D92B3C" w:rsidRDefault="00347A09" w:rsidP="00A06593">
      <w:pPr>
        <w:pStyle w:val="numberedparagraph"/>
        <w:rPr>
          <w:rFonts w:cs="Times New Roman"/>
        </w:rPr>
      </w:pPr>
      <w:r>
        <w:t xml:space="preserve">V tomto vzoru se vykazují pouze zásadní funkce určené v {Z 07.01;0070}. </w:t>
      </w:r>
    </w:p>
    <w:p w:rsidR="00E714C5" w:rsidRPr="00D92B3C" w:rsidRDefault="00E714C5" w:rsidP="00A06593">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Pokyny</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Stát</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Stát, pro nějž je funkce zásadní, jak je vykázáno ve vzoru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funkce</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Identifikace zásadních funkcí podle definice uvedené výše v kapitole 2.7.1.2 a podle vzoru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Hlavní obory podnikání</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Hlavní obory podnikání podle čl. 2 odst. 1 bod 36 a čl. 2 odst. 2 směrnice 2014/59/EU vykázané ve vzoru Z 07.03 (FUNC 3)</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oboru podnikání</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Jedinečná identifikace oboru podnikání, kterou uvede instituce; stejná identifikace jako ve vzoru Z 07.03 (FUNC 3).</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7" w:name="_Toc509909046"/>
      <w:bookmarkStart w:id="38" w:name="_Toc525209614"/>
      <w:r>
        <w:rPr>
          <w:rFonts w:ascii="Times New Roman" w:hAnsi="Times New Roman"/>
        </w:rPr>
        <w:lastRenderedPageBreak/>
        <w:t>Z 08.00 – Klíčové služby (SERV)</w:t>
      </w:r>
      <w:bookmarkEnd w:id="37"/>
      <w:bookmarkEnd w:id="38"/>
    </w:p>
    <w:p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Obecné pokyny</w:t>
      </w:r>
    </w:p>
    <w:p w:rsidR="008A0BEC" w:rsidRPr="00D92B3C" w:rsidRDefault="008A0BEC" w:rsidP="00A06593">
      <w:pPr>
        <w:pStyle w:val="numberedparagraph"/>
        <w:rPr>
          <w:rFonts w:cs="Times New Roman"/>
        </w:rPr>
      </w:pPr>
      <w:r>
        <w:t>Informace, které jsou zahrnuty do tohoto vzoru, se vykazují jednou za celou skupinu a uvádějí klíčové služby přijímané kterýmkoli subjektem ve skupině a dávají je do souvislosti se zásadními funkcemi, které poskytuje skupina.</w:t>
      </w:r>
    </w:p>
    <w:p w:rsidR="00625A0F" w:rsidRPr="00D92B3C" w:rsidRDefault="00276FFB" w:rsidP="00A06593">
      <w:pPr>
        <w:pStyle w:val="numberedparagraph"/>
        <w:rPr>
          <w:rFonts w:cs="Times New Roman"/>
        </w:rPr>
      </w:pPr>
      <w:r>
        <w:t>Klíčovými službami se rozumí uskutečněné operace, činnosti a služby vykonávané pro jeden obchodní útvar nebo právní subjekt (specializované služby) nebo pro více obchodních útvarů nebo právních subjektů (sdílené služby) v rámci skupiny, které jsou nutné pro poskytování jedné či více zásadních funkcí. Klíčové služby mohou být vykonávány subjekty v rámci skupiny (interní služba) nebo tyto služby mohou být zajišťovány prostřednictvím externího poskytovatele (externí služba). Služba se považuje za klíčovou, pokud může její narušení představovat závažnou překážku pro výkon zásadních funkcí nebo tyto zásadní funkce zcela znemožnit, protože nedílně souvisí se zásadními funkcemi, které instituce vykonává pro třetí strany.</w:t>
      </w:r>
    </w:p>
    <w:p w:rsidR="0051360C" w:rsidRPr="00D92B3C" w:rsidRDefault="0051360C" w:rsidP="00A06593">
      <w:pPr>
        <w:pStyle w:val="numberedparagraph"/>
        <w:rPr>
          <w:rFonts w:cs="Times New Roman"/>
        </w:rPr>
      </w:pPr>
      <w:r>
        <w:t>V tomto vzoru se nevykazují služby, které se vykonávají pro právní subjekt pouze interně.</w:t>
      </w:r>
    </w:p>
    <w:p w:rsidR="009F4567" w:rsidRPr="00D92B3C" w:rsidRDefault="00276FFB" w:rsidP="00A06593">
      <w:pPr>
        <w:pStyle w:val="numberedparagraph"/>
        <w:rPr>
          <w:rFonts w:cs="Times New Roman"/>
        </w:rPr>
      </w:pPr>
      <w:r>
        <w:t>V tomto vzoru se nevykazují služby, které nemají podstatný dopad na zásadní funkce.</w:t>
      </w:r>
    </w:p>
    <w:p w:rsidR="00276FFB" w:rsidRPr="00D92B3C" w:rsidRDefault="00276FFB" w:rsidP="00A06593">
      <w:pPr>
        <w:pStyle w:val="numberedparagraph"/>
        <w:rPr>
          <w:rFonts w:cs="Times New Roman"/>
        </w:rPr>
      </w:pPr>
      <w:r>
        <w:t xml:space="preserve">Kombinace hodnot vykázaných ve sloupcích 0010, 0030, 0050, 0070 a 0080 tohoto vzoru tvoří hlavní klíč, který musí být jedinečný pro každý řádek vzoru. </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Pokyny týkající se konkrétních pozic</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Pokyny</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Identifikátor</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Druh služby</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Druh služby bude jeden z druhů služeb uvedených níže.</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Pokud je to možné, uvede se dílčí kategorie (dvoumístná identifikace). Pokud žádná dílčí kategorie neexistuje nebo pokud službu poskytovanou institucí nepopisuje žádná dílčí kategorie správně, uvede se hlavní kategorie (jednomístná identifikace).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Podpora lidských zdrojů</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r>
              <w:tab/>
            </w:r>
            <w:r>
              <w:rPr>
                <w:rFonts w:ascii="Times New Roman" w:hAnsi="Times New Roman"/>
                <w:color w:val="000000" w:themeColor="text1"/>
                <w:spacing w:val="-2"/>
                <w:w w:val="95"/>
                <w:sz w:val="20"/>
              </w:rPr>
              <w:t xml:space="preserve">správa personálních záležitostí, včetně správy pracovních smluv a mezd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r>
              <w:tab/>
            </w:r>
            <w:r>
              <w:rPr>
                <w:rFonts w:ascii="Times New Roman" w:hAnsi="Times New Roman"/>
                <w:color w:val="000000" w:themeColor="text1"/>
                <w:spacing w:val="-2"/>
                <w:w w:val="95"/>
                <w:sz w:val="20"/>
              </w:rPr>
              <w:t>interní komunikace</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Informační technologie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r>
              <w:tab/>
            </w:r>
            <w:r>
              <w:rPr>
                <w:rFonts w:ascii="Times New Roman" w:hAnsi="Times New Roman"/>
                <w:color w:val="000000" w:themeColor="text1"/>
                <w:spacing w:val="-2"/>
                <w:w w:val="95"/>
                <w:sz w:val="20"/>
              </w:rPr>
              <w:t xml:space="preserve">IT a komunikační hardware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r>
              <w:tab/>
            </w:r>
            <w:r>
              <w:rPr>
                <w:rFonts w:ascii="Times New Roman" w:hAnsi="Times New Roman"/>
                <w:color w:val="000000" w:themeColor="text1"/>
                <w:spacing w:val="-2"/>
                <w:w w:val="95"/>
                <w:sz w:val="20"/>
              </w:rPr>
              <w:t xml:space="preserve">uchovávání a zpracování dat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r>
              <w:tab/>
            </w:r>
            <w:r>
              <w:rPr>
                <w:rFonts w:ascii="Times New Roman" w:hAnsi="Times New Roman"/>
                <w:color w:val="000000" w:themeColor="text1"/>
                <w:spacing w:val="-2"/>
                <w:w w:val="95"/>
                <w:sz w:val="20"/>
              </w:rPr>
              <w:t xml:space="preserve">ostatní IT infrastruktura, pracovní stanice, telekomunikace, servery, datová centra a související služby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r>
              <w:tab/>
            </w:r>
            <w:r>
              <w:rPr>
                <w:rFonts w:ascii="Times New Roman" w:hAnsi="Times New Roman"/>
                <w:color w:val="000000" w:themeColor="text1"/>
                <w:spacing w:val="-2"/>
                <w:w w:val="95"/>
                <w:sz w:val="20"/>
              </w:rPr>
              <w:t xml:space="preserve">správa softwarových licencí a aplikačního softwaru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r>
              <w:tab/>
            </w:r>
            <w:r>
              <w:rPr>
                <w:rFonts w:ascii="Times New Roman" w:hAnsi="Times New Roman"/>
                <w:color w:val="000000" w:themeColor="text1"/>
                <w:spacing w:val="-2"/>
                <w:w w:val="95"/>
                <w:sz w:val="20"/>
              </w:rPr>
              <w:t xml:space="preserve">přístup k externím poskytovatelům, zejména poskytovatelům dat a infrastruktury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2.6</w:t>
            </w:r>
            <w:r>
              <w:tab/>
            </w:r>
            <w:r>
              <w:rPr>
                <w:rFonts w:ascii="Times New Roman" w:hAnsi="Times New Roman"/>
                <w:color w:val="000000" w:themeColor="text1"/>
                <w:spacing w:val="-2"/>
                <w:w w:val="95"/>
                <w:sz w:val="20"/>
              </w:rPr>
              <w:t xml:space="preserve">údržba aplikací, včetně údržby softwarových aplikací a souvisejících datových toků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2.7</w:t>
            </w:r>
            <w:r>
              <w:tab/>
            </w:r>
            <w:r>
              <w:rPr>
                <w:rFonts w:ascii="Times New Roman" w:hAnsi="Times New Roman"/>
                <w:color w:val="000000" w:themeColor="text1"/>
                <w:spacing w:val="-2"/>
                <w:w w:val="95"/>
                <w:sz w:val="20"/>
              </w:rPr>
              <w:t>generování zpráv, interní informační toky a databáze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2.8</w:t>
            </w:r>
            <w:r>
              <w:tab/>
            </w:r>
            <w:r>
              <w:rPr>
                <w:rFonts w:ascii="Times New Roman" w:hAnsi="Times New Roman"/>
                <w:color w:val="000000" w:themeColor="text1"/>
                <w:spacing w:val="-2"/>
                <w:w w:val="95"/>
                <w:sz w:val="20"/>
              </w:rPr>
              <w:t>podpora uživatelů</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2.9</w:t>
            </w:r>
            <w:r>
              <w:tab/>
            </w:r>
            <w:r>
              <w:rPr>
                <w:rFonts w:ascii="Times New Roman" w:hAnsi="Times New Roman"/>
                <w:color w:val="000000" w:themeColor="text1"/>
                <w:spacing w:val="-2"/>
                <w:w w:val="95"/>
                <w:sz w:val="20"/>
              </w:rPr>
              <w:t>obnova po mimořádné situaci a havárii</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Zpracování transakcí, včetně právních záležitostí, zpracování v oblasti boje proti praní peněz.</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 xml:space="preserve">Poskytování nebo správa nemovitostí a zařízení a související zařízení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r>
              <w:tab/>
            </w:r>
            <w:r>
              <w:rPr>
                <w:rFonts w:ascii="Times New Roman" w:hAnsi="Times New Roman"/>
                <w:color w:val="000000" w:themeColor="text1"/>
                <w:spacing w:val="-2"/>
                <w:w w:val="95"/>
                <w:sz w:val="20"/>
              </w:rPr>
              <w:t xml:space="preserve">kanceláře a sklady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r>
              <w:tab/>
            </w:r>
            <w:r>
              <w:rPr>
                <w:rFonts w:ascii="Times New Roman" w:hAnsi="Times New Roman"/>
                <w:color w:val="000000" w:themeColor="text1"/>
                <w:spacing w:val="-2"/>
                <w:w w:val="95"/>
                <w:sz w:val="20"/>
              </w:rPr>
              <w:t>správa interních zařízení</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r>
              <w:tab/>
            </w:r>
            <w:r>
              <w:rPr>
                <w:rFonts w:ascii="Times New Roman" w:hAnsi="Times New Roman"/>
                <w:color w:val="000000" w:themeColor="text1"/>
                <w:spacing w:val="-2"/>
                <w:w w:val="95"/>
                <w:sz w:val="20"/>
              </w:rPr>
              <w:t xml:space="preserve">zabezpečení a kontrola přístupu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r>
              <w:tab/>
            </w:r>
            <w:r>
              <w:rPr>
                <w:rFonts w:ascii="Times New Roman" w:hAnsi="Times New Roman"/>
                <w:color w:val="000000" w:themeColor="text1"/>
                <w:spacing w:val="-2"/>
                <w:w w:val="95"/>
                <w:sz w:val="20"/>
              </w:rPr>
              <w:t>správa portfolia nemovitostí</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w:t>
            </w:r>
            <w:r>
              <w:tab/>
            </w:r>
            <w:r>
              <w:rPr>
                <w:rFonts w:ascii="Times New Roman" w:hAnsi="Times New Roman"/>
                <w:color w:val="000000" w:themeColor="text1"/>
                <w:spacing w:val="-2"/>
                <w:w w:val="95"/>
                <w:sz w:val="20"/>
              </w:rPr>
              <w:t xml:space="preserve">jiné, uveďte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Funkce v oblasti právních služeb a zajišťování shody s předpisy (</w:t>
            </w:r>
            <w:proofErr w:type="spellStart"/>
            <w:r>
              <w:rPr>
                <w:rFonts w:ascii="Times New Roman" w:hAnsi="Times New Roman"/>
                <w:color w:val="000000" w:themeColor="text1"/>
                <w:spacing w:val="-2"/>
                <w:w w:val="95"/>
                <w:sz w:val="20"/>
              </w:rPr>
              <w:t>compliance</w:t>
            </w:r>
            <w:proofErr w:type="spellEnd"/>
            <w:r>
              <w:rPr>
                <w:rFonts w:ascii="Times New Roman" w:hAnsi="Times New Roman"/>
                <w:color w:val="000000" w:themeColor="text1"/>
                <w:spacing w:val="-2"/>
                <w:w w:val="95"/>
                <w:sz w:val="20"/>
              </w:rPr>
              <w:t xml:space="preserv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5.1</w:t>
            </w:r>
            <w:r>
              <w:tab/>
            </w:r>
            <w:r>
              <w:rPr>
                <w:rFonts w:ascii="Times New Roman" w:hAnsi="Times New Roman"/>
                <w:color w:val="000000" w:themeColor="text1"/>
                <w:spacing w:val="-2"/>
                <w:w w:val="95"/>
                <w:sz w:val="20"/>
              </w:rPr>
              <w:t xml:space="preserve">podniková právní podpora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5.2</w:t>
            </w:r>
            <w:r>
              <w:tab/>
            </w:r>
            <w:r>
              <w:rPr>
                <w:rFonts w:ascii="Times New Roman" w:hAnsi="Times New Roman"/>
                <w:color w:val="000000" w:themeColor="text1"/>
                <w:spacing w:val="-2"/>
                <w:w w:val="95"/>
                <w:sz w:val="20"/>
              </w:rPr>
              <w:t>právní služby v oblasti obchodu a transakcí</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5.3</w:t>
            </w:r>
            <w:r>
              <w:tab/>
            </w:r>
            <w:r>
              <w:rPr>
                <w:rFonts w:ascii="Times New Roman" w:hAnsi="Times New Roman"/>
                <w:color w:val="000000" w:themeColor="text1"/>
                <w:spacing w:val="-2"/>
                <w:w w:val="95"/>
                <w:sz w:val="20"/>
              </w:rPr>
              <w:t>podpora v oblasti zajišťování shody s předpisy</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 xml:space="preserve">Služby spojené s pokladnou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w:t>
            </w:r>
            <w:r>
              <w:tab/>
            </w:r>
            <w:r>
              <w:rPr>
                <w:rFonts w:ascii="Times New Roman" w:hAnsi="Times New Roman"/>
                <w:color w:val="000000" w:themeColor="text1"/>
                <w:spacing w:val="-2"/>
                <w:w w:val="95"/>
                <w:sz w:val="20"/>
              </w:rPr>
              <w:t>koordinace, administrativa a správa pokladny</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6.2</w:t>
            </w:r>
            <w:r>
              <w:tab/>
            </w:r>
            <w:r>
              <w:rPr>
                <w:rFonts w:ascii="Times New Roman" w:hAnsi="Times New Roman"/>
                <w:color w:val="000000" w:themeColor="text1"/>
                <w:spacing w:val="-2"/>
                <w:w w:val="95"/>
                <w:sz w:val="20"/>
              </w:rPr>
              <w:t xml:space="preserve">koordinace, administrativa a správa refinancování subjektů, včetně řízení kolaterálu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6.3</w:t>
            </w:r>
            <w:r>
              <w:tab/>
            </w:r>
            <w:r>
              <w:rPr>
                <w:rFonts w:ascii="Times New Roman" w:hAnsi="Times New Roman"/>
                <w:color w:val="000000" w:themeColor="text1"/>
                <w:spacing w:val="-2"/>
                <w:w w:val="95"/>
                <w:sz w:val="20"/>
              </w:rPr>
              <w:t xml:space="preserve">výkaznictví, zejména v souvislosti s mírou likvidity podle právních předpisů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6.4</w:t>
            </w:r>
            <w:r>
              <w:tab/>
            </w:r>
            <w:r>
              <w:rPr>
                <w:rFonts w:ascii="Times New Roman" w:hAnsi="Times New Roman"/>
                <w:color w:val="000000" w:themeColor="text1"/>
                <w:spacing w:val="-2"/>
                <w:w w:val="95"/>
                <w:sz w:val="20"/>
              </w:rPr>
              <w:t xml:space="preserve">koordinace, administrativa a správa střednědobých a dlouhodobých programů financování a refinancování subjektů skupiny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6.5</w:t>
            </w:r>
            <w:r>
              <w:tab/>
            </w:r>
            <w:r>
              <w:rPr>
                <w:rFonts w:ascii="Times New Roman" w:hAnsi="Times New Roman"/>
                <w:color w:val="000000" w:themeColor="text1"/>
                <w:spacing w:val="-2"/>
                <w:w w:val="95"/>
                <w:sz w:val="20"/>
              </w:rPr>
              <w:t>koordinace, administrativa a správa refinancování, zejména krátkodobých emisí</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Obchodování/správa majetku</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7.1</w:t>
            </w:r>
            <w:r>
              <w:tab/>
            </w:r>
            <w:r>
              <w:rPr>
                <w:rFonts w:ascii="Times New Roman" w:hAnsi="Times New Roman"/>
                <w:color w:val="000000" w:themeColor="text1"/>
                <w:spacing w:val="-2"/>
                <w:w w:val="95"/>
                <w:sz w:val="20"/>
              </w:rPr>
              <w:t>zpracování operací: příjem, návrh a realizace obchodů, služby v oblasti obchodních produktů</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7.2</w:t>
            </w:r>
            <w:r>
              <w:tab/>
            </w:r>
            <w:r>
              <w:rPr>
                <w:rFonts w:ascii="Times New Roman" w:hAnsi="Times New Roman"/>
                <w:color w:val="000000" w:themeColor="text1"/>
                <w:spacing w:val="-2"/>
                <w:w w:val="95"/>
                <w:sz w:val="20"/>
              </w:rPr>
              <w:t>potvrzení, vypořádání, úhrada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7.3</w:t>
            </w:r>
            <w:r>
              <w:tab/>
            </w:r>
            <w:r>
              <w:rPr>
                <w:rFonts w:ascii="Times New Roman" w:hAnsi="Times New Roman"/>
                <w:color w:val="000000" w:themeColor="text1"/>
                <w:spacing w:val="-2"/>
                <w:w w:val="95"/>
                <w:sz w:val="20"/>
              </w:rPr>
              <w:t xml:space="preserve">správa pozic a protistran, v souvislosti s vykazováním údajů a vztahy s protistranami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7.4</w:t>
            </w:r>
            <w:r>
              <w:tab/>
            </w:r>
            <w:r>
              <w:rPr>
                <w:rFonts w:ascii="Times New Roman" w:hAnsi="Times New Roman"/>
                <w:color w:val="000000" w:themeColor="text1"/>
                <w:spacing w:val="-2"/>
                <w:w w:val="95"/>
                <w:sz w:val="20"/>
              </w:rPr>
              <w:t>řízení rizik (riziko a rekonciliace)</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 xml:space="preserve">Řízení rizik a ocenění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8.1</w:t>
            </w:r>
            <w:r>
              <w:tab/>
            </w:r>
            <w:r>
              <w:rPr>
                <w:rFonts w:ascii="Times New Roman" w:hAnsi="Times New Roman"/>
                <w:color w:val="000000" w:themeColor="text1"/>
                <w:spacing w:val="-2"/>
                <w:w w:val="95"/>
                <w:sz w:val="20"/>
              </w:rPr>
              <w:t>řízení rizik na centrální úrovni nebo podle oboru podnikání, případně podle druhu rizika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8.2</w:t>
            </w:r>
            <w:r>
              <w:tab/>
            </w:r>
            <w:r>
              <w:rPr>
                <w:rFonts w:ascii="Times New Roman" w:hAnsi="Times New Roman"/>
                <w:color w:val="000000" w:themeColor="text1"/>
                <w:spacing w:val="-2"/>
                <w:w w:val="95"/>
                <w:sz w:val="20"/>
              </w:rPr>
              <w:t>generování zpráv o rizicích</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 xml:space="preserve">Účetnictví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9.1</w:t>
            </w:r>
            <w:r>
              <w:tab/>
            </w:r>
            <w:r>
              <w:rPr>
                <w:rFonts w:ascii="Times New Roman" w:hAnsi="Times New Roman"/>
                <w:color w:val="000000" w:themeColor="text1"/>
                <w:spacing w:val="-2"/>
                <w:w w:val="95"/>
                <w:sz w:val="20"/>
              </w:rPr>
              <w:t>výkaznictví na základě vnitřních předpisů a obecně platných právních předpisů</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9.2</w:t>
            </w:r>
            <w:r>
              <w:tab/>
            </w:r>
            <w:r>
              <w:rPr>
                <w:rFonts w:ascii="Times New Roman" w:hAnsi="Times New Roman"/>
                <w:color w:val="000000" w:themeColor="text1"/>
                <w:spacing w:val="-2"/>
                <w:w w:val="95"/>
                <w:sz w:val="20"/>
              </w:rPr>
              <w:t>oceňování, zejména tržních pozic</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9.3</w:t>
            </w:r>
            <w:r>
              <w:tab/>
            </w:r>
            <w:r>
              <w:rPr>
                <w:rFonts w:ascii="Times New Roman" w:hAnsi="Times New Roman"/>
                <w:color w:val="000000" w:themeColor="text1"/>
                <w:spacing w:val="-2"/>
                <w:w w:val="95"/>
                <w:sz w:val="20"/>
              </w:rPr>
              <w:t>zprávy vedení</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Zpracování hotovosti</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Příjemce služeb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Subjekt skupiny, který přijímá klíčovou službu vykázanou ve sloupci 0010 od jiného subjektu skupiny nebo od externího poskytovatele vykázaného ve sloupcích 0040–0050.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Název subjektu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Musí být jiný než název uvedený ve sloupci 0040.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Kód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Jedinečný identifikátor právního subjektu ve sloupci 0020 uvedený ve vzoru Z 01.00 (ORG)</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Musí být jiný než identifikátor uvedený ve sloupci 0050.</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Poskytovatel služeb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Právní subjekt (interní nebo externí), který poskytuje klíčovou službu vykázanou ve sloupci 0010 jinému subjektu skupiny.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Název subjektu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Musí být jiný než název uvedený ve sloupci 0020.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Kód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Jedinečný identifikátor právního subjektu ve sloupci 0020. Kód musí být jiný než kód uvedený ve sloupci 0030.</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Pokud je poskytovatelem služby subjekt skupiny, je kód stejný jako kód uvedený ve vzoru Z 01.00 (ORG).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Pokud poskytovatelem služby není subjekt skupiny, je kódem tohoto subjektu:</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 institucí 20místný alfanumerický kód LEI,</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 jiných subjektů je kódem 20místný alfanumerický kód LEI nebo, není-li k dispozici, kód podle jednotné kodifikace platné v Unii nebo, není-li k dispozici, vnitrostátní kód.</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Tento kód je jedinečný a používá se jednotně ve všech vzorech.</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Část skupiny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„Ano“ – jestliže je služba poskytována subjektem skupiny („interní“)</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 – jestliže je služba poskytována subjektem mimo skupinu („externí“)</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Zásadní funkce</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Zásadní funkce, jejíž výkon by byl v případě narušení klíčové služby vážně narušen nebo zcela znemožněn. Je to jedna z funkcí hodnocených jako zásadní ve vzoru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Stát</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Členský stát, pro nějž je funkce zásadní, jak je vykázáno ve vzoru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Identifikace zásadních funkcí podle definice uvedené výše v kapitole 2.7.1.4 a podle vzoru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Odhad doby potřebné na nahrazení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Odhad doby potřebné na nahrazení poskytovatele jiným poskytovatelem ve srovnatelném rozsahu, pokud jde o předmět, kvalitu a cenu přijímané služby.</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Uveďte jednu z těchto hodnot:</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den – 1 týden“, pokud nahrazení trvá maximálně jeden týden;</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týden – 1 měsíc“, pokud nahrazení trvá déle než jeden týden, ale maximálně jeden měsíc;</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 6 měsíců“, pokud nahrazení trvá déle než jeden měsíc, ale maximálně šest měsíců;</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 – 12 měsíců“, pokud nahrazení trvá déle než šest měsíců, ale maximálně jeden rok;</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„více než 1 rok“, pokud nahrazení trvá déle než jeden rok.</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Odhad doby potřebné na přístup ke smlouvám</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Odhad doby potřebné na získání následujících informací o smlouvě upravující službu po žádosti orgánu příslušného k řešení krize:</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doba trvání smlouvy,</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smluvní strany (objednatel a dodavatel, kontaktní osoby) a jejich jurisdikce,</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charakter smlouvy (tj. stručný popis charakteru transakce mezi smluvními stranami včetně cen),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zda může být stejná služba nabízena jiným interním/externím poskytovatelem (a uveďte potenciální kandidáty),</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jurisdikce smlouvy,</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útvar odpovědný za řešení hlavních operací, jichž se smlouva týká,</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hlavní sankce uvedené ve smlouvě v případě pozastavení nebo opoždění plateb,</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důvod výpovědi a výpovědní lhůta,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provozní podpora po výpovědi,</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relevance pro jednotlivé zásadní funkce a obory podnikání.</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Uveďte jednu z těchto hodnot: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den,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den – 1 týden,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více než 1 týden,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službu neupravuje žádná smlouva.</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Rozhodné právo</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Kód ISO státu, podle jehož práva se smlouva řídí.</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Smlouva neovlivnitelná řešením krize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Vyjadřuje hodnocení, zda by smlouva mohla pokračovat a být převedena i v době řešení krize.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Toto hodnocení bere v úvahu mimo jiné:</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každé ustanovení, které opravňuje protistranu vypovědět smlouvu pouze z důvodu řešení krize, přijetí opatření včasné intervence nebo při scénářích druhotné platební neschopnosti, a to i přes další plnění podstatných povinností,</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každé ustanovení, které opravňuje protistranu změnit podmínky služby nebo ceny pouze z důvodu řešení krize, při opatřeních včasné intervence nebo při scénářích druhotné platební neschopnosti, a to i přes další plnění podstatných povinností,</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uznání práva orgánů příslušných k řešení krize pozastavit plnění uvedené ve smlouvě.</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Uveďte jednu z těchto hodnot:</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„Ano“ – jestliže je smlouva vyhodnocena jako neovlivnitelná řešením krize</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 – jestliže smlouva není vyhodnocena jako neovlivnitelná řešením krize</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„Neposuzováno“ – jestliže posouzení nebylo provedena</w:t>
            </w:r>
          </w:p>
        </w:tc>
      </w:tr>
    </w:tbl>
    <w:p w:rsidR="00276FFB" w:rsidRPr="00D92B3C"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39" w:name="_Toc492542329"/>
      <w:bookmarkStart w:id="40" w:name="_Toc509909047"/>
      <w:bookmarkStart w:id="41" w:name="_Toc525209615"/>
      <w:r>
        <w:rPr>
          <w:rFonts w:ascii="Times New Roman" w:hAnsi="Times New Roman"/>
          <w:color w:val="000000" w:themeColor="text1"/>
        </w:rPr>
        <w:t>Z 09.00 – Klíčové služby infrastruktury finančních trhů – Poskytovatelé a uživatelé – Zmapování podle zásadních funkcí</w:t>
      </w:r>
      <w:bookmarkEnd w:id="39"/>
      <w:bookmarkEnd w:id="40"/>
      <w:bookmarkEnd w:id="41"/>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Obecné poznámky</w:t>
      </w:r>
    </w:p>
    <w:p w:rsidR="008F717A" w:rsidRPr="00D92B3C" w:rsidRDefault="008F717A" w:rsidP="00A06593">
      <w:pPr>
        <w:pStyle w:val="numberedparagraph"/>
        <w:rPr>
          <w:rFonts w:cs="Times New Roman"/>
        </w:rPr>
      </w:pPr>
      <w:r>
        <w:t>Tento vzor určuje činnosti, funkce nebo služby v oblasti clearingu, úhrad, vypořádání cenných papírů a úschovy, jejichž přerušení může představovat vážnou překážku pro jednu nebo více zásadních funkcí nebo je zcela znemožnit.</w:t>
      </w:r>
    </w:p>
    <w:p w:rsidR="00120519" w:rsidRPr="00D92B3C" w:rsidRDefault="00FE54EF" w:rsidP="00A06593">
      <w:pPr>
        <w:pStyle w:val="numberedparagraph"/>
        <w:rPr>
          <w:rFonts w:cs="Times New Roman"/>
        </w:rPr>
      </w:pPr>
      <w:r>
        <w:t>Tento vzor se vyplňuje jednou za celou instituci nebo skupinu.</w:t>
      </w:r>
    </w:p>
    <w:p w:rsidR="000F273B" w:rsidRPr="00D92B3C" w:rsidRDefault="00AA6491" w:rsidP="00A06593">
      <w:pPr>
        <w:pStyle w:val="numberedparagraph"/>
        <w:rPr>
          <w:rFonts w:cs="Times New Roman"/>
        </w:rPr>
      </w:pPr>
      <w:r>
        <w:t>Uvádějí se pouze infrastruktury finančního trhu, jejichž narušení by představovalo závažnou překážku nebo znemožnění výkonu zásadní funkce.</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Pokyny týkající se konkrétních pozic</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Pokyny</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Uživatel</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Subjekt skupiny využívající služby úhrad, úschovy, vypořádání, clearingu nebo registru obchodních údajů, vykázaný v Z 01.00 – Organizační struktura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Název subjektu</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Název subjektu využívajícího služby úhrad, úschovy, vypořádání, clearingu nebo registru obchodních údajů, vykázaný v Z 01.00 – Organizační struktura (ORG).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Uvádí se pouze subjekty, které jsou ve vzoru Z 07.02 uvedeny jako subjekty poskytující zásadní funkce.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Kód subjektu využívajícího služby úhrad, úschovy, vypořádání, clearingu nebo registru obchodních údajů, vykázaný v Z 01.00 – Organizační struktura (ORG).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0030-0040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Zásadní funkce</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Zásadní funkce vykonávané subjektem, jejichž výkon by byl zkomplikován nebo znemožněn přerušením přístupu ke službě úhrad, úschovy, vypořádání, clearingu nebo registru obchodních údajů.</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Stát</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Stát, pro nějž je funkce zásadní, jak je vykázáno ve vzoru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Identifikace zásadních funkcí podle definice uvedené výše v kapitole 2.7.1.4 a podle vzoru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Infrastruktura finančních trhů (FMI)</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Odkaz: CPMI, </w:t>
            </w:r>
            <w:hyperlink r:id="rId10">
              <w:r>
                <w:rPr>
                  <w:rFonts w:ascii="Times New Roman" w:hAnsi="Times New Roman"/>
                  <w:color w:val="000000" w:themeColor="text1"/>
                  <w:spacing w:val="-2"/>
                  <w:w w:val="95"/>
                  <w:sz w:val="20"/>
                </w:rPr>
                <w:t>Zásady infrastruktur finančního trhu</w:t>
              </w:r>
            </w:hyperlink>
            <w:r>
              <w:rPr>
                <w:rFonts w:ascii="Times New Roman" w:hAnsi="Times New Roman"/>
                <w:color w:val="000000" w:themeColor="text1"/>
                <w:spacing w:val="-2"/>
                <w:w w:val="95"/>
                <w:sz w:val="20"/>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Multilaterální systém mezi zúčastněnými finančními institucemi, včetně provozovatele systému, používaný za účelem evidováni, clearingu nebo vypořádání plateb, transakcí s cennými papíry, deriváty nebo jiných finančních transakcí.</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Druh systému</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Uveďte jednu z těchto hodnot</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„PS“</w:t>
            </w:r>
            <w:r>
              <w:tab/>
            </w:r>
            <w:r>
              <w:rPr>
                <w:rFonts w:ascii="Times New Roman" w:hAnsi="Times New Roman"/>
                <w:color w:val="000000" w:themeColor="text1"/>
                <w:spacing w:val="-2"/>
                <w:w w:val="95"/>
                <w:sz w:val="20"/>
              </w:rPr>
              <w:t>platební systém</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t>„(I) CSD“ – (mezinárodní) centrální depozitář cenných papírů, včetně depozitářů, které poskytují služby vypořádání (interně nebo je zajišťují externě)</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„SSS“</w:t>
            </w:r>
            <w:r>
              <w:tab/>
            </w:r>
            <w:r>
              <w:rPr>
                <w:rFonts w:ascii="Times New Roman" w:hAnsi="Times New Roman"/>
                <w:color w:val="000000" w:themeColor="text1"/>
                <w:spacing w:val="-2"/>
                <w:w w:val="95"/>
                <w:sz w:val="20"/>
              </w:rPr>
              <w:t>systém vypořádání obchodů s cennými papíry bez úschovy</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„CCP – cenné papíry“ ústřední protistrana pro clearing cenných papírů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„CCP – deriváty“</w:t>
            </w:r>
            <w:r>
              <w:tab/>
            </w:r>
            <w:r>
              <w:rPr>
                <w:rFonts w:ascii="Times New Roman" w:hAnsi="Times New Roman"/>
                <w:color w:val="000000" w:themeColor="text1"/>
                <w:spacing w:val="-2"/>
                <w:w w:val="95"/>
                <w:sz w:val="20"/>
              </w:rPr>
              <w:t>deriváty“ ústřední protistrana pro clearing derivátů</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w:t>
            </w:r>
            <w:r>
              <w:tab/>
            </w:r>
            <w:r>
              <w:rPr>
                <w:rFonts w:ascii="Times New Roman" w:hAnsi="Times New Roman"/>
                <w:color w:val="000000" w:themeColor="text1"/>
                <w:spacing w:val="-2"/>
                <w:w w:val="95"/>
                <w:sz w:val="20"/>
              </w:rPr>
              <w:t>registr obchodních údajů</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„Jiný“</w:t>
            </w:r>
            <w:r>
              <w:tab/>
            </w:r>
            <w:r>
              <w:rPr>
                <w:rFonts w:ascii="Times New Roman" w:hAnsi="Times New Roman"/>
                <w:color w:val="000000" w:themeColor="text1"/>
                <w:spacing w:val="-2"/>
                <w:w w:val="95"/>
                <w:sz w:val="20"/>
              </w:rPr>
              <w:t>když druh systému infrastruktur finančních trhů neodpovídá žádnému z výše uvedených definovaných druhů</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když jsou klíčové služby v oblasti úhrad, clearingu, vypořádání nebo úschovy poskytovány subjektem, který není výše uvedenou infrastrukturou finančního trhu, například bankami spravujícími cenné papíry.</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Název</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Obchodní název infrastruktury finančního trhu</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Když je ve sloupci 0050 uvedena „–“, ponechá se tento sloupec prázdný.</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 FMI</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Kód FMI. Kódem je 20místný alfanumerický kód LEI, pokud je takový kód k dispozici. Pokud kód LEI není k dispozici, kód podle jednotné kodifikace platné v Unii nebo, není-li k dispozici, vnitrostátní kód.</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Když je ve sloupci 0050 uvedena „–“, ponechá se tento sloupec prázdný.</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Režim účasti</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Uveďte jednu z těchto hodnot:</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„Přímá“</w:t>
            </w:r>
            <w:r>
              <w:tab/>
            </w:r>
            <w:r>
              <w:rPr>
                <w:rFonts w:ascii="Times New Roman" w:hAnsi="Times New Roman"/>
                <w:color w:val="000000" w:themeColor="text1"/>
                <w:spacing w:val="-2"/>
                <w:w w:val="95"/>
                <w:sz w:val="20"/>
              </w:rPr>
              <w:t>v případě přímého členství nebo přímé účasti</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„Nepřímá“</w:t>
            </w:r>
            <w:r>
              <w:tab/>
            </w:r>
            <w:r>
              <w:rPr>
                <w:rFonts w:ascii="Times New Roman" w:hAnsi="Times New Roman"/>
                <w:color w:val="000000" w:themeColor="text1"/>
                <w:spacing w:val="-2"/>
                <w:w w:val="95"/>
                <w:sz w:val="20"/>
              </w:rPr>
              <w:t>v případě nepřímého členství nebo nepřímé účasti</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když je ve sloupci 0050 uvedena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Název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Obchodní název </w:t>
            </w:r>
            <w:proofErr w:type="spellStart"/>
            <w:proofErr w:type="gramStart"/>
            <w:r>
              <w:rPr>
                <w:rFonts w:ascii="Times New Roman" w:hAnsi="Times New Roman"/>
                <w:color w:val="000000" w:themeColor="text1"/>
                <w:spacing w:val="-2"/>
                <w:w w:val="95"/>
                <w:sz w:val="20"/>
              </w:rPr>
              <w:t>zprostředkovatele,když</w:t>
            </w:r>
            <w:proofErr w:type="spellEnd"/>
            <w:proofErr w:type="gramEnd"/>
            <w:r>
              <w:rPr>
                <w:rFonts w:ascii="Times New Roman" w:hAnsi="Times New Roman"/>
                <w:color w:val="000000" w:themeColor="text1"/>
                <w:spacing w:val="-2"/>
                <w:w w:val="95"/>
                <w:sz w:val="20"/>
              </w:rPr>
              <w:t xml:space="preserve"> je ve sloupci 0080 uvedena „nepřímá“ nebo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Když je ve sloupci 0080 uvedeno „přímá“, vykáže se „–“ (tzn. bezpředmětné).</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Zprostředkovatel může být součástí skupiny, do níž patří vykazující subjekt, nebo jiné úvěrové instituce, která s touto skupinou není spojena.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Zprostředkovatelem může být firma, která poskytuje služby clearingu, úhrad, vypořádání anebo úschovy cenných papírů jiným firmám (zejména když je ve sloupci 0050 uvedena „–“); může být přímým členem jedné nebo několika infrastruktur finančních trhů a poskytovat nepřímý přístup ke službám nabízeným těmito infrastrukturami finančních trhů (zejména když je ve sloupci 0080 uvedeno „nepřímá“).</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Kód zprostředkovatele. Kódem je 20místný alfanumerický kód LEI, pokud je takový kód k dispozici. Pokud kód LEI není k dispozici, kód podle jednotné kodifikace platné v Unii nebo, není-li k dispozici, vnitrostátní kód.</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t>Když je ve sloupci 0090 uvedeno „přímá“, vykáže se „–“ (tzn. bezpředmětné).</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Popis služby</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Popis služby, pokud je druh systému vykázaný ve sloupci 050 „jiný“ nebo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Rozhodné právo</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Dvoupísmenný kód ISO 3166–1 státu, podle jehož práva se řídí přístup k infrastrukturám finančních trhů.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V případě přímého členství nebo přímé účasti je třeba uvést rozhodné právo, kterým se řídí smlouva mezi infrastrukturou finančního trhu a uživatelem. V případě nepřímého členství nebo nepřímé účasti je třeba uvést rozhodné právo, kterým se řídí smlouva mezi zastupující institucí a uživatelem.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2" w:name="_Toc492542330"/>
      <w:bookmarkStart w:id="43" w:name="_Toc509909048"/>
      <w:bookmarkStart w:id="44" w:name="_Toc525209616"/>
      <w:r>
        <w:rPr>
          <w:rFonts w:ascii="Times New Roman" w:hAnsi="Times New Roman"/>
          <w:color w:val="000000" w:themeColor="text1"/>
        </w:rPr>
        <w:t>Klíčové informační systémy</w:t>
      </w:r>
      <w:bookmarkEnd w:id="42"/>
      <w:bookmarkEnd w:id="43"/>
      <w:bookmarkEnd w:id="44"/>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45" w:name="_Toc368311813"/>
      <w:bookmarkStart w:id="46" w:name="_Toc322687864"/>
      <w:bookmarkStart w:id="47" w:name="_Toc368311822"/>
      <w:r>
        <w:rPr>
          <w:rFonts w:ascii="Times New Roman" w:hAnsi="Times New Roman"/>
          <w:b w:val="0"/>
          <w:color w:val="000000" w:themeColor="text1"/>
          <w:sz w:val="20"/>
          <w:u w:val="single"/>
        </w:rPr>
        <w:t>Obecné poznámky</w:t>
      </w:r>
    </w:p>
    <w:p w:rsidR="004507BB" w:rsidRPr="00D92B3C" w:rsidRDefault="004507BB" w:rsidP="00A06593">
      <w:pPr>
        <w:pStyle w:val="numberedparagraph"/>
        <w:rPr>
          <w:rFonts w:cs="Times New Roman"/>
        </w:rPr>
      </w:pPr>
      <w:r>
        <w:t>Tato část sestává z následujících vzorů:</w:t>
      </w:r>
    </w:p>
    <w:p w:rsidR="004507BB" w:rsidRPr="00D92B3C" w:rsidRDefault="0018376A" w:rsidP="00A06593">
      <w:pPr>
        <w:pStyle w:val="numberedparagraph"/>
        <w:numPr>
          <w:ilvl w:val="0"/>
          <w:numId w:val="38"/>
        </w:numPr>
        <w:rPr>
          <w:rFonts w:cs="Times New Roman"/>
        </w:rPr>
      </w:pPr>
      <w:r>
        <w:lastRenderedPageBreak/>
        <w:t xml:space="preserve">Z 10.01 – Klíčové informační systémy (všeobecné </w:t>
      </w:r>
      <w:proofErr w:type="gramStart"/>
      <w:r>
        <w:t>informace) (Z-CIS</w:t>
      </w:r>
      <w:proofErr w:type="gramEnd"/>
      <w:r>
        <w:t xml:space="preserve"> 1), kde jsou uvedeny všechny klíčové informační systémy ve skupině;</w:t>
      </w:r>
    </w:p>
    <w:p w:rsidR="004507BB" w:rsidRPr="00D92B3C" w:rsidRDefault="0018376A" w:rsidP="00A06593">
      <w:pPr>
        <w:pStyle w:val="numberedparagraph"/>
        <w:numPr>
          <w:ilvl w:val="0"/>
          <w:numId w:val="38"/>
        </w:numPr>
        <w:rPr>
          <w:rFonts w:cs="Times New Roman"/>
        </w:rPr>
      </w:pPr>
      <w:r>
        <w:t>Z 10.02 – Zmapování informačních systémů (Z-CIS 2), kde jsou zmapovány klíčové informační systémy pro uživatelské subjekty ve skupině a zásadní funkce.</w:t>
      </w:r>
    </w:p>
    <w:p w:rsidR="00277550" w:rsidRPr="00D92B3C" w:rsidRDefault="00AD4B22" w:rsidP="00A06593">
      <w:pPr>
        <w:pStyle w:val="numberedparagraph"/>
        <w:rPr>
          <w:rFonts w:cs="Times New Roman"/>
        </w:rPr>
      </w:pPr>
      <w:r>
        <w:t>Klíčovým informačním systémem („CIS“) se rozumí IT aplikace nebo software, který podporuje klíčovou služ</w:t>
      </w:r>
      <w:bookmarkStart w:id="48" w:name="_GoBack"/>
      <w:bookmarkEnd w:id="48"/>
      <w:r>
        <w:t>bu a jehož narušení by představovalo závažnou překážku nebo znemožnění výkonu zásadní funkce.</w:t>
      </w:r>
      <w:bookmarkEnd w:id="45"/>
      <w:bookmarkEnd w:id="46"/>
    </w:p>
    <w:p w:rsidR="00ED08D2" w:rsidRPr="00D92B3C" w:rsidRDefault="00262051" w:rsidP="00A06593">
      <w:pPr>
        <w:pStyle w:val="numberedparagraph"/>
        <w:rPr>
          <w:rFonts w:cs="Times New Roman"/>
        </w:rPr>
      </w:pPr>
      <w:r>
        <w:t>Tyto vzory se vyplňují za celou skupinu.</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 xml:space="preserve">Z 10.01 – Klíčové informační systémy (všeobecné </w:t>
      </w:r>
      <w:proofErr w:type="gramStart"/>
      <w:r>
        <w:rPr>
          <w:rFonts w:ascii="Times New Roman" w:hAnsi="Times New Roman"/>
          <w:b w:val="0"/>
          <w:color w:val="000000" w:themeColor="text1"/>
          <w:sz w:val="20"/>
          <w:u w:val="single"/>
        </w:rPr>
        <w:t>informace) (CIS</w:t>
      </w:r>
      <w:proofErr w:type="gramEnd"/>
      <w:r>
        <w:rPr>
          <w:rFonts w:ascii="Times New Roman" w:hAnsi="Times New Roman"/>
          <w:b w:val="0"/>
          <w:color w:val="000000" w:themeColor="text1"/>
          <w:sz w:val="20"/>
          <w:u w:val="single"/>
        </w:rPr>
        <w:t xml:space="preserve"> 1): Pokyny týkající se konkrétních pozic</w:t>
      </w:r>
    </w:p>
    <w:p w:rsidR="000B75A6" w:rsidRPr="00D92B3C" w:rsidRDefault="000B75A6" w:rsidP="00A06593">
      <w:pPr>
        <w:pStyle w:val="numberedparagraph"/>
        <w:rPr>
          <w:rFonts w:cs="Times New Roman"/>
        </w:rPr>
      </w:pPr>
      <w:r>
        <w:t xml:space="preserve">Hodnota vykázaná ve sloupci 0010 tohoto vzoru tvoří hlavní klíč, který musí být jedinečný pro každý řádek vzoru. </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Pokyny</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Klíčový informační systém</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Identifikační kód systému</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Identifikační kód systému je akronym stanovený institucí, </w:t>
            </w:r>
            <w:proofErr w:type="gramStart"/>
            <w:r>
              <w:rPr>
                <w:rFonts w:ascii="Times New Roman" w:hAnsi="Times New Roman"/>
                <w:color w:val="000000" w:themeColor="text1"/>
                <w:spacing w:val="-2"/>
                <w:w w:val="95"/>
                <w:sz w:val="20"/>
              </w:rPr>
              <w:t>který</w:t>
            </w:r>
            <w:proofErr w:type="gramEnd"/>
            <w:r>
              <w:rPr>
                <w:rFonts w:ascii="Times New Roman" w:hAnsi="Times New Roman"/>
                <w:color w:val="000000" w:themeColor="text1"/>
                <w:spacing w:val="-2"/>
                <w:w w:val="95"/>
                <w:sz w:val="20"/>
              </w:rPr>
              <w:t xml:space="preserve"> jednoznačně identifikuje klíčový informační systém.</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 to identifikátor řádku a musí být jedinečný pro každý řádek vzoru.</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Název systému</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Obchodní nebo interní název systému.</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Druh systému</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Uveďte jednu z těchto hodnot:</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„Software na míru pro obchodní podporu“</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Aplikace, které byly vyvinuty podle podrobných obchodních specifikací. Mohly být vyvinuty interně nebo s využitím externích dodavatelů, ale vždy za účelem obchodní podpory,</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„Software zakoupený v hotovém stavu“</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Aplikace nebo licence na aplikace zakoupené na trhu, obvykle prodávané prodejcem, které nebyly upraveny z hlediska specifických potřeb podnikatelské činnosti organizace. Do této kategorie spadají aplikace, u nichž byla provedena normální konfigurace,</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„Software zakoupený s úpravami na míru“</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Aplikace zakoupené na trhu, u nichž však prodejce (nebo jeho zástupce) vytvořil zvláštní verzi v souvislosti s touto instalací. Tato konkrétní verze je charakterizována změnami v chování aplikace, novými funkcemi nebo zařazením nestandardních komponent typu </w:t>
            </w:r>
            <w:proofErr w:type="spellStart"/>
            <w:r>
              <w:rPr>
                <w:rFonts w:ascii="Times New Roman" w:hAnsi="Times New Roman"/>
                <w:color w:val="000000" w:themeColor="text1"/>
                <w:spacing w:val="-2"/>
                <w:w w:val="95"/>
                <w:sz w:val="20"/>
              </w:rPr>
              <w:t>plug</w:t>
            </w:r>
            <w:proofErr w:type="spellEnd"/>
            <w:r>
              <w:rPr>
                <w:rFonts w:ascii="Times New Roman" w:hAnsi="Times New Roman"/>
                <w:color w:val="000000" w:themeColor="text1"/>
                <w:spacing w:val="-2"/>
                <w:w w:val="95"/>
                <w:sz w:val="20"/>
              </w:rPr>
              <w:t>-in vyvinutých podle podnikatelské činnosti organizace,</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„Aplikace / externí portál“</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Externí portály nebo aplikace poskytované třetími stranami, obvykle partnery, za účelem hodnocení služeb, které poskytují. Obvykle nespadají do správy informačních systémů organizace a jsou instalovány, udržovány a řízeny samotným partnerem. Tyto aplikace jsou často ve formě portálů </w:t>
            </w:r>
            <w:r>
              <w:rPr>
                <w:rFonts w:ascii="Times New Roman" w:hAnsi="Times New Roman"/>
                <w:color w:val="000000" w:themeColor="text1"/>
                <w:spacing w:val="-2"/>
                <w:w w:val="95"/>
                <w:sz w:val="20"/>
              </w:rPr>
              <w:lastRenderedPageBreak/>
              <w:t xml:space="preserve">(přístupných přes internet nebo soukromé sítě), a přestože nespadají do služeb správy informačních systémů organizace, jsou důležité (nebo klíčové) pro některé obchodní funkce.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Popis</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Popis hlavního účelu informačního systému v obchodním prostředí.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 – 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Subjekt skupiny odpovědný za systém</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Název subjektu</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Název právního subjektu odpovědného za systém ve skupině.</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Je to subjekt odpovědný obecně za pořízení, vývoj, integraci, úpravy, provoz, údržbu a vyřazení informačního systému, který má klíčovou roli při vypracování specifikací návrhu systému, aby byla zjištěna bezpečnost a aby byly zadokumentovány, otestovány a implementovány provozní potřeby uživatelů.</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Kód právního subjektu odpovědného za systém ve skupině, vykázaný v Z 01.00 – Organizační struktura (ORG).</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47"/>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10-02 – Zmapování informačních systémů (CIS 2): Pokyny týkající se konkrétních pozic</w:t>
      </w:r>
    </w:p>
    <w:p w:rsidR="00720344" w:rsidRPr="00A06593" w:rsidRDefault="00720344" w:rsidP="00A06593">
      <w:pPr>
        <w:pStyle w:val="numberedparagraph"/>
        <w:rPr>
          <w:rFonts w:cs="Times New Roman"/>
        </w:rPr>
      </w:pPr>
      <w:r w:rsidRPr="00A06593">
        <w:t xml:space="preserve">Kombinace hodnot vykázaných ve sloupcích 0010, 0030, 0040 a 0050 tohoto vzoru tvoří hlavní klíč, který musí být jedinečný pro každý řádek vzoru. </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Pokyny</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Identifikační kód systému</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Identifikační kód informačního systému vykázaný ve sloupci 010 vzoru Z 10.01 (CIS 1).</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Subjekt skupiny užívající systém</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Subjekt, který užívá systém ve skupině („uživatel“). Uživatelů může být několik, v takovém případě se pro stejný informační systém vykáže několik řádků.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Název subjektu</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Název uživatelského subjektu vykázaný v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Kód</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Kód uživatelského subjektu vykázaný v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Klíčová služba</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Identifikátor klíčové služby vykázaný v Z 08.00 (sloupec 0005), kterou systém podporuje. Klíčová služba může být sama o sobě IT služba nebo jiný druh služby, kterou informační systém podporuje (například zpracování transakcí).</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Zásadní funkce</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Zásadní funkce, která by byla vážně narušena nebo zcela znemožněna přerušením služeb podporovaných informačním systémem. Zásadních funkcí může být několik, v takovém případě se pro stejný informační systém vykáže několik řádků.</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Stát</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Stát, pro nějž je funkce zásadní, jak je vykázáno ve vzoru Z 07.01 (FUNC 1).</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Identifikace zásadních funkcí podle definice uvedené výše v kapitole 2.7.1.4 a podle vzoru Z 07.01 (FUNC 1).</w:t>
            </w:r>
          </w:p>
        </w:tc>
      </w:tr>
    </w:tbl>
    <w:p w:rsidR="001E5EDF" w:rsidRPr="00D92B3C" w:rsidRDefault="001E5EDF" w:rsidP="00322967">
      <w:pPr>
        <w:pStyle w:val="body"/>
        <w:rPr>
          <w:rFonts w:ascii="Times New Roman" w:hAnsi="Times New Roman" w:cs="Times New Roman"/>
          <w:color w:val="000000" w:themeColor="text1"/>
          <w:sz w:val="20"/>
          <w:szCs w:val="20"/>
        </w:rPr>
      </w:pPr>
    </w:p>
    <w:sectPr w:rsidR="001E5EDF" w:rsidRPr="00D92B3C"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86" w:rsidRDefault="003C3186" w:rsidP="001E5EDF">
      <w:r>
        <w:separator/>
      </w:r>
    </w:p>
  </w:endnote>
  <w:endnote w:type="continuationSeparator" w:id="0">
    <w:p w:rsidR="003C3186" w:rsidRDefault="003C3186"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3C3186" w:rsidRDefault="003C3186" w:rsidP="000E60D6">
        <w:pPr>
          <w:pStyle w:val="Footer"/>
          <w:jc w:val="center"/>
        </w:pPr>
        <w:r>
          <w:rPr>
            <w:noProof/>
          </w:rPr>
          <w:fldChar w:fldCharType="begin"/>
        </w:r>
        <w:r>
          <w:rPr>
            <w:noProof/>
          </w:rPr>
          <w:instrText xml:space="preserve"> PAGE   \* MERGEFORMAT </w:instrText>
        </w:r>
        <w:r>
          <w:rPr>
            <w:noProof/>
          </w:rPr>
          <w:fldChar w:fldCharType="separate"/>
        </w:r>
        <w:r w:rsidR="00A06593">
          <w:rPr>
            <w:noProof/>
          </w:rPr>
          <w:t>33</w:t>
        </w:r>
        <w:r>
          <w:rPr>
            <w:noProof/>
          </w:rPr>
          <w:fldChar w:fldCharType="end"/>
        </w:r>
      </w:p>
    </w:sdtContent>
  </w:sdt>
  <w:p w:rsidR="003C3186" w:rsidRDefault="003C31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86" w:rsidRDefault="003C3186" w:rsidP="001E5EDF">
      <w:r>
        <w:separator/>
      </w:r>
    </w:p>
  </w:footnote>
  <w:footnote w:type="continuationSeparator" w:id="0">
    <w:p w:rsidR="003C3186" w:rsidRDefault="003C3186" w:rsidP="001E5EDF">
      <w:r>
        <w:continuationSeparator/>
      </w:r>
    </w:p>
  </w:footnote>
  <w:footnote w:id="1">
    <w:p w:rsidR="003C3186" w:rsidRPr="0029312C" w:rsidRDefault="003C3186" w:rsidP="008E5458">
      <w:pPr>
        <w:pStyle w:val="FootnoteText"/>
      </w:pPr>
      <w:r>
        <w:rPr>
          <w:rStyle w:val="FootnoteReference"/>
          <w:rFonts w:ascii="Times New Roman" w:hAnsi="Times New Roman"/>
        </w:rPr>
        <w:footnoteRef/>
      </w:r>
      <w:r>
        <w:t xml:space="preserve"> </w:t>
      </w:r>
      <w:r>
        <w:rPr>
          <w:sz w:val="20"/>
        </w:rPr>
        <w:t>Prováděcí nařízení Komise (EU) č. 680/2014</w:t>
      </w:r>
      <w:r>
        <w:t xml:space="preserve"> ze dne 16. dubna 2014, kterým se stanoví prováděcí technické normy, pokud jde o podávání zpráv institucí pro účely dohledu podle nařízení Evropského parlamentu a Rady (EU) č. 575/2013 (</w:t>
      </w:r>
      <w:proofErr w:type="spellStart"/>
      <w:r>
        <w:t>Úř</w:t>
      </w:r>
      <w:proofErr w:type="spellEnd"/>
      <w:r>
        <w:t xml:space="preserve">. </w:t>
      </w:r>
      <w:proofErr w:type="spellStart"/>
      <w:proofErr w:type="gramStart"/>
      <w:r>
        <w:t>věst</w:t>
      </w:r>
      <w:proofErr w:type="spellEnd"/>
      <w:proofErr w:type="gramEnd"/>
      <w:r>
        <w:t xml:space="preserve">. L 191, </w:t>
      </w:r>
      <w:proofErr w:type="gramStart"/>
      <w:r>
        <w:t>28.6.2014</w:t>
      </w:r>
      <w:proofErr w:type="gramEnd"/>
      <w:r>
        <w:t>, s. 1).</w:t>
      </w:r>
    </w:p>
  </w:footnote>
  <w:footnote w:id="2">
    <w:p w:rsidR="003C3186" w:rsidRPr="00E17940" w:rsidRDefault="003C3186" w:rsidP="008E5458">
      <w:pPr>
        <w:pStyle w:val="FootnoteText"/>
      </w:pPr>
      <w:r>
        <w:rPr>
          <w:rStyle w:val="FootnoteReference"/>
          <w:rFonts w:ascii="Times New Roman" w:hAnsi="Times New Roman"/>
        </w:rPr>
        <w:footnoteRef/>
      </w:r>
      <w:r>
        <w:t xml:space="preserve"> Nařízení Evropského parlamentu a Rady (ES) č. 1606/2002 ze dne 19. července 2002 o uplatňování mezinárodních účetních standardů (</w:t>
      </w:r>
      <w:proofErr w:type="spellStart"/>
      <w:r>
        <w:t>Úř</w:t>
      </w:r>
      <w:proofErr w:type="spellEnd"/>
      <w:r>
        <w:t xml:space="preserve">. </w:t>
      </w:r>
      <w:proofErr w:type="spellStart"/>
      <w:proofErr w:type="gramStart"/>
      <w:r>
        <w:t>věst</w:t>
      </w:r>
      <w:proofErr w:type="spellEnd"/>
      <w:proofErr w:type="gramEnd"/>
      <w:r>
        <w:t xml:space="preserve">. L 243, 11.9.2002, </w:t>
      </w:r>
      <w:proofErr w:type="gramStart"/>
      <w:r>
        <w:t>s.1).</w:t>
      </w:r>
      <w:proofErr w:type="gramEnd"/>
    </w:p>
  </w:footnote>
  <w:footnote w:id="3">
    <w:p w:rsidR="003C3186" w:rsidRPr="008E5458" w:rsidRDefault="003C3186" w:rsidP="00543060">
      <w:pPr>
        <w:pStyle w:val="FootnoteText"/>
      </w:pPr>
      <w:r>
        <w:rPr>
          <w:rStyle w:val="FootnoteReference"/>
          <w:rFonts w:ascii="Times New Roman" w:hAnsi="Times New Roman"/>
        </w:rPr>
        <w:footnoteRef/>
      </w:r>
      <w:r>
        <w:t xml:space="preserve"> Nařízení Evropského parlamentu a Rady (ES) č. 1606/2002 ze dne 19. července 2002 o uplatňování mezinárodních účetních standardů (</w:t>
      </w:r>
      <w:proofErr w:type="spellStart"/>
      <w:r>
        <w:t>Úř</w:t>
      </w:r>
      <w:proofErr w:type="spellEnd"/>
      <w:r>
        <w:t xml:space="preserve">. </w:t>
      </w:r>
      <w:proofErr w:type="spellStart"/>
      <w:proofErr w:type="gramStart"/>
      <w:r>
        <w:t>věst</w:t>
      </w:r>
      <w:proofErr w:type="spellEnd"/>
      <w:proofErr w:type="gramEnd"/>
      <w:r>
        <w:t xml:space="preserve">. L 243, 11.9.2002, </w:t>
      </w:r>
      <w:proofErr w:type="gramStart"/>
      <w:r>
        <w:t>s.1).</w:t>
      </w:r>
      <w:proofErr w:type="gramEnd"/>
    </w:p>
  </w:footnote>
  <w:footnote w:id="4">
    <w:p w:rsidR="003C3186" w:rsidRPr="0029312C" w:rsidRDefault="003C3186" w:rsidP="00543060">
      <w:pPr>
        <w:pStyle w:val="FootnoteText"/>
      </w:pPr>
      <w:r>
        <w:rPr>
          <w:rStyle w:val="FootnoteReference"/>
          <w:rFonts w:ascii="Times New Roman" w:hAnsi="Times New Roman"/>
        </w:rPr>
        <w:footnoteRef/>
      </w:r>
      <w:r>
        <w:t xml:space="preserve"> Směrnice Rady 86/635/EHS ze dne 8. prosince 1986 o ročních účetních závěrkách a konsolidovaných účetních závěrkách bank a ostatních finančních institucí (</w:t>
      </w:r>
      <w:proofErr w:type="spellStart"/>
      <w:r>
        <w:t>Úř</w:t>
      </w:r>
      <w:proofErr w:type="spellEnd"/>
      <w:r>
        <w:t xml:space="preserve">. </w:t>
      </w:r>
      <w:proofErr w:type="spellStart"/>
      <w:proofErr w:type="gramStart"/>
      <w:r>
        <w:t>věst</w:t>
      </w:r>
      <w:proofErr w:type="spellEnd"/>
      <w:proofErr w:type="gramEnd"/>
      <w:r>
        <w:t xml:space="preserve">. L 372, </w:t>
      </w:r>
      <w:proofErr w:type="gramStart"/>
      <w:r>
        <w:t>31.12.1986</w:t>
      </w:r>
      <w:proofErr w:type="gramEnd"/>
      <w:r>
        <w:t>, s. 1).</w:t>
      </w:r>
    </w:p>
  </w:footnote>
  <w:footnote w:id="5">
    <w:p w:rsidR="003C3186" w:rsidRPr="00E17940" w:rsidRDefault="003C3186" w:rsidP="00543060">
      <w:pPr>
        <w:pStyle w:val="FootnoteText"/>
      </w:pPr>
      <w:r>
        <w:rPr>
          <w:rStyle w:val="FootnoteReference"/>
          <w:rFonts w:ascii="Times New Roman" w:hAnsi="Times New Roman"/>
        </w:rPr>
        <w:footnoteRef/>
      </w:r>
      <w:r>
        <w:t xml:space="preserve"> Nařízení Evropského parlamentu a Rady (EU) č. 575/2013 ze dne 26. června 2013 o obezřetnostních požadavcích na úvěrové instituce a investiční podniky a o změně nařízení (EU) č. 648/2012 (</w:t>
      </w:r>
      <w:proofErr w:type="spellStart"/>
      <w:r>
        <w:t>Úř</w:t>
      </w:r>
      <w:proofErr w:type="spellEnd"/>
      <w:r>
        <w:t xml:space="preserve">. </w:t>
      </w:r>
      <w:proofErr w:type="spellStart"/>
      <w:proofErr w:type="gramStart"/>
      <w:r>
        <w:t>věst</w:t>
      </w:r>
      <w:proofErr w:type="spellEnd"/>
      <w:proofErr w:type="gramEnd"/>
      <w:r>
        <w:t xml:space="preserve">. L 176, </w:t>
      </w:r>
      <w:proofErr w:type="gramStart"/>
      <w:r>
        <w:t>27.6.2013</w:t>
      </w:r>
      <w:proofErr w:type="gramEnd"/>
      <w:r>
        <w:t>, s. 1).</w:t>
      </w:r>
    </w:p>
  </w:footnote>
  <w:footnote w:id="6">
    <w:p w:rsidR="003C3186" w:rsidRPr="00E17940" w:rsidRDefault="003C3186" w:rsidP="00543060">
      <w:pPr>
        <w:pStyle w:val="FootnoteText"/>
      </w:pPr>
      <w:r>
        <w:rPr>
          <w:rStyle w:val="FootnoteReference"/>
        </w:rPr>
        <w:footnoteRef/>
      </w:r>
      <w:r>
        <w:t xml:space="preserve"> Směrnice Evropského parlamentu a Rady 2013/36/EU ze dne 26. června 2013 o přístupu k činnosti úvěrových institucí a o obezřetnostním dohledu nad úvěrovými institucemi a investičními podniky, o změně směrnice 2002/87/ES a zrušení směrnic 2006/48/ES a 2006/49/ES (</w:t>
      </w:r>
      <w:proofErr w:type="spellStart"/>
      <w:r>
        <w:t>Úř</w:t>
      </w:r>
      <w:proofErr w:type="spellEnd"/>
      <w:r>
        <w:t xml:space="preserve">. </w:t>
      </w:r>
      <w:proofErr w:type="spellStart"/>
      <w:proofErr w:type="gramStart"/>
      <w:r>
        <w:t>věst</w:t>
      </w:r>
      <w:proofErr w:type="spellEnd"/>
      <w:proofErr w:type="gramEnd"/>
      <w:r>
        <w:t xml:space="preserve">. L 176, 27.6.2013, </w:t>
      </w:r>
      <w:proofErr w:type="gramStart"/>
      <w:r>
        <w:t>s.338</w:t>
      </w:r>
      <w:proofErr w:type="gramEnd"/>
      <w:r>
        <w:t>).</w:t>
      </w:r>
    </w:p>
  </w:footnote>
  <w:footnote w:id="7">
    <w:p w:rsidR="003C3186" w:rsidRPr="00CF3EBF" w:rsidRDefault="003C3186" w:rsidP="008B1EBD">
      <w:pPr>
        <w:pStyle w:val="FootnoteText"/>
      </w:pPr>
      <w:r>
        <w:rPr>
          <w:rStyle w:val="FootnoteReference"/>
          <w:rFonts w:ascii="Times New Roman" w:hAnsi="Times New Roman"/>
        </w:rPr>
        <w:footnoteRef/>
      </w:r>
      <w:r>
        <w:t xml:space="preserve"> Směrnice Evropského parlamentu a Rady 2009/138/ES ze dne 25. listopadu 2009 o přístupu k pojišťovací a zajišťovací činnosti a jejím výkonu (Solventnost II) (text s významem pro EHP) (</w:t>
      </w:r>
      <w:proofErr w:type="spellStart"/>
      <w:r>
        <w:t>Úř</w:t>
      </w:r>
      <w:proofErr w:type="spellEnd"/>
      <w:r>
        <w:t xml:space="preserve">. </w:t>
      </w:r>
      <w:proofErr w:type="spellStart"/>
      <w:proofErr w:type="gramStart"/>
      <w:r>
        <w:t>věst</w:t>
      </w:r>
      <w:proofErr w:type="spellEnd"/>
      <w:proofErr w:type="gramEnd"/>
      <w:r>
        <w:t xml:space="preserve">. L 335, 17.12.2009, </w:t>
      </w:r>
      <w:proofErr w:type="gramStart"/>
      <w:r>
        <w:t>s.1).</w:t>
      </w:r>
      <w:proofErr w:type="gramEnd"/>
    </w:p>
  </w:footnote>
  <w:footnote w:id="8">
    <w:p w:rsidR="003C3186" w:rsidRPr="00113543" w:rsidRDefault="003C3186" w:rsidP="008B1EBD">
      <w:pPr>
        <w:pStyle w:val="FootnoteText"/>
      </w:pPr>
      <w:r>
        <w:rPr>
          <w:rStyle w:val="FootnoteReference"/>
          <w:rFonts w:ascii="Times New Roman" w:hAnsi="Times New Roman"/>
        </w:rPr>
        <w:footnoteRef/>
      </w:r>
      <w:r>
        <w:t xml:space="preserve"> Doporučení Komise ze dne 6. května 2003 o definici </w:t>
      </w:r>
      <w:proofErr w:type="spellStart"/>
      <w:r>
        <w:t>mikropodniků</w:t>
      </w:r>
      <w:proofErr w:type="spellEnd"/>
      <w:r>
        <w:t>, malých a středních podniků (oznámeno pod číslem C(2003) 1422) (</w:t>
      </w:r>
      <w:proofErr w:type="spellStart"/>
      <w:r>
        <w:t>Úř</w:t>
      </w:r>
      <w:proofErr w:type="spellEnd"/>
      <w:r>
        <w:t xml:space="preserve">. </w:t>
      </w:r>
      <w:proofErr w:type="spellStart"/>
      <w:proofErr w:type="gramStart"/>
      <w:r>
        <w:t>věst</w:t>
      </w:r>
      <w:proofErr w:type="spellEnd"/>
      <w:proofErr w:type="gramEnd"/>
      <w:r>
        <w:t xml:space="preserve">. L 124, </w:t>
      </w:r>
      <w:proofErr w:type="gramStart"/>
      <w:r>
        <w:t>20.5.2003</w:t>
      </w:r>
      <w:proofErr w:type="gramEnd"/>
      <w:r>
        <w:t>, s. 36).</w:t>
      </w:r>
    </w:p>
  </w:footnote>
  <w:footnote w:id="9">
    <w:p w:rsidR="003C3186" w:rsidRPr="0029312C" w:rsidRDefault="003C3186" w:rsidP="008B1EBD">
      <w:pPr>
        <w:pStyle w:val="FootnoteText"/>
      </w:pPr>
      <w:r>
        <w:rPr>
          <w:rStyle w:val="FootnoteReference"/>
          <w:rFonts w:ascii="Times New Roman" w:hAnsi="Times New Roman"/>
        </w:rPr>
        <w:footnoteRef/>
      </w:r>
      <w:r>
        <w:t xml:space="preserve"> Nařízení Evropské centrální banky (EU) č. 1071/2013 o rozvaze sektoru měnových finančních institucí (</w:t>
      </w:r>
      <w:proofErr w:type="spellStart"/>
      <w:r>
        <w:t>Úř</w:t>
      </w:r>
      <w:proofErr w:type="spellEnd"/>
      <w:r>
        <w:t xml:space="preserve">. </w:t>
      </w:r>
      <w:proofErr w:type="spellStart"/>
      <w:proofErr w:type="gramStart"/>
      <w:r>
        <w:t>věst</w:t>
      </w:r>
      <w:proofErr w:type="spellEnd"/>
      <w:proofErr w:type="gramEnd"/>
      <w:r>
        <w:t xml:space="preserve">. L 297, </w:t>
      </w:r>
      <w:proofErr w:type="gramStart"/>
      <w:r>
        <w:t>7.11.2013</w:t>
      </w:r>
      <w:proofErr w:type="gramEnd"/>
      <w:r>
        <w:t>, s. 1).</w:t>
      </w:r>
    </w:p>
  </w:footnote>
  <w:footnote w:id="10">
    <w:p w:rsidR="003C3186" w:rsidRPr="00B77FC7" w:rsidRDefault="003C3186" w:rsidP="008E5458">
      <w:pPr>
        <w:pStyle w:val="FootnoteText"/>
      </w:pPr>
      <w:r>
        <w:rPr>
          <w:rStyle w:val="FootnoteReference"/>
        </w:rPr>
        <w:footnoteRef/>
      </w:r>
      <w:r>
        <w:t xml:space="preserve"> Směrnice Evropského parlamentu a Rady 2014/59/EU ze dne 15. května 2014, kterou se stanoví rámec pro ozdravné postupy a řešení krize úvěrových institucí a kterou se mění směrnice Rady 82/891/EHS, směrnice Evropského parlamentu a Rady 2001/24/ES, 2002/47/ES, 2004/25/ES, 2005/56/ES, 2007/36/ES, 2011/35/EU, 2012/30/EU a 2013/36/EU a nařízení Evropského parlamentu a Rady (EU) č. 1093/2010 a (EU) č. 648/2012 (</w:t>
      </w:r>
      <w:proofErr w:type="spellStart"/>
      <w:r>
        <w:t>Úř</w:t>
      </w:r>
      <w:proofErr w:type="spellEnd"/>
      <w:r>
        <w:t xml:space="preserve">. </w:t>
      </w:r>
      <w:proofErr w:type="spellStart"/>
      <w:proofErr w:type="gramStart"/>
      <w:r>
        <w:t>věst</w:t>
      </w:r>
      <w:proofErr w:type="spellEnd"/>
      <w:proofErr w:type="gramEnd"/>
      <w:r>
        <w:t xml:space="preserve">. L 173, </w:t>
      </w:r>
      <w:proofErr w:type="gramStart"/>
      <w:r>
        <w:t>12.6.2014</w:t>
      </w:r>
      <w:proofErr w:type="gramEnd"/>
      <w:r>
        <w:t>, s. 190).</w:t>
      </w:r>
    </w:p>
  </w:footnote>
  <w:footnote w:id="11">
    <w:p w:rsidR="003C3186" w:rsidRPr="001D3665" w:rsidRDefault="003C3186" w:rsidP="008E5458">
      <w:pPr>
        <w:pStyle w:val="FootnoteText"/>
      </w:pPr>
      <w:r>
        <w:rPr>
          <w:rStyle w:val="FootnoteReference"/>
        </w:rPr>
        <w:footnoteRef/>
      </w:r>
      <w:r>
        <w:t xml:space="preserve"> Směrnice Evropského parlamentu a Rady 2014/49/EU ze dne 16. dubna 2014 o systémech pojištění vkladů (</w:t>
      </w:r>
      <w:proofErr w:type="spellStart"/>
      <w:r>
        <w:t>Úř</w:t>
      </w:r>
      <w:proofErr w:type="spellEnd"/>
      <w:r>
        <w:t xml:space="preserve">. </w:t>
      </w:r>
      <w:proofErr w:type="spellStart"/>
      <w:proofErr w:type="gramStart"/>
      <w:r>
        <w:t>věst</w:t>
      </w:r>
      <w:proofErr w:type="spellEnd"/>
      <w:proofErr w:type="gramEnd"/>
      <w:r>
        <w:t xml:space="preserve">. L 173, </w:t>
      </w:r>
      <w:proofErr w:type="gramStart"/>
      <w:r>
        <w:t>12.6.2014</w:t>
      </w:r>
      <w:proofErr w:type="gramEnd"/>
      <w:r>
        <w:t>, s. 149).</w:t>
      </w:r>
    </w:p>
  </w:footnote>
  <w:footnote w:id="12">
    <w:p w:rsidR="003C3186" w:rsidRPr="00EB1AD3" w:rsidRDefault="003C3186" w:rsidP="00365E39">
      <w:pPr>
        <w:pStyle w:val="FootnoteText"/>
      </w:pPr>
      <w:r>
        <w:rPr>
          <w:rStyle w:val="FootnoteReference"/>
        </w:rPr>
        <w:footnoteRef/>
      </w:r>
      <w:r>
        <w:t xml:space="preserve"> Směrnice Evropského parlamentu a Rady 2009/65/ES ze dne 13. července 2009 o koordinaci právních a správních předpisů týkajících se subjektů kolektivního investování do převoditelných cenných papírů (SKIPCP) (</w:t>
      </w:r>
      <w:proofErr w:type="spellStart"/>
      <w:r>
        <w:t>Úř</w:t>
      </w:r>
      <w:proofErr w:type="spellEnd"/>
      <w:r>
        <w:t xml:space="preserve">. </w:t>
      </w:r>
      <w:proofErr w:type="spellStart"/>
      <w:proofErr w:type="gramStart"/>
      <w:r>
        <w:t>věst</w:t>
      </w:r>
      <w:proofErr w:type="spellEnd"/>
      <w:proofErr w:type="gramEnd"/>
      <w:r>
        <w:t xml:space="preserve">. L 302, </w:t>
      </w:r>
      <w:proofErr w:type="gramStart"/>
      <w:r>
        <w:t>17.11.2009</w:t>
      </w:r>
      <w:proofErr w:type="gramEnd"/>
      <w:r>
        <w:t>, s. 32).</w:t>
      </w:r>
    </w:p>
  </w:footnote>
  <w:footnote w:id="13">
    <w:p w:rsidR="003C3186" w:rsidRPr="00EB1AD3" w:rsidRDefault="003C3186" w:rsidP="00365E39">
      <w:pPr>
        <w:pStyle w:val="FootnoteText"/>
      </w:pPr>
      <w:r>
        <w:rPr>
          <w:rStyle w:val="FootnoteReference"/>
        </w:rPr>
        <w:footnoteRef/>
      </w:r>
      <w:r>
        <w:t xml:space="preserve"> Směrnice Evropského parlamentu a Rady 2011/61/EU ze dne 8. června 2011 o správcích alternativních investičních fondů a o změně směrnic 2003/41/ES a 2009/65/ES a nařízení (ES) č. 1060/2009 a (EU) č. 1095/2010 (</w:t>
      </w:r>
      <w:proofErr w:type="spellStart"/>
      <w:r>
        <w:t>Úř</w:t>
      </w:r>
      <w:proofErr w:type="spellEnd"/>
      <w:r>
        <w:t xml:space="preserve">. </w:t>
      </w:r>
      <w:proofErr w:type="spellStart"/>
      <w:proofErr w:type="gramStart"/>
      <w:r>
        <w:t>věst</w:t>
      </w:r>
      <w:proofErr w:type="spellEnd"/>
      <w:proofErr w:type="gramEnd"/>
      <w:r>
        <w:t xml:space="preserve">. L 174, </w:t>
      </w:r>
      <w:proofErr w:type="gramStart"/>
      <w:r>
        <w:t>1.7.2011</w:t>
      </w:r>
      <w:proofErr w:type="gramEnd"/>
      <w:r>
        <w:t>, s. 1).</w:t>
      </w:r>
    </w:p>
  </w:footnote>
  <w:footnote w:id="14">
    <w:p w:rsidR="003C3186" w:rsidRPr="004002B3" w:rsidRDefault="003C3186" w:rsidP="00365E39">
      <w:pPr>
        <w:pStyle w:val="FootnoteText"/>
      </w:pPr>
      <w:r>
        <w:rPr>
          <w:rStyle w:val="FootnoteReference"/>
        </w:rPr>
        <w:footnoteRef/>
      </w:r>
      <w:r>
        <w:t xml:space="preserve"> Směrnice Evropského parlamentu a Rady 98/26/ES ze dne 19. května 1998 o neodvolatelnosti zúčtování v platebních systémech a v systémech vypořádání obchodů s cennými papíry (</w:t>
      </w:r>
      <w:proofErr w:type="spellStart"/>
      <w:r>
        <w:t>Úř</w:t>
      </w:r>
      <w:proofErr w:type="spellEnd"/>
      <w:r>
        <w:t xml:space="preserve">. </w:t>
      </w:r>
      <w:proofErr w:type="spellStart"/>
      <w:proofErr w:type="gramStart"/>
      <w:r>
        <w:t>věst</w:t>
      </w:r>
      <w:proofErr w:type="spellEnd"/>
      <w:proofErr w:type="gramEnd"/>
      <w:r>
        <w:t xml:space="preserve">. L 166, </w:t>
      </w:r>
      <w:proofErr w:type="gramStart"/>
      <w:r>
        <w:t>11.6.1998</w:t>
      </w:r>
      <w:proofErr w:type="gramEnd"/>
      <w:r>
        <w:t>, s. 45).</w:t>
      </w:r>
    </w:p>
  </w:footnote>
  <w:footnote w:id="15">
    <w:p w:rsidR="003C3186" w:rsidRPr="0029312C" w:rsidRDefault="003C3186" w:rsidP="00767F1B">
      <w:pPr>
        <w:pStyle w:val="FootnoteText"/>
      </w:pPr>
      <w:r>
        <w:rPr>
          <w:rStyle w:val="FootnoteReference"/>
        </w:rPr>
        <w:footnoteRef/>
      </w:r>
      <w:r>
        <w:t xml:space="preserve"> Nařízení Komise v přenesené pravomoci (EU) 2016/1401 ze dne 23. května 2016, kterým se doplňuje směrnice Evropského parlamentu a Rady 2014/59/EU, kterou se stanoví rámec pro ozdravné postupy a řešení krize úvěrových institucí a investičních podniků, pokud jde o regulační technické normy pro metodiky a zásady týkající se ocenění závazků vzniklých z derivátů (</w:t>
      </w:r>
      <w:proofErr w:type="spellStart"/>
      <w:r>
        <w:t>Úř</w:t>
      </w:r>
      <w:proofErr w:type="spellEnd"/>
      <w:r>
        <w:t xml:space="preserve">. </w:t>
      </w:r>
      <w:proofErr w:type="spellStart"/>
      <w:proofErr w:type="gramStart"/>
      <w:r>
        <w:t>věst</w:t>
      </w:r>
      <w:proofErr w:type="spellEnd"/>
      <w:proofErr w:type="gramEnd"/>
      <w:r>
        <w:t xml:space="preserve">. L 228, </w:t>
      </w:r>
      <w:proofErr w:type="gramStart"/>
      <w:r>
        <w:t>23.8.2016</w:t>
      </w:r>
      <w:proofErr w:type="gramEnd"/>
      <w:r>
        <w:t>, s. 7).</w:t>
      </w:r>
    </w:p>
  </w:footnote>
  <w:footnote w:id="16">
    <w:p w:rsidR="003C3186" w:rsidRPr="0029312C" w:rsidRDefault="003C3186" w:rsidP="00767F1B">
      <w:pPr>
        <w:pStyle w:val="FootnoteText"/>
      </w:pPr>
      <w:r>
        <w:rPr>
          <w:rStyle w:val="FootnoteReference"/>
        </w:rPr>
        <w:footnoteRef/>
      </w:r>
      <w:r>
        <w:t xml:space="preserve"> Nařízení Komise v přenesené pravomoci (EU) 2016/778 ze dne 2. února 2016, kterým se doplňuje směrnice Evropského parlamentu a Rady 2014/59/EU, pokud jde o okolnosti a podmínky, za nichž lze úplně nebo částečně odložit úhradu mimořádných následných příspěvků, o kritéria pro určení činností, služeb a operací v souvislosti se zásadními funkcemi a o kritéria pro určení oborů podnikání a souvisejících služeb v souvislosti s hlavními liniemi podnikání (</w:t>
      </w:r>
      <w:proofErr w:type="spellStart"/>
      <w:r>
        <w:t>Úř</w:t>
      </w:r>
      <w:proofErr w:type="spellEnd"/>
      <w:r>
        <w:t xml:space="preserve">. </w:t>
      </w:r>
      <w:proofErr w:type="spellStart"/>
      <w:proofErr w:type="gramStart"/>
      <w:r>
        <w:t>věst</w:t>
      </w:r>
      <w:proofErr w:type="spellEnd"/>
      <w:proofErr w:type="gramEnd"/>
      <w:r>
        <w:t xml:space="preserve">. L 131, </w:t>
      </w:r>
      <w:proofErr w:type="gramStart"/>
      <w:r>
        <w:t>20.5.2016</w:t>
      </w:r>
      <w:proofErr w:type="gramEnd"/>
      <w:r>
        <w:t>, s. 41).</w:t>
      </w:r>
    </w:p>
  </w:footnote>
  <w:footnote w:id="17">
    <w:p w:rsidR="003C3186" w:rsidRPr="0029312C" w:rsidRDefault="003C3186" w:rsidP="00543060">
      <w:pPr>
        <w:pStyle w:val="FootnoteText"/>
      </w:pPr>
      <w:r>
        <w:rPr>
          <w:rStyle w:val="FootnoteReference"/>
        </w:rPr>
        <w:footnoteRef/>
      </w:r>
      <w:r>
        <w:t xml:space="preserve"> Směrnice Evropského parlamentu a Rady 2015/2366 ze dne 25. listopadu 2015 o platebních službách na vnitřním trhu, kterou se mění směrnice 2002/65/ES, 2009/110/ES a 2013/36/EU a nařízení (EU) č. 1093/2010 a zrušuje směrnice 2007/64/ES (</w:t>
      </w:r>
      <w:proofErr w:type="spellStart"/>
      <w:r>
        <w:t>Úř</w:t>
      </w:r>
      <w:proofErr w:type="spellEnd"/>
      <w:r>
        <w:t xml:space="preserve">. </w:t>
      </w:r>
      <w:proofErr w:type="spellStart"/>
      <w:proofErr w:type="gramStart"/>
      <w:r>
        <w:t>věst</w:t>
      </w:r>
      <w:proofErr w:type="spellEnd"/>
      <w:proofErr w:type="gramEnd"/>
      <w:r>
        <w:t xml:space="preserve">. L 337, </w:t>
      </w:r>
      <w:proofErr w:type="gramStart"/>
      <w:r>
        <w:t>23.12.2015</w:t>
      </w:r>
      <w:proofErr w:type="gramEnd"/>
      <w:r>
        <w:t>, s. 35).</w:t>
      </w:r>
    </w:p>
  </w:footnote>
  <w:footnote w:id="18">
    <w:p w:rsidR="003C3186" w:rsidRPr="0029312C" w:rsidRDefault="003C3186" w:rsidP="00543060">
      <w:pPr>
        <w:pStyle w:val="FootnoteText"/>
      </w:pPr>
      <w:r>
        <w:rPr>
          <w:rStyle w:val="FootnoteReference"/>
        </w:rPr>
        <w:footnoteRef/>
      </w:r>
      <w:r>
        <w:t xml:space="preserve"> Nařízení Evropského parlamentu a Rady (EU) č. 648/2012 ze dne 4. července 2012 o OTC derivátech, ústředních protistranách a registrech obchodních údajů (</w:t>
      </w:r>
      <w:proofErr w:type="spellStart"/>
      <w:r>
        <w:t>Úř</w:t>
      </w:r>
      <w:proofErr w:type="spellEnd"/>
      <w:r>
        <w:t xml:space="preserve">. </w:t>
      </w:r>
      <w:proofErr w:type="spellStart"/>
      <w:proofErr w:type="gramStart"/>
      <w:r>
        <w:t>věst</w:t>
      </w:r>
      <w:proofErr w:type="spellEnd"/>
      <w:proofErr w:type="gramEnd"/>
      <w:r>
        <w:t xml:space="preserve">. L 201, </w:t>
      </w:r>
      <w:proofErr w:type="gramStart"/>
      <w:r>
        <w:t>27.7.2012</w:t>
      </w:r>
      <w:proofErr w:type="gramEnd"/>
      <w:r>
        <w:t>, s. 1).</w:t>
      </w:r>
    </w:p>
  </w:footnote>
  <w:footnote w:id="19">
    <w:p w:rsidR="003C3186" w:rsidRPr="00CF2751" w:rsidRDefault="003C3186" w:rsidP="00543060">
      <w:pPr>
        <w:pStyle w:val="FootnoteText"/>
        <w:rPr>
          <w:lang w:val="en-GB"/>
        </w:rPr>
      </w:pPr>
      <w:r>
        <w:rPr>
          <w:rStyle w:val="FootnoteReference"/>
        </w:rPr>
        <w:footnoteRef/>
      </w:r>
      <w:r>
        <w:t xml:space="preserve"> Směrnice Evropského parlamentu a Rady 2014/65/EU ze dne 15. května 2014 o trzích finančních nástrojů a o změně směrnic 2002/92/ES a 2011/61/EU (</w:t>
      </w:r>
      <w:proofErr w:type="spellStart"/>
      <w:r>
        <w:t>Úř</w:t>
      </w:r>
      <w:proofErr w:type="spellEnd"/>
      <w:r>
        <w:t xml:space="preserve">. </w:t>
      </w:r>
      <w:proofErr w:type="spellStart"/>
      <w:proofErr w:type="gramStart"/>
      <w:r>
        <w:t>věst</w:t>
      </w:r>
      <w:proofErr w:type="spellEnd"/>
      <w:proofErr w:type="gramEnd"/>
      <w:r>
        <w:t xml:space="preserve">. L 173, </w:t>
      </w:r>
      <w:proofErr w:type="gramStart"/>
      <w:r>
        <w:t>12.6.2014</w:t>
      </w:r>
      <w:proofErr w:type="gramEnd"/>
      <w:r>
        <w:t>, s. 349).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186" w:rsidRPr="000E60D6" w:rsidRDefault="003C3186" w:rsidP="000E60D6">
    <w:pPr>
      <w:pStyle w:val="Header"/>
      <w:jc w:val="center"/>
      <w:rPr>
        <w:rFonts w:ascii="Times New Roman" w:hAnsi="Times New Roman" w:cs="Times New Roman"/>
      </w:rPr>
    </w:pPr>
    <w:r>
      <w:rPr>
        <w:rFonts w:ascii="Times New Roman" w:hAnsi="Times New Roman"/>
      </w:rPr>
      <w:t>CS</w:t>
    </w:r>
  </w:p>
  <w:p w:rsidR="003C3186" w:rsidRPr="000E60D6" w:rsidRDefault="003C3186" w:rsidP="000E60D6">
    <w:pPr>
      <w:pStyle w:val="Header"/>
      <w:jc w:val="center"/>
      <w:rPr>
        <w:rFonts w:ascii="Times New Roman" w:hAnsi="Times New Roman" w:cs="Times New Roman"/>
      </w:rPr>
    </w:pPr>
    <w:r>
      <w:rPr>
        <w:rFonts w:ascii="Times New Roman" w:hAnsi="Times New Roman"/>
      </w:rPr>
      <w:t>PŘÍLOHA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97D7651"/>
    <w:multiLevelType w:val="hybridMultilevel"/>
    <w:tmpl w:val="BC3CD5B4"/>
    <w:lvl w:ilvl="0" w:tplc="F1EC906A">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AF56781"/>
    <w:multiLevelType w:val="hybridMultilevel"/>
    <w:tmpl w:val="6776A336"/>
    <w:lvl w:ilvl="0" w:tplc="E8D83CE0">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22263154"/>
    <w:multiLevelType w:val="hybridMultilevel"/>
    <w:tmpl w:val="5FBC4564"/>
    <w:lvl w:ilvl="0" w:tplc="F1EC906A">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6084AF9"/>
    <w:multiLevelType w:val="hybridMultilevel"/>
    <w:tmpl w:val="05CA5F0C"/>
    <w:lvl w:ilvl="0" w:tplc="08090011">
      <w:start w:val="1"/>
      <w:numFmt w:val="decimal"/>
      <w:lvlText w:val="%1)"/>
      <w:lvlJc w:val="lef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nsid w:val="30031ACA"/>
    <w:multiLevelType w:val="hybridMultilevel"/>
    <w:tmpl w:val="C7D03312"/>
    <w:lvl w:ilvl="0" w:tplc="F1EC906A">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nsid w:val="34EC077E"/>
    <w:multiLevelType w:val="hybridMultilevel"/>
    <w:tmpl w:val="43C2C5B2"/>
    <w:lvl w:ilvl="0" w:tplc="08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nsid w:val="43C812CD"/>
    <w:multiLevelType w:val="hybridMultilevel"/>
    <w:tmpl w:val="05D62AB8"/>
    <w:lvl w:ilvl="0" w:tplc="5C3CDFB6">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46F32E4A"/>
    <w:multiLevelType w:val="hybridMultilevel"/>
    <w:tmpl w:val="FE021A2E"/>
    <w:lvl w:ilvl="0" w:tplc="DE6A3A58">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9">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3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nsid w:val="5B157FE2"/>
    <w:multiLevelType w:val="hybridMultilevel"/>
    <w:tmpl w:val="C1AC8256"/>
    <w:lvl w:ilvl="0" w:tplc="F1EC906A">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6">
    <w:nsid w:val="63AD3E1B"/>
    <w:multiLevelType w:val="hybridMultilevel"/>
    <w:tmpl w:val="911A04E8"/>
    <w:lvl w:ilvl="0" w:tplc="F1EC906A">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9">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0">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41">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42">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44">
    <w:nsid w:val="7D4628BB"/>
    <w:multiLevelType w:val="hybridMultilevel"/>
    <w:tmpl w:val="A704B5E8"/>
    <w:lvl w:ilvl="0" w:tplc="F1EC906A">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5">
    <w:nsid w:val="7FF77346"/>
    <w:multiLevelType w:val="hybridMultilevel"/>
    <w:tmpl w:val="35DA3B74"/>
    <w:lvl w:ilvl="0" w:tplc="F1EC906A">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num w:numId="1">
    <w:abstractNumId w:val="25"/>
  </w:num>
  <w:num w:numId="2">
    <w:abstractNumId w:val="2"/>
  </w:num>
  <w:num w:numId="3">
    <w:abstractNumId w:val="17"/>
  </w:num>
  <w:num w:numId="4">
    <w:abstractNumId w:val="22"/>
  </w:num>
  <w:num w:numId="5">
    <w:abstractNumId w:val="42"/>
  </w:num>
  <w:num w:numId="6">
    <w:abstractNumId w:val="1"/>
  </w:num>
  <w:num w:numId="7">
    <w:abstractNumId w:val="39"/>
  </w:num>
  <w:num w:numId="8">
    <w:abstractNumId w:val="0"/>
  </w:num>
  <w:num w:numId="9">
    <w:abstractNumId w:val="16"/>
  </w:num>
  <w:num w:numId="10">
    <w:abstractNumId w:val="7"/>
  </w:num>
  <w:num w:numId="11">
    <w:abstractNumId w:val="10"/>
  </w:num>
  <w:num w:numId="12">
    <w:abstractNumId w:val="41"/>
  </w:num>
  <w:num w:numId="13">
    <w:abstractNumId w:val="21"/>
  </w:num>
  <w:num w:numId="14">
    <w:abstractNumId w:val="40"/>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7"/>
  </w:num>
  <w:num w:numId="19">
    <w:abstractNumId w:val="15"/>
  </w:num>
  <w:num w:numId="20">
    <w:abstractNumId w:val="32"/>
  </w:num>
  <w:num w:numId="21">
    <w:abstractNumId w:val="4"/>
  </w:num>
  <w:num w:numId="22">
    <w:abstractNumId w:val="29"/>
  </w:num>
  <w:num w:numId="23">
    <w:abstractNumId w:val="35"/>
  </w:num>
  <w:num w:numId="24">
    <w:abstractNumId w:val="12"/>
  </w:num>
  <w:num w:numId="25">
    <w:abstractNumId w:val="43"/>
  </w:num>
  <w:num w:numId="26">
    <w:abstractNumId w:val="3"/>
  </w:num>
  <w:num w:numId="27">
    <w:abstractNumId w:val="28"/>
  </w:num>
  <w:num w:numId="28">
    <w:abstractNumId w:val="18"/>
  </w:num>
  <w:num w:numId="29">
    <w:abstractNumId w:val="27"/>
  </w:num>
  <w:num w:numId="30">
    <w:abstractNumId w:val="9"/>
  </w:num>
  <w:num w:numId="31">
    <w:abstractNumId w:val="26"/>
  </w:num>
  <w:num w:numId="32">
    <w:abstractNumId w:val="33"/>
  </w:num>
  <w:num w:numId="33">
    <w:abstractNumId w:val="38"/>
  </w:num>
  <w:num w:numId="34">
    <w:abstractNumId w:val="11"/>
  </w:num>
  <w:num w:numId="35">
    <w:abstractNumId w:val="23"/>
  </w:num>
  <w:num w:numId="36">
    <w:abstractNumId w:val="30"/>
  </w:num>
  <w:num w:numId="37">
    <w:abstractNumId w:val="6"/>
  </w:num>
  <w:num w:numId="38">
    <w:abstractNumId w:val="13"/>
  </w:num>
  <w:num w:numId="39">
    <w:abstractNumId w:val="31"/>
  </w:num>
  <w:num w:numId="40">
    <w:abstractNumId w:val="39"/>
  </w:num>
  <w:num w:numId="41">
    <w:abstractNumId w:val="39"/>
  </w:num>
  <w:num w:numId="42">
    <w:abstractNumId w:val="39"/>
  </w:num>
  <w:num w:numId="43">
    <w:abstractNumId w:val="39"/>
  </w:num>
  <w:num w:numId="44">
    <w:abstractNumId w:val="39"/>
  </w:num>
  <w:num w:numId="45">
    <w:abstractNumId w:val="39"/>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9"/>
  </w:num>
  <w:num w:numId="49">
    <w:abstractNumId w:val="39"/>
  </w:num>
  <w:num w:numId="50">
    <w:abstractNumId w:val="39"/>
  </w:num>
  <w:num w:numId="51">
    <w:abstractNumId w:val="9"/>
  </w:num>
  <w:num w:numId="52">
    <w:abstractNumId w:val="36"/>
  </w:num>
  <w:num w:numId="53">
    <w:abstractNumId w:val="34"/>
  </w:num>
  <w:num w:numId="54">
    <w:abstractNumId w:val="19"/>
  </w:num>
  <w:num w:numId="55">
    <w:abstractNumId w:val="45"/>
  </w:num>
  <w:num w:numId="56">
    <w:abstractNumId w:val="44"/>
  </w:num>
  <w:num w:numId="57">
    <w:abstractNumId w:val="14"/>
  </w:num>
  <w:num w:numId="58">
    <w:abstractNumId w:val="8"/>
  </w:num>
  <w:num w:numId="59">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0F6"/>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A62"/>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312C"/>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54C"/>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59D"/>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65EB"/>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06593"/>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cs-CZ"/>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cs-CZ"/>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cs-CZ"/>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cs-CZ"/>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cs-CZ"/>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cs-CZ"/>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cs-CZ"/>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cs-CZ"/>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cs-CZ"/>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cs-CZ"/>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cs-CZ"/>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cs-CZ"/>
    </w:rPr>
  </w:style>
  <w:style w:type="table" w:styleId="TableGrid">
    <w:name w:val="Table Grid"/>
    <w:basedOn w:val="TableProfessional"/>
    <w:uiPriority w:val="59"/>
    <w:rsid w:val="00E13CE3"/>
    <w:rPr>
      <w:sz w:val="20"/>
      <w:szCs w:val="20"/>
      <w:lang w:val="en-GB" w:eastAsia="en-GB"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cs-CZ"/>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cs-CZ"/>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cs-CZ"/>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A06593"/>
    <w:pPr>
      <w:numPr>
        <w:numId w:val="29"/>
      </w:numPr>
      <w:ind w:left="567" w:hanging="141"/>
    </w:pPr>
    <w:rPr>
      <w:rFonts w:asciiTheme="majorHAnsi" w:hAnsiTheme="majorHAnsi"/>
      <w:color w:val="000000" w:themeColor="text1"/>
      <w:sz w:val="20"/>
      <w:szCs w:val="20"/>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cs-CZ"/>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cs-CZ"/>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cs-CZ"/>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cs-CZ"/>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1140F6"/>
    <w:pPr>
      <w:numPr>
        <w:numId w:val="59"/>
      </w:numPr>
      <w:spacing w:before="108"/>
      <w:ind w:hanging="504"/>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1140F6"/>
    <w:rPr>
      <w:rFonts w:asciiTheme="majorHAnsi" w:eastAsia="Times New Roman" w:hAnsiTheme="majorHAnsi" w:cs="Arial"/>
    </w:rPr>
  </w:style>
  <w:style w:type="paragraph" w:customStyle="1" w:styleId="InstructionsText2">
    <w:name w:val="Instructions Text 2"/>
    <w:basedOn w:val="InstructionsText"/>
    <w:qFormat/>
    <w:rsid w:val="00E13CE3"/>
    <w:pPr>
      <w:spacing w:after="240"/>
      <w:ind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cs-CZ"/>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486A3-BE5D-436E-ACB0-E7C8075D2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42</Pages>
  <Words>13895</Words>
  <Characters>81709</Characters>
  <Application>Microsoft Office Word</Application>
  <DocSecurity>0</DocSecurity>
  <Lines>1900</Lines>
  <Paragraphs>1517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94087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BROZ Jindrich (DGT-EXT)</cp:lastModifiedBy>
  <cp:revision>9</cp:revision>
  <cp:lastPrinted>2017-10-06T17:28:00Z</cp:lastPrinted>
  <dcterms:created xsi:type="dcterms:W3CDTF">2018-09-18T08:30:00Z</dcterms:created>
  <dcterms:modified xsi:type="dcterms:W3CDTF">2018-09-20T12:33:00Z</dcterms:modified>
</cp:coreProperties>
</file>