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13C62" w14:textId="2A76EC74" w:rsidR="00E13CE3" w:rsidRPr="004B56A9" w:rsidRDefault="0088603C" w:rsidP="00E13CE3">
      <w:pPr>
        <w:pStyle w:val="ListParagraph"/>
        <w:jc w:val="center"/>
        <w:rPr>
          <w:rFonts w:ascii="Times New Roman" w:hAnsi="Times New Roman"/>
          <w:b/>
          <w:color w:val="000000" w:themeColor="text1"/>
          <w:sz w:val="20"/>
          <w:szCs w:val="20"/>
        </w:rPr>
      </w:pPr>
      <w:r w:rsidRPr="004B56A9">
        <w:rPr>
          <w:rFonts w:ascii="Times New Roman" w:hAnsi="Times New Roman"/>
          <w:b/>
          <w:color w:val="000000" w:themeColor="text1"/>
          <w:sz w:val="20"/>
        </w:rPr>
        <w:t>Allegato II: Istruzioni</w:t>
      </w:r>
    </w:p>
    <w:p w14:paraId="44764927" w14:textId="77777777" w:rsidR="001E5EDF" w:rsidRPr="004B56A9" w:rsidRDefault="001E5EDF" w:rsidP="001E5EDF">
      <w:pPr>
        <w:rPr>
          <w:rFonts w:ascii="Times New Roman" w:hAnsi="Times New Roman" w:cs="Times New Roman"/>
          <w:b/>
          <w:color w:val="000000" w:themeColor="text1"/>
          <w:sz w:val="20"/>
          <w:szCs w:val="20"/>
        </w:rPr>
      </w:pPr>
    </w:p>
    <w:p w14:paraId="08E136F0" w14:textId="77777777" w:rsidR="001E5EDF" w:rsidRPr="004B56A9" w:rsidRDefault="001E5EDF" w:rsidP="00385C06">
      <w:pPr>
        <w:rPr>
          <w:rFonts w:ascii="Times New Roman" w:hAnsi="Times New Roman" w:cs="Times New Roman"/>
          <w:b/>
          <w:color w:val="000000" w:themeColor="text1"/>
          <w:sz w:val="20"/>
          <w:szCs w:val="20"/>
        </w:rPr>
      </w:pPr>
    </w:p>
    <w:p w14:paraId="721D1561" w14:textId="77777777" w:rsidR="00FE7343" w:rsidRPr="004B56A9" w:rsidRDefault="00C673AC">
      <w:pPr>
        <w:pStyle w:val="TOC2"/>
        <w:rPr>
          <w:noProof w:val="0"/>
          <w:lang w:bidi="ar-SA"/>
        </w:rPr>
      </w:pPr>
      <w:r w:rsidRPr="004B56A9">
        <w:rPr>
          <w:rFonts w:ascii="Times New Roman" w:hAnsi="Times New Roman" w:cs="Times New Roman"/>
          <w:bCs/>
          <w:noProof w:val="0"/>
          <w:color w:val="000000" w:themeColor="text1"/>
          <w:sz w:val="20"/>
          <w:szCs w:val="20"/>
        </w:rPr>
        <w:fldChar w:fldCharType="begin"/>
      </w:r>
      <w:r w:rsidRPr="004B56A9">
        <w:rPr>
          <w:rFonts w:ascii="Times New Roman" w:hAnsi="Times New Roman" w:cs="Times New Roman"/>
          <w:bCs/>
          <w:noProof w:val="0"/>
          <w:color w:val="000000" w:themeColor="text1"/>
          <w:sz w:val="20"/>
          <w:szCs w:val="20"/>
        </w:rPr>
        <w:instrText xml:space="preserve"> TOC \o "1-3" \h \z \t "Numbered tile level 1,1,Numbered title level 2,2" </w:instrText>
      </w:r>
      <w:r w:rsidRPr="004B56A9">
        <w:rPr>
          <w:rFonts w:ascii="Times New Roman" w:hAnsi="Times New Roman" w:cs="Times New Roman"/>
          <w:bCs/>
          <w:noProof w:val="0"/>
          <w:color w:val="000000" w:themeColor="text1"/>
          <w:sz w:val="20"/>
          <w:szCs w:val="20"/>
        </w:rPr>
        <w:fldChar w:fldCharType="separate"/>
      </w:r>
      <w:hyperlink w:anchor="_Toc525130379" w:history="1">
        <w:r w:rsidR="00FE7343" w:rsidRPr="004B56A9">
          <w:rPr>
            <w:rStyle w:val="Hyperlink"/>
            <w:rFonts w:ascii="Times New Roman" w:hAnsi="Times New Roman" w:cs="Times New Roman"/>
            <w:noProof w:val="0"/>
          </w:rPr>
          <w:t>I.</w:t>
        </w:r>
        <w:r w:rsidR="00FE7343" w:rsidRPr="004B56A9">
          <w:rPr>
            <w:noProof w:val="0"/>
            <w:lang w:bidi="ar-SA"/>
          </w:rPr>
          <w:tab/>
        </w:r>
        <w:r w:rsidR="00FE7343" w:rsidRPr="004B56A9">
          <w:rPr>
            <w:rStyle w:val="Hyperlink"/>
            <w:rFonts w:ascii="Times New Roman" w:hAnsi="Times New Roman"/>
            <w:noProof w:val="0"/>
          </w:rPr>
          <w:t>Istruzioni di carattere generale</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_Toc525130379 \h </w:instrText>
        </w:r>
        <w:r w:rsidR="00FE7343" w:rsidRPr="004B56A9">
          <w:rPr>
            <w:noProof w:val="0"/>
            <w:webHidden/>
          </w:rPr>
        </w:r>
        <w:r w:rsidR="00FE7343" w:rsidRPr="004B56A9">
          <w:rPr>
            <w:noProof w:val="0"/>
            <w:webHidden/>
          </w:rPr>
          <w:fldChar w:fldCharType="separate"/>
        </w:r>
        <w:r w:rsidR="00660DBC" w:rsidRPr="004B56A9">
          <w:rPr>
            <w:noProof w:val="0"/>
            <w:webHidden/>
          </w:rPr>
          <w:t>2</w:t>
        </w:r>
        <w:r w:rsidR="00FE7343" w:rsidRPr="004B56A9">
          <w:rPr>
            <w:noProof w:val="0"/>
            <w:webHidden/>
          </w:rPr>
          <w:fldChar w:fldCharType="end"/>
        </w:r>
      </w:hyperlink>
    </w:p>
    <w:p w14:paraId="60CA14B6" w14:textId="77777777" w:rsidR="00FE7343" w:rsidRPr="004B56A9" w:rsidRDefault="00AE4501">
      <w:pPr>
        <w:pStyle w:val="TOC2"/>
        <w:rPr>
          <w:noProof w:val="0"/>
          <w:lang w:bidi="ar-SA"/>
        </w:rPr>
      </w:pPr>
      <w:hyperlink w:anchor="_Toc525130380" w:history="1">
        <w:r w:rsidR="00FE7343" w:rsidRPr="004B56A9">
          <w:rPr>
            <w:rStyle w:val="Hyperlink"/>
            <w:rFonts w:ascii="Times New Roman" w:hAnsi="Times New Roman" w:cs="Times New Roman"/>
            <w:noProof w:val="0"/>
          </w:rPr>
          <w:t>I.1</w:t>
        </w:r>
        <w:r w:rsidR="00FE7343" w:rsidRPr="004B56A9">
          <w:rPr>
            <w:noProof w:val="0"/>
            <w:lang w:bidi="ar-SA"/>
          </w:rPr>
          <w:tab/>
        </w:r>
        <w:r w:rsidR="00FE7343" w:rsidRPr="004B56A9">
          <w:rPr>
            <w:rStyle w:val="Hyperlink"/>
            <w:rFonts w:ascii="Times New Roman" w:hAnsi="Times New Roman"/>
            <w:noProof w:val="0"/>
          </w:rPr>
          <w:t>Struttura</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_Toc525130380 \h </w:instrText>
        </w:r>
        <w:r w:rsidR="00FE7343" w:rsidRPr="004B56A9">
          <w:rPr>
            <w:noProof w:val="0"/>
            <w:webHidden/>
          </w:rPr>
        </w:r>
        <w:r w:rsidR="00FE7343" w:rsidRPr="004B56A9">
          <w:rPr>
            <w:noProof w:val="0"/>
            <w:webHidden/>
          </w:rPr>
          <w:fldChar w:fldCharType="separate"/>
        </w:r>
        <w:r w:rsidR="00660DBC" w:rsidRPr="004B56A9">
          <w:rPr>
            <w:noProof w:val="0"/>
            <w:webHidden/>
          </w:rPr>
          <w:t>2</w:t>
        </w:r>
        <w:r w:rsidR="00FE7343" w:rsidRPr="004B56A9">
          <w:rPr>
            <w:noProof w:val="0"/>
            <w:webHidden/>
          </w:rPr>
          <w:fldChar w:fldCharType="end"/>
        </w:r>
      </w:hyperlink>
    </w:p>
    <w:p w14:paraId="4389684D" w14:textId="77777777" w:rsidR="00FE7343" w:rsidRPr="004B56A9" w:rsidRDefault="00AE4501">
      <w:pPr>
        <w:pStyle w:val="TOC2"/>
        <w:rPr>
          <w:noProof w:val="0"/>
          <w:lang w:bidi="ar-SA"/>
        </w:rPr>
      </w:pPr>
      <w:hyperlink w:anchor="_Toc525130381" w:history="1">
        <w:r w:rsidR="00FE7343" w:rsidRPr="004B56A9">
          <w:rPr>
            <w:rStyle w:val="Hyperlink"/>
            <w:rFonts w:ascii="Times New Roman" w:hAnsi="Times New Roman" w:cs="Times New Roman"/>
            <w:noProof w:val="0"/>
          </w:rPr>
          <w:t>I.2</w:t>
        </w:r>
        <w:r w:rsidR="00FE7343" w:rsidRPr="004B56A9">
          <w:rPr>
            <w:noProof w:val="0"/>
            <w:lang w:bidi="ar-SA"/>
          </w:rPr>
          <w:tab/>
        </w:r>
        <w:r w:rsidR="00FE7343" w:rsidRPr="004B56A9">
          <w:rPr>
            <w:rStyle w:val="Hyperlink"/>
            <w:rFonts w:ascii="Times New Roman" w:hAnsi="Times New Roman"/>
            <w:noProof w:val="0"/>
          </w:rPr>
          <w:t>Riferimenti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_Toc525130381 \h </w:instrText>
        </w:r>
        <w:r w:rsidR="00FE7343" w:rsidRPr="004B56A9">
          <w:rPr>
            <w:noProof w:val="0"/>
            <w:webHidden/>
          </w:rPr>
        </w:r>
        <w:r w:rsidR="00FE7343" w:rsidRPr="004B56A9">
          <w:rPr>
            <w:noProof w:val="0"/>
            <w:webHidden/>
          </w:rPr>
          <w:fldChar w:fldCharType="separate"/>
        </w:r>
        <w:r w:rsidR="00660DBC" w:rsidRPr="004B56A9">
          <w:rPr>
            <w:noProof w:val="0"/>
            <w:webHidden/>
          </w:rPr>
          <w:t>2</w:t>
        </w:r>
        <w:r w:rsidR="00FE7343" w:rsidRPr="004B56A9">
          <w:rPr>
            <w:noProof w:val="0"/>
            <w:webHidden/>
          </w:rPr>
          <w:fldChar w:fldCharType="end"/>
        </w:r>
      </w:hyperlink>
    </w:p>
    <w:p w14:paraId="0973382E" w14:textId="77777777" w:rsidR="00FE7343" w:rsidRPr="004B56A9" w:rsidRDefault="00AE4501">
      <w:pPr>
        <w:pStyle w:val="TOC2"/>
        <w:rPr>
          <w:noProof w:val="0"/>
          <w:lang w:bidi="ar-SA"/>
        </w:rPr>
      </w:pPr>
      <w:hyperlink w:anchor="_Toc525130382" w:history="1">
        <w:r w:rsidR="00FE7343" w:rsidRPr="004B56A9">
          <w:rPr>
            <w:rStyle w:val="Hyperlink"/>
            <w:rFonts w:ascii="Times New Roman" w:hAnsi="Times New Roman" w:cs="Times New Roman"/>
            <w:noProof w:val="0"/>
          </w:rPr>
          <w:t>I.3</w:t>
        </w:r>
        <w:r w:rsidR="00FE7343" w:rsidRPr="004B56A9">
          <w:rPr>
            <w:noProof w:val="0"/>
            <w:lang w:bidi="ar-SA"/>
          </w:rPr>
          <w:tab/>
        </w:r>
        <w:r w:rsidR="00FE7343" w:rsidRPr="004B56A9">
          <w:rPr>
            <w:rStyle w:val="Hyperlink"/>
            <w:rFonts w:ascii="Times New Roman" w:hAnsi="Times New Roman"/>
            <w:noProof w:val="0"/>
          </w:rPr>
          <w:t>Principi contabili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_Toc525130382 \h </w:instrText>
        </w:r>
        <w:r w:rsidR="00FE7343" w:rsidRPr="004B56A9">
          <w:rPr>
            <w:noProof w:val="0"/>
            <w:webHidden/>
          </w:rPr>
        </w:r>
        <w:r w:rsidR="00FE7343" w:rsidRPr="004B56A9">
          <w:rPr>
            <w:noProof w:val="0"/>
            <w:webHidden/>
          </w:rPr>
          <w:fldChar w:fldCharType="separate"/>
        </w:r>
        <w:r w:rsidR="00660DBC" w:rsidRPr="004B56A9">
          <w:rPr>
            <w:noProof w:val="0"/>
            <w:webHidden/>
          </w:rPr>
          <w:t>3</w:t>
        </w:r>
        <w:r w:rsidR="00FE7343" w:rsidRPr="004B56A9">
          <w:rPr>
            <w:noProof w:val="0"/>
            <w:webHidden/>
          </w:rPr>
          <w:fldChar w:fldCharType="end"/>
        </w:r>
      </w:hyperlink>
    </w:p>
    <w:p w14:paraId="243EE6E6" w14:textId="77777777" w:rsidR="00FE7343" w:rsidRPr="004B56A9" w:rsidRDefault="00AE4501">
      <w:pPr>
        <w:pStyle w:val="TOC2"/>
        <w:rPr>
          <w:noProof w:val="0"/>
          <w:lang w:bidi="ar-SA"/>
        </w:rPr>
      </w:pPr>
      <w:hyperlink w:anchor="_Toc525130383" w:history="1">
        <w:r w:rsidR="00FE7343" w:rsidRPr="004B56A9">
          <w:rPr>
            <w:rStyle w:val="Hyperlink"/>
            <w:rFonts w:ascii="Times New Roman" w:hAnsi="Times New Roman" w:cs="Times New Roman"/>
            <w:noProof w:val="0"/>
          </w:rPr>
          <w:t>I.4</w:t>
        </w:r>
        <w:r w:rsidR="00FE7343" w:rsidRPr="004B56A9">
          <w:rPr>
            <w:noProof w:val="0"/>
            <w:lang w:bidi="ar-SA"/>
          </w:rPr>
          <w:tab/>
        </w:r>
        <w:r w:rsidR="00FE7343" w:rsidRPr="004B56A9">
          <w:rPr>
            <w:rStyle w:val="Hyperlink"/>
            <w:rFonts w:ascii="Times New Roman" w:hAnsi="Times New Roman"/>
            <w:noProof w:val="0"/>
          </w:rPr>
          <w:t>Ambito del consolidamento</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_Toc525130383 \h </w:instrText>
        </w:r>
        <w:r w:rsidR="00FE7343" w:rsidRPr="004B56A9">
          <w:rPr>
            <w:noProof w:val="0"/>
            <w:webHidden/>
          </w:rPr>
        </w:r>
        <w:r w:rsidR="00FE7343" w:rsidRPr="004B56A9">
          <w:rPr>
            <w:noProof w:val="0"/>
            <w:webHidden/>
          </w:rPr>
          <w:fldChar w:fldCharType="separate"/>
        </w:r>
        <w:r w:rsidR="00660DBC" w:rsidRPr="004B56A9">
          <w:rPr>
            <w:noProof w:val="0"/>
            <w:webHidden/>
          </w:rPr>
          <w:t>3</w:t>
        </w:r>
        <w:r w:rsidR="00FE7343" w:rsidRPr="004B56A9">
          <w:rPr>
            <w:noProof w:val="0"/>
            <w:webHidden/>
          </w:rPr>
          <w:fldChar w:fldCharType="end"/>
        </w:r>
      </w:hyperlink>
    </w:p>
    <w:p w14:paraId="1C2CC326" w14:textId="77777777" w:rsidR="00FE7343" w:rsidRPr="004B56A9" w:rsidRDefault="00AE4501">
      <w:pPr>
        <w:pStyle w:val="TOC2"/>
        <w:rPr>
          <w:noProof w:val="0"/>
          <w:lang w:bidi="ar-SA"/>
        </w:rPr>
      </w:pPr>
      <w:hyperlink w:anchor="_Toc525130384" w:history="1">
        <w:r w:rsidR="00FE7343" w:rsidRPr="004B56A9">
          <w:rPr>
            <w:rStyle w:val="Hyperlink"/>
            <w:rFonts w:ascii="Times New Roman" w:hAnsi="Times New Roman" w:cs="Times New Roman"/>
            <w:noProof w:val="0"/>
          </w:rPr>
          <w:t>I.5</w:t>
        </w:r>
        <w:r w:rsidR="00FE7343" w:rsidRPr="004B56A9">
          <w:rPr>
            <w:noProof w:val="0"/>
            <w:lang w:bidi="ar-SA"/>
          </w:rPr>
          <w:tab/>
        </w:r>
        <w:r w:rsidR="00FE7343" w:rsidRPr="004B56A9">
          <w:rPr>
            <w:rStyle w:val="Hyperlink"/>
            <w:rFonts w:ascii="Times New Roman" w:hAnsi="Times New Roman"/>
            <w:noProof w:val="0"/>
          </w:rPr>
          <w:t>Numerazione e altre convenzioni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_Toc525130384 \h </w:instrText>
        </w:r>
        <w:r w:rsidR="00FE7343" w:rsidRPr="004B56A9">
          <w:rPr>
            <w:noProof w:val="0"/>
            <w:webHidden/>
          </w:rPr>
        </w:r>
        <w:r w:rsidR="00FE7343" w:rsidRPr="004B56A9">
          <w:rPr>
            <w:noProof w:val="0"/>
            <w:webHidden/>
          </w:rPr>
          <w:fldChar w:fldCharType="separate"/>
        </w:r>
        <w:r w:rsidR="00660DBC" w:rsidRPr="004B56A9">
          <w:rPr>
            <w:noProof w:val="0"/>
            <w:webHidden/>
          </w:rPr>
          <w:t>4</w:t>
        </w:r>
        <w:r w:rsidR="00FE7343" w:rsidRPr="004B56A9">
          <w:rPr>
            <w:noProof w:val="0"/>
            <w:webHidden/>
          </w:rPr>
          <w:fldChar w:fldCharType="end"/>
        </w:r>
      </w:hyperlink>
    </w:p>
    <w:p w14:paraId="7C47481E" w14:textId="77777777" w:rsidR="00FE7343" w:rsidRPr="004B56A9" w:rsidRDefault="00AE4501">
      <w:pPr>
        <w:pStyle w:val="TOC2"/>
        <w:rPr>
          <w:noProof w:val="0"/>
          <w:lang w:bidi="ar-SA"/>
        </w:rPr>
      </w:pPr>
      <w:hyperlink w:anchor="_Toc525130385" w:history="1">
        <w:r w:rsidR="00FE7343" w:rsidRPr="004B56A9">
          <w:rPr>
            <w:rStyle w:val="Hyperlink"/>
            <w:rFonts w:ascii="Times New Roman" w:hAnsi="Times New Roman" w:cs="Times New Roman"/>
            <w:noProof w:val="0"/>
          </w:rPr>
          <w:t>II.</w:t>
        </w:r>
        <w:r w:rsidR="00FE7343" w:rsidRPr="004B56A9">
          <w:rPr>
            <w:noProof w:val="0"/>
            <w:lang w:bidi="ar-SA"/>
          </w:rPr>
          <w:tab/>
        </w:r>
        <w:r w:rsidR="00FE7343" w:rsidRPr="004B56A9">
          <w:rPr>
            <w:rStyle w:val="Hyperlink"/>
            <w:rFonts w:ascii="Times New Roman" w:hAnsi="Times New Roman"/>
            <w:noProof w:val="0"/>
          </w:rPr>
          <w:t>Istruzioni relative ai modelli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_Toc525130385 \h </w:instrText>
        </w:r>
        <w:r w:rsidR="00FE7343" w:rsidRPr="004B56A9">
          <w:rPr>
            <w:noProof w:val="0"/>
            <w:webHidden/>
          </w:rPr>
        </w:r>
        <w:r w:rsidR="00FE7343" w:rsidRPr="004B56A9">
          <w:rPr>
            <w:noProof w:val="0"/>
            <w:webHidden/>
          </w:rPr>
          <w:fldChar w:fldCharType="separate"/>
        </w:r>
        <w:r w:rsidR="00660DBC" w:rsidRPr="004B56A9">
          <w:rPr>
            <w:noProof w:val="0"/>
            <w:webHidden/>
          </w:rPr>
          <w:t>4</w:t>
        </w:r>
        <w:r w:rsidR="00FE7343" w:rsidRPr="004B56A9">
          <w:rPr>
            <w:noProof w:val="0"/>
            <w:webHidden/>
          </w:rPr>
          <w:fldChar w:fldCharType="end"/>
        </w:r>
      </w:hyperlink>
    </w:p>
    <w:p w14:paraId="55A69365" w14:textId="77777777" w:rsidR="00FE7343" w:rsidRPr="004B56A9" w:rsidRDefault="00AE4501">
      <w:pPr>
        <w:pStyle w:val="TOC2"/>
        <w:rPr>
          <w:noProof w:val="0"/>
          <w:lang w:bidi="ar-SA"/>
        </w:rPr>
      </w:pPr>
      <w:hyperlink w:anchor="_Toc525130386" w:history="1">
        <w:r w:rsidR="00FE7343" w:rsidRPr="004B56A9">
          <w:rPr>
            <w:rStyle w:val="Hyperlink"/>
            <w:rFonts w:ascii="Times New Roman" w:hAnsi="Times New Roman" w:cs="Times New Roman"/>
            <w:noProof w:val="0"/>
          </w:rPr>
          <w:t>II.1</w:t>
        </w:r>
        <w:r w:rsidR="00FE7343" w:rsidRPr="004B56A9">
          <w:rPr>
            <w:noProof w:val="0"/>
            <w:lang w:bidi="ar-SA"/>
          </w:rPr>
          <w:tab/>
        </w:r>
        <w:r w:rsidR="00FE7343" w:rsidRPr="004B56A9">
          <w:rPr>
            <w:rStyle w:val="Hyperlink"/>
            <w:rFonts w:ascii="Times New Roman" w:hAnsi="Times New Roman"/>
            <w:noProof w:val="0"/>
          </w:rPr>
          <w:t>Z 01.00 - Struttura organizzativa (ORG)</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_Toc525130386 \h </w:instrText>
        </w:r>
        <w:r w:rsidR="00FE7343" w:rsidRPr="004B56A9">
          <w:rPr>
            <w:noProof w:val="0"/>
            <w:webHidden/>
          </w:rPr>
        </w:r>
        <w:r w:rsidR="00FE7343" w:rsidRPr="004B56A9">
          <w:rPr>
            <w:noProof w:val="0"/>
            <w:webHidden/>
          </w:rPr>
          <w:fldChar w:fldCharType="separate"/>
        </w:r>
        <w:r w:rsidR="00660DBC" w:rsidRPr="004B56A9">
          <w:rPr>
            <w:noProof w:val="0"/>
            <w:webHidden/>
          </w:rPr>
          <w:t>4</w:t>
        </w:r>
        <w:r w:rsidR="00FE7343" w:rsidRPr="004B56A9">
          <w:rPr>
            <w:noProof w:val="0"/>
            <w:webHidden/>
          </w:rPr>
          <w:fldChar w:fldCharType="end"/>
        </w:r>
      </w:hyperlink>
    </w:p>
    <w:p w14:paraId="72716421" w14:textId="77777777" w:rsidR="00FE7343" w:rsidRPr="004B56A9" w:rsidRDefault="00AE4501">
      <w:pPr>
        <w:pStyle w:val="TOC2"/>
        <w:rPr>
          <w:noProof w:val="0"/>
          <w:lang w:bidi="ar-SA"/>
        </w:rPr>
      </w:pPr>
      <w:hyperlink w:anchor="_Toc525130387" w:history="1">
        <w:r w:rsidR="00FE7343" w:rsidRPr="004B56A9">
          <w:rPr>
            <w:rStyle w:val="Hyperlink"/>
            <w:rFonts w:ascii="Times New Roman" w:hAnsi="Times New Roman" w:cs="Times New Roman"/>
            <w:noProof w:val="0"/>
          </w:rPr>
          <w:t>II.2</w:t>
        </w:r>
        <w:r w:rsidR="00FE7343" w:rsidRPr="004B56A9">
          <w:rPr>
            <w:noProof w:val="0"/>
            <w:lang w:bidi="ar-SA"/>
          </w:rPr>
          <w:tab/>
        </w:r>
        <w:r w:rsidR="00FE7343" w:rsidRPr="004B56A9">
          <w:rPr>
            <w:rStyle w:val="Hyperlink"/>
            <w:rFonts w:ascii="Times New Roman" w:hAnsi="Times New Roman"/>
            <w:noProof w:val="0"/>
          </w:rPr>
          <w:t>Z 02.00 - Struttura delle passività (LIAB)</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_Toc525130387 \h </w:instrText>
        </w:r>
        <w:r w:rsidR="00FE7343" w:rsidRPr="004B56A9">
          <w:rPr>
            <w:noProof w:val="0"/>
            <w:webHidden/>
          </w:rPr>
        </w:r>
        <w:r w:rsidR="00FE7343" w:rsidRPr="004B56A9">
          <w:rPr>
            <w:noProof w:val="0"/>
            <w:webHidden/>
          </w:rPr>
          <w:fldChar w:fldCharType="separate"/>
        </w:r>
        <w:r w:rsidR="00660DBC" w:rsidRPr="004B56A9">
          <w:rPr>
            <w:noProof w:val="0"/>
            <w:webHidden/>
          </w:rPr>
          <w:t>7</w:t>
        </w:r>
        <w:r w:rsidR="00FE7343" w:rsidRPr="004B56A9">
          <w:rPr>
            <w:noProof w:val="0"/>
            <w:webHidden/>
          </w:rPr>
          <w:fldChar w:fldCharType="end"/>
        </w:r>
      </w:hyperlink>
    </w:p>
    <w:p w14:paraId="031B290C" w14:textId="77777777" w:rsidR="00FE7343" w:rsidRPr="004B56A9" w:rsidRDefault="00AE4501">
      <w:pPr>
        <w:pStyle w:val="TOC2"/>
        <w:rPr>
          <w:noProof w:val="0"/>
          <w:lang w:bidi="ar-SA"/>
        </w:rPr>
      </w:pPr>
      <w:hyperlink w:anchor="_Toc525130388" w:history="1">
        <w:r w:rsidR="00FE7343" w:rsidRPr="004B56A9">
          <w:rPr>
            <w:rStyle w:val="Hyperlink"/>
            <w:rFonts w:ascii="Times New Roman" w:hAnsi="Times New Roman" w:cs="Times New Roman"/>
            <w:noProof w:val="0"/>
          </w:rPr>
          <w:t>II.3</w:t>
        </w:r>
        <w:r w:rsidR="00FE7343" w:rsidRPr="004B56A9">
          <w:rPr>
            <w:noProof w:val="0"/>
            <w:lang w:bidi="ar-SA"/>
          </w:rPr>
          <w:tab/>
        </w:r>
        <w:r w:rsidR="00FE7343" w:rsidRPr="004B56A9">
          <w:rPr>
            <w:rStyle w:val="Hyperlink"/>
            <w:rFonts w:ascii="Times New Roman" w:hAnsi="Times New Roman"/>
            <w:noProof w:val="0"/>
          </w:rPr>
          <w:t>Z 03.00 - Requisiti di fondi propri (OWN)</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_Toc525130388 \h </w:instrText>
        </w:r>
        <w:r w:rsidR="00FE7343" w:rsidRPr="004B56A9">
          <w:rPr>
            <w:noProof w:val="0"/>
            <w:webHidden/>
          </w:rPr>
        </w:r>
        <w:r w:rsidR="00FE7343" w:rsidRPr="004B56A9">
          <w:rPr>
            <w:noProof w:val="0"/>
            <w:webHidden/>
          </w:rPr>
          <w:fldChar w:fldCharType="separate"/>
        </w:r>
        <w:r w:rsidR="00660DBC" w:rsidRPr="004B56A9">
          <w:rPr>
            <w:noProof w:val="0"/>
            <w:webHidden/>
          </w:rPr>
          <w:t>14</w:t>
        </w:r>
        <w:r w:rsidR="00FE7343" w:rsidRPr="004B56A9">
          <w:rPr>
            <w:noProof w:val="0"/>
            <w:webHidden/>
          </w:rPr>
          <w:fldChar w:fldCharType="end"/>
        </w:r>
      </w:hyperlink>
    </w:p>
    <w:p w14:paraId="440269C8" w14:textId="77777777" w:rsidR="00FE7343" w:rsidRPr="004B56A9" w:rsidRDefault="00AE4501">
      <w:pPr>
        <w:pStyle w:val="TOC2"/>
        <w:rPr>
          <w:noProof w:val="0"/>
          <w:lang w:bidi="ar-SA"/>
        </w:rPr>
      </w:pPr>
      <w:hyperlink w:anchor="_Toc525130389" w:history="1">
        <w:r w:rsidR="00FE7343" w:rsidRPr="004B56A9">
          <w:rPr>
            <w:rStyle w:val="Hyperlink"/>
            <w:rFonts w:ascii="Times New Roman" w:hAnsi="Times New Roman" w:cs="Times New Roman"/>
            <w:noProof w:val="0"/>
          </w:rPr>
          <w:t>II.4</w:t>
        </w:r>
        <w:r w:rsidR="00FE7343" w:rsidRPr="004B56A9">
          <w:rPr>
            <w:noProof w:val="0"/>
            <w:lang w:bidi="ar-SA"/>
          </w:rPr>
          <w:tab/>
        </w:r>
        <w:r w:rsidR="00FE7343" w:rsidRPr="004B56A9">
          <w:rPr>
            <w:rStyle w:val="Hyperlink"/>
            <w:rFonts w:ascii="Times New Roman" w:hAnsi="Times New Roman"/>
            <w:noProof w:val="0"/>
          </w:rPr>
          <w:t>Z 04.00 - Interconnessioni finanziarie infragruppo (IFC)</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_Toc525130389 \h </w:instrText>
        </w:r>
        <w:r w:rsidR="00FE7343" w:rsidRPr="004B56A9">
          <w:rPr>
            <w:noProof w:val="0"/>
            <w:webHidden/>
          </w:rPr>
        </w:r>
        <w:r w:rsidR="00FE7343" w:rsidRPr="004B56A9">
          <w:rPr>
            <w:noProof w:val="0"/>
            <w:webHidden/>
          </w:rPr>
          <w:fldChar w:fldCharType="separate"/>
        </w:r>
        <w:r w:rsidR="00660DBC" w:rsidRPr="004B56A9">
          <w:rPr>
            <w:noProof w:val="0"/>
            <w:webHidden/>
          </w:rPr>
          <w:t>18</w:t>
        </w:r>
        <w:r w:rsidR="00FE7343" w:rsidRPr="004B56A9">
          <w:rPr>
            <w:noProof w:val="0"/>
            <w:webHidden/>
          </w:rPr>
          <w:fldChar w:fldCharType="end"/>
        </w:r>
      </w:hyperlink>
    </w:p>
    <w:p w14:paraId="2BA0EEE2" w14:textId="77777777" w:rsidR="00FE7343" w:rsidRPr="004B56A9" w:rsidRDefault="00AE4501">
      <w:pPr>
        <w:pStyle w:val="TOC2"/>
        <w:rPr>
          <w:noProof w:val="0"/>
          <w:lang w:bidi="ar-SA"/>
        </w:rPr>
      </w:pPr>
      <w:hyperlink w:anchor="_Toc525130390" w:history="1">
        <w:r w:rsidR="00FE7343" w:rsidRPr="004B56A9">
          <w:rPr>
            <w:rStyle w:val="Hyperlink"/>
            <w:rFonts w:ascii="Times New Roman" w:hAnsi="Times New Roman" w:cs="Times New Roman"/>
            <w:noProof w:val="0"/>
          </w:rPr>
          <w:t>II.5</w:t>
        </w:r>
        <w:r w:rsidR="00FE7343" w:rsidRPr="004B56A9">
          <w:rPr>
            <w:noProof w:val="0"/>
            <w:lang w:bidi="ar-SA"/>
          </w:rPr>
          <w:tab/>
        </w:r>
        <w:r w:rsidR="00FE7343" w:rsidRPr="004B56A9">
          <w:rPr>
            <w:rStyle w:val="Hyperlink"/>
            <w:rFonts w:ascii="Times New Roman" w:hAnsi="Times New Roman"/>
            <w:noProof w:val="0"/>
          </w:rPr>
          <w:t>Z 05.01 e Z 05.02 - Controparti principali (MCP)</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_Toc525130390 \h </w:instrText>
        </w:r>
        <w:r w:rsidR="00FE7343" w:rsidRPr="004B56A9">
          <w:rPr>
            <w:noProof w:val="0"/>
            <w:webHidden/>
          </w:rPr>
        </w:r>
        <w:r w:rsidR="00FE7343" w:rsidRPr="004B56A9">
          <w:rPr>
            <w:noProof w:val="0"/>
            <w:webHidden/>
          </w:rPr>
          <w:fldChar w:fldCharType="separate"/>
        </w:r>
        <w:r w:rsidR="00660DBC" w:rsidRPr="004B56A9">
          <w:rPr>
            <w:noProof w:val="0"/>
            <w:webHidden/>
          </w:rPr>
          <w:t>20</w:t>
        </w:r>
        <w:r w:rsidR="00FE7343" w:rsidRPr="004B56A9">
          <w:rPr>
            <w:noProof w:val="0"/>
            <w:webHidden/>
          </w:rPr>
          <w:fldChar w:fldCharType="end"/>
        </w:r>
      </w:hyperlink>
    </w:p>
    <w:p w14:paraId="57F91AAF" w14:textId="77777777" w:rsidR="00FE7343" w:rsidRPr="004B56A9" w:rsidRDefault="00AE4501">
      <w:pPr>
        <w:pStyle w:val="TOC2"/>
        <w:rPr>
          <w:noProof w:val="0"/>
          <w:lang w:bidi="ar-SA"/>
        </w:rPr>
      </w:pPr>
      <w:hyperlink w:anchor="_Toc525130391" w:history="1">
        <w:r w:rsidR="00FE7343" w:rsidRPr="004B56A9">
          <w:rPr>
            <w:rStyle w:val="Hyperlink"/>
            <w:rFonts w:ascii="Times New Roman" w:hAnsi="Times New Roman" w:cs="Times New Roman"/>
            <w:noProof w:val="0"/>
          </w:rPr>
          <w:t>II.6</w:t>
        </w:r>
        <w:r w:rsidR="00FE7343" w:rsidRPr="004B56A9">
          <w:rPr>
            <w:noProof w:val="0"/>
            <w:lang w:bidi="ar-SA"/>
          </w:rPr>
          <w:tab/>
        </w:r>
        <w:r w:rsidR="00FE7343" w:rsidRPr="004B56A9">
          <w:rPr>
            <w:rStyle w:val="Hyperlink"/>
            <w:rFonts w:ascii="Times New Roman" w:hAnsi="Times New Roman"/>
            <w:noProof w:val="0"/>
          </w:rPr>
          <w:t>Z 06.00 - Assicurazione dei depositi (DIS)</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_Toc525130391 \h </w:instrText>
        </w:r>
        <w:r w:rsidR="00FE7343" w:rsidRPr="004B56A9">
          <w:rPr>
            <w:noProof w:val="0"/>
            <w:webHidden/>
          </w:rPr>
        </w:r>
        <w:r w:rsidR="00FE7343" w:rsidRPr="004B56A9">
          <w:rPr>
            <w:noProof w:val="0"/>
            <w:webHidden/>
          </w:rPr>
          <w:fldChar w:fldCharType="separate"/>
        </w:r>
        <w:r w:rsidR="00660DBC" w:rsidRPr="004B56A9">
          <w:rPr>
            <w:noProof w:val="0"/>
            <w:webHidden/>
          </w:rPr>
          <w:t>22</w:t>
        </w:r>
        <w:r w:rsidR="00FE7343" w:rsidRPr="004B56A9">
          <w:rPr>
            <w:noProof w:val="0"/>
            <w:webHidden/>
          </w:rPr>
          <w:fldChar w:fldCharType="end"/>
        </w:r>
      </w:hyperlink>
    </w:p>
    <w:p w14:paraId="0A818977" w14:textId="77777777" w:rsidR="00FE7343" w:rsidRPr="004B56A9" w:rsidRDefault="00AE4501">
      <w:pPr>
        <w:pStyle w:val="TOC2"/>
        <w:rPr>
          <w:noProof w:val="0"/>
          <w:lang w:bidi="ar-SA"/>
        </w:rPr>
      </w:pPr>
      <w:hyperlink w:anchor="_Toc525130392" w:history="1">
        <w:r w:rsidR="00FE7343" w:rsidRPr="004B56A9">
          <w:rPr>
            <w:rStyle w:val="Hyperlink"/>
            <w:rFonts w:ascii="Times New Roman" w:hAnsi="Times New Roman" w:cs="Times New Roman"/>
            <w:noProof w:val="0"/>
          </w:rPr>
          <w:t>II.7</w:t>
        </w:r>
        <w:r w:rsidR="00FE7343" w:rsidRPr="004B56A9">
          <w:rPr>
            <w:noProof w:val="0"/>
            <w:lang w:bidi="ar-SA"/>
          </w:rPr>
          <w:tab/>
        </w:r>
        <w:r w:rsidR="00FE7343" w:rsidRPr="004B56A9">
          <w:rPr>
            <w:rStyle w:val="Hyperlink"/>
            <w:rFonts w:ascii="Times New Roman" w:hAnsi="Times New Roman"/>
            <w:noProof w:val="0"/>
          </w:rPr>
          <w:t>Funzioni essenziali e linee di business principali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_Toc525130392 \h </w:instrText>
        </w:r>
        <w:r w:rsidR="00FE7343" w:rsidRPr="004B56A9">
          <w:rPr>
            <w:noProof w:val="0"/>
            <w:webHidden/>
          </w:rPr>
        </w:r>
        <w:r w:rsidR="00FE7343" w:rsidRPr="004B56A9">
          <w:rPr>
            <w:noProof w:val="0"/>
            <w:webHidden/>
          </w:rPr>
          <w:fldChar w:fldCharType="separate"/>
        </w:r>
        <w:r w:rsidR="00660DBC" w:rsidRPr="004B56A9">
          <w:rPr>
            <w:noProof w:val="0"/>
            <w:webHidden/>
          </w:rPr>
          <w:t>25</w:t>
        </w:r>
        <w:r w:rsidR="00FE7343" w:rsidRPr="004B56A9">
          <w:rPr>
            <w:noProof w:val="0"/>
            <w:webHidden/>
          </w:rPr>
          <w:fldChar w:fldCharType="end"/>
        </w:r>
      </w:hyperlink>
    </w:p>
    <w:p w14:paraId="26833E33" w14:textId="77777777" w:rsidR="00FE7343" w:rsidRPr="004B56A9" w:rsidRDefault="00AE4501">
      <w:pPr>
        <w:pStyle w:val="TOC2"/>
        <w:rPr>
          <w:noProof w:val="0"/>
          <w:lang w:bidi="ar-SA"/>
        </w:rPr>
      </w:pPr>
      <w:hyperlink w:anchor="_Toc525130393" w:history="1">
        <w:r w:rsidR="00FE7343" w:rsidRPr="004B56A9">
          <w:rPr>
            <w:rStyle w:val="Hyperlink"/>
            <w:rFonts w:ascii="Times New Roman" w:hAnsi="Times New Roman" w:cs="Times New Roman"/>
            <w:noProof w:val="0"/>
          </w:rPr>
          <w:t>II.8</w:t>
        </w:r>
        <w:r w:rsidR="00FE7343" w:rsidRPr="004B56A9">
          <w:rPr>
            <w:noProof w:val="0"/>
            <w:lang w:bidi="ar-SA"/>
          </w:rPr>
          <w:tab/>
        </w:r>
        <w:r w:rsidR="00FE7343" w:rsidRPr="004B56A9">
          <w:rPr>
            <w:rStyle w:val="Hyperlink"/>
            <w:rFonts w:ascii="Times New Roman" w:hAnsi="Times New Roman"/>
            <w:noProof w:val="0"/>
          </w:rPr>
          <w:t>Z 08.00 - Servizi essenziali (SERV)</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_Toc525130393 \h </w:instrText>
        </w:r>
        <w:r w:rsidR="00FE7343" w:rsidRPr="004B56A9">
          <w:rPr>
            <w:noProof w:val="0"/>
            <w:webHidden/>
          </w:rPr>
        </w:r>
        <w:r w:rsidR="00FE7343" w:rsidRPr="004B56A9">
          <w:rPr>
            <w:noProof w:val="0"/>
            <w:webHidden/>
          </w:rPr>
          <w:fldChar w:fldCharType="separate"/>
        </w:r>
        <w:r w:rsidR="00660DBC" w:rsidRPr="004B56A9">
          <w:rPr>
            <w:noProof w:val="0"/>
            <w:webHidden/>
          </w:rPr>
          <w:t>34</w:t>
        </w:r>
        <w:r w:rsidR="00FE7343" w:rsidRPr="004B56A9">
          <w:rPr>
            <w:noProof w:val="0"/>
            <w:webHidden/>
          </w:rPr>
          <w:fldChar w:fldCharType="end"/>
        </w:r>
      </w:hyperlink>
    </w:p>
    <w:p w14:paraId="13F5E533" w14:textId="77777777" w:rsidR="00FE7343" w:rsidRPr="004B56A9" w:rsidRDefault="00AE4501">
      <w:pPr>
        <w:pStyle w:val="TOC2"/>
        <w:rPr>
          <w:noProof w:val="0"/>
          <w:lang w:bidi="ar-SA"/>
        </w:rPr>
      </w:pPr>
      <w:hyperlink w:anchor="_Toc525130394" w:history="1">
        <w:r w:rsidR="00FE7343" w:rsidRPr="004B56A9">
          <w:rPr>
            <w:rStyle w:val="Hyperlink"/>
            <w:rFonts w:ascii="Times New Roman" w:hAnsi="Times New Roman" w:cs="Times New Roman"/>
            <w:noProof w:val="0"/>
          </w:rPr>
          <w:t>II.9</w:t>
        </w:r>
        <w:r w:rsidR="00FE7343" w:rsidRPr="004B56A9">
          <w:rPr>
            <w:noProof w:val="0"/>
            <w:lang w:bidi="ar-SA"/>
          </w:rPr>
          <w:tab/>
        </w:r>
        <w:r w:rsidR="00FE7343" w:rsidRPr="004B56A9">
          <w:rPr>
            <w:rStyle w:val="Hyperlink"/>
            <w:rFonts w:ascii="Times New Roman" w:hAnsi="Times New Roman"/>
            <w:noProof w:val="0"/>
          </w:rPr>
          <w:t>Z 09.00 - Servizi delle FMI - Fornitori e utenti - Associazione alle funzioni essenziali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_Toc525130394 \h </w:instrText>
        </w:r>
        <w:r w:rsidR="00FE7343" w:rsidRPr="004B56A9">
          <w:rPr>
            <w:noProof w:val="0"/>
            <w:webHidden/>
          </w:rPr>
        </w:r>
        <w:r w:rsidR="00FE7343" w:rsidRPr="004B56A9">
          <w:rPr>
            <w:noProof w:val="0"/>
            <w:webHidden/>
          </w:rPr>
          <w:fldChar w:fldCharType="separate"/>
        </w:r>
        <w:r w:rsidR="00660DBC" w:rsidRPr="004B56A9">
          <w:rPr>
            <w:noProof w:val="0"/>
            <w:webHidden/>
          </w:rPr>
          <w:t>38</w:t>
        </w:r>
        <w:r w:rsidR="00FE7343" w:rsidRPr="004B56A9">
          <w:rPr>
            <w:noProof w:val="0"/>
            <w:webHidden/>
          </w:rPr>
          <w:fldChar w:fldCharType="end"/>
        </w:r>
      </w:hyperlink>
    </w:p>
    <w:p w14:paraId="5B66919E" w14:textId="77777777" w:rsidR="00FE7343" w:rsidRPr="004B56A9" w:rsidRDefault="00AE4501">
      <w:pPr>
        <w:pStyle w:val="TOC2"/>
        <w:rPr>
          <w:noProof w:val="0"/>
          <w:lang w:bidi="ar-SA"/>
        </w:rPr>
      </w:pPr>
      <w:hyperlink w:anchor="_Toc525130395" w:history="1">
        <w:r w:rsidR="00FE7343" w:rsidRPr="004B56A9">
          <w:rPr>
            <w:rStyle w:val="Hyperlink"/>
            <w:rFonts w:ascii="Times New Roman" w:hAnsi="Times New Roman" w:cs="Times New Roman"/>
            <w:noProof w:val="0"/>
          </w:rPr>
          <w:t>II.10</w:t>
        </w:r>
        <w:r w:rsidR="00FE7343" w:rsidRPr="004B56A9">
          <w:rPr>
            <w:noProof w:val="0"/>
            <w:lang w:bidi="ar-SA"/>
          </w:rPr>
          <w:tab/>
        </w:r>
        <w:r w:rsidR="00FE7343" w:rsidRPr="004B56A9">
          <w:rPr>
            <w:rStyle w:val="Hyperlink"/>
            <w:rFonts w:ascii="Times New Roman" w:hAnsi="Times New Roman"/>
            <w:noProof w:val="0"/>
          </w:rPr>
          <w:t>Sistemi informatici essenziali</w:t>
        </w:r>
        <w:r w:rsidR="00FE7343" w:rsidRPr="004B56A9">
          <w:rPr>
            <w:noProof w:val="0"/>
            <w:webHidden/>
          </w:rPr>
          <w:tab/>
        </w:r>
        <w:r w:rsidR="00FE7343" w:rsidRPr="004B56A9">
          <w:rPr>
            <w:noProof w:val="0"/>
            <w:webHidden/>
          </w:rPr>
          <w:fldChar w:fldCharType="begin"/>
        </w:r>
        <w:r w:rsidR="00FE7343" w:rsidRPr="004B56A9">
          <w:rPr>
            <w:noProof w:val="0"/>
            <w:webHidden/>
          </w:rPr>
          <w:instrText xml:space="preserve"> PAGEREF _Toc525130395 \h </w:instrText>
        </w:r>
        <w:r w:rsidR="00FE7343" w:rsidRPr="004B56A9">
          <w:rPr>
            <w:noProof w:val="0"/>
            <w:webHidden/>
          </w:rPr>
        </w:r>
        <w:r w:rsidR="00FE7343" w:rsidRPr="004B56A9">
          <w:rPr>
            <w:noProof w:val="0"/>
            <w:webHidden/>
          </w:rPr>
          <w:fldChar w:fldCharType="separate"/>
        </w:r>
        <w:r w:rsidR="00660DBC" w:rsidRPr="004B56A9">
          <w:rPr>
            <w:noProof w:val="0"/>
            <w:webHidden/>
          </w:rPr>
          <w:t>40</w:t>
        </w:r>
        <w:r w:rsidR="00FE7343" w:rsidRPr="004B56A9">
          <w:rPr>
            <w:noProof w:val="0"/>
            <w:webHidden/>
          </w:rPr>
          <w:fldChar w:fldCharType="end"/>
        </w:r>
      </w:hyperlink>
    </w:p>
    <w:p w14:paraId="107BD528" w14:textId="7DBBA8EC" w:rsidR="00421CDC" w:rsidRPr="004B56A9" w:rsidRDefault="00C673AC">
      <w:pPr>
        <w:pStyle w:val="TOC2"/>
        <w:rPr>
          <w:noProof w:val="0"/>
        </w:rPr>
      </w:pPr>
      <w:r w:rsidRPr="004B56A9">
        <w:rPr>
          <w:rFonts w:ascii="Times New Roman" w:hAnsi="Times New Roman" w:cs="Times New Roman"/>
          <w:bCs/>
          <w:noProof w:val="0"/>
          <w:color w:val="000000" w:themeColor="text1"/>
          <w:sz w:val="20"/>
          <w:szCs w:val="20"/>
        </w:rPr>
        <w:fldChar w:fldCharType="end"/>
      </w:r>
    </w:p>
    <w:p w14:paraId="0081DF72" w14:textId="77777777" w:rsidR="00385C06" w:rsidRPr="004B56A9" w:rsidRDefault="00385C06" w:rsidP="00385C06">
      <w:pPr>
        <w:rPr>
          <w:rFonts w:ascii="Times New Roman" w:hAnsi="Times New Roman" w:cs="Times New Roman"/>
          <w:b/>
          <w:color w:val="000000" w:themeColor="text1"/>
          <w:sz w:val="20"/>
          <w:szCs w:val="20"/>
        </w:rPr>
      </w:pPr>
    </w:p>
    <w:p w14:paraId="1165C6F3" w14:textId="77777777" w:rsidR="00E13CE3" w:rsidRPr="004B56A9" w:rsidRDefault="00E13CE3" w:rsidP="00585A96">
      <w:pPr>
        <w:pStyle w:val="ListParagraph"/>
        <w:rPr>
          <w:rFonts w:ascii="Times New Roman" w:hAnsi="Times New Roman"/>
          <w:b/>
          <w:color w:val="000000" w:themeColor="text1"/>
          <w:sz w:val="20"/>
          <w:szCs w:val="20"/>
        </w:rPr>
      </w:pPr>
    </w:p>
    <w:p w14:paraId="0640C2C2" w14:textId="77777777" w:rsidR="000D0650" w:rsidRPr="004B56A9"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rsidRPr="004B56A9">
        <w:br w:type="page"/>
      </w:r>
    </w:p>
    <w:p w14:paraId="088E040A" w14:textId="12B93F44" w:rsidR="00E13CE3" w:rsidRPr="004B56A9"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130379"/>
      <w:r w:rsidRPr="004B56A9">
        <w:rPr>
          <w:rFonts w:ascii="Times New Roman" w:hAnsi="Times New Roman"/>
        </w:rPr>
        <w:lastRenderedPageBreak/>
        <w:t>Istruzioni di carattere generale</w:t>
      </w:r>
      <w:bookmarkEnd w:id="0"/>
      <w:bookmarkEnd w:id="1"/>
      <w:bookmarkEnd w:id="2"/>
    </w:p>
    <w:p w14:paraId="4B3DB59B" w14:textId="424E0841" w:rsidR="002B2A61" w:rsidRPr="004B56A9"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130380"/>
      <w:r w:rsidRPr="004B56A9">
        <w:rPr>
          <w:rFonts w:ascii="Times New Roman" w:hAnsi="Times New Roman"/>
        </w:rPr>
        <w:t>Struttura</w:t>
      </w:r>
      <w:bookmarkEnd w:id="3"/>
      <w:bookmarkEnd w:id="4"/>
    </w:p>
    <w:p w14:paraId="01B977AB" w14:textId="5373038C" w:rsidR="002B2A61" w:rsidRPr="004B56A9"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Il quadro consta di </w:t>
      </w:r>
      <w:proofErr w:type="gramStart"/>
      <w:r w:rsidRPr="004B56A9">
        <w:rPr>
          <w:rFonts w:ascii="Times New Roman" w:hAnsi="Times New Roman"/>
          <w:sz w:val="20"/>
        </w:rPr>
        <w:t>15</w:t>
      </w:r>
      <w:proofErr w:type="gramEnd"/>
      <w:r w:rsidRPr="004B56A9">
        <w:rPr>
          <w:rFonts w:ascii="Times New Roman" w:hAnsi="Times New Roman"/>
          <w:sz w:val="20"/>
        </w:rPr>
        <w:t xml:space="preserve"> modelli, organizzati in 3 blocchi:</w:t>
      </w:r>
    </w:p>
    <w:p w14:paraId="43308E72" w14:textId="7FBDFFBD" w:rsidR="002B2A61" w:rsidRPr="004B56A9" w:rsidRDefault="00170788" w:rsidP="00715DAB">
      <w:pPr>
        <w:pStyle w:val="body"/>
        <w:numPr>
          <w:ilvl w:val="0"/>
          <w:numId w:val="19"/>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“Informazioni di carattere generale”, ossia una panoramica della struttura organizzativa di un gruppo e delle sue entità, della distribuzion</w:t>
      </w:r>
      <w:proofErr w:type="gramEnd"/>
      <w:r w:rsidRPr="004B56A9">
        <w:rPr>
          <w:rFonts w:ascii="Times New Roman" w:hAnsi="Times New Roman"/>
          <w:color w:val="000000" w:themeColor="text1"/>
          <w:sz w:val="20"/>
        </w:rPr>
        <w:t>e delle attività e degli importi dell’esposizione al rischio. Questo blocco consta del modello “Z 01.00 - Struttura organizzativa (ORG</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181D7E39" w14:textId="353544D9" w:rsidR="00170788" w:rsidRPr="004B56A9" w:rsidRDefault="00170788" w:rsidP="00715DAB">
      <w:pPr>
        <w:pStyle w:val="body"/>
        <w:numPr>
          <w:ilvl w:val="0"/>
          <w:numId w:val="19"/>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“Informazioni sugli elementi in bilancio e fuori bilancio”, ossia informazioni finanziarie su passività, fondi propri, connessioni finanziarie tra le entità del gruppo, passività nei confronti delle controparti principali ed elementi fuori bilancio ricevuti dalle controparti principali, </w:t>
      </w:r>
      <w:proofErr w:type="gramStart"/>
      <w:r w:rsidRPr="004B56A9">
        <w:rPr>
          <w:rFonts w:ascii="Times New Roman" w:hAnsi="Times New Roman"/>
          <w:color w:val="000000" w:themeColor="text1"/>
          <w:sz w:val="20"/>
        </w:rPr>
        <w:t>nonché</w:t>
      </w:r>
      <w:proofErr w:type="gramEnd"/>
      <w:r w:rsidRPr="004B56A9">
        <w:rPr>
          <w:rFonts w:ascii="Times New Roman" w:hAnsi="Times New Roman"/>
          <w:color w:val="000000" w:themeColor="text1"/>
          <w:sz w:val="20"/>
        </w:rPr>
        <w:t xml:space="preserve"> assicurazione dei depositi. Questo blocco consta di </w:t>
      </w:r>
      <w:proofErr w:type="gramStart"/>
      <w:r w:rsidRPr="004B56A9">
        <w:rPr>
          <w:rFonts w:ascii="Times New Roman" w:hAnsi="Times New Roman"/>
          <w:color w:val="000000" w:themeColor="text1"/>
          <w:sz w:val="20"/>
        </w:rPr>
        <w:t>6</w:t>
      </w:r>
      <w:proofErr w:type="gramEnd"/>
      <w:r w:rsidRPr="004B56A9">
        <w:rPr>
          <w:rFonts w:ascii="Times New Roman" w:hAnsi="Times New Roman"/>
          <w:color w:val="000000" w:themeColor="text1"/>
          <w:sz w:val="20"/>
        </w:rPr>
        <w:t xml:space="preserve"> modelli:</w:t>
      </w:r>
    </w:p>
    <w:p w14:paraId="51EE35B7" w14:textId="3708EED2" w:rsidR="00D44790" w:rsidRPr="004B56A9" w:rsidRDefault="00A040CC" w:rsidP="00C87003">
      <w:pPr>
        <w:pStyle w:val="body"/>
        <w:numPr>
          <w:ilvl w:val="0"/>
          <w:numId w:val="47"/>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“Z 02.00 - Struttura delle passività (LIAB</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4DD43B85" w14:textId="6CBEBD30" w:rsidR="00D44790" w:rsidRPr="004B56A9" w:rsidRDefault="00A040CC" w:rsidP="00C87003">
      <w:pPr>
        <w:pStyle w:val="body"/>
        <w:numPr>
          <w:ilvl w:val="0"/>
          <w:numId w:val="47"/>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“Z 03.00 - Requisiti di fondi propri (OWN</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286267B2" w14:textId="6C6CBE8A" w:rsidR="00D44790" w:rsidRPr="004B56A9" w:rsidRDefault="00A040CC" w:rsidP="00C87003">
      <w:pPr>
        <w:pStyle w:val="body"/>
        <w:numPr>
          <w:ilvl w:val="0"/>
          <w:numId w:val="47"/>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‘Z 04.00 - Interconnessioni finanziarie infragruppo (IFC</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152B0571" w14:textId="1BEEEF9E" w:rsidR="001F072D" w:rsidRPr="004B56A9" w:rsidRDefault="00C87003" w:rsidP="00C87003">
      <w:pPr>
        <w:pStyle w:val="body"/>
        <w:numPr>
          <w:ilvl w:val="0"/>
          <w:numId w:val="47"/>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due</w:t>
      </w:r>
      <w:proofErr w:type="gramEnd"/>
      <w:r w:rsidRPr="004B56A9">
        <w:rPr>
          <w:rFonts w:ascii="Times New Roman" w:hAnsi="Times New Roman"/>
          <w:color w:val="000000" w:themeColor="text1"/>
          <w:sz w:val="20"/>
        </w:rPr>
        <w:t xml:space="preserve"> modelli sulle controparti principali: “Z 05.01 - Controparti principali delle passività (Z-MCP 1)” e “Z 05.02 - Controparti principali degli elementi fuori bilancio (Z-MCP 2)”;</w:t>
      </w:r>
    </w:p>
    <w:p w14:paraId="4AABC7E3" w14:textId="013848FC" w:rsidR="00A040CC" w:rsidRPr="004B56A9" w:rsidRDefault="00A040CC" w:rsidP="00C87003">
      <w:pPr>
        <w:pStyle w:val="body"/>
        <w:numPr>
          <w:ilvl w:val="0"/>
          <w:numId w:val="47"/>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“Z 06.00 - Assicurazione dei depositi (Z-DIS</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7AFC3217" w14:textId="5F420D88" w:rsidR="00BB5812" w:rsidRPr="004B56A9" w:rsidRDefault="00BB5812" w:rsidP="00715DAB">
      <w:pPr>
        <w:pStyle w:val="body"/>
        <w:numPr>
          <w:ilvl w:val="0"/>
          <w:numId w:val="19"/>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“Funzioni essenziali”, ossia una panoramica delle funzioni essenziali e loro associazione alle entità giuridiche, alle linee di business pri</w:t>
      </w:r>
      <w:proofErr w:type="gramEnd"/>
      <w:r w:rsidRPr="004B56A9">
        <w:rPr>
          <w:rFonts w:ascii="Times New Roman" w:hAnsi="Times New Roman"/>
          <w:color w:val="000000" w:themeColor="text1"/>
          <w:sz w:val="20"/>
        </w:rPr>
        <w:t xml:space="preserve">ncipali, ai servizi essenziali, alle infrastrutture di mercato finanziario e ai sistemi informatici. Questo blocco consta di </w:t>
      </w:r>
      <w:proofErr w:type="gramStart"/>
      <w:r w:rsidRPr="004B56A9">
        <w:rPr>
          <w:rFonts w:ascii="Times New Roman" w:hAnsi="Times New Roman"/>
          <w:color w:val="000000" w:themeColor="text1"/>
          <w:sz w:val="20"/>
        </w:rPr>
        <w:t>7</w:t>
      </w:r>
      <w:proofErr w:type="gramEnd"/>
      <w:r w:rsidRPr="004B56A9">
        <w:rPr>
          <w:rFonts w:ascii="Times New Roman" w:hAnsi="Times New Roman"/>
          <w:color w:val="000000" w:themeColor="text1"/>
          <w:sz w:val="20"/>
        </w:rPr>
        <w:t xml:space="preserve"> modelli:</w:t>
      </w:r>
    </w:p>
    <w:p w14:paraId="38D59584" w14:textId="26E66368" w:rsidR="002B2A61" w:rsidRPr="004B56A9" w:rsidRDefault="001E6258" w:rsidP="00715DAB">
      <w:pPr>
        <w:pStyle w:val="body"/>
        <w:numPr>
          <w:ilvl w:val="0"/>
          <w:numId w:val="2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4 modelli sull’individuazione delle funzioni essenziali e la loro associazione alle linee di business principali e alle entità del gruppo: “Z 07.01 - Valutazione del carattere essenziale delle funzioni economiche (Z-FUNC 1</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 “Z 07.02 - Associazione delle funzioni essenziali alle entità giuridiche (Z-FUNC 2)”, ‘Z 07.03 - Associazione delle linee di business principali alle entità giuridiche (Z-FUNC 3)” e “Z 07.04 - Associazione delle funzioni essenziali alle linee di business principali (Z-FUNC 4)”;</w:t>
      </w:r>
    </w:p>
    <w:p w14:paraId="2260F6AC" w14:textId="7CEA6537" w:rsidR="001E6258" w:rsidRPr="004B56A9" w:rsidRDefault="00B24A26" w:rsidP="00715DAB">
      <w:pPr>
        <w:pStyle w:val="body"/>
        <w:numPr>
          <w:ilvl w:val="0"/>
          <w:numId w:val="2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“Z 08.00 - Servizi essenziali (Z-SERV</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5EE3A24C" w14:textId="5BA2A2B3" w:rsidR="00B24A26" w:rsidRPr="004B56A9" w:rsidRDefault="00B24A26" w:rsidP="00715DAB">
      <w:pPr>
        <w:pStyle w:val="body"/>
        <w:numPr>
          <w:ilvl w:val="0"/>
          <w:numId w:val="2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“Z 09.00 – Servizi delle FMI - </w:t>
      </w:r>
      <w:r w:rsidR="00D4088F" w:rsidRPr="004B56A9">
        <w:rPr>
          <w:rFonts w:ascii="Times New Roman" w:hAnsi="Times New Roman"/>
          <w:color w:val="000000" w:themeColor="text1"/>
        </w:rPr>
        <w:t>Fornitori e utenti</w:t>
      </w:r>
      <w:r w:rsidR="00D4088F" w:rsidRPr="004B56A9">
        <w:rPr>
          <w:rFonts w:ascii="Times New Roman" w:hAnsi="Times New Roman"/>
          <w:color w:val="000000" w:themeColor="text1"/>
          <w:sz w:val="20"/>
        </w:rPr>
        <w:t xml:space="preserve"> - </w:t>
      </w:r>
      <w:r w:rsidRPr="004B56A9">
        <w:rPr>
          <w:rFonts w:ascii="Times New Roman" w:hAnsi="Times New Roman"/>
          <w:color w:val="000000" w:themeColor="text1"/>
          <w:sz w:val="20"/>
        </w:rPr>
        <w:t>Associazione alle funzioni essenziali (FMI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3E6F0A37" w14:textId="27709A87" w:rsidR="00D91F52" w:rsidRPr="004B56A9" w:rsidRDefault="00D62530" w:rsidP="00715DAB">
      <w:pPr>
        <w:pStyle w:val="body"/>
        <w:numPr>
          <w:ilvl w:val="0"/>
          <w:numId w:val="2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2 modelli sui sistemi informatici essenziali: “Z 10.01 - Sistemi informatici essenziali (Informazioni di carattere generale) (Z-CIS 1</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 e “Z 10.02 - Classificazione dei sistemi informatici (Z-CIS 2)”.</w:t>
      </w:r>
    </w:p>
    <w:p w14:paraId="74D5BB39" w14:textId="6D52D368" w:rsidR="00C93D9F" w:rsidRPr="004B56A9"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130381"/>
      <w:r w:rsidRPr="004B56A9">
        <w:rPr>
          <w:rFonts w:ascii="Times New Roman" w:hAnsi="Times New Roman"/>
        </w:rPr>
        <w:t>Riferimenti</w:t>
      </w:r>
      <w:bookmarkEnd w:id="5"/>
      <w:bookmarkEnd w:id="6"/>
    </w:p>
    <w:p w14:paraId="467C647B" w14:textId="77777777" w:rsidR="00C93D9F" w:rsidRPr="004B56A9" w:rsidRDefault="00C93D9F"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Ai fini del presente allegato si applicano le seguenti abbreviazioni:</w:t>
      </w:r>
    </w:p>
    <w:p w14:paraId="1364EA35" w14:textId="3055DF6D" w:rsidR="00CF3051" w:rsidRPr="004B56A9" w:rsidRDefault="00CF3051" w:rsidP="00715DAB">
      <w:pPr>
        <w:pStyle w:val="ListParagraph"/>
        <w:numPr>
          <w:ilvl w:val="0"/>
          <w:numId w:val="18"/>
        </w:numPr>
        <w:ind w:left="1074"/>
        <w:jc w:val="both"/>
        <w:rPr>
          <w:rFonts w:ascii="Times New Roman" w:hAnsi="Times New Roman"/>
          <w:color w:val="000000" w:themeColor="text1"/>
          <w:sz w:val="20"/>
          <w:szCs w:val="20"/>
        </w:rPr>
      </w:pPr>
      <w:proofErr w:type="gramStart"/>
      <w:r w:rsidRPr="004B56A9">
        <w:rPr>
          <w:rFonts w:ascii="Times New Roman" w:hAnsi="Times New Roman"/>
          <w:color w:val="000000" w:themeColor="text1"/>
          <w:sz w:val="20"/>
        </w:rPr>
        <w:t>“BCBS”: Comitato di Basilea per la vigilanza bancaria della Banca dei regolamenti internazionali;</w:t>
      </w:r>
      <w:proofErr w:type="gramEnd"/>
    </w:p>
    <w:p w14:paraId="0FAC4B99" w14:textId="35598436" w:rsidR="00B466DD" w:rsidRPr="004B56A9" w:rsidRDefault="00B466DD" w:rsidP="00715DAB">
      <w:pPr>
        <w:pStyle w:val="ListParagraph"/>
        <w:numPr>
          <w:ilvl w:val="0"/>
          <w:numId w:val="18"/>
        </w:numPr>
        <w:ind w:left="1074"/>
        <w:jc w:val="both"/>
        <w:rPr>
          <w:rFonts w:ascii="Times New Roman" w:hAnsi="Times New Roman"/>
          <w:color w:val="000000" w:themeColor="text1"/>
          <w:sz w:val="20"/>
          <w:szCs w:val="20"/>
        </w:rPr>
      </w:pPr>
      <w:proofErr w:type="gramStart"/>
      <w:r w:rsidRPr="004B56A9">
        <w:rPr>
          <w:rFonts w:ascii="Times New Roman" w:hAnsi="Times New Roman"/>
          <w:color w:val="000000" w:themeColor="text1"/>
          <w:sz w:val="20"/>
        </w:rPr>
        <w:t>“CPMI”: Comitato per i pagamenti e le infrastrutture di mercato della Banca dei regolamenti internazionali;</w:t>
      </w:r>
      <w:proofErr w:type="gramEnd"/>
    </w:p>
    <w:p w14:paraId="2DDEADFA" w14:textId="56B6295C" w:rsidR="00E52C33" w:rsidRPr="004B56A9" w:rsidRDefault="00E52C33" w:rsidP="007C4DB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lastRenderedPageBreak/>
        <w:t>“FINREP”: i modelli per le informazioni finanziarie riportati negli allegati III e IV, e le istruzioni complementari figuranti nell’allegato V, del regolamento di esecuzione (UE) n. 680/2014 della Commissione</w:t>
      </w:r>
      <w:proofErr w:type="gramStart"/>
      <w:r w:rsidRPr="004B56A9">
        <w:rPr>
          <w:rStyle w:val="FootnoteReference"/>
          <w:rFonts w:ascii="Times New Roman" w:hAnsi="Times New Roman"/>
          <w:sz w:val="20"/>
        </w:rPr>
        <w:footnoteReference w:id="1"/>
      </w:r>
      <w:r w:rsidRPr="004B56A9">
        <w:rPr>
          <w:rFonts w:ascii="Times New Roman" w:hAnsi="Times New Roman"/>
          <w:color w:val="000000" w:themeColor="text1"/>
          <w:sz w:val="20"/>
        </w:rPr>
        <w:t>;</w:t>
      </w:r>
      <w:proofErr w:type="gramEnd"/>
    </w:p>
    <w:p w14:paraId="7381F640" w14:textId="250A48D8" w:rsidR="00D920E5" w:rsidRPr="004B56A9" w:rsidRDefault="00D920E5" w:rsidP="007C4DB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“COREP (OF</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 gli allegati I (modelli) e II (istruzioni) del regolamento di esecuzione (UE) n. 680/2014;</w:t>
      </w:r>
    </w:p>
    <w:p w14:paraId="5BD0F9A6" w14:textId="08D43B34" w:rsidR="00D920E5" w:rsidRPr="004B56A9" w:rsidRDefault="00D920E5" w:rsidP="007C4DB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“COREP (LR</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 gli allegati X (modelli) e XI (istruzioni) del regolamento di esecuzione (UE) n. 680/2014;</w:t>
      </w:r>
    </w:p>
    <w:p w14:paraId="3E3DB3B0" w14:textId="3BDCAB5F" w:rsidR="00B466DD" w:rsidRPr="004B56A9" w:rsidRDefault="00B466DD" w:rsidP="00715DA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“FSB”: Comitato per la stabilità finanziaria;</w:t>
      </w:r>
    </w:p>
    <w:p w14:paraId="1E626DB6" w14:textId="59F4D04F" w:rsidR="00E52C33" w:rsidRPr="004B56A9" w:rsidRDefault="00E52C33" w:rsidP="007C4DB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 xml:space="preserve">“IAS”: International </w:t>
      </w:r>
      <w:proofErr w:type="gramStart"/>
      <w:r w:rsidRPr="004B56A9">
        <w:rPr>
          <w:rFonts w:ascii="Times New Roman" w:hAnsi="Times New Roman"/>
          <w:color w:val="000000" w:themeColor="text1"/>
          <w:sz w:val="20"/>
        </w:rPr>
        <w:t>Accounting</w:t>
      </w:r>
      <w:proofErr w:type="gramEnd"/>
      <w:r w:rsidRPr="004B56A9">
        <w:rPr>
          <w:rFonts w:ascii="Times New Roman" w:hAnsi="Times New Roman"/>
          <w:color w:val="000000" w:themeColor="text1"/>
          <w:sz w:val="20"/>
        </w:rPr>
        <w:t xml:space="preserve"> Standards come definiti all’articolo 2 del regolamento (CE) n. 1606/2002 del Parlamento europeo e del Consiglio</w:t>
      </w:r>
      <w:r w:rsidRPr="004B56A9">
        <w:rPr>
          <w:vertAlign w:val="superscript"/>
        </w:rPr>
        <w:footnoteReference w:id="2"/>
      </w:r>
      <w:r w:rsidRPr="004B56A9">
        <w:rPr>
          <w:rFonts w:ascii="Times New Roman" w:hAnsi="Times New Roman"/>
          <w:color w:val="000000" w:themeColor="text1"/>
          <w:sz w:val="20"/>
        </w:rPr>
        <w:t>;</w:t>
      </w:r>
    </w:p>
    <w:p w14:paraId="49A69CA3" w14:textId="0614A4E3" w:rsidR="00B466DD" w:rsidRPr="004B56A9" w:rsidRDefault="0036168C" w:rsidP="005E775F">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“IFRS”: International Financial Reporting Standards come definiti all’articolo </w:t>
      </w:r>
      <w:proofErr w:type="gramStart"/>
      <w:r w:rsidRPr="004B56A9">
        <w:rPr>
          <w:rFonts w:ascii="Times New Roman" w:hAnsi="Times New Roman"/>
          <w:color w:val="000000" w:themeColor="text1"/>
          <w:sz w:val="20"/>
        </w:rPr>
        <w:t>2</w:t>
      </w:r>
      <w:proofErr w:type="gramEnd"/>
      <w:r w:rsidRPr="004B56A9">
        <w:rPr>
          <w:rFonts w:ascii="Times New Roman" w:hAnsi="Times New Roman"/>
          <w:color w:val="000000" w:themeColor="text1"/>
          <w:sz w:val="20"/>
        </w:rPr>
        <w:t xml:space="preserve"> del regolamento (CE) n. 1606/2002</w:t>
      </w:r>
      <w:r w:rsidRPr="004B56A9">
        <w:rPr>
          <w:rStyle w:val="FootnoteReference"/>
          <w:rFonts w:ascii="Times New Roman" w:hAnsi="Times New Roman"/>
          <w:color w:val="000000" w:themeColor="text1"/>
          <w:sz w:val="20"/>
        </w:rPr>
        <w:footnoteReference w:id="3"/>
      </w:r>
      <w:r w:rsidRPr="004B56A9">
        <w:rPr>
          <w:rFonts w:ascii="Times New Roman" w:hAnsi="Times New Roman"/>
          <w:color w:val="000000" w:themeColor="text1"/>
          <w:sz w:val="20"/>
        </w:rPr>
        <w:t>;</w:t>
      </w:r>
    </w:p>
    <w:p w14:paraId="342F17C1" w14:textId="61064B1D" w:rsidR="007D568C" w:rsidRPr="004B56A9" w:rsidRDefault="007D568C" w:rsidP="00715DA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w:t>
      </w:r>
      <w:r w:rsidR="005E775F" w:rsidRPr="004B56A9">
        <w:rPr>
          <w:rFonts w:ascii="Times New Roman" w:hAnsi="Times New Roman"/>
          <w:color w:val="000000" w:themeColor="text1"/>
          <w:sz w:val="20"/>
        </w:rPr>
        <w:t xml:space="preserve">codice </w:t>
      </w:r>
      <w:r w:rsidRPr="004B56A9">
        <w:rPr>
          <w:rFonts w:ascii="Times New Roman" w:hAnsi="Times New Roman"/>
          <w:color w:val="000000" w:themeColor="text1"/>
          <w:sz w:val="20"/>
        </w:rPr>
        <w:t xml:space="preserve">LEI”: codice identificativo dell’entità giuridica inteso a garantire l’identificazione unica e mondiale delle parti di operazioni finanziarie, proposto dal Comitato per </w:t>
      </w:r>
      <w:proofErr w:type="gramStart"/>
      <w:r w:rsidRPr="004B56A9">
        <w:rPr>
          <w:rFonts w:ascii="Times New Roman" w:hAnsi="Times New Roman"/>
          <w:color w:val="000000" w:themeColor="text1"/>
          <w:sz w:val="20"/>
        </w:rPr>
        <w:t>la stabilità finanziaria e approvato</w:t>
      </w:r>
      <w:proofErr w:type="gramEnd"/>
      <w:r w:rsidRPr="004B56A9">
        <w:rPr>
          <w:rFonts w:ascii="Times New Roman" w:hAnsi="Times New Roman"/>
          <w:color w:val="000000" w:themeColor="text1"/>
          <w:sz w:val="20"/>
        </w:rPr>
        <w:t xml:space="preserve"> dal G20. In attesa che il sistema LEI mondiale diventi pienamente operativo, codici pre-LEI sono assegnati alle controparti da un’unità operativa locale che è stata approvata dal Regulatory Oversight Committee (ROC, informazioni dettagliate sono disponibili nel seguente sito: </w:t>
      </w:r>
      <w:hyperlink r:id="rId9">
        <w:r w:rsidRPr="004B56A9">
          <w:rPr>
            <w:rStyle w:val="Hyperlink"/>
            <w:rFonts w:ascii="Times New Roman" w:hAnsi="Times New Roman"/>
            <w:color w:val="000000" w:themeColor="text1"/>
            <w:sz w:val="20"/>
          </w:rPr>
          <w:t>www.leiroc.org</w:t>
        </w:r>
      </w:hyperlink>
      <w:r w:rsidRPr="004B56A9">
        <w:rPr>
          <w:rFonts w:ascii="Times New Roman" w:hAnsi="Times New Roman"/>
          <w:color w:val="000000" w:themeColor="text1"/>
          <w:sz w:val="20"/>
        </w:rPr>
        <w:t>). Qualora per una data controparte esista un identificativo dell’entità giuridica (codice LEI), esso è utilizzato per identificarla;</w:t>
      </w:r>
    </w:p>
    <w:p w14:paraId="43464CA5" w14:textId="6C293152" w:rsidR="00B466DD" w:rsidRPr="004B56A9" w:rsidRDefault="00B466DD" w:rsidP="007C4DBB">
      <w:pPr>
        <w:pStyle w:val="ListParagraph"/>
        <w:numPr>
          <w:ilvl w:val="0"/>
          <w:numId w:val="18"/>
        </w:numPr>
        <w:ind w:left="1074"/>
        <w:jc w:val="both"/>
        <w:rPr>
          <w:rFonts w:ascii="Times New Roman" w:hAnsi="Times New Roman"/>
          <w:color w:val="000000" w:themeColor="text1"/>
          <w:sz w:val="20"/>
          <w:szCs w:val="20"/>
        </w:rPr>
      </w:pPr>
      <w:r w:rsidRPr="004B56A9">
        <w:rPr>
          <w:rFonts w:ascii="Times New Roman" w:hAnsi="Times New Roman"/>
          <w:color w:val="000000" w:themeColor="text1"/>
          <w:sz w:val="20"/>
        </w:rPr>
        <w:t xml:space="preserve">“NGAAP”: National Generally Accepted </w:t>
      </w:r>
      <w:proofErr w:type="gramStart"/>
      <w:r w:rsidRPr="004B56A9">
        <w:rPr>
          <w:rFonts w:ascii="Times New Roman" w:hAnsi="Times New Roman"/>
          <w:color w:val="000000" w:themeColor="text1"/>
          <w:sz w:val="20"/>
        </w:rPr>
        <w:t>Accounting</w:t>
      </w:r>
      <w:proofErr w:type="gramEnd"/>
      <w:r w:rsidRPr="004B56A9">
        <w:rPr>
          <w:rFonts w:ascii="Times New Roman" w:hAnsi="Times New Roman"/>
          <w:color w:val="000000" w:themeColor="text1"/>
          <w:sz w:val="20"/>
        </w:rPr>
        <w:t xml:space="preserve"> Principles (principi contabili generalmente accettati a livello nazionale), ossia le discipline contabili nazionali definite in conformità della direttiva 86/635/CEE</w:t>
      </w:r>
      <w:r w:rsidRPr="004B56A9">
        <w:rPr>
          <w:rFonts w:ascii="Times New Roman" w:hAnsi="Times New Roman"/>
          <w:color w:val="000000" w:themeColor="text1"/>
          <w:sz w:val="20"/>
          <w:vertAlign w:val="superscript"/>
        </w:rPr>
        <w:footnoteReference w:id="4"/>
      </w:r>
      <w:r w:rsidRPr="004B56A9">
        <w:rPr>
          <w:rFonts w:ascii="Times New Roman" w:hAnsi="Times New Roman"/>
          <w:color w:val="000000" w:themeColor="text1"/>
          <w:sz w:val="20"/>
        </w:rPr>
        <w:t>.</w:t>
      </w:r>
    </w:p>
    <w:p w14:paraId="06AA9354" w14:textId="77777777" w:rsidR="005E66E5" w:rsidRPr="004B56A9" w:rsidRDefault="005E66E5" w:rsidP="00FA2A1A">
      <w:pPr>
        <w:pStyle w:val="ListParagraph"/>
        <w:ind w:left="1074"/>
        <w:rPr>
          <w:rFonts w:ascii="Times New Roman" w:hAnsi="Times New Roman"/>
          <w:color w:val="000000" w:themeColor="text1"/>
          <w:sz w:val="20"/>
          <w:szCs w:val="20"/>
        </w:rPr>
      </w:pPr>
    </w:p>
    <w:p w14:paraId="31E005D7" w14:textId="09907C18" w:rsidR="002B2A61" w:rsidRPr="004B56A9"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130382"/>
      <w:r w:rsidRPr="004B56A9">
        <w:rPr>
          <w:rFonts w:ascii="Times New Roman" w:hAnsi="Times New Roman"/>
        </w:rPr>
        <w:t>Principi contabili</w:t>
      </w:r>
      <w:bookmarkEnd w:id="7"/>
      <w:bookmarkEnd w:id="8"/>
    </w:p>
    <w:p w14:paraId="7A4CD6BA" w14:textId="375E666C" w:rsidR="002B2A61" w:rsidRPr="004B56A9" w:rsidRDefault="00A75967" w:rsidP="00D52306">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Se non diversamente specificato nelle presenti istruzioni, gli enti segnalano tutti gli importi in base alla disciplina contabile applicata per la segnalazione delle informazioni finanziarie a norma degli articoli da </w:t>
      </w:r>
      <w:proofErr w:type="gramStart"/>
      <w:r w:rsidRPr="004B56A9">
        <w:rPr>
          <w:rFonts w:ascii="Times New Roman" w:hAnsi="Times New Roman"/>
          <w:sz w:val="20"/>
        </w:rPr>
        <w:t>9</w:t>
      </w:r>
      <w:proofErr w:type="gramEnd"/>
      <w:r w:rsidRPr="004B56A9">
        <w:rPr>
          <w:rFonts w:ascii="Times New Roman" w:hAnsi="Times New Roman"/>
          <w:sz w:val="20"/>
        </w:rPr>
        <w:t xml:space="preserve"> a 11 del regolamento di esecuzione (UE) n. 680/2014. L’ente che non è </w:t>
      </w:r>
      <w:proofErr w:type="gramStart"/>
      <w:r w:rsidRPr="004B56A9">
        <w:rPr>
          <w:rFonts w:ascii="Times New Roman" w:hAnsi="Times New Roman"/>
          <w:sz w:val="20"/>
        </w:rPr>
        <w:t>tenuto a</w:t>
      </w:r>
      <w:proofErr w:type="gramEnd"/>
      <w:r w:rsidRPr="004B56A9">
        <w:rPr>
          <w:rFonts w:ascii="Times New Roman" w:hAnsi="Times New Roman"/>
          <w:sz w:val="20"/>
        </w:rPr>
        <w:t xml:space="preserve"> segnalare informazioni finanziarie a norma del regolamento di esecuzione (UE) n. 680/2014 applica la propria disciplina contabile. </w:t>
      </w:r>
    </w:p>
    <w:p w14:paraId="70D6A4AA" w14:textId="3B8C1C8B" w:rsidR="002B2A61" w:rsidRPr="004B56A9"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Per gli enti che trasmettono le segnalazioni in base agli </w:t>
      </w:r>
      <w:proofErr w:type="gramStart"/>
      <w:r w:rsidRPr="004B56A9">
        <w:rPr>
          <w:rFonts w:ascii="Times New Roman" w:hAnsi="Times New Roman"/>
          <w:sz w:val="20"/>
        </w:rPr>
        <w:t>IFRS</w:t>
      </w:r>
      <w:proofErr w:type="gramEnd"/>
      <w:r w:rsidRPr="004B56A9">
        <w:rPr>
          <w:rFonts w:ascii="Times New Roman" w:hAnsi="Times New Roman"/>
          <w:sz w:val="20"/>
        </w:rPr>
        <w:t xml:space="preserve"> sono inseriti rimandi al pertinente IFRS.</w:t>
      </w:r>
    </w:p>
    <w:p w14:paraId="7577FAC7" w14:textId="4B5DFF58" w:rsidR="00D2262D" w:rsidRPr="004B56A9"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130383"/>
      <w:r w:rsidRPr="004B56A9">
        <w:rPr>
          <w:rFonts w:ascii="Times New Roman" w:hAnsi="Times New Roman"/>
        </w:rPr>
        <w:t>Ambito del consolidamento</w:t>
      </w:r>
      <w:bookmarkEnd w:id="9"/>
      <w:bookmarkEnd w:id="10"/>
    </w:p>
    <w:p w14:paraId="4891E626" w14:textId="77777777" w:rsidR="00CF3051" w:rsidRPr="004B56A9" w:rsidRDefault="00883A6B"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In funzione del modello, il presente quadro si riferisce:</w:t>
      </w:r>
    </w:p>
    <w:p w14:paraId="1498CBA0" w14:textId="3457FD38" w:rsidR="00CF3051" w:rsidRPr="004B56A9" w:rsidRDefault="00883A6B" w:rsidP="00715DAB">
      <w:pPr>
        <w:pStyle w:val="numberedparagraph"/>
        <w:numPr>
          <w:ilvl w:val="0"/>
          <w:numId w:val="39"/>
        </w:numPr>
        <w:ind w:left="717"/>
        <w:rPr>
          <w:rFonts w:ascii="Times New Roman" w:hAnsi="Times New Roman" w:cs="Times New Roman"/>
          <w:sz w:val="20"/>
          <w:szCs w:val="20"/>
        </w:rPr>
      </w:pPr>
      <w:proofErr w:type="gramStart"/>
      <w:r w:rsidRPr="004B56A9">
        <w:rPr>
          <w:rFonts w:ascii="Times New Roman" w:hAnsi="Times New Roman"/>
          <w:sz w:val="20"/>
        </w:rPr>
        <w:t>al</w:t>
      </w:r>
      <w:proofErr w:type="gramEnd"/>
      <w:r w:rsidRPr="004B56A9">
        <w:rPr>
          <w:rFonts w:ascii="Times New Roman" w:hAnsi="Times New Roman"/>
          <w:sz w:val="20"/>
        </w:rPr>
        <w:t xml:space="preserve"> consolidamento sulla base del consolidamento contabile (entità incluse nel bilancio consolidato conformemente alla disciplina contabile applicabile);</w:t>
      </w:r>
    </w:p>
    <w:p w14:paraId="505ADD91" w14:textId="79750114" w:rsidR="00CF3051" w:rsidRPr="004B56A9" w:rsidRDefault="00883A6B" w:rsidP="00715DAB">
      <w:pPr>
        <w:pStyle w:val="numberedparagraph"/>
        <w:numPr>
          <w:ilvl w:val="0"/>
          <w:numId w:val="39"/>
        </w:numPr>
        <w:ind w:left="717"/>
        <w:rPr>
          <w:rFonts w:ascii="Times New Roman" w:hAnsi="Times New Roman" w:cs="Times New Roman"/>
          <w:sz w:val="20"/>
          <w:szCs w:val="20"/>
        </w:rPr>
      </w:pPr>
      <w:r w:rsidRPr="004B56A9">
        <w:rPr>
          <w:rFonts w:ascii="Times New Roman" w:hAnsi="Times New Roman"/>
          <w:sz w:val="20"/>
        </w:rPr>
        <w:t xml:space="preserve">al consolidamento prudenziale (entità che </w:t>
      </w:r>
      <w:proofErr w:type="gramStart"/>
      <w:r w:rsidRPr="004B56A9">
        <w:rPr>
          <w:rFonts w:ascii="Times New Roman" w:hAnsi="Times New Roman"/>
          <w:sz w:val="20"/>
        </w:rPr>
        <w:t>rientrano</w:t>
      </w:r>
      <w:proofErr w:type="gramEnd"/>
      <w:r w:rsidRPr="004B56A9">
        <w:rPr>
          <w:rFonts w:ascii="Times New Roman" w:hAnsi="Times New Roman"/>
          <w:sz w:val="20"/>
        </w:rPr>
        <w:t xml:space="preserve"> nel consolidamento a norma della parte uno, titolo II, capo 2, del regolamento (UE) n. 575/2013 del Parlamento europeo e del Consiglio</w:t>
      </w:r>
      <w:r w:rsidRPr="004B56A9">
        <w:rPr>
          <w:rStyle w:val="FootnoteReference"/>
          <w:rFonts w:ascii="Times New Roman" w:hAnsi="Times New Roman"/>
          <w:color w:val="19161B"/>
          <w:sz w:val="20"/>
        </w:rPr>
        <w:footnoteReference w:id="5"/>
      </w:r>
      <w:proofErr w:type="gramStart"/>
      <w:r w:rsidRPr="004B56A9">
        <w:rPr>
          <w:rFonts w:ascii="Times New Roman" w:hAnsi="Times New Roman"/>
          <w:sz w:val="20"/>
        </w:rPr>
        <w:t xml:space="preserve">) </w:t>
      </w:r>
      <w:proofErr w:type="gramEnd"/>
      <w:r w:rsidRPr="004B56A9">
        <w:rPr>
          <w:rFonts w:ascii="Times New Roman" w:hAnsi="Times New Roman"/>
          <w:sz w:val="20"/>
        </w:rPr>
        <w:t>a livell</w:t>
      </w:r>
      <w:r w:rsidR="00FB24BC" w:rsidRPr="004B56A9">
        <w:rPr>
          <w:rFonts w:ascii="Times New Roman" w:hAnsi="Times New Roman"/>
          <w:sz w:val="20"/>
        </w:rPr>
        <w:t>o di impresa madre nell’Unione;</w:t>
      </w:r>
    </w:p>
    <w:p w14:paraId="468D3AB2" w14:textId="00C82A60" w:rsidR="00CF3051" w:rsidRPr="004B56A9" w:rsidRDefault="00883A6B" w:rsidP="00715DAB">
      <w:pPr>
        <w:pStyle w:val="numberedparagraph"/>
        <w:numPr>
          <w:ilvl w:val="0"/>
          <w:numId w:val="39"/>
        </w:numPr>
        <w:ind w:left="717"/>
        <w:rPr>
          <w:rFonts w:ascii="Times New Roman" w:hAnsi="Times New Roman" w:cs="Times New Roman"/>
          <w:sz w:val="20"/>
          <w:szCs w:val="20"/>
        </w:rPr>
      </w:pPr>
      <w:proofErr w:type="gramStart"/>
      <w:r w:rsidRPr="004B56A9">
        <w:rPr>
          <w:rFonts w:ascii="Times New Roman" w:hAnsi="Times New Roman"/>
          <w:sz w:val="20"/>
        </w:rPr>
        <w:lastRenderedPageBreak/>
        <w:t>al</w:t>
      </w:r>
      <w:proofErr w:type="gramEnd"/>
      <w:r w:rsidRPr="004B56A9">
        <w:rPr>
          <w:rFonts w:ascii="Times New Roman" w:hAnsi="Times New Roman"/>
          <w:sz w:val="20"/>
        </w:rPr>
        <w:t xml:space="preserve"> consolidamento a livello dell’entità di risoluzione per il gruppo di risoluzione.</w:t>
      </w:r>
    </w:p>
    <w:p w14:paraId="581D3905" w14:textId="78D1FB51" w:rsidR="00883A6B" w:rsidRPr="004B56A9" w:rsidRDefault="009E43E8" w:rsidP="003E2EE0">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Per ciascun modello, gli enti si attengono </w:t>
      </w:r>
      <w:proofErr w:type="gramStart"/>
      <w:r w:rsidRPr="004B56A9">
        <w:rPr>
          <w:rFonts w:ascii="Times New Roman" w:hAnsi="Times New Roman"/>
          <w:sz w:val="20"/>
        </w:rPr>
        <w:t>alla o alle basi</w:t>
      </w:r>
      <w:proofErr w:type="gramEnd"/>
      <w:r w:rsidRPr="004B56A9">
        <w:rPr>
          <w:rFonts w:ascii="Times New Roman" w:hAnsi="Times New Roman"/>
          <w:sz w:val="20"/>
        </w:rPr>
        <w:t xml:space="preserve"> di consolidamento applicabili ai sensi dell’articolo 4 del presente regolamento.</w:t>
      </w:r>
    </w:p>
    <w:p w14:paraId="34350B9D" w14:textId="05157DEB" w:rsidR="0028403B" w:rsidRPr="004B56A9"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130384"/>
      <w:r w:rsidRPr="004B56A9">
        <w:rPr>
          <w:rFonts w:ascii="Times New Roman" w:hAnsi="Times New Roman"/>
        </w:rPr>
        <w:t>Numerazione e altre convenzioni</w:t>
      </w:r>
      <w:bookmarkEnd w:id="11"/>
      <w:bookmarkEnd w:id="12"/>
    </w:p>
    <w:p w14:paraId="4133188B" w14:textId="3EFF646D" w:rsidR="00863EFA" w:rsidRPr="004B56A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Per indicare le colonne, le righe e le celle dei modelli, le presenti istruzioni si attengono alla convenzione di etichettatura di seguito illustrata. Questi codici numerici sono ampiamente utilizzati nelle norme di convalida.</w:t>
      </w:r>
    </w:p>
    <w:p w14:paraId="6041582D" w14:textId="7D9A7B5E" w:rsidR="00863EFA" w:rsidRPr="004B56A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Per indicare le colonne, le righe e le celle di un modello si applica il seguente schema di annotazione generale: {modello</w:t>
      </w:r>
      <w:proofErr w:type="gramStart"/>
      <w:r w:rsidRPr="004B56A9">
        <w:rPr>
          <w:rFonts w:ascii="Times New Roman" w:hAnsi="Times New Roman"/>
          <w:sz w:val="20"/>
        </w:rPr>
        <w:t>;</w:t>
      </w:r>
      <w:proofErr w:type="gramEnd"/>
      <w:r w:rsidRPr="004B56A9">
        <w:rPr>
          <w:rFonts w:ascii="Times New Roman" w:hAnsi="Times New Roman"/>
          <w:sz w:val="20"/>
        </w:rPr>
        <w:t>riga;colonna}.</w:t>
      </w:r>
    </w:p>
    <w:p w14:paraId="45E0925C" w14:textId="423031C2" w:rsidR="00863EFA" w:rsidRPr="004B56A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Per le convalide all’interno di un modello in cui sono utilizzati soltanto punti di dati del modello stesso, le annotazioni non contengono l’indicazione del modello: {riga</w:t>
      </w:r>
      <w:proofErr w:type="gramStart"/>
      <w:r w:rsidRPr="004B56A9">
        <w:rPr>
          <w:rFonts w:ascii="Times New Roman" w:hAnsi="Times New Roman"/>
          <w:sz w:val="20"/>
        </w:rPr>
        <w:t>;</w:t>
      </w:r>
      <w:proofErr w:type="gramEnd"/>
      <w:r w:rsidRPr="004B56A9">
        <w:rPr>
          <w:rFonts w:ascii="Times New Roman" w:hAnsi="Times New Roman"/>
          <w:sz w:val="20"/>
        </w:rPr>
        <w:t>colonna}.</w:t>
      </w:r>
    </w:p>
    <w:p w14:paraId="535BAF5C" w14:textId="7DDF4457" w:rsidR="00863EFA" w:rsidRPr="004B56A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Nei modelli con una sola colonna, sono indicate soltanto le righe: {modello</w:t>
      </w:r>
      <w:proofErr w:type="gramStart"/>
      <w:r w:rsidRPr="004B56A9">
        <w:rPr>
          <w:rFonts w:ascii="Times New Roman" w:hAnsi="Times New Roman"/>
          <w:sz w:val="20"/>
        </w:rPr>
        <w:t>;</w:t>
      </w:r>
      <w:proofErr w:type="gramEnd"/>
      <w:r w:rsidRPr="004B56A9">
        <w:rPr>
          <w:rFonts w:ascii="Times New Roman" w:hAnsi="Times New Roman"/>
          <w:sz w:val="20"/>
        </w:rPr>
        <w:t>riga}.</w:t>
      </w:r>
    </w:p>
    <w:p w14:paraId="7F633163" w14:textId="77777777" w:rsidR="00863EFA" w:rsidRPr="004B56A9"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Un asterisco segnala che la convalida è effettuata per le righe o le colonne specificate in precedenza.</w:t>
      </w:r>
    </w:p>
    <w:p w14:paraId="3CAD5361" w14:textId="2CF1A2DD" w:rsidR="00E857A0" w:rsidRPr="004B56A9" w:rsidRDefault="00B343C7"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Quando un elemento </w:t>
      </w:r>
      <w:proofErr w:type="gramStart"/>
      <w:r w:rsidRPr="004B56A9">
        <w:rPr>
          <w:rFonts w:ascii="Times New Roman" w:hAnsi="Times New Roman"/>
          <w:sz w:val="20"/>
        </w:rPr>
        <w:t xml:space="preserve">di </w:t>
      </w:r>
      <w:proofErr w:type="gramEnd"/>
      <w:r w:rsidRPr="004B56A9">
        <w:rPr>
          <w:rFonts w:ascii="Times New Roman" w:hAnsi="Times New Roman"/>
          <w:sz w:val="20"/>
        </w:rPr>
        <w:t>informazione non è pertinente per le entità oggetto della segnalazione, il campo corrispondente è lasciato in bianco.</w:t>
      </w:r>
    </w:p>
    <w:p w14:paraId="35E7F173" w14:textId="777B1D4E" w:rsidR="00E108B3" w:rsidRPr="004B56A9" w:rsidRDefault="00E108B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Laddove le presenti istruzioni si riferiscono a una chiave primaria, </w:t>
      </w:r>
      <w:proofErr w:type="gramStart"/>
      <w:r w:rsidRPr="004B56A9">
        <w:rPr>
          <w:rFonts w:ascii="Times New Roman" w:hAnsi="Times New Roman"/>
          <w:sz w:val="20"/>
        </w:rPr>
        <w:t xml:space="preserve">si </w:t>
      </w:r>
      <w:proofErr w:type="gramEnd"/>
      <w:r w:rsidRPr="004B56A9">
        <w:rPr>
          <w:rFonts w:ascii="Times New Roman" w:hAnsi="Times New Roman"/>
          <w:sz w:val="20"/>
        </w:rPr>
        <w:t>intende una colonna o la combinazione di colonne destinata a identificare in modo univoco tutte le righe del modello. La chiave primaria contiene un valore unico per ciascuna riga del modello. Non può contenere un valore nullo.</w:t>
      </w:r>
    </w:p>
    <w:p w14:paraId="5E9FC945" w14:textId="1928A72E" w:rsidR="001E5EDF" w:rsidRPr="004B56A9" w:rsidRDefault="001E5EDF" w:rsidP="00FE7343">
      <w:pPr>
        <w:pStyle w:val="Instructionsberschrift2"/>
        <w:numPr>
          <w:ilvl w:val="0"/>
          <w:numId w:val="7"/>
        </w:numPr>
        <w:spacing w:after="120"/>
        <w:ind w:left="357" w:hanging="357"/>
        <w:rPr>
          <w:rFonts w:ascii="Times New Roman" w:hAnsi="Times New Roman" w:cs="Times New Roman"/>
          <w:szCs w:val="20"/>
        </w:rPr>
      </w:pPr>
      <w:bookmarkStart w:id="13" w:name="_Toc492542319"/>
      <w:bookmarkStart w:id="14" w:name="_Toc509909038"/>
      <w:bookmarkStart w:id="15" w:name="_Toc525130385"/>
      <w:r w:rsidRPr="004B56A9">
        <w:rPr>
          <w:rFonts w:ascii="Times New Roman" w:hAnsi="Times New Roman"/>
        </w:rPr>
        <w:t xml:space="preserve">Istruzioni </w:t>
      </w:r>
      <w:proofErr w:type="gramStart"/>
      <w:r w:rsidRPr="004B56A9">
        <w:rPr>
          <w:rFonts w:ascii="Times New Roman" w:hAnsi="Times New Roman"/>
        </w:rPr>
        <w:t>relative ai</w:t>
      </w:r>
      <w:proofErr w:type="gramEnd"/>
      <w:r w:rsidRPr="004B56A9">
        <w:rPr>
          <w:rFonts w:ascii="Times New Roman" w:hAnsi="Times New Roman"/>
        </w:rPr>
        <w:t xml:space="preserve"> modelli</w:t>
      </w:r>
      <w:bookmarkEnd w:id="13"/>
      <w:bookmarkEnd w:id="14"/>
      <w:bookmarkEnd w:id="15"/>
    </w:p>
    <w:p w14:paraId="1DE65356" w14:textId="7EC0C45B" w:rsidR="00E13CE3" w:rsidRPr="004B56A9" w:rsidRDefault="00F7117F" w:rsidP="00FE7343">
      <w:pPr>
        <w:pStyle w:val="Instructionsberschrift2"/>
        <w:numPr>
          <w:ilvl w:val="1"/>
          <w:numId w:val="7"/>
        </w:numPr>
        <w:spacing w:after="120"/>
        <w:ind w:left="357" w:hanging="357"/>
        <w:rPr>
          <w:rFonts w:ascii="Times New Roman" w:hAnsi="Times New Roman" w:cs="Times New Roman"/>
          <w:szCs w:val="20"/>
        </w:rPr>
      </w:pPr>
      <w:bookmarkStart w:id="16" w:name="_Toc493236007"/>
      <w:bookmarkStart w:id="17" w:name="_Toc509909039"/>
      <w:bookmarkStart w:id="18" w:name="_Toc525130386"/>
      <w:bookmarkEnd w:id="16"/>
      <w:r w:rsidRPr="004B56A9">
        <w:rPr>
          <w:rFonts w:ascii="Times New Roman" w:hAnsi="Times New Roman"/>
        </w:rPr>
        <w:t>Z 01.00 - Struttura organizzativa (ORG)</w:t>
      </w:r>
      <w:bookmarkEnd w:id="17"/>
      <w:bookmarkEnd w:id="18"/>
    </w:p>
    <w:p w14:paraId="2817BCF8" w14:textId="77777777" w:rsidR="00E13CE3" w:rsidRPr="004B56A9" w:rsidRDefault="00E13CE3" w:rsidP="00FE7343">
      <w:pPr>
        <w:pStyle w:val="Instructionsberschrift3"/>
        <w:spacing w:after="120"/>
      </w:pPr>
      <w:r w:rsidRPr="004B56A9">
        <w:t>Osservazioni di carattere generale</w:t>
      </w:r>
    </w:p>
    <w:p w14:paraId="189617E2" w14:textId="70CF0144" w:rsidR="00273F69" w:rsidRPr="004B56A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Questo modello presenta una panoramica della struttura giuridica e dell’assetto proprietario del gruppo. È presentato un unico modello per tutte le entità del gruppo che soddisfano la soglia minima fissata all’articolo </w:t>
      </w:r>
      <w:proofErr w:type="gramStart"/>
      <w:r w:rsidRPr="004B56A9">
        <w:rPr>
          <w:rFonts w:ascii="Times New Roman" w:hAnsi="Times New Roman"/>
          <w:sz w:val="20"/>
        </w:rPr>
        <w:t>4</w:t>
      </w:r>
      <w:proofErr w:type="gramEnd"/>
      <w:r w:rsidRPr="004B56A9">
        <w:rPr>
          <w:rFonts w:ascii="Times New Roman" w:hAnsi="Times New Roman"/>
          <w:sz w:val="20"/>
        </w:rPr>
        <w:t xml:space="preserve">, paragrafo 2, lettera a), del presente regolamento. In questo modello sono individuate solo entità giuridiche. </w:t>
      </w:r>
    </w:p>
    <w:p w14:paraId="5CAD3AC4" w14:textId="75D4E77B" w:rsidR="00E13CE3" w:rsidRPr="004B56A9" w:rsidRDefault="00AF189E" w:rsidP="00FE7343">
      <w:pPr>
        <w:pStyle w:val="Instructionsberschrift3"/>
        <w:spacing w:after="0"/>
      </w:pPr>
      <w:r w:rsidRPr="004B56A9">
        <w:t xml:space="preserve">Istruzioni </w:t>
      </w:r>
      <w:proofErr w:type="gramStart"/>
      <w:r w:rsidRPr="004B56A9">
        <w:t>relative a</w:t>
      </w:r>
      <w:proofErr w:type="gramEnd"/>
      <w:r w:rsidRPr="004B56A9">
        <w:t xml:space="preserve"> posizioni specifiche</w:t>
      </w:r>
    </w:p>
    <w:p w14:paraId="7CB4493E" w14:textId="77777777" w:rsidR="00E13CE3" w:rsidRPr="004B56A9"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88"/>
        <w:gridCol w:w="8295"/>
      </w:tblGrid>
      <w:tr w:rsidR="00D22EB0" w:rsidRPr="004B56A9" w14:paraId="2F4285B1"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2B6AB9C6" w14:textId="77777777" w:rsidR="00E13CE3" w:rsidRPr="004B56A9" w:rsidRDefault="00E13CE3" w:rsidP="008017B4">
            <w:pPr>
              <w:pStyle w:val="TableParagraph"/>
              <w:spacing w:before="66"/>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Colonne</w:t>
            </w:r>
          </w:p>
        </w:tc>
        <w:tc>
          <w:tcPr>
            <w:tcW w:w="0" w:type="auto"/>
            <w:tcBorders>
              <w:top w:val="single" w:sz="4" w:space="0" w:color="1A171C"/>
              <w:left w:val="single" w:sz="4" w:space="0" w:color="1A171C"/>
              <w:bottom w:val="single" w:sz="4" w:space="0" w:color="1A171C"/>
              <w:right w:val="nil"/>
            </w:tcBorders>
            <w:shd w:val="clear" w:color="auto" w:fill="E4E5E5"/>
          </w:tcPr>
          <w:p w14:paraId="3865AA49" w14:textId="77777777" w:rsidR="00E13CE3" w:rsidRPr="004B56A9"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1"/>
                <w:w w:val="90"/>
                <w:sz w:val="20"/>
              </w:rPr>
              <w:t>Istruzioni</w:t>
            </w:r>
          </w:p>
        </w:tc>
      </w:tr>
      <w:tr w:rsidR="00D22EB0" w:rsidRPr="004B56A9" w14:paraId="1A6DF75A" w14:textId="77777777" w:rsidTr="0036322A">
        <w:tc>
          <w:tcPr>
            <w:tcW w:w="0" w:type="auto"/>
            <w:tcBorders>
              <w:top w:val="single" w:sz="4" w:space="0" w:color="1A171C"/>
              <w:left w:val="nil"/>
              <w:bottom w:val="single" w:sz="4" w:space="0" w:color="1A171C"/>
              <w:right w:val="single" w:sz="4" w:space="0" w:color="1A171C"/>
            </w:tcBorders>
          </w:tcPr>
          <w:p w14:paraId="260FA29B" w14:textId="39DF0F17" w:rsidR="00E13CE3" w:rsidRPr="004B56A9"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4B56A9">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14:paraId="40DDDCD7" w14:textId="09A48741" w:rsidR="007D6F7E" w:rsidRPr="004B56A9" w:rsidRDefault="00834EF1" w:rsidP="00FE7343">
            <w:pPr>
              <w:pStyle w:val="TableParagraph"/>
              <w:spacing w:before="120"/>
              <w:ind w:left="85"/>
              <w:rPr>
                <w:rFonts w:ascii="Times New Roman" w:hAnsi="Times New Roman" w:cs="Times New Roman"/>
                <w:b/>
                <w:color w:val="000000" w:themeColor="text1"/>
                <w:spacing w:val="-1"/>
                <w:w w:val="95"/>
                <w:sz w:val="20"/>
                <w:szCs w:val="20"/>
              </w:rPr>
            </w:pPr>
            <w:r w:rsidRPr="004B56A9">
              <w:rPr>
                <w:rFonts w:ascii="Times New Roman" w:hAnsi="Times New Roman"/>
                <w:b/>
                <w:color w:val="000000" w:themeColor="text1"/>
                <w:spacing w:val="-1"/>
                <w:w w:val="95"/>
                <w:sz w:val="20"/>
              </w:rPr>
              <w:t>Entità</w:t>
            </w:r>
          </w:p>
        </w:tc>
      </w:tr>
      <w:tr w:rsidR="00D22EB0" w:rsidRPr="004B56A9" w14:paraId="4CF2AF7C" w14:textId="77777777" w:rsidTr="0036322A">
        <w:tc>
          <w:tcPr>
            <w:tcW w:w="0" w:type="auto"/>
            <w:tcBorders>
              <w:top w:val="single" w:sz="4" w:space="0" w:color="1A171C"/>
              <w:left w:val="nil"/>
              <w:bottom w:val="single" w:sz="4" w:space="0" w:color="1A171C"/>
              <w:right w:val="single" w:sz="4" w:space="0" w:color="1A171C"/>
            </w:tcBorders>
          </w:tcPr>
          <w:p w14:paraId="07B709F8" w14:textId="4A43BE26" w:rsidR="00E13CE3" w:rsidRPr="004B56A9" w:rsidRDefault="00E13CE3" w:rsidP="001E5EDF">
            <w:pPr>
              <w:pStyle w:val="TableParagraph"/>
              <w:spacing w:before="106"/>
              <w:ind w:left="-1"/>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14:paraId="1D85D283" w14:textId="77777777" w:rsidR="00E13CE3" w:rsidRPr="004B56A9" w:rsidRDefault="00E13CE3" w:rsidP="001E5EDF">
            <w:pPr>
              <w:pStyle w:val="TableParagraph"/>
              <w:spacing w:before="108"/>
              <w:ind w:left="85"/>
              <w:rPr>
                <w:rFonts w:ascii="Times New Roman" w:hAnsi="Times New Roman" w:cs="Times New Roman"/>
                <w:b/>
                <w:color w:val="000000" w:themeColor="text1"/>
                <w:w w:val="95"/>
                <w:sz w:val="20"/>
                <w:szCs w:val="20"/>
              </w:rPr>
            </w:pPr>
            <w:r w:rsidRPr="004B56A9">
              <w:rPr>
                <w:rFonts w:ascii="Times New Roman" w:hAnsi="Times New Roman"/>
                <w:b/>
                <w:color w:val="000000" w:themeColor="text1"/>
                <w:w w:val="95"/>
                <w:sz w:val="20"/>
              </w:rPr>
              <w:t>Nome</w:t>
            </w:r>
          </w:p>
          <w:p w14:paraId="14063382" w14:textId="31AD64EB" w:rsidR="007D6F7E" w:rsidRPr="004B56A9"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4B56A9">
              <w:rPr>
                <w:rFonts w:ascii="Times New Roman" w:hAnsi="Times New Roman"/>
                <w:color w:val="000000" w:themeColor="text1"/>
                <w:sz w:val="20"/>
              </w:rPr>
              <w:t xml:space="preserve">Il nome dell’entità. Nome ufficiale come </w:t>
            </w:r>
            <w:proofErr w:type="gramStart"/>
            <w:r w:rsidRPr="004B56A9">
              <w:rPr>
                <w:rFonts w:ascii="Times New Roman" w:hAnsi="Times New Roman"/>
                <w:color w:val="000000" w:themeColor="text1"/>
                <w:sz w:val="20"/>
              </w:rPr>
              <w:t>risulta</w:t>
            </w:r>
            <w:proofErr w:type="gramEnd"/>
            <w:r w:rsidRPr="004B56A9">
              <w:rPr>
                <w:rFonts w:ascii="Times New Roman" w:hAnsi="Times New Roman"/>
                <w:color w:val="000000" w:themeColor="text1"/>
                <w:sz w:val="20"/>
              </w:rPr>
              <w:t xml:space="preserve"> dagli atti societari, compresa l’indicazione della forma giuridica.</w:t>
            </w:r>
          </w:p>
        </w:tc>
      </w:tr>
      <w:tr w:rsidR="00D22EB0" w:rsidRPr="004B56A9" w14:paraId="167D674A" w14:textId="77777777" w:rsidTr="0036322A">
        <w:tc>
          <w:tcPr>
            <w:tcW w:w="0" w:type="auto"/>
            <w:tcBorders>
              <w:top w:val="single" w:sz="4" w:space="0" w:color="1A171C"/>
              <w:left w:val="nil"/>
              <w:bottom w:val="single" w:sz="4" w:space="0" w:color="1A171C"/>
              <w:right w:val="single" w:sz="4" w:space="0" w:color="1A171C"/>
            </w:tcBorders>
          </w:tcPr>
          <w:p w14:paraId="1542F6CD" w14:textId="00AF57C6" w:rsidR="00E13CE3" w:rsidRPr="004B56A9" w:rsidRDefault="00E13CE3"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14:paraId="32C496A5" w14:textId="77777777" w:rsidR="00E13CE3" w:rsidRPr="004B56A9" w:rsidRDefault="009651A7" w:rsidP="00AF189E">
            <w:pPr>
              <w:pStyle w:val="TableParagraph"/>
              <w:spacing w:before="108"/>
              <w:ind w:left="85"/>
              <w:rPr>
                <w:rFonts w:ascii="Times New Roman" w:hAnsi="Times New Roman" w:cs="Times New Roman"/>
                <w:b/>
                <w:color w:val="000000" w:themeColor="text1"/>
                <w:w w:val="95"/>
                <w:sz w:val="20"/>
                <w:szCs w:val="20"/>
              </w:rPr>
            </w:pPr>
            <w:r w:rsidRPr="004B56A9">
              <w:rPr>
                <w:rFonts w:ascii="Times New Roman" w:hAnsi="Times New Roman"/>
                <w:b/>
                <w:color w:val="000000" w:themeColor="text1"/>
                <w:w w:val="95"/>
                <w:sz w:val="20"/>
              </w:rPr>
              <w:t>Codice</w:t>
            </w:r>
          </w:p>
          <w:p w14:paraId="346D2622" w14:textId="0424AA90" w:rsidR="00C64A45" w:rsidRPr="004B56A9"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dell’entità. Per gli enti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Per le altre entità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o, in sua mancanza, di un codice di un sistema di codifica uniforme applicabile nell’Unione ovvero, in sua mancanza, di un codice nazionale.</w:t>
            </w:r>
          </w:p>
          <w:p w14:paraId="4502C647" w14:textId="180D444C" w:rsidR="004C0A59" w:rsidRPr="004B56A9"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è unico e utilizzato in modo coerente in tutti i modelli. Il codice deve sempre contenere un valore.</w:t>
            </w:r>
          </w:p>
        </w:tc>
      </w:tr>
      <w:tr w:rsidR="00D22EB0" w:rsidRPr="004B56A9" w14:paraId="2D746969" w14:textId="77777777" w:rsidTr="0036322A">
        <w:tc>
          <w:tcPr>
            <w:tcW w:w="0" w:type="auto"/>
            <w:tcBorders>
              <w:top w:val="single" w:sz="4" w:space="0" w:color="1A171C"/>
              <w:left w:val="nil"/>
              <w:bottom w:val="single" w:sz="4" w:space="0" w:color="1A171C"/>
              <w:right w:val="single" w:sz="4" w:space="0" w:color="1A171C"/>
            </w:tcBorders>
          </w:tcPr>
          <w:p w14:paraId="63F03F06" w14:textId="685863ED" w:rsidR="00E13CE3" w:rsidRPr="004B56A9" w:rsidRDefault="00E13CE3" w:rsidP="001E5EDF">
            <w:pPr>
              <w:pStyle w:val="TableParagraph"/>
              <w:spacing w:before="106"/>
              <w:ind w:left="-1"/>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14:paraId="12AEAB6A" w14:textId="25C2BB68" w:rsidR="00E13CE3" w:rsidRPr="004B56A9"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4B56A9">
              <w:rPr>
                <w:rFonts w:ascii="Times New Roman" w:hAnsi="Times New Roman"/>
                <w:b/>
                <w:color w:val="000000" w:themeColor="text1"/>
                <w:spacing w:val="-2"/>
                <w:w w:val="95"/>
                <w:sz w:val="20"/>
              </w:rPr>
              <w:t>Codice LEI</w:t>
            </w:r>
          </w:p>
          <w:p w14:paraId="67D6908D" w14:textId="4A657A68" w:rsidR="00E13CE3" w:rsidRPr="004B56A9"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2"/>
                <w:sz w:val="20"/>
              </w:rPr>
              <w:t xml:space="preserve">Se esiste, il codice LEI alfanumerico a </w:t>
            </w:r>
            <w:proofErr w:type="gramStart"/>
            <w:r w:rsidRPr="004B56A9">
              <w:rPr>
                <w:rFonts w:ascii="Times New Roman" w:hAnsi="Times New Roman"/>
                <w:color w:val="000000" w:themeColor="text1"/>
                <w:spacing w:val="-2"/>
                <w:sz w:val="20"/>
              </w:rPr>
              <w:t>20</w:t>
            </w:r>
            <w:proofErr w:type="gramEnd"/>
            <w:r w:rsidRPr="004B56A9">
              <w:rPr>
                <w:rFonts w:ascii="Times New Roman" w:hAnsi="Times New Roman"/>
                <w:color w:val="000000" w:themeColor="text1"/>
                <w:spacing w:val="-2"/>
                <w:sz w:val="20"/>
              </w:rPr>
              <w:t xml:space="preserve"> cifre dell’entità.</w:t>
            </w:r>
          </w:p>
        </w:tc>
      </w:tr>
      <w:tr w:rsidR="00D22EB0" w:rsidRPr="004B56A9" w14:paraId="57E2DA5E" w14:textId="77777777" w:rsidTr="0036322A">
        <w:tc>
          <w:tcPr>
            <w:tcW w:w="0" w:type="auto"/>
            <w:tcBorders>
              <w:top w:val="single" w:sz="4" w:space="0" w:color="1A171C"/>
              <w:left w:val="nil"/>
              <w:bottom w:val="single" w:sz="4" w:space="0" w:color="1A171C"/>
              <w:right w:val="single" w:sz="4" w:space="0" w:color="1A171C"/>
            </w:tcBorders>
          </w:tcPr>
          <w:p w14:paraId="77CD0BEC" w14:textId="42A84D22" w:rsidR="00E13CE3" w:rsidRPr="004B56A9" w:rsidRDefault="00E13CE3"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lastRenderedPageBreak/>
              <w:t>0040</w:t>
            </w:r>
          </w:p>
        </w:tc>
        <w:tc>
          <w:tcPr>
            <w:tcW w:w="0" w:type="auto"/>
            <w:tcBorders>
              <w:top w:val="single" w:sz="4" w:space="0" w:color="1A171C"/>
              <w:left w:val="single" w:sz="4" w:space="0" w:color="1A171C"/>
              <w:bottom w:val="single" w:sz="4" w:space="0" w:color="1A171C"/>
              <w:right w:val="nil"/>
            </w:tcBorders>
          </w:tcPr>
          <w:p w14:paraId="104F5B71" w14:textId="77777777" w:rsidR="00E13CE3" w:rsidRPr="004B56A9"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4B56A9">
              <w:rPr>
                <w:rFonts w:ascii="Times New Roman" w:hAnsi="Times New Roman"/>
                <w:b/>
                <w:color w:val="000000" w:themeColor="text1"/>
                <w:spacing w:val="-1"/>
                <w:w w:val="90"/>
                <w:sz w:val="20"/>
              </w:rPr>
              <w:t>Tipo di entità</w:t>
            </w:r>
          </w:p>
          <w:p w14:paraId="25544F5F" w14:textId="64AC7550" w:rsidR="00E13CE3" w:rsidRPr="004B56A9"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4B56A9">
              <w:rPr>
                <w:rFonts w:ascii="Times New Roman" w:hAnsi="Times New Roman"/>
                <w:color w:val="000000" w:themeColor="text1"/>
                <w:spacing w:val="-1"/>
                <w:w w:val="90"/>
                <w:sz w:val="20"/>
              </w:rPr>
              <w:t>L’entità può essere dei seguenti tipi, in ordine successivo di priorità:</w:t>
            </w:r>
          </w:p>
          <w:p w14:paraId="1DF8CA7F" w14:textId="77777777" w:rsidR="004E4AD0" w:rsidRPr="004B56A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“ente creditizio”</w:t>
            </w:r>
          </w:p>
          <w:p w14:paraId="56A823F4" w14:textId="4013C057" w:rsidR="00EE1625" w:rsidRPr="004B56A9" w:rsidRDefault="004E4AD0" w:rsidP="00FB1871">
            <w:pPr>
              <w:pStyle w:val="TableParagraph"/>
              <w:spacing w:before="108"/>
              <w:ind w:left="445"/>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Rientrano in questa categoria gli enti creditizi quali definiti all’articolo </w:t>
            </w:r>
            <w:proofErr w:type="gramStart"/>
            <w:r w:rsidRPr="004B56A9">
              <w:rPr>
                <w:rFonts w:ascii="Times New Roman" w:hAnsi="Times New Roman"/>
                <w:color w:val="000000" w:themeColor="text1"/>
                <w:sz w:val="20"/>
              </w:rPr>
              <w:t>4</w:t>
            </w:r>
            <w:proofErr w:type="gramEnd"/>
            <w:r w:rsidRPr="004B56A9">
              <w:rPr>
                <w:rFonts w:ascii="Times New Roman" w:hAnsi="Times New Roman"/>
                <w:color w:val="000000" w:themeColor="text1"/>
                <w:sz w:val="20"/>
              </w:rPr>
              <w:t>, paragrafo 1, punto 1, del regolamento (UE) n. 575/2013, ad eccezione delle entità di cui all’articolo 2, paragrafo 5, della direttiva 2013/36/UE</w:t>
            </w:r>
            <w:r w:rsidRPr="004B56A9">
              <w:rPr>
                <w:rStyle w:val="FootnoteReference"/>
                <w:color w:val="000000" w:themeColor="text1"/>
              </w:rPr>
              <w:footnoteReference w:id="6"/>
            </w:r>
            <w:r w:rsidRPr="004B56A9">
              <w:rPr>
                <w:rFonts w:ascii="Times New Roman" w:hAnsi="Times New Roman"/>
                <w:color w:val="000000" w:themeColor="text1"/>
                <w:sz w:val="20"/>
              </w:rPr>
              <w:t xml:space="preserve"> </w:t>
            </w:r>
          </w:p>
          <w:p w14:paraId="10DA9575" w14:textId="50C6B14E" w:rsidR="00761ED3" w:rsidRPr="004B56A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“impresa </w:t>
            </w:r>
            <w:proofErr w:type="gramStart"/>
            <w:r w:rsidRPr="004B56A9">
              <w:rPr>
                <w:rFonts w:ascii="Times New Roman" w:hAnsi="Times New Roman"/>
                <w:color w:val="000000" w:themeColor="text1"/>
                <w:sz w:val="20"/>
              </w:rPr>
              <w:t xml:space="preserve">di </w:t>
            </w:r>
            <w:proofErr w:type="gramEnd"/>
            <w:r w:rsidRPr="004B56A9">
              <w:rPr>
                <w:rFonts w:ascii="Times New Roman" w:hAnsi="Times New Roman"/>
                <w:color w:val="000000" w:themeColor="text1"/>
                <w:sz w:val="20"/>
              </w:rPr>
              <w:t>investimento soggetta al requisito relativo al capitale iniziale stabilito all’articolo 28, paragrafo 2, della direttiva 2013/36/UE”</w:t>
            </w:r>
          </w:p>
          <w:p w14:paraId="460EFB01" w14:textId="45669128" w:rsidR="00EE1625" w:rsidRPr="004B56A9" w:rsidRDefault="004E4AD0" w:rsidP="00761ED3">
            <w:pPr>
              <w:pStyle w:val="TableParagraph"/>
              <w:spacing w:before="108"/>
              <w:ind w:left="445"/>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Rientrano in questa categoria le imprese </w:t>
            </w:r>
            <w:proofErr w:type="gramStart"/>
            <w:r w:rsidRPr="004B56A9">
              <w:rPr>
                <w:rFonts w:ascii="Times New Roman" w:hAnsi="Times New Roman"/>
                <w:color w:val="000000" w:themeColor="text1"/>
                <w:sz w:val="20"/>
              </w:rPr>
              <w:t xml:space="preserve">di </w:t>
            </w:r>
            <w:proofErr w:type="gramEnd"/>
            <w:r w:rsidRPr="004B56A9">
              <w:rPr>
                <w:rFonts w:ascii="Times New Roman" w:hAnsi="Times New Roman"/>
                <w:color w:val="000000" w:themeColor="text1"/>
                <w:sz w:val="20"/>
              </w:rPr>
              <w:t>investimento quali definite all’articolo 4, paragrafo 1, punto 2, del regolamento (UE) n. 575/2013 soggette al requisito relativo al capitale iniziale stabilito all’articolo 28, paragrafo 2, della direttiva 2013/36/UE</w:t>
            </w:r>
          </w:p>
          <w:p w14:paraId="1F8D0FA1" w14:textId="1277EF75" w:rsidR="009B13D7" w:rsidRPr="004B56A9"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“impresa </w:t>
            </w:r>
            <w:proofErr w:type="gramStart"/>
            <w:r w:rsidRPr="004B56A9">
              <w:rPr>
                <w:rFonts w:ascii="Times New Roman" w:hAnsi="Times New Roman"/>
                <w:color w:val="000000" w:themeColor="text1"/>
                <w:sz w:val="20"/>
              </w:rPr>
              <w:t xml:space="preserve">di </w:t>
            </w:r>
            <w:proofErr w:type="gramEnd"/>
            <w:r w:rsidRPr="004B56A9">
              <w:rPr>
                <w:rFonts w:ascii="Times New Roman" w:hAnsi="Times New Roman"/>
                <w:color w:val="000000" w:themeColor="text1"/>
                <w:sz w:val="20"/>
              </w:rPr>
              <w:t>investimento non soggetta al requisito relativo al capitale iniziale stabilito all’articolo 28, paragrafo 2, della direttiva 2013/36/UE”</w:t>
            </w:r>
          </w:p>
          <w:p w14:paraId="260787C4" w14:textId="63D2F5D4" w:rsidR="00761ED3" w:rsidRPr="004B56A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“ente finanziario”</w:t>
            </w:r>
          </w:p>
          <w:p w14:paraId="2EB9AA76" w14:textId="3608D6B4" w:rsidR="002472D0" w:rsidRPr="004B56A9" w:rsidRDefault="00377E0E" w:rsidP="00761ED3">
            <w:pPr>
              <w:pStyle w:val="TableParagraph"/>
              <w:spacing w:before="108"/>
              <w:ind w:left="445"/>
              <w:rPr>
                <w:rFonts w:ascii="Times New Roman" w:hAnsi="Times New Roman" w:cs="Times New Roman"/>
                <w:color w:val="000000" w:themeColor="text1"/>
                <w:sz w:val="20"/>
                <w:szCs w:val="20"/>
              </w:rPr>
            </w:pPr>
            <w:r w:rsidRPr="004B56A9">
              <w:rPr>
                <w:rFonts w:ascii="Times New Roman" w:hAnsi="Times New Roman"/>
                <w:color w:val="000000" w:themeColor="text1"/>
                <w:sz w:val="20"/>
              </w:rPr>
              <w:t>Rientrano in questa categoria gli enti finanziari quali definiti all’articolo </w:t>
            </w:r>
            <w:proofErr w:type="gramStart"/>
            <w:r w:rsidRPr="004B56A9">
              <w:rPr>
                <w:rFonts w:ascii="Times New Roman" w:hAnsi="Times New Roman"/>
                <w:color w:val="000000" w:themeColor="text1"/>
                <w:sz w:val="20"/>
              </w:rPr>
              <w:t>4</w:t>
            </w:r>
            <w:proofErr w:type="gramEnd"/>
            <w:r w:rsidRPr="004B56A9">
              <w:rPr>
                <w:rFonts w:ascii="Times New Roman" w:hAnsi="Times New Roman"/>
                <w:color w:val="000000" w:themeColor="text1"/>
                <w:sz w:val="20"/>
              </w:rPr>
              <w:t>, paragrafo 1, punto 26, del regolamento (UE) n. 575/2013, diversi da quelli classificati come “società di partecipazione” di cui alla lettera e) infra</w:t>
            </w:r>
          </w:p>
          <w:p w14:paraId="0AEA0143" w14:textId="08EB7099" w:rsidR="00761ED3" w:rsidRPr="004B56A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“società di partecipazione”</w:t>
            </w:r>
          </w:p>
          <w:p w14:paraId="56E45294" w14:textId="65C18637" w:rsidR="00761ED3" w:rsidRPr="004B56A9" w:rsidRDefault="00761ED3" w:rsidP="00761ED3">
            <w:pPr>
              <w:pStyle w:val="TableParagraph"/>
              <w:spacing w:before="108"/>
              <w:ind w:left="445"/>
              <w:rPr>
                <w:rFonts w:ascii="Times New Roman" w:hAnsi="Times New Roman" w:cs="Times New Roman"/>
                <w:color w:val="000000" w:themeColor="text1"/>
                <w:sz w:val="20"/>
                <w:szCs w:val="20"/>
              </w:rPr>
            </w:pPr>
            <w:r w:rsidRPr="004B56A9">
              <w:rPr>
                <w:rFonts w:ascii="Times New Roman" w:hAnsi="Times New Roman"/>
                <w:color w:val="000000" w:themeColor="text1"/>
                <w:sz w:val="20"/>
              </w:rPr>
              <w:t>Rientrano in questa categoria:</w:t>
            </w:r>
          </w:p>
          <w:p w14:paraId="099A9AC9" w14:textId="211750E3" w:rsidR="00EE1625" w:rsidRPr="004B56A9"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finanziaria quale definita all’articolo 4, paragrafo 1, punto 20, del regolamento (UE) n. 575/2013</w:t>
            </w:r>
          </w:p>
          <w:p w14:paraId="7FCE17B0" w14:textId="1686E624" w:rsidR="00EE1625" w:rsidRPr="004B56A9"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finanziaria mista quale definita all’articolo 4, paragrafo 1, punto 21, del regolamento (UE) n. 575/2013</w:t>
            </w:r>
          </w:p>
          <w:p w14:paraId="1FAAE733" w14:textId="5037A61B" w:rsidR="00EE1625" w:rsidRPr="004B56A9"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mista quale definita all’articolo 4, paragrafo 1, punto 22, del regolamento (UE) n. 575/2013</w:t>
            </w:r>
          </w:p>
          <w:p w14:paraId="4A22B67D" w14:textId="01EC280A" w:rsidR="00EE1625" w:rsidRPr="004B56A9" w:rsidRDefault="002472D0"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finanziaria madre quale definita all’articolo 4, paragrafo 1, punto 30, del regolamento (UE) n. 575/2013</w:t>
            </w:r>
          </w:p>
          <w:p w14:paraId="4ED17AD5" w14:textId="5BC8AD05" w:rsidR="00EE1625" w:rsidRPr="004B56A9"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finanziaria madre nell’Unione quale definita all’articolo 4, paragrafo 1, punto 31, del regolamento (UE) n. 575/2013</w:t>
            </w:r>
          </w:p>
          <w:p w14:paraId="0B0450CB" w14:textId="3CA28B29" w:rsidR="00EE1625" w:rsidRPr="004B56A9"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finanziaria mista madre in uno Stato membro quale definita all’articolo 4, paragrafo 1, punto 32, del regolamento (UE) n. 575/2013</w:t>
            </w:r>
          </w:p>
          <w:p w14:paraId="637DF94E" w14:textId="42C1756B" w:rsidR="002472D0" w:rsidRPr="004B56A9" w:rsidRDefault="002472D0"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società di partecipazione finanziaria mista madre nell’Unione quale definita all’articolo 4, paragrafo 1, punto 33, del regolamento (UE) n. 575/2013</w:t>
            </w:r>
          </w:p>
          <w:p w14:paraId="7C71448E" w14:textId="5509E467" w:rsidR="0039173B" w:rsidRPr="004B56A9"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“impresa di assicurazione”</w:t>
            </w:r>
          </w:p>
          <w:p w14:paraId="221F93E5" w14:textId="4AB6AE25" w:rsidR="00EE1625" w:rsidRPr="004B56A9" w:rsidRDefault="0039173B" w:rsidP="0039173B">
            <w:pPr>
              <w:pStyle w:val="TableParagraph"/>
              <w:spacing w:before="108"/>
              <w:ind w:left="445"/>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Rientrano in questa categoria le imprese di assicurazione quali definite all’articolo </w:t>
            </w:r>
            <w:proofErr w:type="gramStart"/>
            <w:r w:rsidRPr="004B56A9">
              <w:rPr>
                <w:rFonts w:ascii="Times New Roman" w:hAnsi="Times New Roman"/>
                <w:color w:val="000000" w:themeColor="text1"/>
                <w:sz w:val="20"/>
              </w:rPr>
              <w:t>13</w:t>
            </w:r>
            <w:proofErr w:type="gramEnd"/>
            <w:r w:rsidRPr="004B56A9">
              <w:rPr>
                <w:rFonts w:ascii="Times New Roman" w:hAnsi="Times New Roman"/>
                <w:color w:val="000000" w:themeColor="text1"/>
                <w:sz w:val="20"/>
              </w:rPr>
              <w:t xml:space="preserve"> della direttiva 2009/138/CE </w:t>
            </w:r>
            <w:r w:rsidRPr="004B56A9">
              <w:rPr>
                <w:rFonts w:ascii="Times New Roman" w:hAnsi="Times New Roman"/>
                <w:color w:val="19161B"/>
                <w:sz w:val="20"/>
              </w:rPr>
              <w:t>del Parlamento europeo e del Consiglio</w:t>
            </w:r>
            <w:r w:rsidRPr="004B56A9">
              <w:rPr>
                <w:rStyle w:val="FootnoteReference"/>
                <w:rFonts w:ascii="Times New Roman" w:hAnsi="Times New Roman"/>
                <w:color w:val="000000" w:themeColor="text1"/>
                <w:sz w:val="20"/>
              </w:rPr>
              <w:footnoteReference w:id="7"/>
            </w:r>
          </w:p>
          <w:p w14:paraId="33FEFAA8" w14:textId="1184D450" w:rsidR="00EE1625" w:rsidRPr="004B56A9"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sidRPr="004B56A9">
              <w:rPr>
                <w:rFonts w:ascii="Times New Roman" w:hAnsi="Times New Roman"/>
                <w:color w:val="000000" w:themeColor="text1"/>
                <w:sz w:val="20"/>
              </w:rPr>
              <w:t>“altro tipo di entità”, ove l’</w:t>
            </w:r>
            <w:proofErr w:type="gramStart"/>
            <w:r w:rsidRPr="004B56A9">
              <w:rPr>
                <w:rFonts w:ascii="Times New Roman" w:hAnsi="Times New Roman"/>
                <w:color w:val="000000" w:themeColor="text1"/>
                <w:sz w:val="20"/>
              </w:rPr>
              <w:t>entità</w:t>
            </w:r>
            <w:proofErr w:type="gramEnd"/>
            <w:r w:rsidRPr="004B56A9">
              <w:rPr>
                <w:rFonts w:ascii="Times New Roman" w:hAnsi="Times New Roman"/>
                <w:color w:val="000000" w:themeColor="text1"/>
                <w:sz w:val="20"/>
              </w:rPr>
              <w:t xml:space="preserve"> non rientri in nessuna delle summenzionate categorie.</w:t>
            </w:r>
          </w:p>
        </w:tc>
      </w:tr>
      <w:tr w:rsidR="00D22EB0" w:rsidRPr="004B56A9" w14:paraId="7C9A300F" w14:textId="77777777" w:rsidTr="0036322A">
        <w:tc>
          <w:tcPr>
            <w:tcW w:w="0" w:type="auto"/>
            <w:tcBorders>
              <w:top w:val="single" w:sz="4" w:space="0" w:color="1A171C"/>
              <w:left w:val="nil"/>
              <w:bottom w:val="single" w:sz="4" w:space="0" w:color="1A171C"/>
              <w:right w:val="single" w:sz="4" w:space="0" w:color="1A171C"/>
            </w:tcBorders>
          </w:tcPr>
          <w:p w14:paraId="729C7120" w14:textId="1D003F4A" w:rsidR="00027265" w:rsidRPr="004B56A9" w:rsidRDefault="00B43F4E" w:rsidP="00DF47E6">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14:paraId="76ACC112" w14:textId="36051AF0" w:rsidR="00027265" w:rsidRPr="004B56A9"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4B56A9">
              <w:rPr>
                <w:rFonts w:ascii="Times New Roman" w:hAnsi="Times New Roman"/>
                <w:b/>
                <w:color w:val="000000" w:themeColor="text1"/>
                <w:spacing w:val="-1"/>
                <w:w w:val="90"/>
                <w:sz w:val="20"/>
              </w:rPr>
              <w:t>Paese</w:t>
            </w:r>
          </w:p>
          <w:p w14:paraId="5C77D7AF" w14:textId="3366B843" w:rsidR="00027265" w:rsidRPr="004B56A9" w:rsidRDefault="00027265" w:rsidP="00D12404">
            <w:pPr>
              <w:pStyle w:val="TableParagraph"/>
              <w:spacing w:before="108" w:after="120"/>
              <w:ind w:left="85"/>
              <w:jc w:val="both"/>
              <w:rPr>
                <w:rFonts w:ascii="Times New Roman"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codice ISO 3166-1-alpha-2 del paese (Stato membro o paese terzo) di costituzione dell’entità.</w:t>
            </w:r>
            <w:proofErr w:type="gramEnd"/>
          </w:p>
        </w:tc>
      </w:tr>
      <w:tr w:rsidR="00D22EB0" w:rsidRPr="004B56A9" w14:paraId="0EA9691E" w14:textId="77777777" w:rsidTr="0036322A">
        <w:tc>
          <w:tcPr>
            <w:tcW w:w="0" w:type="auto"/>
            <w:tcBorders>
              <w:top w:val="single" w:sz="4" w:space="0" w:color="1A171C"/>
              <w:left w:val="nil"/>
              <w:bottom w:val="single" w:sz="4" w:space="0" w:color="1A171C"/>
              <w:right w:val="single" w:sz="4" w:space="0" w:color="1A171C"/>
            </w:tcBorders>
          </w:tcPr>
          <w:p w14:paraId="34E03219" w14:textId="5AAE83A5" w:rsidR="00E13CE3" w:rsidRPr="004B56A9" w:rsidRDefault="00E13CE3"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lastRenderedPageBreak/>
              <w:t>0060</w:t>
            </w:r>
          </w:p>
        </w:tc>
        <w:tc>
          <w:tcPr>
            <w:tcW w:w="0" w:type="auto"/>
            <w:tcBorders>
              <w:top w:val="single" w:sz="4" w:space="0" w:color="1A171C"/>
              <w:left w:val="single" w:sz="4" w:space="0" w:color="1A171C"/>
              <w:bottom w:val="single" w:sz="4" w:space="0" w:color="1A171C"/>
              <w:right w:val="nil"/>
            </w:tcBorders>
          </w:tcPr>
          <w:p w14:paraId="17EEBCC8" w14:textId="77777777" w:rsidR="00E13CE3" w:rsidRPr="004B56A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Inclusa nel perimetro prudenziale</w:t>
            </w:r>
          </w:p>
          <w:p w14:paraId="3CCCF403" w14:textId="77777777" w:rsidR="00C8615D" w:rsidRPr="004B56A9"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Inserire le seguenti abbreviazioni:</w:t>
            </w:r>
          </w:p>
          <w:p w14:paraId="1DB9E924" w14:textId="69B0F9D1" w:rsidR="00C8615D" w:rsidRPr="004B56A9"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 - Sì;</w:t>
            </w:r>
          </w:p>
          <w:p w14:paraId="0031B996" w14:textId="11C38853" w:rsidR="00E13CE3" w:rsidRPr="004B56A9"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4B56A9">
              <w:rPr>
                <w:rFonts w:ascii="Times New Roman" w:hAnsi="Times New Roman"/>
                <w:color w:val="000000" w:themeColor="text1"/>
                <w:spacing w:val="-2"/>
                <w:w w:val="95"/>
                <w:sz w:val="20"/>
              </w:rPr>
              <w:t>N - No.</w:t>
            </w:r>
          </w:p>
        </w:tc>
      </w:tr>
      <w:tr w:rsidR="00D22EB0" w:rsidRPr="004B56A9" w14:paraId="70BC5B98" w14:textId="77777777" w:rsidTr="0036322A">
        <w:tc>
          <w:tcPr>
            <w:tcW w:w="0" w:type="auto"/>
            <w:tcBorders>
              <w:top w:val="single" w:sz="4" w:space="0" w:color="1A171C"/>
              <w:left w:val="nil"/>
              <w:bottom w:val="single" w:sz="4" w:space="0" w:color="1A171C"/>
              <w:right w:val="single" w:sz="4" w:space="0" w:color="1A171C"/>
            </w:tcBorders>
          </w:tcPr>
          <w:p w14:paraId="74FCB0C2" w14:textId="6CE034A4" w:rsidR="00E74F98" w:rsidRPr="004B56A9" w:rsidRDefault="00CF6A09"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14:paraId="5ECF68E3" w14:textId="77777777" w:rsidR="00E74F98" w:rsidRPr="004B56A9"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Deroga ai sensi dell’articolo </w:t>
            </w:r>
            <w:proofErr w:type="gramStart"/>
            <w:r w:rsidRPr="004B56A9">
              <w:rPr>
                <w:rFonts w:ascii="Times New Roman" w:hAnsi="Times New Roman"/>
                <w:b/>
                <w:color w:val="000000" w:themeColor="text1"/>
                <w:spacing w:val="-2"/>
                <w:w w:val="95"/>
                <w:sz w:val="20"/>
              </w:rPr>
              <w:t>7</w:t>
            </w:r>
            <w:proofErr w:type="gramEnd"/>
            <w:r w:rsidRPr="004B56A9">
              <w:rPr>
                <w:rFonts w:ascii="Times New Roman" w:hAnsi="Times New Roman"/>
                <w:b/>
                <w:color w:val="000000" w:themeColor="text1"/>
                <w:spacing w:val="-2"/>
                <w:w w:val="95"/>
                <w:sz w:val="20"/>
              </w:rPr>
              <w:t xml:space="preserve"> CRR</w:t>
            </w:r>
          </w:p>
          <w:p w14:paraId="75278449" w14:textId="77777777" w:rsidR="00E74F98" w:rsidRPr="004B56A9"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Inserire le seguenti abbreviazioni:</w:t>
            </w:r>
          </w:p>
          <w:p w14:paraId="6A19EF26" w14:textId="60F8EED2" w:rsidR="00E74F98" w:rsidRPr="004B56A9"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 – se l’autorità competente ha derogato all’applicazione dell’articolo </w:t>
            </w:r>
            <w:proofErr w:type="gramStart"/>
            <w:r w:rsidRPr="004B56A9">
              <w:rPr>
                <w:rFonts w:ascii="Times New Roman" w:hAnsi="Times New Roman"/>
                <w:color w:val="000000" w:themeColor="text1"/>
                <w:spacing w:val="-2"/>
                <w:w w:val="95"/>
                <w:sz w:val="20"/>
              </w:rPr>
              <w:t>6</w:t>
            </w:r>
            <w:proofErr w:type="gramEnd"/>
            <w:r w:rsidRPr="004B56A9">
              <w:rPr>
                <w:rFonts w:ascii="Times New Roman" w:hAnsi="Times New Roman"/>
                <w:color w:val="000000" w:themeColor="text1"/>
                <w:spacing w:val="-2"/>
                <w:w w:val="95"/>
                <w:sz w:val="20"/>
              </w:rPr>
              <w:t>, paragrafo 1, del regolamento (UE) n. 575/2013 a norma dell’articolo 7 del regolamento (UE) n. 575/2013;</w:t>
            </w:r>
          </w:p>
          <w:p w14:paraId="1D1604A1" w14:textId="1CB666E4" w:rsidR="00E74F98" w:rsidRPr="004B56A9"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N – in caso contrario.</w:t>
            </w:r>
          </w:p>
        </w:tc>
      </w:tr>
      <w:tr w:rsidR="00D22EB0" w:rsidRPr="004B56A9" w14:paraId="1AA4C978" w14:textId="77777777" w:rsidTr="004842F3">
        <w:tc>
          <w:tcPr>
            <w:tcW w:w="0" w:type="auto"/>
            <w:tcBorders>
              <w:top w:val="single" w:sz="4" w:space="0" w:color="1A171C"/>
              <w:left w:val="nil"/>
              <w:bottom w:val="single" w:sz="4" w:space="0" w:color="1A171C"/>
              <w:right w:val="single" w:sz="4" w:space="0" w:color="1A171C"/>
            </w:tcBorders>
          </w:tcPr>
          <w:p w14:paraId="6C430FC1" w14:textId="05EDBAA3" w:rsidR="00EA468E" w:rsidRPr="004B56A9" w:rsidRDefault="00EA468E" w:rsidP="00EA468E">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14:paraId="63C053A0" w14:textId="22A3BD4D" w:rsidR="00EA468E" w:rsidRPr="004B56A9"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Deroga ai sensi dell’articolo </w:t>
            </w:r>
            <w:proofErr w:type="gramStart"/>
            <w:r w:rsidRPr="004B56A9">
              <w:rPr>
                <w:rFonts w:ascii="Times New Roman" w:hAnsi="Times New Roman"/>
                <w:b/>
                <w:color w:val="000000" w:themeColor="text1"/>
                <w:spacing w:val="-2"/>
                <w:w w:val="95"/>
                <w:sz w:val="20"/>
              </w:rPr>
              <w:t>10</w:t>
            </w:r>
            <w:proofErr w:type="gramEnd"/>
            <w:r w:rsidRPr="004B56A9">
              <w:rPr>
                <w:rFonts w:ascii="Times New Roman" w:hAnsi="Times New Roman"/>
                <w:b/>
                <w:color w:val="000000" w:themeColor="text1"/>
                <w:spacing w:val="-2"/>
                <w:w w:val="95"/>
                <w:sz w:val="20"/>
              </w:rPr>
              <w:t xml:space="preserve"> CRR</w:t>
            </w:r>
          </w:p>
          <w:p w14:paraId="64550C58" w14:textId="77777777" w:rsidR="00EA468E" w:rsidRPr="004B56A9"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Inserire le seguenti abbreviazioni:</w:t>
            </w:r>
          </w:p>
          <w:p w14:paraId="2DC78966" w14:textId="48EECE92" w:rsidR="00EA468E" w:rsidRPr="004B56A9"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 – se l’autorità competente ha applicato la deroga ai sensi dell’articolo </w:t>
            </w:r>
            <w:proofErr w:type="gramStart"/>
            <w:r w:rsidRPr="004B56A9">
              <w:rPr>
                <w:rFonts w:ascii="Times New Roman" w:hAnsi="Times New Roman"/>
                <w:color w:val="000000" w:themeColor="text1"/>
                <w:spacing w:val="-2"/>
                <w:w w:val="95"/>
                <w:sz w:val="20"/>
              </w:rPr>
              <w:t>10</w:t>
            </w:r>
            <w:proofErr w:type="gramEnd"/>
            <w:r w:rsidRPr="004B56A9">
              <w:rPr>
                <w:rFonts w:ascii="Times New Roman" w:hAnsi="Times New Roman"/>
                <w:color w:val="000000" w:themeColor="text1"/>
                <w:spacing w:val="-2"/>
                <w:w w:val="95"/>
                <w:sz w:val="20"/>
              </w:rPr>
              <w:t xml:space="preserve"> del regolamento (UE) n. 575/2013;</w:t>
            </w:r>
          </w:p>
          <w:p w14:paraId="5AEEEA71" w14:textId="20E1CF59" w:rsidR="00EA468E" w:rsidRPr="004B56A9"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N – in caso contrario.</w:t>
            </w:r>
          </w:p>
        </w:tc>
      </w:tr>
      <w:tr w:rsidR="00D22EB0" w:rsidRPr="004B56A9" w14:paraId="1332AFFB" w14:textId="77777777" w:rsidTr="0036322A">
        <w:tc>
          <w:tcPr>
            <w:tcW w:w="0" w:type="auto"/>
            <w:tcBorders>
              <w:top w:val="single" w:sz="4" w:space="0" w:color="1A171C"/>
              <w:left w:val="nil"/>
              <w:bottom w:val="single" w:sz="4" w:space="0" w:color="1A171C"/>
              <w:right w:val="single" w:sz="4" w:space="0" w:color="1A171C"/>
            </w:tcBorders>
          </w:tcPr>
          <w:p w14:paraId="14324B2A" w14:textId="6C9E1B45" w:rsidR="00E13CE3" w:rsidRPr="004B56A9" w:rsidRDefault="00064140" w:rsidP="00064140">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14:paraId="687A52FE" w14:textId="77777777" w:rsidR="00E13CE3" w:rsidRPr="004B56A9"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Totale delle attività</w:t>
            </w:r>
          </w:p>
          <w:p w14:paraId="37CECA46" w14:textId="022C7A79" w:rsidR="00E13CE3" w:rsidRPr="004B56A9"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Il totale delle attività quale definito per FINREP {F 01.01;380,010</w:t>
            </w:r>
            <w:proofErr w:type="gramStart"/>
            <w:r w:rsidRPr="004B56A9">
              <w:rPr>
                <w:rFonts w:ascii="Times New Roman" w:hAnsi="Times New Roman"/>
                <w:color w:val="000000" w:themeColor="text1"/>
                <w:spacing w:val="-2"/>
                <w:w w:val="95"/>
                <w:sz w:val="20"/>
              </w:rPr>
              <w:t>}</w:t>
            </w:r>
            <w:proofErr w:type="gramEnd"/>
          </w:p>
        </w:tc>
      </w:tr>
      <w:tr w:rsidR="00D22EB0" w:rsidRPr="004B56A9" w14:paraId="42800146" w14:textId="77777777" w:rsidTr="0036322A">
        <w:tc>
          <w:tcPr>
            <w:tcW w:w="0" w:type="auto"/>
            <w:tcBorders>
              <w:top w:val="single" w:sz="4" w:space="0" w:color="1A171C"/>
              <w:left w:val="nil"/>
              <w:bottom w:val="single" w:sz="4" w:space="0" w:color="1A171C"/>
              <w:right w:val="single" w:sz="4" w:space="0" w:color="1A171C"/>
            </w:tcBorders>
          </w:tcPr>
          <w:p w14:paraId="1A95EDC7" w14:textId="3B9A593A" w:rsidR="00E13CE3" w:rsidRPr="004B56A9" w:rsidRDefault="00B43F4E"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14:paraId="04CFAA9C" w14:textId="3E7C2467" w:rsidR="00E13CE3" w:rsidRPr="004B56A9"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Importo complessivo dell’esposizione al rischio</w:t>
            </w:r>
          </w:p>
          <w:p w14:paraId="6AE337CC" w14:textId="6D88CEC3" w:rsidR="00E13CE3" w:rsidRPr="004B56A9" w:rsidRDefault="00310A05" w:rsidP="00310A05">
            <w:pPr>
              <w:pStyle w:val="TableParagraph"/>
              <w:spacing w:before="108"/>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complessivo dell’esposizione al rischio quale definito per COREP (OF): {C 02.00;010;010</w:t>
            </w:r>
            <w:proofErr w:type="gramStart"/>
            <w:r w:rsidRPr="004B56A9">
              <w:rPr>
                <w:rFonts w:ascii="Times New Roman" w:hAnsi="Times New Roman"/>
                <w:color w:val="000000" w:themeColor="text1"/>
                <w:spacing w:val="-2"/>
                <w:w w:val="95"/>
                <w:sz w:val="20"/>
              </w:rPr>
              <w:t>}</w:t>
            </w:r>
            <w:proofErr w:type="gramEnd"/>
          </w:p>
          <w:p w14:paraId="2DD0E8CE" w14:textId="0C77A08B" w:rsidR="00310A05" w:rsidRPr="004B56A9"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Questo elemento non è segnalato per le entità che non sono enti e per le entità che beneficiano di una deroga a norma dell’articolo </w:t>
            </w:r>
            <w:proofErr w:type="gramStart"/>
            <w:r w:rsidRPr="004B56A9">
              <w:rPr>
                <w:rFonts w:ascii="Times New Roman" w:hAnsi="Times New Roman"/>
                <w:color w:val="000000" w:themeColor="text1"/>
                <w:spacing w:val="-2"/>
                <w:w w:val="95"/>
                <w:sz w:val="20"/>
              </w:rPr>
              <w:t>7</w:t>
            </w:r>
            <w:proofErr w:type="gramEnd"/>
            <w:r w:rsidRPr="004B56A9">
              <w:rPr>
                <w:rFonts w:ascii="Times New Roman" w:hAnsi="Times New Roman"/>
                <w:color w:val="000000" w:themeColor="text1"/>
                <w:spacing w:val="-2"/>
                <w:w w:val="95"/>
                <w:sz w:val="20"/>
              </w:rPr>
              <w:t xml:space="preserve"> o dell’articolo 10 del regolamento (UE) n. 575/2013.</w:t>
            </w:r>
          </w:p>
        </w:tc>
      </w:tr>
      <w:tr w:rsidR="00D22EB0" w:rsidRPr="004B56A9" w14:paraId="5DB8F5ED" w14:textId="77777777" w:rsidTr="00367C1E">
        <w:tc>
          <w:tcPr>
            <w:tcW w:w="0" w:type="auto"/>
            <w:tcBorders>
              <w:top w:val="single" w:sz="4" w:space="0" w:color="1A171C"/>
              <w:left w:val="nil"/>
              <w:bottom w:val="single" w:sz="4" w:space="0" w:color="1A171C"/>
              <w:right w:val="single" w:sz="4" w:space="0" w:color="1A171C"/>
            </w:tcBorders>
          </w:tcPr>
          <w:p w14:paraId="44B680AE" w14:textId="3F303C17" w:rsidR="00CF6A09" w:rsidRPr="004B56A9" w:rsidRDefault="00B43F4E" w:rsidP="00835CC3">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14:paraId="287374B2" w14:textId="77777777" w:rsidR="00CF6A09" w:rsidRPr="004B56A9"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Esposizione del coefficiente di leva finanziaria </w:t>
            </w:r>
          </w:p>
          <w:p w14:paraId="61197272" w14:textId="13D9722F" w:rsidR="00CF6A09" w:rsidRPr="004B56A9"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L’esposizione complessiva del coefficiente di leva finanziaria quale definita per COREP (LR): {C 47.00;290;010</w:t>
            </w:r>
            <w:proofErr w:type="gramStart"/>
            <w:r w:rsidRPr="004B56A9">
              <w:rPr>
                <w:rFonts w:ascii="Times New Roman" w:hAnsi="Times New Roman"/>
                <w:color w:val="000000" w:themeColor="text1"/>
                <w:spacing w:val="-2"/>
                <w:w w:val="95"/>
                <w:sz w:val="20"/>
              </w:rPr>
              <w:t>}</w:t>
            </w:r>
            <w:proofErr w:type="gramEnd"/>
          </w:p>
          <w:p w14:paraId="70509033" w14:textId="64569E61" w:rsidR="00DD5DC2" w:rsidRPr="004B56A9"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Questo elemento non è segnalato per le entità che non sono enti e per le entità che beneficiano di una deroga a norma dell’articolo </w:t>
            </w:r>
            <w:proofErr w:type="gramStart"/>
            <w:r w:rsidRPr="004B56A9">
              <w:rPr>
                <w:rFonts w:ascii="Times New Roman" w:hAnsi="Times New Roman"/>
                <w:color w:val="000000" w:themeColor="text1"/>
                <w:spacing w:val="-2"/>
                <w:w w:val="95"/>
                <w:sz w:val="20"/>
              </w:rPr>
              <w:t>7</w:t>
            </w:r>
            <w:proofErr w:type="gramEnd"/>
            <w:r w:rsidRPr="004B56A9">
              <w:rPr>
                <w:rFonts w:ascii="Times New Roman" w:hAnsi="Times New Roman"/>
                <w:color w:val="000000" w:themeColor="text1"/>
                <w:spacing w:val="-2"/>
                <w:w w:val="95"/>
                <w:sz w:val="20"/>
              </w:rPr>
              <w:t xml:space="preserve"> o dell’articolo 10 del regolamento (UE) n. 575/2013.</w:t>
            </w:r>
          </w:p>
        </w:tc>
      </w:tr>
      <w:tr w:rsidR="00D22EB0" w:rsidRPr="004B56A9" w14:paraId="578E05F4" w14:textId="77777777" w:rsidTr="0036322A">
        <w:tc>
          <w:tcPr>
            <w:tcW w:w="0" w:type="auto"/>
            <w:tcBorders>
              <w:top w:val="single" w:sz="4" w:space="0" w:color="1A171C"/>
              <w:left w:val="nil"/>
              <w:bottom w:val="single" w:sz="4" w:space="0" w:color="1A171C"/>
              <w:right w:val="single" w:sz="4" w:space="0" w:color="1A171C"/>
            </w:tcBorders>
          </w:tcPr>
          <w:p w14:paraId="08DDC0E3" w14:textId="45F426ED" w:rsidR="009A061B" w:rsidRPr="004B56A9"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14:paraId="5D9ACC30" w14:textId="202C42A4" w:rsidR="009A061B" w:rsidRPr="004B56A9"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Principio contabile</w:t>
            </w:r>
          </w:p>
          <w:p w14:paraId="5344A156" w14:textId="77777777" w:rsidR="009A061B" w:rsidRPr="004B56A9" w:rsidRDefault="009A061B" w:rsidP="00C8615D">
            <w:pPr>
              <w:pStyle w:val="TableParagraph"/>
              <w:spacing w:before="108"/>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 principi contabili applicati dall’entità. Inserire le seguenti abbreviazioni:</w:t>
            </w:r>
          </w:p>
          <w:p w14:paraId="4E74BF7B" w14:textId="37BA1206" w:rsidR="009A061B" w:rsidRPr="004B56A9"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IFRS</w:t>
            </w:r>
          </w:p>
          <w:p w14:paraId="3E3D7A6A" w14:textId="52D742A8" w:rsidR="009A061B" w:rsidRPr="004B56A9"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nGAAP</w:t>
            </w:r>
            <w:proofErr w:type="gramEnd"/>
          </w:p>
        </w:tc>
      </w:tr>
      <w:tr w:rsidR="00D22EB0" w:rsidRPr="004B56A9" w14:paraId="444131E3" w14:textId="77777777" w:rsidTr="0036322A">
        <w:tc>
          <w:tcPr>
            <w:tcW w:w="0" w:type="auto"/>
            <w:tcBorders>
              <w:top w:val="single" w:sz="4" w:space="0" w:color="1A171C"/>
              <w:left w:val="nil"/>
              <w:bottom w:val="single" w:sz="4" w:space="0" w:color="1A171C"/>
              <w:right w:val="single" w:sz="4" w:space="0" w:color="1A171C"/>
            </w:tcBorders>
          </w:tcPr>
          <w:p w14:paraId="43BDBD7C" w14:textId="0769A2A1" w:rsidR="00E13CE3" w:rsidRPr="004B56A9" w:rsidRDefault="00245A9E" w:rsidP="00255C59">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14:paraId="611B1CD4" w14:textId="77777777" w:rsidR="00E13CE3" w:rsidRPr="004B56A9"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Contributo alle attività consolidate </w:t>
            </w:r>
            <w:proofErr w:type="gramStart"/>
            <w:r w:rsidRPr="004B56A9">
              <w:rPr>
                <w:rFonts w:ascii="Times New Roman" w:hAnsi="Times New Roman"/>
                <w:b/>
                <w:color w:val="000000" w:themeColor="text1"/>
                <w:spacing w:val="-2"/>
                <w:w w:val="95"/>
                <w:sz w:val="20"/>
              </w:rPr>
              <w:t>totali</w:t>
            </w:r>
            <w:proofErr w:type="gramEnd"/>
          </w:p>
          <w:p w14:paraId="682DE899" w14:textId="54F074DB" w:rsidR="00E13CE3" w:rsidRPr="004B56A9" w:rsidRDefault="00E13CE3" w:rsidP="00C8615D">
            <w:pPr>
              <w:pStyle w:val="TableParagraph"/>
              <w:spacing w:before="108"/>
              <w:jc w:val="both"/>
              <w:rPr>
                <w:rFonts w:ascii="Times New Roman" w:hAnsi="Times New Roman" w:cs="Times New Roman"/>
                <w:b/>
                <w:color w:val="000000" w:themeColor="text1"/>
                <w:spacing w:val="-2"/>
                <w:w w:val="95"/>
                <w:sz w:val="20"/>
                <w:szCs w:val="20"/>
              </w:rPr>
            </w:pPr>
            <w:proofErr w:type="gramStart"/>
            <w:r w:rsidRPr="004B56A9">
              <w:rPr>
                <w:rFonts w:ascii="Times New Roman" w:hAnsi="Times New Roman"/>
                <w:color w:val="000000" w:themeColor="text1"/>
                <w:spacing w:val="-2"/>
                <w:w w:val="95"/>
                <w:sz w:val="20"/>
              </w:rPr>
              <w:t>L’ammontare del contributo dell’entità alle attività consolidate totali del gruppo oggetto della segnalazione.</w:t>
            </w:r>
            <w:proofErr w:type="gramEnd"/>
          </w:p>
        </w:tc>
      </w:tr>
      <w:tr w:rsidR="00D22EB0" w:rsidRPr="004B56A9" w14:paraId="5412C4F3" w14:textId="77777777" w:rsidTr="0036322A">
        <w:tc>
          <w:tcPr>
            <w:tcW w:w="0" w:type="auto"/>
            <w:tcBorders>
              <w:top w:val="single" w:sz="4" w:space="0" w:color="1A171C"/>
              <w:left w:val="nil"/>
              <w:bottom w:val="single" w:sz="4" w:space="0" w:color="1A171C"/>
              <w:right w:val="single" w:sz="4" w:space="0" w:color="1A171C"/>
            </w:tcBorders>
          </w:tcPr>
          <w:p w14:paraId="1423B86B" w14:textId="6CD61F58" w:rsidR="00E13CE3" w:rsidRPr="004B56A9" w:rsidRDefault="00245A9E" w:rsidP="00255C59">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14:paraId="3966AA60" w14:textId="4944F5FD" w:rsidR="00E13CE3" w:rsidRPr="004B56A9"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Contributo all’importo complessivo consolidato dell’esposizione al rischio </w:t>
            </w:r>
          </w:p>
          <w:p w14:paraId="3329579C" w14:textId="04FC3F68" w:rsidR="00E13CE3" w:rsidRPr="004B56A9" w:rsidRDefault="00E13CE3" w:rsidP="00213AEA">
            <w:pPr>
              <w:pStyle w:val="TableParagraph"/>
              <w:spacing w:before="108"/>
              <w:jc w:val="both"/>
              <w:rPr>
                <w:rFonts w:ascii="Times New Roman" w:hAnsi="Times New Roman" w:cs="Times New Roman"/>
                <w:b/>
                <w:color w:val="000000" w:themeColor="text1"/>
                <w:spacing w:val="-2"/>
                <w:w w:val="95"/>
                <w:sz w:val="20"/>
                <w:szCs w:val="20"/>
              </w:rPr>
            </w:pPr>
            <w:proofErr w:type="gramStart"/>
            <w:r w:rsidRPr="004B56A9">
              <w:rPr>
                <w:rFonts w:ascii="Times New Roman" w:hAnsi="Times New Roman"/>
                <w:color w:val="000000" w:themeColor="text1"/>
                <w:spacing w:val="-2"/>
                <w:w w:val="95"/>
                <w:sz w:val="20"/>
              </w:rPr>
              <w:t>L’ammontare del contributo dell’entità all’importo complessivo consolidato dell’esposizione al rischio del gruppo oggetto della segnalazione</w:t>
            </w:r>
            <w:proofErr w:type="gramEnd"/>
            <w:r w:rsidRPr="004B56A9">
              <w:rPr>
                <w:rFonts w:ascii="Times New Roman" w:hAnsi="Times New Roman"/>
                <w:color w:val="000000" w:themeColor="text1"/>
                <w:spacing w:val="-2"/>
                <w:w w:val="95"/>
                <w:sz w:val="20"/>
              </w:rPr>
              <w:t xml:space="preserve">. </w:t>
            </w:r>
          </w:p>
        </w:tc>
      </w:tr>
      <w:tr w:rsidR="00D22EB0" w:rsidRPr="004B56A9" w14:paraId="56988255" w14:textId="77777777" w:rsidTr="003848DE">
        <w:trPr>
          <w:trHeight w:val="749"/>
        </w:trPr>
        <w:tc>
          <w:tcPr>
            <w:tcW w:w="0" w:type="auto"/>
            <w:tcBorders>
              <w:top w:val="single" w:sz="4" w:space="0" w:color="1A171C"/>
              <w:left w:val="nil"/>
              <w:bottom w:val="single" w:sz="4" w:space="0" w:color="1A171C"/>
              <w:right w:val="single" w:sz="4" w:space="0" w:color="1A171C"/>
            </w:tcBorders>
          </w:tcPr>
          <w:p w14:paraId="3170B656" w14:textId="7553188B" w:rsidR="00CF6A09" w:rsidRPr="004B56A9" w:rsidRDefault="00245A9E" w:rsidP="00255C59">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14:paraId="4C0FBDA2" w14:textId="7B9F6F0D" w:rsidR="00CF6A09" w:rsidRPr="004B56A9"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Contributo all’esposizione consolidata del coefficiente di leva finanziaria</w:t>
            </w:r>
          </w:p>
          <w:p w14:paraId="12EAD921" w14:textId="36227B1A" w:rsidR="00CF6A09" w:rsidRPr="004B56A9"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sidRPr="004B56A9">
              <w:rPr>
                <w:rFonts w:ascii="Times New Roman" w:hAnsi="Times New Roman"/>
                <w:color w:val="000000" w:themeColor="text1"/>
                <w:spacing w:val="-2"/>
                <w:w w:val="95"/>
                <w:sz w:val="20"/>
              </w:rPr>
              <w:t>L’ammontare del contributo dell’entità all’esposizione complessiva consolidata del coefficiente di leva finanziaria del gruppo oggetto della</w:t>
            </w:r>
            <w:proofErr w:type="gramEnd"/>
            <w:r w:rsidRPr="004B56A9">
              <w:rPr>
                <w:rFonts w:ascii="Times New Roman" w:hAnsi="Times New Roman"/>
                <w:color w:val="000000" w:themeColor="text1"/>
                <w:spacing w:val="-2"/>
                <w:w w:val="95"/>
                <w:sz w:val="20"/>
              </w:rPr>
              <w:t xml:space="preserve"> segnalazione.</w:t>
            </w:r>
          </w:p>
        </w:tc>
      </w:tr>
      <w:tr w:rsidR="00D22EB0" w:rsidRPr="004B56A9" w14:paraId="705896E4" w14:textId="77777777" w:rsidTr="0036322A">
        <w:tc>
          <w:tcPr>
            <w:tcW w:w="0" w:type="auto"/>
            <w:tcBorders>
              <w:top w:val="single" w:sz="4" w:space="0" w:color="1A171C"/>
              <w:left w:val="nil"/>
              <w:bottom w:val="single" w:sz="4" w:space="0" w:color="1A171C"/>
              <w:right w:val="single" w:sz="4" w:space="0" w:color="1A171C"/>
            </w:tcBorders>
          </w:tcPr>
          <w:p w14:paraId="6D6F3F44" w14:textId="3487B9B1" w:rsidR="00255C59" w:rsidRPr="004B56A9"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14:paraId="023D551C" w14:textId="77777777" w:rsidR="00255C59" w:rsidRPr="004B56A9"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Entità giuridica pertinente</w:t>
            </w:r>
          </w:p>
          <w:p w14:paraId="5FDB04EB" w14:textId="1B4C774A" w:rsidR="00255C59" w:rsidRPr="004B56A9"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 l’entità costituisce un’entità giuridica pertinente ai sensi della definizione dell’articolo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xml:space="preserve"> del presente regolamento.</w:t>
            </w:r>
          </w:p>
        </w:tc>
      </w:tr>
      <w:tr w:rsidR="00D22EB0" w:rsidRPr="004B56A9" w14:paraId="77718258" w14:textId="77777777" w:rsidTr="0036322A">
        <w:tc>
          <w:tcPr>
            <w:tcW w:w="0" w:type="auto"/>
            <w:tcBorders>
              <w:top w:val="single" w:sz="4" w:space="0" w:color="1A171C"/>
              <w:left w:val="nil"/>
              <w:bottom w:val="single" w:sz="4" w:space="0" w:color="1A171C"/>
              <w:right w:val="single" w:sz="4" w:space="0" w:color="1A171C"/>
            </w:tcBorders>
          </w:tcPr>
          <w:p w14:paraId="6F1A90D7" w14:textId="24C86709" w:rsidR="00E13CE3" w:rsidRPr="004B56A9" w:rsidRDefault="00245A9E" w:rsidP="00DA31D1">
            <w:pPr>
              <w:pStyle w:val="TableParagraph"/>
              <w:spacing w:before="106"/>
              <w:ind w:left="-1"/>
              <w:rPr>
                <w:rFonts w:ascii="Times New Roman" w:hAnsi="Times New Roman" w:cs="Times New Roman"/>
                <w:b/>
                <w:color w:val="000000" w:themeColor="text1"/>
                <w:spacing w:val="-2"/>
                <w:sz w:val="20"/>
                <w:szCs w:val="20"/>
              </w:rPr>
            </w:pPr>
            <w:r w:rsidRPr="004B56A9">
              <w:rPr>
                <w:rFonts w:ascii="Times New Roman" w:hAnsi="Times New Roman"/>
                <w:b/>
                <w:color w:val="000000" w:themeColor="text1"/>
                <w:spacing w:val="-2"/>
                <w:sz w:val="20"/>
              </w:rPr>
              <w:lastRenderedPageBreak/>
              <w:t>0170-0210</w:t>
            </w:r>
          </w:p>
        </w:tc>
        <w:tc>
          <w:tcPr>
            <w:tcW w:w="0" w:type="auto"/>
            <w:tcBorders>
              <w:top w:val="single" w:sz="4" w:space="0" w:color="1A171C"/>
              <w:left w:val="single" w:sz="4" w:space="0" w:color="1A171C"/>
              <w:bottom w:val="single" w:sz="4" w:space="0" w:color="1A171C"/>
              <w:right w:val="nil"/>
            </w:tcBorders>
          </w:tcPr>
          <w:p w14:paraId="580C320A" w14:textId="77777777" w:rsidR="00E13CE3" w:rsidRPr="004B56A9"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Impresa madre diretta</w:t>
            </w:r>
          </w:p>
          <w:p w14:paraId="6D0A11FA" w14:textId="00F662CD" w:rsidR="00E74F98" w:rsidRPr="004B56A9"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L'impresa madre diretta dell’entità. È segnalata solo l'impresa madre diretta che detiene più del 5% dei diritti </w:t>
            </w:r>
            <w:proofErr w:type="gramStart"/>
            <w:r w:rsidRPr="004B56A9">
              <w:rPr>
                <w:rFonts w:ascii="Times New Roman" w:hAnsi="Times New Roman"/>
                <w:color w:val="000000" w:themeColor="text1"/>
                <w:spacing w:val="-2"/>
                <w:w w:val="95"/>
                <w:sz w:val="20"/>
              </w:rPr>
              <w:t>di</w:t>
            </w:r>
            <w:proofErr w:type="gramEnd"/>
            <w:r w:rsidRPr="004B56A9">
              <w:rPr>
                <w:rFonts w:ascii="Times New Roman" w:hAnsi="Times New Roman"/>
                <w:color w:val="000000" w:themeColor="text1"/>
                <w:spacing w:val="-2"/>
                <w:w w:val="95"/>
                <w:sz w:val="20"/>
              </w:rPr>
              <w:t xml:space="preserve"> voto nell’entità.</w:t>
            </w:r>
          </w:p>
          <w:p w14:paraId="69337DE4" w14:textId="2207EE10" w:rsidR="00CF6A09" w:rsidRPr="004B56A9"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 un’entità ha più di un'impresa madre diretta, è segnalata solo l'impresa madre diretta con la maggiore quota di capitale o, se del caso, di diritti di voto.</w:t>
            </w:r>
          </w:p>
        </w:tc>
      </w:tr>
      <w:tr w:rsidR="00D22EB0" w:rsidRPr="004B56A9" w14:paraId="47FAD2E5" w14:textId="77777777" w:rsidTr="0036322A">
        <w:tc>
          <w:tcPr>
            <w:tcW w:w="0" w:type="auto"/>
            <w:tcBorders>
              <w:top w:val="single" w:sz="4" w:space="0" w:color="1A171C"/>
              <w:left w:val="nil"/>
              <w:bottom w:val="single" w:sz="4" w:space="0" w:color="1A171C"/>
              <w:right w:val="single" w:sz="4" w:space="0" w:color="1A171C"/>
            </w:tcBorders>
          </w:tcPr>
          <w:p w14:paraId="58A26719" w14:textId="2FF0EBBB" w:rsidR="00E13CE3" w:rsidRPr="004B56A9" w:rsidRDefault="00245A9E"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14:paraId="695A111B" w14:textId="77777777" w:rsidR="00E13CE3" w:rsidRPr="004B56A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Nome </w:t>
            </w:r>
          </w:p>
          <w:p w14:paraId="5BE3A9ED" w14:textId="17F7F5EA" w:rsidR="00E13CE3" w:rsidRPr="004B56A9"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z w:val="20"/>
              </w:rPr>
              <w:t>Il nome dell'impresa madre diretta dell’entità.</w:t>
            </w:r>
          </w:p>
        </w:tc>
      </w:tr>
      <w:tr w:rsidR="00D22EB0" w:rsidRPr="004B56A9" w14:paraId="50AD45A0" w14:textId="77777777" w:rsidTr="0036322A">
        <w:tc>
          <w:tcPr>
            <w:tcW w:w="0" w:type="auto"/>
            <w:tcBorders>
              <w:top w:val="single" w:sz="4" w:space="0" w:color="1A171C"/>
              <w:left w:val="nil"/>
              <w:bottom w:val="single" w:sz="4" w:space="0" w:color="1A171C"/>
              <w:right w:val="single" w:sz="4" w:space="0" w:color="1A171C"/>
            </w:tcBorders>
          </w:tcPr>
          <w:p w14:paraId="7C79874F" w14:textId="7B38365C" w:rsidR="00E13CE3" w:rsidRPr="004B56A9" w:rsidRDefault="00245A9E"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14:paraId="320BF06F" w14:textId="77777777" w:rsidR="00AD3866" w:rsidRPr="004B56A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Codice</w:t>
            </w:r>
          </w:p>
          <w:p w14:paraId="7AE6A41F" w14:textId="17B25086" w:rsidR="00FC3DBA" w:rsidRPr="004B56A9"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dell'impresa madre diretta. Per gli enti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Per le altre entità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o, in sua mancanza, di un codice di un sistema di codifica uniforme applicabile nell’Unione ovvero, in sua mancanza, di un codice nazionale.</w:t>
            </w:r>
          </w:p>
          <w:p w14:paraId="5D48E605" w14:textId="16D56383" w:rsidR="00E13CE3" w:rsidRPr="004B56A9"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Il codice è unico e utilizzato in modo coerente in tutti i modelli. Il codice deve sempre contenere un valore.</w:t>
            </w:r>
          </w:p>
        </w:tc>
      </w:tr>
      <w:tr w:rsidR="00D22EB0" w:rsidRPr="004B56A9" w14:paraId="72C1961C" w14:textId="77777777" w:rsidTr="0036322A">
        <w:tc>
          <w:tcPr>
            <w:tcW w:w="0" w:type="auto"/>
            <w:tcBorders>
              <w:top w:val="single" w:sz="4" w:space="0" w:color="1A171C"/>
              <w:left w:val="nil"/>
              <w:bottom w:val="single" w:sz="4" w:space="0" w:color="1A171C"/>
              <w:right w:val="single" w:sz="4" w:space="0" w:color="1A171C"/>
            </w:tcBorders>
          </w:tcPr>
          <w:p w14:paraId="2254F5FA" w14:textId="2564306C" w:rsidR="00E13CE3" w:rsidRPr="004B56A9" w:rsidRDefault="00FB24BC"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w:t>
            </w:r>
            <w:r w:rsidR="00E13CE3" w:rsidRPr="004B56A9">
              <w:rPr>
                <w:rFonts w:ascii="Times New Roman" w:hAnsi="Times New Roman"/>
                <w:color w:val="000000" w:themeColor="text1"/>
                <w:spacing w:val="-2"/>
                <w:sz w:val="20"/>
              </w:rPr>
              <w:t>160</w:t>
            </w:r>
          </w:p>
        </w:tc>
        <w:tc>
          <w:tcPr>
            <w:tcW w:w="0" w:type="auto"/>
            <w:tcBorders>
              <w:top w:val="single" w:sz="4" w:space="0" w:color="1A171C"/>
              <w:left w:val="single" w:sz="4" w:space="0" w:color="1A171C"/>
              <w:bottom w:val="single" w:sz="4" w:space="0" w:color="1A171C"/>
              <w:right w:val="nil"/>
            </w:tcBorders>
          </w:tcPr>
          <w:p w14:paraId="306D2C0C" w14:textId="33373D95" w:rsidR="00E13CE3" w:rsidRPr="004B56A9"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4B56A9">
              <w:rPr>
                <w:rFonts w:ascii="Times New Roman" w:hAnsi="Times New Roman"/>
                <w:b/>
                <w:color w:val="000000" w:themeColor="text1"/>
                <w:sz w:val="20"/>
              </w:rPr>
              <w:t>Codice LEI</w:t>
            </w:r>
          </w:p>
          <w:p w14:paraId="0CF6CA75" w14:textId="18F3A4B4" w:rsidR="00E13CE3" w:rsidRPr="004B56A9"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sz w:val="20"/>
              </w:rPr>
              <w:t xml:space="preserve">Se esiste, il codice LEI alfanumerico a </w:t>
            </w:r>
            <w:proofErr w:type="gramStart"/>
            <w:r w:rsidRPr="004B56A9">
              <w:rPr>
                <w:rFonts w:ascii="Times New Roman" w:hAnsi="Times New Roman"/>
                <w:color w:val="000000" w:themeColor="text1"/>
                <w:spacing w:val="-2"/>
                <w:sz w:val="20"/>
              </w:rPr>
              <w:t>20</w:t>
            </w:r>
            <w:proofErr w:type="gramEnd"/>
            <w:r w:rsidRPr="004B56A9">
              <w:rPr>
                <w:rFonts w:ascii="Times New Roman" w:hAnsi="Times New Roman"/>
                <w:color w:val="000000" w:themeColor="text1"/>
                <w:spacing w:val="-2"/>
                <w:sz w:val="20"/>
              </w:rPr>
              <w:t xml:space="preserve"> cifre dell’entità.</w:t>
            </w:r>
          </w:p>
        </w:tc>
      </w:tr>
      <w:tr w:rsidR="00D22EB0" w:rsidRPr="004B56A9" w14:paraId="73995693" w14:textId="77777777" w:rsidTr="0036322A">
        <w:tc>
          <w:tcPr>
            <w:tcW w:w="0" w:type="auto"/>
            <w:tcBorders>
              <w:top w:val="single" w:sz="4" w:space="0" w:color="1A171C"/>
              <w:left w:val="nil"/>
              <w:bottom w:val="single" w:sz="4" w:space="0" w:color="1A171C"/>
              <w:right w:val="single" w:sz="4" w:space="0" w:color="1A171C"/>
            </w:tcBorders>
          </w:tcPr>
          <w:p w14:paraId="7208269B" w14:textId="0FA25D0E" w:rsidR="00E13CE3" w:rsidRPr="004B56A9" w:rsidRDefault="00FB24BC"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w:t>
            </w:r>
            <w:r w:rsidR="00E13CE3" w:rsidRPr="004B56A9">
              <w:rPr>
                <w:rFonts w:ascii="Times New Roman" w:hAnsi="Times New Roman"/>
                <w:color w:val="000000" w:themeColor="text1"/>
                <w:spacing w:val="-2"/>
                <w:sz w:val="20"/>
              </w:rPr>
              <w:t>170</w:t>
            </w:r>
          </w:p>
        </w:tc>
        <w:tc>
          <w:tcPr>
            <w:tcW w:w="0" w:type="auto"/>
            <w:tcBorders>
              <w:top w:val="single" w:sz="4" w:space="0" w:color="1A171C"/>
              <w:left w:val="single" w:sz="4" w:space="0" w:color="1A171C"/>
              <w:bottom w:val="single" w:sz="4" w:space="0" w:color="1A171C"/>
              <w:right w:val="nil"/>
            </w:tcBorders>
          </w:tcPr>
          <w:p w14:paraId="3DBDFED8" w14:textId="77777777" w:rsidR="00E13CE3" w:rsidRPr="004B56A9"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Capitale sociale</w:t>
            </w:r>
          </w:p>
          <w:p w14:paraId="3CE68C18" w14:textId="6CC96640" w:rsidR="00E13CE3" w:rsidRPr="004B56A9"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L’importo del capitale sociale dell'entità detenuto dall'impresa madre diretta, escluse le riserve.</w:t>
            </w:r>
          </w:p>
        </w:tc>
      </w:tr>
      <w:tr w:rsidR="00D22EB0" w:rsidRPr="004B56A9" w14:paraId="7236FA95" w14:textId="77777777" w:rsidTr="0036322A">
        <w:tc>
          <w:tcPr>
            <w:tcW w:w="0" w:type="auto"/>
            <w:tcBorders>
              <w:top w:val="single" w:sz="4" w:space="0" w:color="1A171C"/>
              <w:left w:val="nil"/>
              <w:bottom w:val="single" w:sz="4" w:space="0" w:color="1A171C"/>
              <w:right w:val="single" w:sz="4" w:space="0" w:color="1A171C"/>
            </w:tcBorders>
          </w:tcPr>
          <w:p w14:paraId="5C9B27C8" w14:textId="62D88FF1" w:rsidR="00E13CE3" w:rsidRPr="004B56A9" w:rsidRDefault="00FB24BC" w:rsidP="001E5EDF">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w:t>
            </w:r>
            <w:r w:rsidR="00E13CE3" w:rsidRPr="004B56A9">
              <w:rPr>
                <w:rFonts w:ascii="Times New Roman" w:hAnsi="Times New Roman"/>
                <w:color w:val="000000" w:themeColor="text1"/>
                <w:spacing w:val="-2"/>
                <w:sz w:val="20"/>
              </w:rPr>
              <w:t>180</w:t>
            </w:r>
          </w:p>
        </w:tc>
        <w:tc>
          <w:tcPr>
            <w:tcW w:w="0" w:type="auto"/>
            <w:tcBorders>
              <w:top w:val="single" w:sz="4" w:space="0" w:color="1A171C"/>
              <w:left w:val="single" w:sz="4" w:space="0" w:color="1A171C"/>
              <w:bottom w:val="single" w:sz="4" w:space="0" w:color="1A171C"/>
              <w:right w:val="nil"/>
            </w:tcBorders>
          </w:tcPr>
          <w:p w14:paraId="47521087" w14:textId="7DEA9E0A" w:rsidR="00E13CE3" w:rsidRPr="004B56A9"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4B56A9">
              <w:rPr>
                <w:rFonts w:ascii="Times New Roman" w:hAnsi="Times New Roman"/>
                <w:b/>
                <w:color w:val="000000" w:themeColor="text1"/>
                <w:spacing w:val="-2"/>
                <w:w w:val="95"/>
                <w:sz w:val="20"/>
              </w:rPr>
              <w:t>Diritti di voto nell’entità</w:t>
            </w:r>
          </w:p>
          <w:p w14:paraId="3250E1F6" w14:textId="219E4143" w:rsidR="00E13CE3" w:rsidRPr="004B56A9"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proofErr w:type="gramStart"/>
            <w:r w:rsidRPr="004B56A9">
              <w:rPr>
                <w:rFonts w:ascii="Times New Roman" w:hAnsi="Times New Roman"/>
                <w:color w:val="000000" w:themeColor="text1"/>
                <w:spacing w:val="-1"/>
                <w:w w:val="95"/>
                <w:sz w:val="20"/>
              </w:rPr>
              <w:t>La percentuale di diritti di voto detenuta dall'impresa madre diretta nell’entità.</w:t>
            </w:r>
            <w:proofErr w:type="gramEnd"/>
          </w:p>
          <w:p w14:paraId="63F968D1" w14:textId="7215E6E0" w:rsidR="00E13CE3" w:rsidRPr="004B56A9"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1"/>
                <w:w w:val="95"/>
                <w:sz w:val="20"/>
              </w:rPr>
              <w:t xml:space="preserve">Questa informazione è richiesta solo nel caso in cui un’azione non equivalga a un voto (quindi che i diritti di </w:t>
            </w:r>
            <w:proofErr w:type="gramStart"/>
            <w:r w:rsidRPr="004B56A9">
              <w:rPr>
                <w:rFonts w:ascii="Times New Roman" w:hAnsi="Times New Roman"/>
                <w:color w:val="000000" w:themeColor="text1"/>
                <w:spacing w:val="-1"/>
                <w:w w:val="95"/>
                <w:sz w:val="20"/>
              </w:rPr>
              <w:t>voto</w:t>
            </w:r>
            <w:proofErr w:type="gramEnd"/>
            <w:r w:rsidRPr="004B56A9">
              <w:rPr>
                <w:rFonts w:ascii="Times New Roman" w:hAnsi="Times New Roman"/>
                <w:color w:val="000000" w:themeColor="text1"/>
                <w:spacing w:val="-1"/>
                <w:w w:val="95"/>
                <w:sz w:val="20"/>
              </w:rPr>
              <w:t xml:space="preserve"> non equivalgano al capitale sociale).</w:t>
            </w:r>
          </w:p>
        </w:tc>
      </w:tr>
    </w:tbl>
    <w:p w14:paraId="42380C1B" w14:textId="77777777" w:rsidR="00E13CE3" w:rsidRPr="004B56A9" w:rsidRDefault="00E13CE3" w:rsidP="00E13CE3">
      <w:pPr>
        <w:rPr>
          <w:rFonts w:ascii="Times New Roman" w:hAnsi="Times New Roman" w:cs="Times New Roman"/>
          <w:color w:val="000000" w:themeColor="text1"/>
          <w:sz w:val="20"/>
          <w:szCs w:val="20"/>
        </w:rPr>
      </w:pPr>
    </w:p>
    <w:p w14:paraId="281DAA26" w14:textId="12142A67" w:rsidR="00E13CE3" w:rsidRPr="004B56A9"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130387"/>
      <w:r w:rsidRPr="004B56A9">
        <w:rPr>
          <w:rFonts w:ascii="Times New Roman" w:hAnsi="Times New Roman"/>
        </w:rPr>
        <w:t>Z 02.00 - Struttura delle passività (LIAB)</w:t>
      </w:r>
      <w:bookmarkEnd w:id="19"/>
      <w:bookmarkEnd w:id="20"/>
      <w:bookmarkEnd w:id="21"/>
    </w:p>
    <w:p w14:paraId="6AAA2322" w14:textId="77777777" w:rsidR="005B4526" w:rsidRPr="004B56A9" w:rsidRDefault="005B4526" w:rsidP="00EC261B">
      <w:pPr>
        <w:pStyle w:val="Instructionsberschrift3"/>
      </w:pPr>
      <w:r w:rsidRPr="004B56A9">
        <w:t>Osservazioni di carattere generale</w:t>
      </w:r>
    </w:p>
    <w:p w14:paraId="14E5B7F9" w14:textId="24788BBF" w:rsidR="00E13CE3" w:rsidRPr="004B56A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Questo modello richiede dati granulari sulla struttura delle passività dell’entità o del gruppo. Le passività sono disaggregate in </w:t>
      </w:r>
      <w:proofErr w:type="gramStart"/>
      <w:r w:rsidRPr="004B56A9">
        <w:rPr>
          <w:rFonts w:ascii="Times New Roman" w:hAnsi="Times New Roman"/>
          <w:sz w:val="20"/>
        </w:rPr>
        <w:t>passività</w:t>
      </w:r>
      <w:proofErr w:type="gramEnd"/>
      <w:r w:rsidRPr="004B56A9">
        <w:rPr>
          <w:rFonts w:ascii="Times New Roman" w:hAnsi="Times New Roman"/>
          <w:sz w:val="20"/>
        </w:rPr>
        <w:t xml:space="preserve"> escluse dal bail-in e passività non escluse dal bail-in e ulteriormente ripartite per classi di passività, classi di controparti e scadenza.</w:t>
      </w:r>
    </w:p>
    <w:p w14:paraId="6EBE7CCE" w14:textId="45EDBC7D" w:rsidR="00E13CE3" w:rsidRPr="004B56A9" w:rsidRDefault="00BD69D5"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Laddove questo modello riporta una disaggregazione per scadenza, la durata residua è il periodo fino alla scadenza contrattuale oppure, se è previsto il diritto, esplicito o implicito, contrattuale o legale, del titolare al rimborso anticipato dello strumento, il periodo fino alla prima data in cui matura tale diritto. I pagamenti intermedi del capitale sono suddivisi nelle corrispondenti categorie di scadenza. Se del caso, la scadenza è considerata separatamente per l’importo del capitale e per gli interessi maturati.</w:t>
      </w:r>
    </w:p>
    <w:p w14:paraId="3549DC05" w14:textId="7297CA6C" w:rsidR="00E13CE3" w:rsidRPr="004B56A9" w:rsidRDefault="00296A07"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Per default, gli importi segnalati in questo modello sono </w:t>
      </w:r>
      <w:proofErr w:type="gramStart"/>
      <w:r w:rsidRPr="004B56A9">
        <w:rPr>
          <w:rFonts w:ascii="Times New Roman" w:hAnsi="Times New Roman"/>
          <w:sz w:val="20"/>
        </w:rPr>
        <w:t>importi</w:t>
      </w:r>
      <w:proofErr w:type="gramEnd"/>
      <w:r w:rsidRPr="004B56A9">
        <w:rPr>
          <w:rFonts w:ascii="Times New Roman" w:hAnsi="Times New Roman"/>
          <w:sz w:val="20"/>
        </w:rPr>
        <w:t xml:space="preserve"> in essere. L’importo in essere di un credito o di uno strumento è la somma dell’importo del capitale e degli interessi maturati sul credito o sullo strumento. L’importo in essere ancora non corrisposto è pari al valore del credito che il creditore potrebbe vantare </w:t>
      </w:r>
      <w:proofErr w:type="gramStart"/>
      <w:r w:rsidRPr="004B56A9">
        <w:rPr>
          <w:rFonts w:ascii="Times New Roman" w:hAnsi="Times New Roman"/>
          <w:sz w:val="20"/>
        </w:rPr>
        <w:t>nel quadro della</w:t>
      </w:r>
      <w:proofErr w:type="gramEnd"/>
      <w:r w:rsidRPr="004B56A9">
        <w:rPr>
          <w:rFonts w:ascii="Times New Roman" w:hAnsi="Times New Roman"/>
          <w:sz w:val="20"/>
        </w:rPr>
        <w:t xml:space="preserve"> procedura di insolvenza. </w:t>
      </w:r>
    </w:p>
    <w:p w14:paraId="75111CE4" w14:textId="0DC5DEED" w:rsidR="00E13CE3" w:rsidRPr="004B56A9" w:rsidRDefault="009927F0" w:rsidP="00D12404">
      <w:pPr>
        <w:pStyle w:val="InstructionsText2"/>
        <w:numPr>
          <w:ilvl w:val="0"/>
          <w:numId w:val="29"/>
        </w:numPr>
        <w:spacing w:before="0" w:after="1080"/>
        <w:ind w:left="714" w:hanging="357"/>
        <w:rPr>
          <w:rFonts w:ascii="Times New Roman" w:hAnsi="Times New Roman" w:cs="Times New Roman"/>
          <w:sz w:val="20"/>
          <w:szCs w:val="20"/>
        </w:rPr>
      </w:pPr>
      <w:r w:rsidRPr="004B56A9">
        <w:rPr>
          <w:rFonts w:ascii="Times New Roman" w:hAnsi="Times New Roman"/>
          <w:sz w:val="20"/>
        </w:rPr>
        <w:t xml:space="preserve">In deroga al punto precedente, le passività in bilancio risultanti da derivati (segnalate nella riga 0330) sono segnalate sotto forma di valori contabili. Il valore contabile è il valore contabile come definito a fini FINREP, conformemente agli IFRS o </w:t>
      </w:r>
      <w:proofErr w:type="gramStart"/>
      <w:r w:rsidRPr="004B56A9">
        <w:rPr>
          <w:rFonts w:ascii="Times New Roman" w:hAnsi="Times New Roman"/>
          <w:sz w:val="20"/>
        </w:rPr>
        <w:t>agli</w:t>
      </w:r>
      <w:proofErr w:type="gramEnd"/>
      <w:r w:rsidRPr="004B56A9">
        <w:rPr>
          <w:rFonts w:ascii="Times New Roman" w:hAnsi="Times New Roman"/>
          <w:sz w:val="20"/>
        </w:rPr>
        <w:t xml:space="preserve"> nGAAP, secondo il caso. Negli altri casi, sono utilizzate le cifre a norma degli schemi di segnalazione </w:t>
      </w:r>
      <w:proofErr w:type="gramStart"/>
      <w:r w:rsidRPr="004B56A9">
        <w:rPr>
          <w:rFonts w:ascii="Times New Roman" w:hAnsi="Times New Roman"/>
          <w:sz w:val="20"/>
        </w:rPr>
        <w:t>nGAAP</w:t>
      </w:r>
      <w:proofErr w:type="gramEnd"/>
      <w:r w:rsidRPr="004B56A9">
        <w:rPr>
          <w:rFonts w:ascii="Times New Roman" w:hAnsi="Times New Roman"/>
          <w:sz w:val="20"/>
        </w:rPr>
        <w:t xml:space="preserve">. </w:t>
      </w:r>
    </w:p>
    <w:p w14:paraId="2C8E54EF" w14:textId="77777777" w:rsidR="00E13CE3" w:rsidRPr="004B56A9" w:rsidRDefault="00E13CE3" w:rsidP="00EC261B">
      <w:pPr>
        <w:pStyle w:val="Instructionsberschrift3"/>
      </w:pPr>
      <w:r w:rsidRPr="004B56A9">
        <w:lastRenderedPageBreak/>
        <w:t xml:space="preserve">Istruzioni </w:t>
      </w:r>
      <w:proofErr w:type="gramStart"/>
      <w:r w:rsidRPr="004B56A9">
        <w:t>relative a</w:t>
      </w:r>
      <w:proofErr w:type="gramEnd"/>
      <w:r w:rsidRPr="004B56A9">
        <w:t xml:space="preserve">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4B56A9" w14:paraId="43A35187"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28A5DA99" w14:textId="77777777" w:rsidR="0081175C" w:rsidRPr="004B56A9" w:rsidRDefault="0081175C" w:rsidP="00367C1E">
            <w:pPr>
              <w:pStyle w:val="TableParagraph"/>
              <w:spacing w:before="66"/>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Colonne</w:t>
            </w:r>
          </w:p>
        </w:tc>
        <w:tc>
          <w:tcPr>
            <w:tcW w:w="8118" w:type="dxa"/>
            <w:tcBorders>
              <w:top w:val="single" w:sz="4" w:space="0" w:color="1A171C"/>
              <w:left w:val="single" w:sz="4" w:space="0" w:color="1A171C"/>
              <w:bottom w:val="single" w:sz="4" w:space="0" w:color="1A171C"/>
              <w:right w:val="nil"/>
            </w:tcBorders>
            <w:shd w:val="clear" w:color="auto" w:fill="E4E5E5"/>
          </w:tcPr>
          <w:p w14:paraId="7DBFD6E0" w14:textId="77777777" w:rsidR="0081175C" w:rsidRPr="004B56A9"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1"/>
                <w:w w:val="90"/>
                <w:sz w:val="20"/>
              </w:rPr>
              <w:t>Istruzioni</w:t>
            </w:r>
          </w:p>
        </w:tc>
      </w:tr>
      <w:tr w:rsidR="00D22EB0" w:rsidRPr="004B56A9" w14:paraId="098BF8A8" w14:textId="77777777" w:rsidTr="00FF209B">
        <w:tc>
          <w:tcPr>
            <w:tcW w:w="908" w:type="dxa"/>
            <w:tcBorders>
              <w:top w:val="single" w:sz="4" w:space="0" w:color="1A171C"/>
              <w:left w:val="nil"/>
              <w:bottom w:val="single" w:sz="4" w:space="0" w:color="1A171C"/>
              <w:right w:val="single" w:sz="4" w:space="0" w:color="1A171C"/>
            </w:tcBorders>
            <w:vAlign w:val="center"/>
          </w:tcPr>
          <w:p w14:paraId="6B7B6F26" w14:textId="57906397" w:rsidR="0081175C" w:rsidRPr="004B56A9"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4B56A9">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E5AFB84" w14:textId="77777777" w:rsidR="0081175C" w:rsidRPr="004B56A9"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Famiglie</w:t>
            </w:r>
          </w:p>
          <w:p w14:paraId="65A69686" w14:textId="51ED361B" w:rsidR="0081175C" w:rsidRPr="004B56A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FINREP, allegato V. Parte 1.42</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f) </w:t>
            </w:r>
          </w:p>
          <w:p w14:paraId="7963ED1A" w14:textId="14418779" w:rsidR="0081175C" w:rsidRPr="004B56A9"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sidRPr="004B56A9">
              <w:rPr>
                <w:rFonts w:ascii="Times New Roman" w:hAnsi="Times New Roman"/>
                <w:color w:val="000000" w:themeColor="text1"/>
                <w:spacing w:val="-2"/>
                <w:w w:val="95"/>
                <w:sz w:val="20"/>
              </w:rPr>
              <w:t xml:space="preserve">Gli individui o i gruppi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individui in qualità di consumatori e produttori di beni e servizi non finanziari esclusivamente per proprio uso finale e in qualità di produttori di beni e servizi finanziari e non finanziari destinabili alla vendita purché la loro attività non sia quella di una quasi-società. Sono incluse anche le istituzioni senza fini di lucro al servizio delle famiglie la cui attività principalmente consiste nella produzione di beni non destinabili alla vendita e di servizi destinati a particolari gruppi di famiglie.</w:t>
            </w:r>
          </w:p>
        </w:tc>
      </w:tr>
      <w:tr w:rsidR="00D22EB0" w:rsidRPr="004B56A9" w14:paraId="67DD00FA" w14:textId="77777777" w:rsidTr="00FF209B">
        <w:tc>
          <w:tcPr>
            <w:tcW w:w="908" w:type="dxa"/>
            <w:tcBorders>
              <w:top w:val="single" w:sz="4" w:space="0" w:color="1A171C"/>
              <w:left w:val="nil"/>
              <w:bottom w:val="single" w:sz="4" w:space="0" w:color="1A171C"/>
              <w:right w:val="single" w:sz="4" w:space="0" w:color="1A171C"/>
            </w:tcBorders>
            <w:vAlign w:val="center"/>
          </w:tcPr>
          <w:p w14:paraId="59CF0265" w14:textId="7DAC292B" w:rsidR="0081175C" w:rsidRPr="004B56A9" w:rsidRDefault="0081175C" w:rsidP="00367C1E">
            <w:pPr>
              <w:pStyle w:val="TableParagraph"/>
              <w:spacing w:before="106"/>
              <w:ind w:left="-1"/>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14:paraId="5AF53EE5" w14:textId="77777777" w:rsidR="0081175C" w:rsidRPr="004B56A9"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Società non finanziarie (PMI)</w:t>
            </w:r>
          </w:p>
          <w:p w14:paraId="7172836D" w14:textId="6FA17134" w:rsidR="0081175C" w:rsidRPr="004B56A9"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Allegato, titolo I, 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della raccomandazione della Commissione del 6 maggio 2003</w:t>
            </w:r>
            <w:r w:rsidRPr="004B56A9">
              <w:rPr>
                <w:rStyle w:val="FootnoteReference"/>
                <w:color w:val="1A171C"/>
                <w:spacing w:val="-2"/>
                <w:w w:val="95"/>
              </w:rPr>
              <w:footnoteReference w:id="8"/>
            </w:r>
            <w:proofErr w:type="gramStart"/>
            <w:r w:rsidRPr="004B56A9">
              <w:rPr>
                <w:rFonts w:ascii="Times New Roman" w:hAnsi="Times New Roman"/>
                <w:color w:val="000000" w:themeColor="text1"/>
                <w:spacing w:val="-2"/>
                <w:w w:val="95"/>
                <w:sz w:val="20"/>
              </w:rPr>
              <w:t xml:space="preserve">; </w:t>
            </w:r>
            <w:proofErr w:type="gramEnd"/>
            <w:r w:rsidRPr="004B56A9">
              <w:rPr>
                <w:rFonts w:ascii="Times New Roman" w:hAnsi="Times New Roman"/>
                <w:color w:val="000000" w:themeColor="text1"/>
                <w:spacing w:val="-2"/>
                <w:w w:val="95"/>
                <w:sz w:val="20"/>
              </w:rPr>
              <w:t>FINREP, allegato V. Parte 1.5(i).</w:t>
            </w:r>
          </w:p>
          <w:p w14:paraId="761A3E82" w14:textId="29B26A6A" w:rsidR="0081175C" w:rsidRPr="004B56A9"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4B56A9">
              <w:rPr>
                <w:rFonts w:ascii="Times New Roman" w:hAnsi="Times New Roman"/>
                <w:color w:val="000000" w:themeColor="text1"/>
                <w:spacing w:val="-2"/>
                <w:w w:val="95"/>
                <w:sz w:val="20"/>
              </w:rPr>
              <w:t xml:space="preserve">Le imprese che occupano meno di 250 persone, il cui fatturato annuo non supera i </w:t>
            </w:r>
            <w:proofErr w:type="gramStart"/>
            <w:r w:rsidRPr="004B56A9">
              <w:rPr>
                <w:rFonts w:ascii="Times New Roman" w:hAnsi="Times New Roman"/>
                <w:color w:val="000000" w:themeColor="text1"/>
                <w:spacing w:val="-2"/>
                <w:w w:val="95"/>
                <w:sz w:val="20"/>
              </w:rPr>
              <w:t>50</w:t>
            </w:r>
            <w:proofErr w:type="gramEnd"/>
            <w:r w:rsidRPr="004B56A9">
              <w:rPr>
                <w:rFonts w:ascii="Times New Roman" w:hAnsi="Times New Roman"/>
                <w:color w:val="000000" w:themeColor="text1"/>
                <w:spacing w:val="-2"/>
                <w:w w:val="95"/>
                <w:sz w:val="20"/>
              </w:rPr>
              <w:t xml:space="preserve"> milioni di EUR oppure il cui totale di bilancio annuo non supera i 43 milioni di EUR.</w:t>
            </w:r>
          </w:p>
        </w:tc>
      </w:tr>
      <w:tr w:rsidR="00D22EB0" w:rsidRPr="004B56A9" w14:paraId="569B9BC8" w14:textId="77777777" w:rsidTr="00FF209B">
        <w:tc>
          <w:tcPr>
            <w:tcW w:w="908" w:type="dxa"/>
            <w:tcBorders>
              <w:top w:val="single" w:sz="4" w:space="0" w:color="1A171C"/>
              <w:left w:val="nil"/>
              <w:bottom w:val="single" w:sz="4" w:space="0" w:color="1A171C"/>
              <w:right w:val="single" w:sz="4" w:space="0" w:color="1A171C"/>
            </w:tcBorders>
            <w:vAlign w:val="center"/>
          </w:tcPr>
          <w:p w14:paraId="14D428E7" w14:textId="0648FF1C" w:rsidR="0081175C" w:rsidRPr="004B56A9" w:rsidRDefault="0081175C"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14:paraId="30D5F4AC" w14:textId="77777777" w:rsidR="0081175C" w:rsidRPr="004B56A9"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Società non finanziarie (non PMI)</w:t>
            </w:r>
          </w:p>
          <w:p w14:paraId="08562BA1" w14:textId="229FBE72" w:rsidR="0081175C" w:rsidRPr="004B56A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FINREP, allegato V. Parte 1.42</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e)</w:t>
            </w:r>
          </w:p>
          <w:p w14:paraId="2B6E14DF" w14:textId="4CECF8BF" w:rsidR="0081175C" w:rsidRPr="004B56A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società e quasi-società non impegnate nella fornitura di servizi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intermediazione finanziaria, ma la cui attività consiste principalmente nella produzione di beni e servizi non finanziari destinati alla vendita ai sensi del regolamento (UE) n. 1071/2013 della Banca centrale europea</w:t>
            </w:r>
            <w:r w:rsidRPr="004B56A9">
              <w:rPr>
                <w:rFonts w:ascii="Times New Roman" w:hAnsi="Times New Roman"/>
                <w:color w:val="000000" w:themeColor="text1"/>
                <w:sz w:val="20"/>
                <w:vertAlign w:val="superscript"/>
              </w:rPr>
              <w:footnoteReference w:id="9"/>
            </w:r>
            <w:r w:rsidRPr="004B56A9">
              <w:rPr>
                <w:rFonts w:ascii="Times New Roman" w:hAnsi="Times New Roman"/>
                <w:color w:val="000000" w:themeColor="text1"/>
                <w:spacing w:val="-2"/>
                <w:w w:val="95"/>
                <w:sz w:val="20"/>
              </w:rPr>
              <w:t>.</w:t>
            </w:r>
          </w:p>
          <w:p w14:paraId="2A31E143" w14:textId="18A9CEAA" w:rsidR="0081175C" w:rsidRPr="004B56A9"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Sono escluse le “PMI” segnalate nella colonna 0020. </w:t>
            </w:r>
          </w:p>
        </w:tc>
      </w:tr>
      <w:tr w:rsidR="00D22EB0" w:rsidRPr="004B56A9" w14:paraId="7E7503BA" w14:textId="77777777" w:rsidTr="00FF209B">
        <w:tc>
          <w:tcPr>
            <w:tcW w:w="908" w:type="dxa"/>
            <w:tcBorders>
              <w:top w:val="single" w:sz="4" w:space="0" w:color="1A171C"/>
              <w:left w:val="nil"/>
              <w:bottom w:val="single" w:sz="4" w:space="0" w:color="1A171C"/>
              <w:right w:val="single" w:sz="4" w:space="0" w:color="1A171C"/>
            </w:tcBorders>
            <w:vAlign w:val="center"/>
          </w:tcPr>
          <w:p w14:paraId="3BD1FA49" w14:textId="0578D42C" w:rsidR="0081175C" w:rsidRPr="004B56A9" w:rsidRDefault="0081175C"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14:paraId="0B0A6535" w14:textId="77777777" w:rsidR="0081175C" w:rsidRPr="004B56A9"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Enti creditizi</w:t>
            </w:r>
          </w:p>
          <w:p w14:paraId="28D958BB" w14:textId="364D10B5" w:rsidR="0081175C" w:rsidRPr="004B56A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FINREP, allegato V. Parte 1.42</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c)</w:t>
            </w:r>
          </w:p>
          <w:p w14:paraId="017B9E50" w14:textId="3A0F8922" w:rsidR="0081175C" w:rsidRPr="004B56A9" w:rsidRDefault="00F97BC8" w:rsidP="0057384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Gli enti creditizi ai sensi dell’articolo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paragrafo 1, punto 1, del regolamento (UE) n. 575/2013 e le banche multilaterali di sviluppo.</w:t>
            </w:r>
          </w:p>
        </w:tc>
      </w:tr>
      <w:tr w:rsidR="00D22EB0" w:rsidRPr="004B56A9" w14:paraId="3C78517D" w14:textId="77777777" w:rsidTr="00FF209B">
        <w:tc>
          <w:tcPr>
            <w:tcW w:w="908" w:type="dxa"/>
            <w:tcBorders>
              <w:top w:val="single" w:sz="4" w:space="0" w:color="1A171C"/>
              <w:left w:val="nil"/>
              <w:bottom w:val="single" w:sz="4" w:space="0" w:color="1A171C"/>
              <w:right w:val="single" w:sz="4" w:space="0" w:color="1A171C"/>
            </w:tcBorders>
            <w:vAlign w:val="center"/>
          </w:tcPr>
          <w:p w14:paraId="4EA8F495" w14:textId="5AC0A327" w:rsidR="0081175C" w:rsidRPr="004B56A9" w:rsidRDefault="0081175C"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14:paraId="11433021" w14:textId="77777777" w:rsidR="0081175C" w:rsidRPr="004B56A9"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Altre società finanziarie</w:t>
            </w:r>
          </w:p>
          <w:p w14:paraId="599A1B62" w14:textId="18F4897D" w:rsidR="0081175C" w:rsidRPr="004B56A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FINREP, allegato V. Parte 1.42</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d)</w:t>
            </w:r>
          </w:p>
          <w:p w14:paraId="42BBDF75" w14:textId="79D5A8D4" w:rsidR="0081175C" w:rsidRPr="004B56A9"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Tutte le società e le quasi-società finanziarie diverse dagli enti creditizi, come le imprese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tc>
      </w:tr>
      <w:tr w:rsidR="00D22EB0" w:rsidRPr="004B56A9" w14:paraId="02D00E90" w14:textId="77777777" w:rsidTr="00FF209B">
        <w:tc>
          <w:tcPr>
            <w:tcW w:w="908" w:type="dxa"/>
            <w:tcBorders>
              <w:top w:val="single" w:sz="4" w:space="0" w:color="1A171C"/>
              <w:left w:val="nil"/>
              <w:bottom w:val="single" w:sz="4" w:space="0" w:color="1A171C"/>
              <w:right w:val="single" w:sz="4" w:space="0" w:color="1A171C"/>
            </w:tcBorders>
            <w:vAlign w:val="center"/>
          </w:tcPr>
          <w:p w14:paraId="53339FB7" w14:textId="1184C5D0" w:rsidR="0081175C" w:rsidRPr="004B56A9" w:rsidRDefault="0081175C"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14:paraId="1E35DDC9" w14:textId="77777777" w:rsidR="0081175C" w:rsidRPr="004B56A9"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Amministrazioni pubbliche e banche centrali</w:t>
            </w:r>
          </w:p>
          <w:p w14:paraId="348A0618" w14:textId="5E17A6D0" w:rsidR="0081175C" w:rsidRPr="004B56A9"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FINREP, allegato V. Parte 1.42</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a) e (b)</w:t>
            </w:r>
          </w:p>
          <w:p w14:paraId="7E830126" w14:textId="54CAF89A" w:rsidR="0081175C" w:rsidRPr="004B56A9" w:rsidRDefault="0081175C" w:rsidP="00D12404">
            <w:pPr>
              <w:pStyle w:val="TableParagraph"/>
              <w:spacing w:before="108" w:after="360"/>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Le banche centrali e le amministrazioni centrali, le amministrazioni statali o regionali e le amministrazioni locali, compresi gli organi amministrativi e le imprese non commerciali, escluse però le imprese pubbliche e private di proprietà di queste amministrazioni che svolgono un’attività commerciale (e sono segnalate alle voci “enti creditizi”, “altre società finanziarie” o “società non finanziarie”, </w:t>
            </w:r>
            <w:proofErr w:type="gramStart"/>
            <w:r w:rsidRPr="004B56A9">
              <w:rPr>
                <w:rFonts w:ascii="Times New Roman" w:hAnsi="Times New Roman"/>
                <w:color w:val="000000" w:themeColor="text1"/>
                <w:spacing w:val="-2"/>
                <w:w w:val="95"/>
                <w:sz w:val="20"/>
              </w:rPr>
              <w:t>a seconda della</w:t>
            </w:r>
            <w:proofErr w:type="gramEnd"/>
            <w:r w:rsidRPr="004B56A9">
              <w:rPr>
                <w:rFonts w:ascii="Times New Roman" w:hAnsi="Times New Roman"/>
                <w:color w:val="000000" w:themeColor="text1"/>
                <w:spacing w:val="-2"/>
                <w:w w:val="95"/>
                <w:sz w:val="20"/>
              </w:rPr>
              <w:t xml:space="preserve"> loro attività); gli enti di previdenza e assistenza sociale e le organizzazioni internazionali, come l’Unione europea, il Fondo monetario internazionale e la Banca dei regolamenti internazionali.</w:t>
            </w:r>
          </w:p>
        </w:tc>
      </w:tr>
      <w:tr w:rsidR="00D22EB0" w:rsidRPr="004B56A9" w14:paraId="2699F466" w14:textId="77777777" w:rsidTr="00FF209B">
        <w:tc>
          <w:tcPr>
            <w:tcW w:w="908" w:type="dxa"/>
            <w:tcBorders>
              <w:top w:val="single" w:sz="4" w:space="0" w:color="1A171C"/>
              <w:left w:val="nil"/>
              <w:bottom w:val="single" w:sz="4" w:space="0" w:color="1A171C"/>
              <w:right w:val="single" w:sz="4" w:space="0" w:color="1A171C"/>
            </w:tcBorders>
            <w:vAlign w:val="center"/>
          </w:tcPr>
          <w:p w14:paraId="113DCA41" w14:textId="5C7FFCA0" w:rsidR="0081175C" w:rsidRPr="004B56A9" w:rsidRDefault="0081175C"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0070</w:t>
            </w:r>
          </w:p>
        </w:tc>
        <w:tc>
          <w:tcPr>
            <w:tcW w:w="8118" w:type="dxa"/>
            <w:tcBorders>
              <w:top w:val="single" w:sz="4" w:space="0" w:color="1A171C"/>
              <w:left w:val="single" w:sz="4" w:space="0" w:color="1A171C"/>
              <w:bottom w:val="single" w:sz="4" w:space="0" w:color="1A171C"/>
              <w:right w:val="nil"/>
            </w:tcBorders>
            <w:vAlign w:val="center"/>
          </w:tcPr>
          <w:p w14:paraId="401E2A9E" w14:textId="2B10DFD2" w:rsidR="0081175C" w:rsidRPr="004B56A9"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Non identificata, titolo quotato </w:t>
            </w:r>
            <w:r w:rsidR="00950034" w:rsidRPr="004B56A9">
              <w:rPr>
                <w:rFonts w:ascii="Times New Roman" w:hAnsi="Times New Roman"/>
                <w:b/>
                <w:color w:val="000000" w:themeColor="text1"/>
                <w:spacing w:val="-2"/>
                <w:w w:val="95"/>
                <w:sz w:val="20"/>
              </w:rPr>
              <w:t>in una sede</w:t>
            </w:r>
            <w:r w:rsidRPr="004B56A9">
              <w:rPr>
                <w:rFonts w:ascii="Times New Roman" w:hAnsi="Times New Roman"/>
                <w:b/>
                <w:color w:val="000000" w:themeColor="text1"/>
                <w:spacing w:val="-2"/>
                <w:w w:val="95"/>
                <w:sz w:val="20"/>
              </w:rPr>
              <w:t xml:space="preserve"> di </w:t>
            </w:r>
            <w:proofErr w:type="gramStart"/>
            <w:r w:rsidRPr="004B56A9">
              <w:rPr>
                <w:rFonts w:ascii="Times New Roman" w:hAnsi="Times New Roman"/>
                <w:b/>
                <w:color w:val="000000" w:themeColor="text1"/>
                <w:spacing w:val="-2"/>
                <w:w w:val="95"/>
                <w:sz w:val="20"/>
              </w:rPr>
              <w:t>negoziazione</w:t>
            </w:r>
            <w:proofErr w:type="gramEnd"/>
          </w:p>
          <w:p w14:paraId="0A84E034" w14:textId="38CFEAC5" w:rsidR="0081175C" w:rsidRPr="004B56A9" w:rsidRDefault="00FF209B" w:rsidP="0095003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Laddove l’identità del detentore del titolo non è nota perché lo strumento è quotato </w:t>
            </w:r>
            <w:r w:rsidR="00950034" w:rsidRPr="004B56A9">
              <w:rPr>
                <w:rFonts w:ascii="Times New Roman" w:hAnsi="Times New Roman"/>
                <w:color w:val="000000" w:themeColor="text1"/>
                <w:spacing w:val="-2"/>
                <w:w w:val="95"/>
                <w:sz w:val="20"/>
              </w:rPr>
              <w:t>in una sede</w:t>
            </w:r>
            <w:r w:rsidRPr="004B56A9">
              <w:rPr>
                <w:rFonts w:ascii="Times New Roman" w:hAnsi="Times New Roman"/>
                <w:color w:val="000000" w:themeColor="text1"/>
                <w:spacing w:val="-2"/>
                <w:w w:val="95"/>
                <w:sz w:val="20"/>
              </w:rPr>
              <w:t xml:space="preserve"> di negoziazione, ai sensi della direttiva 2014/65/UE del Parlamento europeo e del Consiglio, del 15 maggio 2014, relativa ai mercati degli strumenti finanziari, gli importi sono segnalati in questa colonna.</w:t>
            </w:r>
          </w:p>
        </w:tc>
      </w:tr>
      <w:tr w:rsidR="00D22EB0" w:rsidRPr="004B56A9" w14:paraId="31623AF7" w14:textId="77777777" w:rsidTr="00FF209B">
        <w:tc>
          <w:tcPr>
            <w:tcW w:w="908" w:type="dxa"/>
            <w:tcBorders>
              <w:top w:val="single" w:sz="4" w:space="0" w:color="1A171C"/>
              <w:left w:val="nil"/>
              <w:bottom w:val="single" w:sz="4" w:space="0" w:color="1A171C"/>
              <w:right w:val="single" w:sz="4" w:space="0" w:color="1A171C"/>
            </w:tcBorders>
            <w:vAlign w:val="center"/>
          </w:tcPr>
          <w:p w14:paraId="1B592036" w14:textId="30E9D5BF" w:rsidR="00FF209B" w:rsidRPr="004B56A9" w:rsidRDefault="00FF209B" w:rsidP="00FF209B">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14:paraId="0821CB69" w14:textId="508604E2" w:rsidR="00FF209B" w:rsidRPr="004B56A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Non ide</w:t>
            </w:r>
            <w:r w:rsidR="0097387A" w:rsidRPr="004B56A9">
              <w:rPr>
                <w:rFonts w:ascii="Times New Roman" w:hAnsi="Times New Roman"/>
                <w:b/>
                <w:color w:val="000000" w:themeColor="text1"/>
                <w:spacing w:val="-2"/>
                <w:w w:val="95"/>
                <w:sz w:val="20"/>
              </w:rPr>
              <w:t>ntificata, titolo non quotato in</w:t>
            </w:r>
            <w:r w:rsidRPr="004B56A9">
              <w:rPr>
                <w:rFonts w:ascii="Times New Roman" w:hAnsi="Times New Roman"/>
                <w:b/>
                <w:color w:val="000000" w:themeColor="text1"/>
                <w:spacing w:val="-2"/>
                <w:w w:val="95"/>
                <w:sz w:val="20"/>
              </w:rPr>
              <w:t xml:space="preserve"> una </w:t>
            </w:r>
            <w:r w:rsidR="0097387A" w:rsidRPr="004B56A9">
              <w:rPr>
                <w:rFonts w:ascii="Times New Roman" w:hAnsi="Times New Roman"/>
                <w:b/>
                <w:color w:val="000000" w:themeColor="text1"/>
                <w:spacing w:val="-2"/>
                <w:w w:val="95"/>
                <w:sz w:val="20"/>
              </w:rPr>
              <w:t>sede</w:t>
            </w:r>
            <w:r w:rsidRPr="004B56A9">
              <w:rPr>
                <w:rFonts w:ascii="Times New Roman" w:hAnsi="Times New Roman"/>
                <w:b/>
                <w:color w:val="000000" w:themeColor="text1"/>
                <w:spacing w:val="-2"/>
                <w:w w:val="95"/>
                <w:sz w:val="20"/>
              </w:rPr>
              <w:t xml:space="preserve"> di </w:t>
            </w:r>
            <w:proofErr w:type="gramStart"/>
            <w:r w:rsidRPr="004B56A9">
              <w:rPr>
                <w:rFonts w:ascii="Times New Roman" w:hAnsi="Times New Roman"/>
                <w:b/>
                <w:color w:val="000000" w:themeColor="text1"/>
                <w:spacing w:val="-2"/>
                <w:w w:val="95"/>
                <w:sz w:val="20"/>
              </w:rPr>
              <w:t>negoziazione</w:t>
            </w:r>
            <w:proofErr w:type="gramEnd"/>
          </w:p>
          <w:p w14:paraId="453585FE" w14:textId="37772137" w:rsidR="00FF209B" w:rsidRPr="004B56A9" w:rsidRDefault="00FF209B" w:rsidP="0097387A">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Laddove l’identità del detentore del titolo non è nota, </w:t>
            </w:r>
            <w:r w:rsidR="0097387A" w:rsidRPr="004B56A9">
              <w:rPr>
                <w:rFonts w:ascii="Times New Roman" w:hAnsi="Times New Roman"/>
                <w:color w:val="000000" w:themeColor="text1"/>
                <w:spacing w:val="-2"/>
                <w:w w:val="95"/>
                <w:sz w:val="20"/>
              </w:rPr>
              <w:t>ma lo strumento non è quotato in</w:t>
            </w:r>
            <w:r w:rsidRPr="004B56A9">
              <w:rPr>
                <w:rFonts w:ascii="Times New Roman" w:hAnsi="Times New Roman"/>
                <w:color w:val="000000" w:themeColor="text1"/>
                <w:spacing w:val="-2"/>
                <w:w w:val="95"/>
                <w:sz w:val="20"/>
              </w:rPr>
              <w:t xml:space="preserve"> una </w:t>
            </w:r>
            <w:r w:rsidR="0097387A" w:rsidRPr="004B56A9">
              <w:rPr>
                <w:rFonts w:ascii="Times New Roman" w:hAnsi="Times New Roman"/>
                <w:color w:val="000000" w:themeColor="text1"/>
                <w:spacing w:val="-2"/>
                <w:w w:val="95"/>
                <w:sz w:val="20"/>
              </w:rPr>
              <w:t>sede</w:t>
            </w:r>
            <w:r w:rsidRPr="004B56A9">
              <w:rPr>
                <w:rFonts w:ascii="Times New Roman" w:hAnsi="Times New Roman"/>
                <w:color w:val="000000" w:themeColor="text1"/>
                <w:spacing w:val="-2"/>
                <w:w w:val="95"/>
                <w:sz w:val="20"/>
              </w:rPr>
              <w:t xml:space="preserve"> di negoziazione, gli importi sono segnalati in questa colonna e non è richiesta l’</w:t>
            </w:r>
            <w:proofErr w:type="gramStart"/>
            <w:r w:rsidRPr="004B56A9">
              <w:rPr>
                <w:rFonts w:ascii="Times New Roman" w:hAnsi="Times New Roman"/>
                <w:color w:val="000000" w:themeColor="text1"/>
                <w:spacing w:val="-2"/>
                <w:w w:val="95"/>
                <w:sz w:val="20"/>
              </w:rPr>
              <w:t>ulteriore</w:t>
            </w:r>
            <w:proofErr w:type="gramEnd"/>
            <w:r w:rsidRPr="004B56A9">
              <w:rPr>
                <w:rFonts w:ascii="Times New Roman" w:hAnsi="Times New Roman"/>
                <w:color w:val="000000" w:themeColor="text1"/>
                <w:spacing w:val="-2"/>
                <w:w w:val="95"/>
                <w:sz w:val="20"/>
              </w:rPr>
              <w:t xml:space="preserve"> disaggregazione della controparte. Le entità </w:t>
            </w:r>
            <w:proofErr w:type="gramStart"/>
            <w:r w:rsidRPr="004B56A9">
              <w:rPr>
                <w:rFonts w:ascii="Times New Roman" w:hAnsi="Times New Roman"/>
                <w:color w:val="000000" w:themeColor="text1"/>
                <w:spacing w:val="-2"/>
                <w:w w:val="95"/>
                <w:sz w:val="20"/>
              </w:rPr>
              <w:t xml:space="preserve">si </w:t>
            </w:r>
            <w:proofErr w:type="gramEnd"/>
            <w:r w:rsidRPr="004B56A9">
              <w:rPr>
                <w:rFonts w:ascii="Times New Roman" w:hAnsi="Times New Roman"/>
                <w:color w:val="000000" w:themeColor="text1"/>
                <w:spacing w:val="-2"/>
                <w:w w:val="95"/>
                <w:sz w:val="20"/>
              </w:rPr>
              <w:t>impegnano al meglio per individuare le controparti e limitare al minimo il ricorso a questa colonna.</w:t>
            </w:r>
          </w:p>
        </w:tc>
      </w:tr>
      <w:tr w:rsidR="00D22EB0" w:rsidRPr="004B56A9" w14:paraId="4D850C9E" w14:textId="77777777" w:rsidTr="00FF209B">
        <w:tc>
          <w:tcPr>
            <w:tcW w:w="908" w:type="dxa"/>
            <w:tcBorders>
              <w:top w:val="single" w:sz="4" w:space="0" w:color="1A171C"/>
              <w:left w:val="nil"/>
              <w:bottom w:val="single" w:sz="4" w:space="0" w:color="1A171C"/>
              <w:right w:val="single" w:sz="4" w:space="0" w:color="1A171C"/>
            </w:tcBorders>
            <w:vAlign w:val="center"/>
          </w:tcPr>
          <w:p w14:paraId="7425F399" w14:textId="15B9BBE2" w:rsidR="00FF209B" w:rsidRPr="004B56A9" w:rsidRDefault="00FF209B" w:rsidP="00FF209B">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14:paraId="6EFF26EC" w14:textId="0597463D" w:rsidR="00FF209B" w:rsidRPr="004B56A9"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Totale</w:t>
            </w:r>
          </w:p>
        </w:tc>
      </w:tr>
      <w:tr w:rsidR="00D22EB0" w:rsidRPr="004B56A9" w14:paraId="097DA298" w14:textId="77777777" w:rsidTr="00FF209B">
        <w:tc>
          <w:tcPr>
            <w:tcW w:w="908" w:type="dxa"/>
            <w:tcBorders>
              <w:top w:val="single" w:sz="4" w:space="0" w:color="1A171C"/>
              <w:left w:val="nil"/>
              <w:bottom w:val="single" w:sz="4" w:space="0" w:color="1A171C"/>
              <w:right w:val="single" w:sz="4" w:space="0" w:color="1A171C"/>
            </w:tcBorders>
            <w:vAlign w:val="center"/>
          </w:tcPr>
          <w:p w14:paraId="2AF6AFEB" w14:textId="1169891F" w:rsidR="00FF209B" w:rsidRPr="004B56A9" w:rsidRDefault="00FF209B" w:rsidP="00FF209B">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14:paraId="18149A29" w14:textId="77777777" w:rsidR="00FF209B" w:rsidRPr="004B56A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sidRPr="004B56A9">
              <w:rPr>
                <w:rFonts w:ascii="Times New Roman" w:hAnsi="Times New Roman"/>
                <w:b/>
                <w:color w:val="000000" w:themeColor="text1"/>
                <w:spacing w:val="-2"/>
                <w:w w:val="95"/>
                <w:sz w:val="20"/>
              </w:rPr>
              <w:t>di</w:t>
            </w:r>
            <w:proofErr w:type="gramEnd"/>
            <w:r w:rsidRPr="004B56A9">
              <w:rPr>
                <w:rFonts w:ascii="Times New Roman" w:hAnsi="Times New Roman"/>
                <w:b/>
                <w:color w:val="000000" w:themeColor="text1"/>
                <w:spacing w:val="-2"/>
                <w:w w:val="95"/>
                <w:sz w:val="20"/>
              </w:rPr>
              <w:t xml:space="preserve"> cui: infragruppo</w:t>
            </w:r>
          </w:p>
          <w:p w14:paraId="54C7A123" w14:textId="14A2AAAC" w:rsidR="00FF209B" w:rsidRPr="004B56A9"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Le passività nei confronti di entità incluse nel bilancio consolidato dell’</w:t>
            </w:r>
            <w:proofErr w:type="gramStart"/>
            <w:r w:rsidRPr="004B56A9">
              <w:rPr>
                <w:rFonts w:ascii="Times New Roman" w:hAnsi="Times New Roman"/>
                <w:color w:val="000000" w:themeColor="text1"/>
                <w:spacing w:val="-2"/>
                <w:w w:val="95"/>
                <w:sz w:val="20"/>
              </w:rPr>
              <w:t>entità</w:t>
            </w:r>
            <w:proofErr w:type="gramEnd"/>
            <w:r w:rsidRPr="004B56A9">
              <w:rPr>
                <w:rFonts w:ascii="Times New Roman" w:hAnsi="Times New Roman"/>
                <w:color w:val="000000" w:themeColor="text1"/>
                <w:spacing w:val="-2"/>
                <w:w w:val="95"/>
                <w:sz w:val="20"/>
              </w:rPr>
              <w:t xml:space="preserve"> madre capogruppo (in contrapposizione all’ambito del consolidamento regolamentare). </w:t>
            </w:r>
          </w:p>
        </w:tc>
      </w:tr>
      <w:tr w:rsidR="00D22EB0" w:rsidRPr="004B56A9" w14:paraId="25CF2CF7" w14:textId="77777777" w:rsidTr="00FF209B">
        <w:tc>
          <w:tcPr>
            <w:tcW w:w="908" w:type="dxa"/>
            <w:tcBorders>
              <w:top w:val="single" w:sz="4" w:space="0" w:color="1A171C"/>
              <w:left w:val="nil"/>
              <w:bottom w:val="single" w:sz="4" w:space="0" w:color="1A171C"/>
              <w:right w:val="single" w:sz="4" w:space="0" w:color="1A171C"/>
            </w:tcBorders>
            <w:vAlign w:val="center"/>
          </w:tcPr>
          <w:p w14:paraId="3EFD7A78" w14:textId="6EFF6B36" w:rsidR="00FF209B" w:rsidRPr="004B56A9" w:rsidRDefault="009B423F" w:rsidP="00FF209B">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14:paraId="555FECD9" w14:textId="75E75414" w:rsidR="00FF209B" w:rsidRPr="004B56A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sidRPr="004B56A9">
              <w:rPr>
                <w:rFonts w:ascii="Times New Roman" w:hAnsi="Times New Roman"/>
                <w:b/>
                <w:color w:val="000000" w:themeColor="text1"/>
                <w:spacing w:val="-2"/>
                <w:w w:val="95"/>
                <w:sz w:val="20"/>
              </w:rPr>
              <w:t>di</w:t>
            </w:r>
            <w:proofErr w:type="gramEnd"/>
            <w:r w:rsidRPr="004B56A9">
              <w:rPr>
                <w:rFonts w:ascii="Times New Roman" w:hAnsi="Times New Roman"/>
                <w:b/>
                <w:color w:val="000000" w:themeColor="text1"/>
                <w:spacing w:val="-2"/>
                <w:w w:val="95"/>
                <w:sz w:val="20"/>
              </w:rPr>
              <w:t xml:space="preserve"> cui: </w:t>
            </w:r>
            <w:r w:rsidR="0040423B" w:rsidRPr="004B56A9">
              <w:rPr>
                <w:rFonts w:ascii="Times New Roman" w:hAnsi="Times New Roman"/>
                <w:b/>
                <w:color w:val="000000" w:themeColor="text1"/>
                <w:spacing w:val="-2"/>
                <w:w w:val="95"/>
                <w:sz w:val="20"/>
              </w:rPr>
              <w:t>passività</w:t>
            </w:r>
            <w:r w:rsidRPr="004B56A9">
              <w:rPr>
                <w:rFonts w:ascii="Times New Roman" w:hAnsi="Times New Roman"/>
                <w:b/>
                <w:color w:val="000000" w:themeColor="text1"/>
                <w:spacing w:val="-2"/>
                <w:w w:val="95"/>
                <w:sz w:val="20"/>
              </w:rPr>
              <w:t xml:space="preserve"> disciplinate dal diritto di un paese terzo, escluse le passività infragruppo</w:t>
            </w:r>
          </w:p>
          <w:p w14:paraId="5C0E1340" w14:textId="4C9B7D45" w:rsidR="00FF209B" w:rsidRPr="004B56A9"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Sono compresi gli importi lordi delle passività disciplinate dal diritto di un paese terzo e/o emesse da entità del gruppo stabilite in paesi terzi. Sono escluse le passività infragruppo.</w:t>
            </w:r>
          </w:p>
          <w:p w14:paraId="1D501F58" w14:textId="45B8C335" w:rsidR="00FF209B" w:rsidRPr="004B56A9" w:rsidRDefault="0028783E" w:rsidP="00B77FC7">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Laddove l’autorità di risoluzione ha confermato di avere la certezza, ai sensi dell’articolo </w:t>
            </w:r>
            <w:proofErr w:type="gramStart"/>
            <w:r w:rsidRPr="004B56A9">
              <w:rPr>
                <w:rFonts w:ascii="Times New Roman" w:hAnsi="Times New Roman"/>
                <w:color w:val="000000" w:themeColor="text1"/>
                <w:spacing w:val="-2"/>
                <w:w w:val="95"/>
                <w:sz w:val="20"/>
              </w:rPr>
              <w:t>45</w:t>
            </w:r>
            <w:proofErr w:type="gramEnd"/>
            <w:r w:rsidRPr="004B56A9">
              <w:rPr>
                <w:rFonts w:ascii="Times New Roman" w:hAnsi="Times New Roman"/>
                <w:color w:val="000000" w:themeColor="text1"/>
                <w:spacing w:val="-2"/>
                <w:w w:val="95"/>
                <w:sz w:val="20"/>
              </w:rPr>
              <w:t>, paragrafo 5, della direttiva 2014/59/UE del Parlamento europeo e del Consiglio</w:t>
            </w:r>
            <w:r w:rsidRPr="004B56A9">
              <w:rPr>
                <w:rStyle w:val="FootnoteReference"/>
                <w:color w:val="000000" w:themeColor="text1"/>
                <w:spacing w:val="-2"/>
                <w:w w:val="95"/>
              </w:rPr>
              <w:footnoteReference w:id="10"/>
            </w:r>
            <w:r w:rsidRPr="004B56A9">
              <w:rPr>
                <w:rFonts w:ascii="Times New Roman" w:hAnsi="Times New Roman"/>
                <w:color w:val="000000" w:themeColor="text1"/>
                <w:spacing w:val="-2"/>
                <w:w w:val="95"/>
                <w:sz w:val="20"/>
              </w:rPr>
              <w:t>, che ogni eventuale decisione di un’autorità di risoluzione di svalutare o convertire una passività è efficace a norma del diritto di tale paese terzo, tale passività non è segnalata in questa voce.</w:t>
            </w:r>
          </w:p>
        </w:tc>
      </w:tr>
      <w:tr w:rsidR="00FF209B" w:rsidRPr="004B56A9" w14:paraId="5E21DFE7" w14:textId="77777777" w:rsidTr="00FF209B">
        <w:tc>
          <w:tcPr>
            <w:tcW w:w="908" w:type="dxa"/>
            <w:tcBorders>
              <w:top w:val="single" w:sz="4" w:space="0" w:color="1A171C"/>
              <w:left w:val="nil"/>
              <w:bottom w:val="single" w:sz="4" w:space="0" w:color="1A171C"/>
              <w:right w:val="single" w:sz="4" w:space="0" w:color="1A171C"/>
            </w:tcBorders>
            <w:vAlign w:val="center"/>
          </w:tcPr>
          <w:p w14:paraId="60A105E0" w14:textId="77777777" w:rsidR="00FF209B" w:rsidRPr="004B56A9"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14:paraId="1C6B5ED5" w14:textId="77777777" w:rsidR="00FF209B" w:rsidRPr="004B56A9"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14:paraId="5A02557E" w14:textId="77777777" w:rsidR="0081175C" w:rsidRPr="004B56A9"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4B56A9" w14:paraId="22561FB2"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24CFC84F" w14:textId="4AEC2019" w:rsidR="0081175C" w:rsidRPr="004B56A9" w:rsidRDefault="0081175C" w:rsidP="00367C1E">
            <w:pPr>
              <w:pStyle w:val="TableParagraph"/>
              <w:spacing w:before="66"/>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Righe</w:t>
            </w:r>
          </w:p>
        </w:tc>
        <w:tc>
          <w:tcPr>
            <w:tcW w:w="8175" w:type="dxa"/>
            <w:tcBorders>
              <w:top w:val="single" w:sz="4" w:space="0" w:color="1A171C"/>
              <w:left w:val="single" w:sz="4" w:space="0" w:color="1A171C"/>
              <w:bottom w:val="single" w:sz="4" w:space="0" w:color="1A171C"/>
              <w:right w:val="nil"/>
            </w:tcBorders>
            <w:shd w:val="clear" w:color="auto" w:fill="E4E5E5"/>
          </w:tcPr>
          <w:p w14:paraId="524453F8" w14:textId="77777777" w:rsidR="0081175C" w:rsidRPr="004B56A9"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1"/>
                <w:w w:val="90"/>
                <w:sz w:val="20"/>
              </w:rPr>
              <w:t>Istruzioni</w:t>
            </w:r>
          </w:p>
        </w:tc>
      </w:tr>
      <w:tr w:rsidR="00D22EB0" w:rsidRPr="004B56A9" w14:paraId="73D88B6F" w14:textId="77777777" w:rsidTr="00367C1E">
        <w:tc>
          <w:tcPr>
            <w:tcW w:w="908" w:type="dxa"/>
            <w:tcBorders>
              <w:top w:val="single" w:sz="4" w:space="0" w:color="1A171C"/>
              <w:left w:val="nil"/>
              <w:bottom w:val="single" w:sz="4" w:space="0" w:color="1A171C"/>
              <w:right w:val="single" w:sz="4" w:space="0" w:color="1A171C"/>
            </w:tcBorders>
            <w:vAlign w:val="center"/>
          </w:tcPr>
          <w:p w14:paraId="5D0AB7E5" w14:textId="69CB0444" w:rsidR="0081175C" w:rsidRPr="004B56A9"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4B56A9">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14:paraId="5DEFDE34"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escluse dal bail-in</w:t>
            </w:r>
          </w:p>
          <w:p w14:paraId="2D24B24A" w14:textId="76AEEE89" w:rsidR="0081175C" w:rsidRPr="004B56A9"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sidRPr="004B56A9">
              <w:rPr>
                <w:rFonts w:ascii="Times New Roman" w:hAnsi="Times New Roman"/>
                <w:color w:val="000000" w:themeColor="text1"/>
                <w:spacing w:val="-2"/>
                <w:w w:val="95"/>
                <w:sz w:val="20"/>
              </w:rPr>
              <w:t>L’articolo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della direttiva 2014/59/UE stabilisce quanto segue: “Le autorità di risoluzione non esercitano i poteri di svalutazione o di conversione in relazione alle passività seguenti a prescindere dal fatto che siano disciplinate dal diritto di uno Stato membro o di un paese terzo.”</w:t>
            </w:r>
          </w:p>
        </w:tc>
      </w:tr>
      <w:tr w:rsidR="00D22EB0" w:rsidRPr="004B56A9" w14:paraId="294BC807" w14:textId="77777777" w:rsidTr="00367C1E">
        <w:tc>
          <w:tcPr>
            <w:tcW w:w="908" w:type="dxa"/>
            <w:tcBorders>
              <w:top w:val="single" w:sz="4" w:space="0" w:color="1A171C"/>
              <w:left w:val="nil"/>
              <w:bottom w:val="single" w:sz="4" w:space="0" w:color="1A171C"/>
              <w:right w:val="single" w:sz="4" w:space="0" w:color="1A171C"/>
            </w:tcBorders>
            <w:vAlign w:val="center"/>
          </w:tcPr>
          <w:p w14:paraId="556A1743" w14:textId="4CDA9802" w:rsidR="0081175C" w:rsidRPr="004B56A9" w:rsidRDefault="00903E0D" w:rsidP="00367C1E">
            <w:pPr>
              <w:pStyle w:val="TableParagraph"/>
              <w:spacing w:before="106"/>
              <w:ind w:left="-1"/>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14:paraId="18CED6D5"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Depositi coperti</w:t>
            </w:r>
          </w:p>
          <w:p w14:paraId="531A0C04" w14:textId="5523261A" w:rsidR="0081175C" w:rsidRPr="004B56A9"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sidRPr="004B56A9">
              <w:rPr>
                <w:rFonts w:ascii="Times New Roman" w:hAnsi="Times New Roman"/>
                <w:color w:val="000000" w:themeColor="text1"/>
                <w:spacing w:val="-2"/>
                <w:w w:val="95"/>
                <w:sz w:val="20"/>
              </w:rPr>
              <w:t>L’importo dei depositi coperti quali definiti all’articolo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punto 5, della direttiva 2014/49/UE del Parlamento europeo e del Consiglio</w:t>
            </w:r>
            <w:r w:rsidRPr="004B56A9">
              <w:rPr>
                <w:rStyle w:val="FootnoteReference"/>
                <w:color w:val="000000" w:themeColor="text1"/>
              </w:rPr>
              <w:footnoteReference w:id="11"/>
            </w:r>
            <w:r w:rsidRPr="004B56A9">
              <w:rPr>
                <w:rFonts w:ascii="Times New Roman" w:hAnsi="Times New Roman"/>
                <w:color w:val="000000" w:themeColor="text1"/>
                <w:spacing w:val="-2"/>
                <w:w w:val="95"/>
                <w:sz w:val="20"/>
              </w:rPr>
              <w:t>, ad esclusione dei saldi temporaneamente elevati quali definiti all’articolo 6, paragrafo 2, della medesima direttiva.</w:t>
            </w:r>
          </w:p>
        </w:tc>
      </w:tr>
      <w:tr w:rsidR="00D22EB0" w:rsidRPr="004B56A9" w14:paraId="78857690" w14:textId="77777777" w:rsidTr="00367C1E">
        <w:tc>
          <w:tcPr>
            <w:tcW w:w="908" w:type="dxa"/>
            <w:tcBorders>
              <w:top w:val="single" w:sz="4" w:space="0" w:color="1A171C"/>
              <w:left w:val="nil"/>
              <w:bottom w:val="single" w:sz="4" w:space="0" w:color="1A171C"/>
              <w:right w:val="single" w:sz="4" w:space="0" w:color="1A171C"/>
            </w:tcBorders>
            <w:vAlign w:val="center"/>
          </w:tcPr>
          <w:p w14:paraId="1932490C" w14:textId="0885021A" w:rsidR="0081175C" w:rsidRPr="004B56A9" w:rsidRDefault="00903E0D" w:rsidP="00367C1E">
            <w:pPr>
              <w:pStyle w:val="TableParagraph"/>
              <w:spacing w:before="106"/>
              <w:ind w:left="-1"/>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14:paraId="10332090"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Passività garantite – parte coperta da garanzia </w:t>
            </w:r>
            <w:proofErr w:type="gramStart"/>
            <w:r w:rsidRPr="004B56A9">
              <w:rPr>
                <w:rFonts w:ascii="Times New Roman" w:hAnsi="Times New Roman"/>
                <w:b/>
                <w:color w:val="000000" w:themeColor="text1"/>
                <w:spacing w:val="-2"/>
                <w:w w:val="95"/>
                <w:sz w:val="20"/>
              </w:rPr>
              <w:t>reale</w:t>
            </w:r>
            <w:proofErr w:type="gramEnd"/>
          </w:p>
          <w:p w14:paraId="627752DE" w14:textId="1521F92E"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b), della direttiva 2014/59/UE</w:t>
            </w:r>
          </w:p>
          <w:p w14:paraId="6848D82F" w14:textId="77777777"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passività garantite, compresi i contratti di vendita con patto di riacquisto, le obbligazioni garantite e le passività sotto forma di strumenti finanziari che costituiscono parte integrante </w:t>
            </w:r>
            <w:proofErr w:type="gramStart"/>
            <w:r w:rsidRPr="004B56A9">
              <w:rPr>
                <w:rFonts w:ascii="Times New Roman" w:hAnsi="Times New Roman"/>
                <w:color w:val="000000" w:themeColor="text1"/>
                <w:spacing w:val="-2"/>
                <w:w w:val="95"/>
                <w:sz w:val="20"/>
              </w:rPr>
              <w:t>del</w:t>
            </w:r>
            <w:proofErr w:type="gramEnd"/>
            <w:r w:rsidRPr="004B56A9">
              <w:rPr>
                <w:rFonts w:ascii="Times New Roman" w:hAnsi="Times New Roman"/>
                <w:color w:val="000000" w:themeColor="text1"/>
                <w:spacing w:val="-2"/>
                <w:w w:val="95"/>
                <w:sz w:val="20"/>
              </w:rPr>
              <w:t xml:space="preserve"> cover pool e che in base al diritto nazionale sono garantiti in modo simile alle obbligazioni garantite.</w:t>
            </w:r>
          </w:p>
          <w:p w14:paraId="392CE92D" w14:textId="0B994DBD"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Né l’obbligo di assicurare che tutte le attività garantite collegate a </w:t>
            </w:r>
            <w:proofErr w:type="gramStart"/>
            <w:r w:rsidRPr="004B56A9">
              <w:rPr>
                <w:rFonts w:ascii="Times New Roman" w:hAnsi="Times New Roman"/>
                <w:color w:val="000000" w:themeColor="text1"/>
                <w:spacing w:val="-2"/>
                <w:w w:val="95"/>
                <w:sz w:val="20"/>
              </w:rPr>
              <w:t>un</w:t>
            </w:r>
            <w:proofErr w:type="gramEnd"/>
            <w:r w:rsidRPr="004B56A9">
              <w:rPr>
                <w:rFonts w:ascii="Times New Roman" w:hAnsi="Times New Roman"/>
                <w:color w:val="000000" w:themeColor="text1"/>
                <w:spacing w:val="-2"/>
                <w:w w:val="95"/>
                <w:sz w:val="20"/>
              </w:rPr>
              <w:t xml:space="preserve"> cover pool restino immuni, siano </w:t>
            </w:r>
            <w:r w:rsidRPr="004B56A9">
              <w:rPr>
                <w:rFonts w:ascii="Times New Roman" w:hAnsi="Times New Roman"/>
                <w:color w:val="000000" w:themeColor="text1"/>
                <w:spacing w:val="-2"/>
                <w:w w:val="95"/>
                <w:sz w:val="20"/>
              </w:rPr>
              <w:lastRenderedPageBreak/>
              <w:t xml:space="preserve">tenute separate e dispongano di sufficienti risorse né l’esclusione </w:t>
            </w:r>
            <w:r w:rsidR="00950034" w:rsidRPr="004B56A9">
              <w:rPr>
                <w:rFonts w:ascii="Times New Roman" w:hAnsi="Times New Roman"/>
                <w:color w:val="000000" w:themeColor="text1"/>
                <w:spacing w:val="-2"/>
                <w:w w:val="95"/>
                <w:sz w:val="20"/>
              </w:rPr>
              <w:t>dell’articolo</w:t>
            </w:r>
            <w:r w:rsidRPr="004B56A9">
              <w:rPr>
                <w:rFonts w:ascii="Times New Roman" w:hAnsi="Times New Roman"/>
                <w:color w:val="000000" w:themeColor="text1"/>
                <w:spacing w:val="-2"/>
                <w:w w:val="95"/>
                <w:sz w:val="20"/>
              </w:rPr>
              <w:t xml:space="preserve"> </w:t>
            </w:r>
            <w:r w:rsidR="00950034" w:rsidRPr="004B56A9">
              <w:rPr>
                <w:rFonts w:ascii="Times New Roman" w:hAnsi="Times New Roman"/>
                <w:color w:val="000000" w:themeColor="text1"/>
                <w:spacing w:val="-2"/>
                <w:w w:val="95"/>
                <w:sz w:val="20"/>
              </w:rPr>
              <w:t xml:space="preserve">44, paragrafo 2, lettera b), della direttiva 2014/59/UE </w:t>
            </w:r>
            <w:r w:rsidRPr="004B56A9">
              <w:rPr>
                <w:rFonts w:ascii="Times New Roman" w:hAnsi="Times New Roman"/>
                <w:color w:val="000000" w:themeColor="text1"/>
                <w:spacing w:val="-2"/>
                <w:w w:val="95"/>
                <w:sz w:val="20"/>
              </w:rPr>
              <w:t xml:space="preserve">ostano a che le autorità di risoluzione esercitino, ove opportuno, tali poteri in relazione alle parti di una passività garantita, o di una passività per la quale è stata costituita una garanzia, che eccedono il valore delle attività, pegni, ipoteche o garanzie che la garantiscono. L’ammontare non coperto di tali passività garantite non è segnalato in questa riga bensì nella riga 0340, previa </w:t>
            </w:r>
            <w:proofErr w:type="gramStart"/>
            <w:r w:rsidRPr="004B56A9">
              <w:rPr>
                <w:rFonts w:ascii="Times New Roman" w:hAnsi="Times New Roman"/>
                <w:color w:val="000000" w:themeColor="text1"/>
                <w:spacing w:val="-2"/>
                <w:w w:val="95"/>
                <w:sz w:val="20"/>
              </w:rPr>
              <w:t>ulteriore</w:t>
            </w:r>
            <w:proofErr w:type="gramEnd"/>
            <w:r w:rsidRPr="004B56A9">
              <w:rPr>
                <w:rFonts w:ascii="Times New Roman" w:hAnsi="Times New Roman"/>
                <w:color w:val="000000" w:themeColor="text1"/>
                <w:spacing w:val="-2"/>
                <w:w w:val="95"/>
                <w:sz w:val="20"/>
              </w:rPr>
              <w:t xml:space="preserve"> disaggregazione.</w:t>
            </w:r>
          </w:p>
          <w:p w14:paraId="3C18B6F9" w14:textId="73E48DED"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 passività della Banca centrale che sono coperte da un aggregato di garanzie (</w:t>
            </w:r>
            <w:r w:rsidRPr="004B56A9">
              <w:rPr>
                <w:rFonts w:ascii="Times New Roman" w:hAnsi="Times New Roman"/>
                <w:color w:val="1A171C"/>
                <w:spacing w:val="-2"/>
                <w:w w:val="95"/>
                <w:sz w:val="20"/>
              </w:rPr>
              <w:t>ad esempio le principali operazioni di rifinanziamento, l’</w:t>
            </w:r>
            <w:proofErr w:type="gramStart"/>
            <w:r w:rsidRPr="004B56A9">
              <w:rPr>
                <w:rFonts w:ascii="Times New Roman" w:hAnsi="Times New Roman"/>
                <w:color w:val="1A171C"/>
                <w:spacing w:val="-2"/>
                <w:w w:val="95"/>
                <w:sz w:val="20"/>
              </w:rPr>
              <w:t>operazione</w:t>
            </w:r>
            <w:proofErr w:type="gramEnd"/>
            <w:r w:rsidRPr="004B56A9">
              <w:rPr>
                <w:rFonts w:ascii="Times New Roman" w:hAnsi="Times New Roman"/>
                <w:color w:val="1A171C"/>
                <w:spacing w:val="-2"/>
                <w:w w:val="95"/>
                <w:sz w:val="20"/>
              </w:rPr>
              <w:t xml:space="preserve"> di rifinanziamento a lungo termine, </w:t>
            </w:r>
            <w:r w:rsidR="00AC091E" w:rsidRPr="004B56A9">
              <w:rPr>
                <w:rFonts w:ascii="Times New Roman" w:hAnsi="Times New Roman"/>
                <w:color w:val="1A171C"/>
                <w:spacing w:val="-2"/>
                <w:w w:val="95"/>
                <w:sz w:val="20"/>
              </w:rPr>
              <w:t xml:space="preserve">le </w:t>
            </w:r>
            <w:r w:rsidRPr="004B56A9">
              <w:rPr>
                <w:rFonts w:ascii="Times New Roman" w:hAnsi="Times New Roman"/>
                <w:color w:val="1A171C"/>
                <w:spacing w:val="-2"/>
                <w:w w:val="95"/>
                <w:sz w:val="20"/>
              </w:rPr>
              <w:t>operazion</w:t>
            </w:r>
            <w:r w:rsidR="00AC091E" w:rsidRPr="004B56A9">
              <w:rPr>
                <w:rFonts w:ascii="Times New Roman" w:hAnsi="Times New Roman"/>
                <w:color w:val="1A171C"/>
                <w:spacing w:val="-2"/>
                <w:w w:val="95"/>
                <w:sz w:val="20"/>
              </w:rPr>
              <w:t>i</w:t>
            </w:r>
            <w:r w:rsidRPr="004B56A9">
              <w:rPr>
                <w:rFonts w:ascii="Times New Roman" w:hAnsi="Times New Roman"/>
                <w:color w:val="1A171C"/>
                <w:spacing w:val="-2"/>
                <w:w w:val="95"/>
                <w:sz w:val="20"/>
              </w:rPr>
              <w:t xml:space="preserve"> mirat</w:t>
            </w:r>
            <w:r w:rsidR="00AC091E" w:rsidRPr="004B56A9">
              <w:rPr>
                <w:rFonts w:ascii="Times New Roman" w:hAnsi="Times New Roman"/>
                <w:color w:val="1A171C"/>
                <w:spacing w:val="-2"/>
                <w:w w:val="95"/>
                <w:sz w:val="20"/>
              </w:rPr>
              <w:t>e</w:t>
            </w:r>
            <w:r w:rsidRPr="004B56A9">
              <w:rPr>
                <w:rFonts w:ascii="Times New Roman" w:hAnsi="Times New Roman"/>
                <w:color w:val="1A171C"/>
                <w:spacing w:val="-2"/>
                <w:w w:val="95"/>
                <w:sz w:val="20"/>
              </w:rPr>
              <w:t xml:space="preserve"> di rifinanziamento a più lungo termine, ecc.</w:t>
            </w:r>
            <w:r w:rsidRPr="004B56A9">
              <w:rPr>
                <w:rFonts w:ascii="Times New Roman" w:hAnsi="Times New Roman"/>
                <w:color w:val="000000" w:themeColor="text1"/>
                <w:spacing w:val="-2"/>
                <w:w w:val="95"/>
                <w:sz w:val="20"/>
              </w:rPr>
              <w:t xml:space="preserve">) sono considerate passività garantite. </w:t>
            </w:r>
          </w:p>
          <w:p w14:paraId="392917DE" w14:textId="26639C82" w:rsidR="0081175C" w:rsidRPr="004B56A9"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sidRPr="004B56A9">
              <w:rPr>
                <w:rFonts w:ascii="Times New Roman" w:hAnsi="Times New Roman"/>
                <w:color w:val="000000" w:themeColor="text1"/>
                <w:spacing w:val="-2"/>
                <w:w w:val="95"/>
                <w:sz w:val="20"/>
              </w:rPr>
              <w:t xml:space="preserve">Un tipo specifico di passività è costituito dalle posizioni in garanzie (ad esempio le </w:t>
            </w:r>
            <w:proofErr w:type="gramStart"/>
            <w:r w:rsidRPr="004B56A9">
              <w:rPr>
                <w:rFonts w:ascii="Times New Roman" w:hAnsi="Times New Roman"/>
                <w:color w:val="000000" w:themeColor="text1"/>
                <w:spacing w:val="-2"/>
                <w:w w:val="95"/>
                <w:sz w:val="20"/>
              </w:rPr>
              <w:t>garanzie</w:t>
            </w:r>
            <w:proofErr w:type="gramEnd"/>
            <w:r w:rsidRPr="004B56A9">
              <w:rPr>
                <w:rFonts w:ascii="Times New Roman" w:hAnsi="Times New Roman"/>
                <w:color w:val="000000" w:themeColor="text1"/>
                <w:spacing w:val="-2"/>
                <w:w w:val="95"/>
                <w:sz w:val="20"/>
              </w:rPr>
              <w:t xml:space="preserve"> in contante) ricevute e iscritte in bilancio. Laddove tali posizioni in garanzie sono giuridicamente vincolate a un’attività, sono trattate come passività garantite ai fini della presente segnalazione.</w:t>
            </w:r>
          </w:p>
        </w:tc>
      </w:tr>
      <w:tr w:rsidR="00D22EB0" w:rsidRPr="004B56A9" w14:paraId="2004C2BB" w14:textId="77777777" w:rsidTr="00367C1E">
        <w:tc>
          <w:tcPr>
            <w:tcW w:w="908" w:type="dxa"/>
            <w:tcBorders>
              <w:top w:val="single" w:sz="4" w:space="0" w:color="1A171C"/>
              <w:left w:val="nil"/>
              <w:bottom w:val="single" w:sz="4" w:space="0" w:color="1A171C"/>
              <w:right w:val="single" w:sz="4" w:space="0" w:color="1A171C"/>
            </w:tcBorders>
            <w:vAlign w:val="center"/>
          </w:tcPr>
          <w:p w14:paraId="382D289C" w14:textId="42CC2577"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0903DB3"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Passività dei clienti, se protetti in caso </w:t>
            </w:r>
            <w:proofErr w:type="gramStart"/>
            <w:r w:rsidRPr="004B56A9">
              <w:rPr>
                <w:rFonts w:ascii="Times New Roman" w:hAnsi="Times New Roman"/>
                <w:b/>
                <w:color w:val="000000" w:themeColor="text1"/>
                <w:spacing w:val="-2"/>
                <w:w w:val="95"/>
                <w:sz w:val="20"/>
              </w:rPr>
              <w:t xml:space="preserve">di </w:t>
            </w:r>
            <w:proofErr w:type="gramEnd"/>
            <w:r w:rsidRPr="004B56A9">
              <w:rPr>
                <w:rFonts w:ascii="Times New Roman" w:hAnsi="Times New Roman"/>
                <w:b/>
                <w:color w:val="000000" w:themeColor="text1"/>
                <w:spacing w:val="-2"/>
                <w:w w:val="95"/>
                <w:sz w:val="20"/>
              </w:rPr>
              <w:t>insolvenza</w:t>
            </w:r>
          </w:p>
          <w:p w14:paraId="1CCA5E70" w14:textId="1F367327"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c), della direttiva 2014/59/UE</w:t>
            </w:r>
          </w:p>
          <w:p w14:paraId="377BB613" w14:textId="06EC55F2" w:rsidR="0081175C" w:rsidRPr="004B56A9" w:rsidRDefault="0081175C" w:rsidP="00A824E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Qualsiasi passività derivante dal fatto che l’ente o l’entità di cui all’articolo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paragrafo 1, lettera b), c) o d), della direttiva 2014/59/UE detiene attività o liquidità dei clienti, incluse attività o liquidità dei clienti detenute da o per conto di organismi d’investimento collettivo in valori mobiliari (OICVM) quali definiti all’articolo 1, paragrafo 2, della direttiva 2009/65/CE del Parlamento europeo e del Consiglio</w:t>
            </w:r>
            <w:r w:rsidRPr="004B56A9">
              <w:rPr>
                <w:rStyle w:val="FootnoteReference"/>
                <w:color w:val="000000" w:themeColor="text1"/>
                <w:spacing w:val="-2"/>
                <w:w w:val="95"/>
              </w:rPr>
              <w:footnoteReference w:id="12"/>
            </w:r>
            <w:r w:rsidRPr="004B56A9">
              <w:rPr>
                <w:rFonts w:ascii="Times New Roman" w:hAnsi="Times New Roman"/>
                <w:color w:val="000000" w:themeColor="text1"/>
                <w:spacing w:val="-2"/>
                <w:w w:val="95"/>
                <w:sz w:val="20"/>
              </w:rPr>
              <w:t xml:space="preserve"> </w:t>
            </w:r>
            <w:proofErr w:type="gramStart"/>
            <w:r w:rsidRPr="004B56A9">
              <w:rPr>
                <w:rFonts w:ascii="Times New Roman" w:hAnsi="Times New Roman"/>
                <w:color w:val="000000" w:themeColor="text1"/>
                <w:spacing w:val="-2"/>
                <w:w w:val="95"/>
                <w:sz w:val="20"/>
              </w:rPr>
              <w:t>o</w:t>
            </w:r>
            <w:proofErr w:type="gramEnd"/>
            <w:r w:rsidRPr="004B56A9">
              <w:rPr>
                <w:rFonts w:ascii="Times New Roman" w:hAnsi="Times New Roman"/>
                <w:color w:val="000000" w:themeColor="text1"/>
                <w:spacing w:val="-2"/>
                <w:w w:val="95"/>
                <w:sz w:val="20"/>
              </w:rPr>
              <w:t xml:space="preserve"> di fondi di investimento alternativi (FIA) quali definiti all’articolo 4, paragrafo 1, lettera a), della direttiva 2011/61/UE del Parlamento europeo e del Consiglio</w:t>
            </w:r>
            <w:r w:rsidRPr="004B56A9">
              <w:rPr>
                <w:rStyle w:val="FootnoteReference"/>
                <w:color w:val="000000" w:themeColor="text1"/>
                <w:spacing w:val="-2"/>
                <w:w w:val="95"/>
              </w:rPr>
              <w:footnoteReference w:id="13"/>
            </w:r>
            <w:r w:rsidRPr="004B56A9">
              <w:rPr>
                <w:rFonts w:ascii="Times New Roman" w:hAnsi="Times New Roman"/>
                <w:color w:val="000000" w:themeColor="text1"/>
                <w:spacing w:val="-2"/>
                <w:w w:val="95"/>
                <w:sz w:val="20"/>
              </w:rPr>
              <w:t>, a condizione che tali clienti siano protetti dal diritto fallimentare vigente.</w:t>
            </w:r>
          </w:p>
        </w:tc>
      </w:tr>
      <w:tr w:rsidR="00D22EB0" w:rsidRPr="004B56A9" w14:paraId="3E1B797E" w14:textId="77777777" w:rsidTr="00367C1E">
        <w:tc>
          <w:tcPr>
            <w:tcW w:w="908" w:type="dxa"/>
            <w:tcBorders>
              <w:top w:val="single" w:sz="4" w:space="0" w:color="1A171C"/>
              <w:left w:val="nil"/>
              <w:bottom w:val="single" w:sz="4" w:space="0" w:color="1A171C"/>
              <w:right w:val="single" w:sz="4" w:space="0" w:color="1A171C"/>
            </w:tcBorders>
            <w:vAlign w:val="center"/>
          </w:tcPr>
          <w:p w14:paraId="36FA69B3" w14:textId="6AFDA32F"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14:paraId="339B9BAD"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Passività fiduciarie, se i beneficiari sono protetti in caso </w:t>
            </w:r>
            <w:proofErr w:type="gramStart"/>
            <w:r w:rsidRPr="004B56A9">
              <w:rPr>
                <w:rFonts w:ascii="Times New Roman" w:hAnsi="Times New Roman"/>
                <w:b/>
                <w:color w:val="000000" w:themeColor="text1"/>
                <w:spacing w:val="-2"/>
                <w:w w:val="95"/>
                <w:sz w:val="20"/>
              </w:rPr>
              <w:t xml:space="preserve">di </w:t>
            </w:r>
            <w:proofErr w:type="gramEnd"/>
            <w:r w:rsidRPr="004B56A9">
              <w:rPr>
                <w:rFonts w:ascii="Times New Roman" w:hAnsi="Times New Roman"/>
                <w:b/>
                <w:color w:val="000000" w:themeColor="text1"/>
                <w:spacing w:val="-2"/>
                <w:w w:val="95"/>
                <w:sz w:val="20"/>
              </w:rPr>
              <w:t>insolvenza</w:t>
            </w:r>
          </w:p>
          <w:p w14:paraId="425A13D9" w14:textId="0912FB2E"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d), della direttiva 2014/59/UE</w:t>
            </w:r>
          </w:p>
          <w:p w14:paraId="3FB5D790" w14:textId="12C26D7F" w:rsidR="0081175C" w:rsidRPr="004B56A9"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Qualsiasi passività sorta in virtù di un rapporto fiduciario tra l’ente o l’entità di cui all’articolo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paragrafo 1, lettera b), c) o d), della direttiva 2014/59/UE (in quanto fiduciario) e un’altra persona (in quanto beneficiario), a condizione che tale beneficiario sia protetto dal diritto fallimentare o dal diritto civile in vigore.</w:t>
            </w:r>
          </w:p>
        </w:tc>
      </w:tr>
      <w:tr w:rsidR="00D22EB0" w:rsidRPr="004B56A9" w14:paraId="04CD5EAD" w14:textId="77777777" w:rsidTr="00367C1E">
        <w:tc>
          <w:tcPr>
            <w:tcW w:w="908" w:type="dxa"/>
            <w:tcBorders>
              <w:top w:val="single" w:sz="4" w:space="0" w:color="1A171C"/>
              <w:left w:val="nil"/>
              <w:bottom w:val="single" w:sz="4" w:space="0" w:color="1A171C"/>
              <w:right w:val="single" w:sz="4" w:space="0" w:color="1A171C"/>
            </w:tcBorders>
            <w:vAlign w:val="center"/>
          </w:tcPr>
          <w:p w14:paraId="1DE54B42" w14:textId="3270BCCD"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14:paraId="09906E45"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Passività nei confronti di enti creditizi &lt; 7 giorni </w:t>
            </w:r>
          </w:p>
          <w:p w14:paraId="12035868" w14:textId="09CF7F9C"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e), della direttiva 2014/59/UE</w:t>
            </w:r>
          </w:p>
          <w:p w14:paraId="0084E18C" w14:textId="68EE2E4A"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Le passività nei confronti di enti creditizi, escluse le entità che fanno parte dello stesso gruppo contabile, con scadenza originaria inferiore a sette giorni.</w:t>
            </w:r>
          </w:p>
        </w:tc>
      </w:tr>
      <w:tr w:rsidR="00D22EB0" w:rsidRPr="004B56A9" w14:paraId="66372AFE" w14:textId="77777777" w:rsidTr="00367C1E">
        <w:tc>
          <w:tcPr>
            <w:tcW w:w="908" w:type="dxa"/>
            <w:tcBorders>
              <w:top w:val="single" w:sz="4" w:space="0" w:color="1A171C"/>
              <w:left w:val="nil"/>
              <w:bottom w:val="single" w:sz="4" w:space="0" w:color="1A171C"/>
              <w:right w:val="single" w:sz="4" w:space="0" w:color="1A171C"/>
            </w:tcBorders>
            <w:vAlign w:val="center"/>
          </w:tcPr>
          <w:p w14:paraId="62876C06" w14:textId="715B4BE6"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14:paraId="5FDC88BC"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nei confronti di (operatori di) sistemi &lt; 7 giorni</w:t>
            </w:r>
          </w:p>
          <w:p w14:paraId="1D57BBC9" w14:textId="2FA785A6"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f), della direttiva 2014/59/UE</w:t>
            </w:r>
          </w:p>
          <w:p w14:paraId="004806BD" w14:textId="240D2FCC" w:rsidR="0081175C" w:rsidRPr="004B56A9" w:rsidRDefault="0081175C" w:rsidP="00FB390B">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Le passività con durata residua inferiore a sette giorni, nei confronti dei sistemi o degli operatori dei sistemi designati a norma della direttiva 98/26/CE del Parlamento europeo e del </w:t>
            </w:r>
            <w:proofErr w:type="gramStart"/>
            <w:r w:rsidRPr="004B56A9">
              <w:rPr>
                <w:rFonts w:ascii="Times New Roman" w:hAnsi="Times New Roman"/>
                <w:color w:val="000000" w:themeColor="text1"/>
                <w:spacing w:val="-2"/>
                <w:w w:val="95"/>
                <w:sz w:val="20"/>
              </w:rPr>
              <w:t>Consiglio</w:t>
            </w:r>
            <w:proofErr w:type="gramEnd"/>
            <w:r w:rsidRPr="004B56A9">
              <w:rPr>
                <w:rStyle w:val="FootnoteReference"/>
                <w:color w:val="000000" w:themeColor="text1"/>
                <w:spacing w:val="-2"/>
                <w:w w:val="95"/>
              </w:rPr>
              <w:footnoteReference w:id="14"/>
            </w:r>
            <w:r w:rsidRPr="004B56A9">
              <w:rPr>
                <w:rFonts w:ascii="Times New Roman" w:hAnsi="Times New Roman"/>
                <w:color w:val="000000" w:themeColor="text1"/>
                <w:spacing w:val="-2"/>
                <w:w w:val="95"/>
                <w:sz w:val="20"/>
              </w:rPr>
              <w:t xml:space="preserve"> </w:t>
            </w:r>
            <w:proofErr w:type="gramStart"/>
            <w:r w:rsidRPr="004B56A9">
              <w:rPr>
                <w:rFonts w:ascii="Times New Roman" w:hAnsi="Times New Roman"/>
                <w:color w:val="000000" w:themeColor="text1"/>
                <w:spacing w:val="-2"/>
                <w:w w:val="95"/>
                <w:sz w:val="20"/>
              </w:rPr>
              <w:t>o</w:t>
            </w:r>
            <w:proofErr w:type="gramEnd"/>
            <w:r w:rsidRPr="004B56A9">
              <w:rPr>
                <w:rFonts w:ascii="Times New Roman" w:hAnsi="Times New Roman"/>
                <w:color w:val="000000" w:themeColor="text1"/>
                <w:spacing w:val="-2"/>
                <w:w w:val="95"/>
                <w:sz w:val="20"/>
              </w:rPr>
              <w:t xml:space="preserve"> relativi partecipanti, e derivanti dalla partecipazione a tale sistema.</w:t>
            </w:r>
          </w:p>
        </w:tc>
      </w:tr>
      <w:tr w:rsidR="00D22EB0" w:rsidRPr="004B56A9" w14:paraId="41EF1B05" w14:textId="77777777" w:rsidTr="00367C1E">
        <w:tc>
          <w:tcPr>
            <w:tcW w:w="908" w:type="dxa"/>
            <w:tcBorders>
              <w:top w:val="single" w:sz="4" w:space="0" w:color="1A171C"/>
              <w:left w:val="nil"/>
              <w:bottom w:val="single" w:sz="4" w:space="0" w:color="1A171C"/>
              <w:right w:val="single" w:sz="4" w:space="0" w:color="1A171C"/>
            </w:tcBorders>
            <w:vAlign w:val="center"/>
          </w:tcPr>
          <w:p w14:paraId="2FF4FE6A" w14:textId="7A88728A"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14:paraId="156D0DBD"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verso dipendenti</w:t>
            </w:r>
          </w:p>
          <w:p w14:paraId="192966F9" w14:textId="551ABCC1"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g), punto i), della direttiva 2014/59/UE</w:t>
            </w:r>
          </w:p>
          <w:p w14:paraId="64D10664" w14:textId="69D96921" w:rsidR="0081175C" w:rsidRPr="004B56A9" w:rsidRDefault="0081175C" w:rsidP="00AB6215">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le</w:t>
            </w:r>
            <w:proofErr w:type="gramEnd"/>
            <w:r w:rsidRPr="004B56A9">
              <w:rPr>
                <w:rFonts w:ascii="Times New Roman" w:hAnsi="Times New Roman"/>
                <w:color w:val="000000" w:themeColor="text1"/>
                <w:spacing w:val="-2"/>
                <w:w w:val="95"/>
                <w:sz w:val="20"/>
              </w:rPr>
              <w:t xml:space="preserve"> passività nei confronti di un dipendente, per quanto riguarda la retribuzione, i benefici pensionistici o altra </w:t>
            </w:r>
            <w:r w:rsidRPr="004B56A9">
              <w:rPr>
                <w:rFonts w:ascii="Times New Roman" w:hAnsi="Times New Roman"/>
                <w:color w:val="000000" w:themeColor="text1"/>
                <w:spacing w:val="-2"/>
                <w:w w:val="95"/>
                <w:sz w:val="20"/>
              </w:rPr>
              <w:lastRenderedPageBreak/>
              <w:t xml:space="preserve">remunerazione fissa dovuta, ad eccezione della componente variabile della retribuzione che non è disciplinata da un contratto collettivo. Non si applica tuttavia alla </w:t>
            </w:r>
            <w:proofErr w:type="gramStart"/>
            <w:r w:rsidRPr="004B56A9">
              <w:rPr>
                <w:rFonts w:ascii="Times New Roman" w:hAnsi="Times New Roman"/>
                <w:color w:val="000000" w:themeColor="text1"/>
                <w:spacing w:val="-2"/>
                <w:w w:val="95"/>
                <w:sz w:val="20"/>
              </w:rPr>
              <w:t>componente</w:t>
            </w:r>
            <w:proofErr w:type="gramEnd"/>
            <w:r w:rsidRPr="004B56A9">
              <w:rPr>
                <w:rFonts w:ascii="Times New Roman" w:hAnsi="Times New Roman"/>
                <w:color w:val="000000" w:themeColor="text1"/>
                <w:spacing w:val="-2"/>
                <w:w w:val="95"/>
                <w:sz w:val="20"/>
              </w:rPr>
              <w:t xml:space="preserve"> variabile della remunerazione dei soggetti che assumono rischi significativi quali definiti all’articolo 92, paragrafo 2, della direttiva 2013/36/UE.</w:t>
            </w:r>
          </w:p>
        </w:tc>
      </w:tr>
      <w:tr w:rsidR="00D22EB0" w:rsidRPr="004B56A9" w14:paraId="3E45A4BD" w14:textId="77777777" w:rsidTr="00367C1E">
        <w:tc>
          <w:tcPr>
            <w:tcW w:w="908" w:type="dxa"/>
            <w:tcBorders>
              <w:top w:val="single" w:sz="4" w:space="0" w:color="1A171C"/>
              <w:left w:val="nil"/>
              <w:bottom w:val="single" w:sz="4" w:space="0" w:color="1A171C"/>
              <w:right w:val="single" w:sz="4" w:space="0" w:color="1A171C"/>
            </w:tcBorders>
            <w:vAlign w:val="center"/>
          </w:tcPr>
          <w:p w14:paraId="21E55189" w14:textId="2EB72DFD"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0180</w:t>
            </w:r>
          </w:p>
        </w:tc>
        <w:tc>
          <w:tcPr>
            <w:tcW w:w="8175" w:type="dxa"/>
            <w:tcBorders>
              <w:top w:val="single" w:sz="4" w:space="0" w:color="1A171C"/>
              <w:left w:val="single" w:sz="4" w:space="0" w:color="1A171C"/>
              <w:bottom w:val="single" w:sz="4" w:space="0" w:color="1A171C"/>
              <w:right w:val="nil"/>
            </w:tcBorders>
            <w:vAlign w:val="center"/>
          </w:tcPr>
          <w:p w14:paraId="47B28E18" w14:textId="77777777" w:rsidR="001971EB" w:rsidRPr="004B56A9"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essenziali per il funzionamento quotidiano delle operazioni</w:t>
            </w:r>
          </w:p>
          <w:p w14:paraId="4CBD317E" w14:textId="0B039FA9"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g), punto ii), della direttiva 2014/59/UE</w:t>
            </w:r>
          </w:p>
          <w:p w14:paraId="7575AB9D" w14:textId="78B13556" w:rsidR="0081175C" w:rsidRPr="004B56A9"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Le passività nei confronti di un creditore, sia esso fornitore o impresa commerciale, che ha fornito all’ente o all’entità di cui all’articolo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paragrafo 1, lettera b), c) o d), della direttiva 2014/59/UE beni o servizi essenziali per il funzionamento quotidiano delle sue operazioni, compresi i servizi informatici, le utenze e la locazione, riparazione e manutenzione dei locali.</w:t>
            </w:r>
          </w:p>
        </w:tc>
      </w:tr>
      <w:tr w:rsidR="00D22EB0" w:rsidRPr="004B56A9" w14:paraId="0EB717BF" w14:textId="77777777" w:rsidTr="00367C1E">
        <w:tc>
          <w:tcPr>
            <w:tcW w:w="908" w:type="dxa"/>
            <w:tcBorders>
              <w:top w:val="single" w:sz="4" w:space="0" w:color="1A171C"/>
              <w:left w:val="nil"/>
              <w:bottom w:val="single" w:sz="4" w:space="0" w:color="1A171C"/>
              <w:right w:val="single" w:sz="4" w:space="0" w:color="1A171C"/>
            </w:tcBorders>
            <w:vAlign w:val="center"/>
          </w:tcPr>
          <w:p w14:paraId="27DBF538" w14:textId="7EC76A56"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14:paraId="18BC99A4"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verso autorità tributarie e previdenziali, se privilegiate</w:t>
            </w:r>
          </w:p>
          <w:p w14:paraId="514F29B2" w14:textId="4C9FE282"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g), punto iii), della direttiva 2014/59/UE</w:t>
            </w:r>
          </w:p>
          <w:p w14:paraId="3C5B1EBD" w14:textId="36981C5B"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Le passività nei confronti di autorità tributarie e previdenziali, a condizione che si tratti di passività privilegiate ai sensi del diritto applicabile.</w:t>
            </w:r>
          </w:p>
        </w:tc>
      </w:tr>
      <w:tr w:rsidR="00D22EB0" w:rsidRPr="004B56A9" w14:paraId="31515149" w14:textId="77777777" w:rsidTr="00367C1E">
        <w:tc>
          <w:tcPr>
            <w:tcW w:w="908" w:type="dxa"/>
            <w:tcBorders>
              <w:top w:val="single" w:sz="4" w:space="0" w:color="1A171C"/>
              <w:left w:val="nil"/>
              <w:bottom w:val="single" w:sz="4" w:space="0" w:color="1A171C"/>
              <w:right w:val="single" w:sz="4" w:space="0" w:color="1A171C"/>
            </w:tcBorders>
            <w:vAlign w:val="center"/>
          </w:tcPr>
          <w:p w14:paraId="74250BF9" w14:textId="1B047AEC"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14:paraId="6CA45B84"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verso SGD</w:t>
            </w:r>
          </w:p>
          <w:p w14:paraId="57CFC5C9" w14:textId="2CC17656"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44</w:t>
            </w:r>
            <w:proofErr w:type="gramEnd"/>
            <w:r w:rsidRPr="004B56A9">
              <w:rPr>
                <w:rFonts w:ascii="Times New Roman" w:hAnsi="Times New Roman"/>
                <w:color w:val="000000" w:themeColor="text1"/>
                <w:spacing w:val="-2"/>
                <w:w w:val="95"/>
                <w:sz w:val="20"/>
              </w:rPr>
              <w:t>, paragrafo 2, lettera g), punto iv), della direttiva 2014/59/UE</w:t>
            </w:r>
          </w:p>
          <w:p w14:paraId="4C49410C" w14:textId="44116D9E" w:rsidR="0081175C" w:rsidRPr="004B56A9" w:rsidRDefault="0081175C" w:rsidP="002E7149">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Le passività nei confronti di sistemi di garanzia dei depositi (SGD) derivanti dai contributi dovuti a norma della direttiva 2014/49/UE.</w:t>
            </w:r>
            <w:proofErr w:type="gramEnd"/>
          </w:p>
        </w:tc>
      </w:tr>
      <w:tr w:rsidR="00D22EB0" w:rsidRPr="004B56A9" w14:paraId="0EC9655C" w14:textId="77777777" w:rsidTr="00367C1E">
        <w:tc>
          <w:tcPr>
            <w:tcW w:w="908" w:type="dxa"/>
            <w:tcBorders>
              <w:top w:val="single" w:sz="4" w:space="0" w:color="1A171C"/>
              <w:left w:val="nil"/>
              <w:bottom w:val="single" w:sz="4" w:space="0" w:color="1A171C"/>
              <w:right w:val="single" w:sz="4" w:space="0" w:color="1A171C"/>
            </w:tcBorders>
            <w:vAlign w:val="center"/>
          </w:tcPr>
          <w:p w14:paraId="06C96405" w14:textId="74F3F14D"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14:paraId="12B119B0" w14:textId="77777777" w:rsidR="0081175C" w:rsidRPr="004B56A9"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non escluse dal bail-in</w:t>
            </w:r>
          </w:p>
          <w:p w14:paraId="770ED334" w14:textId="1C5D345A" w:rsidR="00431BCA" w:rsidRPr="004B56A9" w:rsidRDefault="00431BCA" w:rsidP="00D840C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È la somma delle righe 0310, 0320, 0334, 0340, 0350, 0360, 0365, 0370, 0380, 0390 e 0400.</w:t>
            </w:r>
          </w:p>
        </w:tc>
      </w:tr>
      <w:tr w:rsidR="00D22EB0" w:rsidRPr="004B56A9" w14:paraId="083139B5" w14:textId="77777777" w:rsidTr="00367C1E">
        <w:tc>
          <w:tcPr>
            <w:tcW w:w="908" w:type="dxa"/>
            <w:tcBorders>
              <w:top w:val="single" w:sz="4" w:space="0" w:color="1A171C"/>
              <w:left w:val="nil"/>
              <w:bottom w:val="single" w:sz="4" w:space="0" w:color="1A171C"/>
              <w:right w:val="single" w:sz="4" w:space="0" w:color="1A171C"/>
            </w:tcBorders>
            <w:vAlign w:val="center"/>
          </w:tcPr>
          <w:p w14:paraId="0C614C84" w14:textId="277F312B"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14:paraId="72CB7C1B"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Depositi, non protetti ma preferenziali</w:t>
            </w:r>
          </w:p>
          <w:p w14:paraId="57AA8498" w14:textId="0DD85803" w:rsidR="0081175C" w:rsidRPr="004B56A9"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Articolo 108 della direttiva 2014/59/UE</w:t>
            </w:r>
          </w:p>
          <w:p w14:paraId="0BC10D8B" w14:textId="340BD1A6" w:rsidR="0081175C" w:rsidRPr="004B56A9" w:rsidRDefault="0081175C" w:rsidP="004B7ECB">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I depositi quali definiti all’articolo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xml:space="preserve">, paragrafo 1, punto 3, della direttiva 2014/49/UE che non soddisfano le condizioni per l’esclusione dal bail-in (articolo 44, paragrafo 2, lettera a), della direttiva 2014/59/UE), ma per i quali è previsto un trattamento preferenziale in linea con l’articolo 108 della direttiva 2014/59/UE. </w:t>
            </w:r>
          </w:p>
        </w:tc>
      </w:tr>
      <w:tr w:rsidR="00D22EB0" w:rsidRPr="004B56A9" w14:paraId="29E2579F" w14:textId="77777777" w:rsidTr="00367C1E">
        <w:tc>
          <w:tcPr>
            <w:tcW w:w="908" w:type="dxa"/>
            <w:tcBorders>
              <w:top w:val="single" w:sz="4" w:space="0" w:color="1A171C"/>
              <w:left w:val="nil"/>
              <w:bottom w:val="single" w:sz="4" w:space="0" w:color="1A171C"/>
              <w:right w:val="single" w:sz="4" w:space="0" w:color="1A171C"/>
            </w:tcBorders>
            <w:vAlign w:val="center"/>
          </w:tcPr>
          <w:p w14:paraId="6161DDBC" w14:textId="3550E28C"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14:paraId="338C4B6C"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Depositi, non protetti e non preferenziali</w:t>
            </w:r>
          </w:p>
          <w:p w14:paraId="028455F5" w14:textId="3FCE5E59" w:rsidR="0081175C" w:rsidRPr="004B56A9" w:rsidRDefault="0081175C" w:rsidP="001654C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I depositi quali definiti all’articolo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punto 3, della direttiva 2014/49/UE che non soddisfano le condizioni per l’esclusione dal bail-in o per il trattamento preferenziale in applicazione dell’articolo 44, paragrafo 2, lettera a), o dell’articolo 108 della direttiva 2014/59/UE.</w:t>
            </w:r>
          </w:p>
        </w:tc>
      </w:tr>
      <w:tr w:rsidR="00D22EB0" w:rsidRPr="004B56A9" w14:paraId="691915F6" w14:textId="77777777" w:rsidTr="00367C1E">
        <w:tc>
          <w:tcPr>
            <w:tcW w:w="908" w:type="dxa"/>
            <w:tcBorders>
              <w:top w:val="single" w:sz="4" w:space="0" w:color="1A171C"/>
              <w:left w:val="nil"/>
              <w:bottom w:val="single" w:sz="4" w:space="0" w:color="1A171C"/>
              <w:right w:val="single" w:sz="4" w:space="0" w:color="1A171C"/>
            </w:tcBorders>
            <w:vAlign w:val="center"/>
          </w:tcPr>
          <w:p w14:paraId="047179B4" w14:textId="49756FF9"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14:paraId="7BC69D70"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Passività in bilancio risultanti da derivati</w:t>
            </w:r>
          </w:p>
          <w:p w14:paraId="1056B2E1" w14:textId="5488F6CE" w:rsidR="0081175C" w:rsidRPr="004B56A9" w:rsidRDefault="0081175C" w:rsidP="0013115B">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Il valore contabile delle passività risultanti da derivati, per l’importo totale corrispondente a FINREP: {F 01.02;020;010) + {F 01.02;150;0</w:t>
            </w:r>
            <w:proofErr w:type="gramEnd"/>
            <w:r w:rsidRPr="004B56A9">
              <w:rPr>
                <w:rFonts w:ascii="Times New Roman" w:hAnsi="Times New Roman"/>
                <w:color w:val="000000" w:themeColor="text1"/>
                <w:spacing w:val="-2"/>
                <w:w w:val="95"/>
                <w:sz w:val="20"/>
              </w:rPr>
              <w:t>10}.</w:t>
            </w:r>
          </w:p>
        </w:tc>
      </w:tr>
      <w:tr w:rsidR="00D22EB0" w:rsidRPr="004B56A9" w14:paraId="507BB12A" w14:textId="77777777" w:rsidTr="00367C1E">
        <w:tc>
          <w:tcPr>
            <w:tcW w:w="908" w:type="dxa"/>
            <w:tcBorders>
              <w:top w:val="single" w:sz="4" w:space="0" w:color="1A171C"/>
              <w:left w:val="nil"/>
              <w:bottom w:val="single" w:sz="4" w:space="0" w:color="1A171C"/>
              <w:right w:val="single" w:sz="4" w:space="0" w:color="1A171C"/>
            </w:tcBorders>
            <w:vAlign w:val="center"/>
          </w:tcPr>
          <w:p w14:paraId="21226320" w14:textId="605C327F"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14:paraId="5B8153C8"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Somma delle passività nette tenendo conto degli insiemi di attività soggette a compensazione contrattuale, dopo le rettifiche al valore di mercato, prima della compensazione delle </w:t>
            </w:r>
            <w:proofErr w:type="gramStart"/>
            <w:r w:rsidRPr="004B56A9">
              <w:rPr>
                <w:rFonts w:ascii="Times New Roman" w:hAnsi="Times New Roman"/>
                <w:b/>
                <w:color w:val="000000" w:themeColor="text1"/>
                <w:spacing w:val="-2"/>
                <w:w w:val="95"/>
                <w:sz w:val="20"/>
              </w:rPr>
              <w:t>garanzie</w:t>
            </w:r>
            <w:proofErr w:type="gramEnd"/>
          </w:p>
          <w:p w14:paraId="3F418AEE" w14:textId="257123B7" w:rsidR="0081175C" w:rsidRPr="004B56A9" w:rsidRDefault="0081175C" w:rsidP="0013115B">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Per default, la somma di tutti i valori netti di mercato delle passività risultanti da derivati per insieme di attività soggette a compensaz</w:t>
            </w:r>
            <w:proofErr w:type="gramEnd"/>
            <w:r w:rsidRPr="004B56A9">
              <w:rPr>
                <w:rFonts w:ascii="Times New Roman" w:hAnsi="Times New Roman"/>
                <w:color w:val="000000" w:themeColor="text1"/>
                <w:spacing w:val="-2"/>
                <w:w w:val="95"/>
                <w:sz w:val="20"/>
              </w:rPr>
              <w:t>ione contrattuale. L’insieme di attività soggette a compensazione è segnalato solo laddove il suo valore netto di mercato è una passività. A tal fine, i derivati che non sono soggetti ad accordo di netting sono trattati come un unico contratto, vale a dire come se si trattasse di un insieme di attività soggette a compensazione con un solo derivato.</w:t>
            </w:r>
          </w:p>
        </w:tc>
      </w:tr>
      <w:tr w:rsidR="00D22EB0" w:rsidRPr="004B56A9" w14:paraId="009D8876" w14:textId="77777777" w:rsidTr="00367C1E">
        <w:tc>
          <w:tcPr>
            <w:tcW w:w="908" w:type="dxa"/>
            <w:tcBorders>
              <w:top w:val="single" w:sz="4" w:space="0" w:color="1A171C"/>
              <w:left w:val="nil"/>
              <w:bottom w:val="single" w:sz="4" w:space="0" w:color="1A171C"/>
              <w:right w:val="single" w:sz="4" w:space="0" w:color="1A171C"/>
            </w:tcBorders>
            <w:vAlign w:val="center"/>
          </w:tcPr>
          <w:p w14:paraId="628DB5B7" w14:textId="792CB73D"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14:paraId="347B593E"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Somma delle passività nette tenendo conto degli insiemi di attività soggette a compensazione contrattuale, dopo le rettifiche al valore di mercato, dopo la compensazione delle </w:t>
            </w:r>
            <w:proofErr w:type="gramStart"/>
            <w:r w:rsidRPr="004B56A9">
              <w:rPr>
                <w:rFonts w:ascii="Times New Roman" w:hAnsi="Times New Roman"/>
                <w:b/>
                <w:color w:val="000000" w:themeColor="text1"/>
                <w:spacing w:val="-2"/>
                <w:w w:val="95"/>
                <w:sz w:val="20"/>
              </w:rPr>
              <w:t>garanzie</w:t>
            </w:r>
            <w:proofErr w:type="gramEnd"/>
          </w:p>
          <w:p w14:paraId="718118B3" w14:textId="7E5E0ABD"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Il valore della riga 0331 è oggetto di una rettifica per garanzie reali costituite per garantire l'esposizione, risultante nella somma di tali valori netti di mercato dopo la compensazione delle garanzie al valore di mercato.</w:t>
            </w:r>
          </w:p>
        </w:tc>
      </w:tr>
      <w:tr w:rsidR="00D22EB0" w:rsidRPr="004B56A9" w14:paraId="29BE5C1E" w14:textId="77777777" w:rsidTr="00367C1E">
        <w:tc>
          <w:tcPr>
            <w:tcW w:w="908" w:type="dxa"/>
            <w:tcBorders>
              <w:top w:val="single" w:sz="4" w:space="0" w:color="1A171C"/>
              <w:left w:val="nil"/>
              <w:bottom w:val="single" w:sz="4" w:space="0" w:color="1A171C"/>
              <w:right w:val="single" w:sz="4" w:space="0" w:color="1A171C"/>
            </w:tcBorders>
            <w:vAlign w:val="center"/>
          </w:tcPr>
          <w:p w14:paraId="234E01D5" w14:textId="527F792A"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0333</w:t>
            </w:r>
          </w:p>
        </w:tc>
        <w:tc>
          <w:tcPr>
            <w:tcW w:w="8175" w:type="dxa"/>
            <w:tcBorders>
              <w:top w:val="single" w:sz="4" w:space="0" w:color="1A171C"/>
              <w:left w:val="single" w:sz="4" w:space="0" w:color="1A171C"/>
              <w:bottom w:val="single" w:sz="4" w:space="0" w:color="1A171C"/>
              <w:right w:val="nil"/>
            </w:tcBorders>
            <w:vAlign w:val="center"/>
          </w:tcPr>
          <w:p w14:paraId="128F2B1F" w14:textId="77777777" w:rsidR="0081175C" w:rsidRPr="004B56A9"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Somma delle passività nette tenendo conto degli insiemi di attività soggette a compensazione contrattuale, dopo le rettifiche al valore di mercato, dopo la compensazione delle garanzie, incorporando gli importi stimati del </w:t>
            </w:r>
            <w:proofErr w:type="gramStart"/>
            <w:r w:rsidRPr="004B56A9">
              <w:rPr>
                <w:rFonts w:ascii="Times New Roman" w:hAnsi="Times New Roman"/>
                <w:b/>
                <w:color w:val="000000" w:themeColor="text1"/>
                <w:spacing w:val="-2"/>
                <w:w w:val="95"/>
                <w:sz w:val="20"/>
              </w:rPr>
              <w:t>close-out</w:t>
            </w:r>
            <w:proofErr w:type="gramEnd"/>
          </w:p>
          <w:p w14:paraId="1975EE00" w14:textId="40CEFA41" w:rsidR="0081175C" w:rsidRPr="004B56A9"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 conformità del regolamento delegato 2016/1401 della Commissione</w:t>
            </w:r>
            <w:r w:rsidRPr="004B56A9">
              <w:rPr>
                <w:rStyle w:val="FootnoteReference"/>
                <w:color w:val="1A171C"/>
                <w:spacing w:val="-2"/>
                <w:w w:val="95"/>
              </w:rPr>
              <w:footnoteReference w:id="15"/>
            </w:r>
            <w:r w:rsidRPr="004B56A9">
              <w:rPr>
                <w:rFonts w:ascii="Times New Roman" w:hAnsi="Times New Roman"/>
                <w:color w:val="000000" w:themeColor="text1"/>
                <w:spacing w:val="-2"/>
                <w:w w:val="95"/>
                <w:sz w:val="20"/>
              </w:rPr>
              <w:t xml:space="preserve"> concernente la valutazione del valore delle passività risultanti da derivati, un importo aggiuntivo del close-out che copra l’ammontare delle perdite o dei costi sostenuti dalle controparti nelle operazioni in strumenti derivati, o gli utili da esse realizzati, sostituendo o ottenendo il corrispettivo economico delle condizioni essenziali dei contratti e i diritti di </w:t>
            </w:r>
            <w:proofErr w:type="gramStart"/>
            <w:r w:rsidRPr="004B56A9">
              <w:rPr>
                <w:rFonts w:ascii="Times New Roman" w:hAnsi="Times New Roman"/>
                <w:color w:val="000000" w:themeColor="text1"/>
                <w:spacing w:val="-2"/>
                <w:w w:val="95"/>
                <w:sz w:val="20"/>
              </w:rPr>
              <w:t>opzione</w:t>
            </w:r>
            <w:proofErr w:type="gramEnd"/>
            <w:r w:rsidRPr="004B56A9">
              <w:rPr>
                <w:rFonts w:ascii="Times New Roman" w:hAnsi="Times New Roman"/>
                <w:color w:val="000000" w:themeColor="text1"/>
                <w:spacing w:val="-2"/>
                <w:w w:val="95"/>
                <w:sz w:val="20"/>
              </w:rPr>
              <w:t xml:space="preserve"> delle parti relativi ai contratti estinti.</w:t>
            </w:r>
          </w:p>
          <w:p w14:paraId="02A908AC" w14:textId="7EFFE5B0" w:rsidR="0081175C" w:rsidRPr="004B56A9" w:rsidRDefault="0081175C" w:rsidP="00C43160">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Le stime necessarie per determinare un importo del close-out in conformità del summenzionato regolamento possono </w:t>
            </w:r>
            <w:proofErr w:type="gramStart"/>
            <w:r w:rsidRPr="004B56A9">
              <w:rPr>
                <w:rFonts w:ascii="Times New Roman" w:hAnsi="Times New Roman"/>
                <w:color w:val="000000" w:themeColor="text1"/>
                <w:spacing w:val="-2"/>
                <w:w w:val="95"/>
                <w:sz w:val="20"/>
              </w:rPr>
              <w:t>risultare</w:t>
            </w:r>
            <w:proofErr w:type="gramEnd"/>
            <w:r w:rsidRPr="004B56A9">
              <w:rPr>
                <w:rFonts w:ascii="Times New Roman" w:hAnsi="Times New Roman"/>
                <w:color w:val="000000" w:themeColor="text1"/>
                <w:spacing w:val="-2"/>
                <w:w w:val="95"/>
                <w:sz w:val="20"/>
              </w:rPr>
              <w:t xml:space="preserve"> complicate su base individuale. Possono quindi essere utilizzati in loro vece valori sostitutivi, basati su dati disponibili quali ad esempio i requisiti prudenziali per il rischio di mercato. Se </w:t>
            </w:r>
            <w:proofErr w:type="gramStart"/>
            <w:r w:rsidRPr="004B56A9">
              <w:rPr>
                <w:rFonts w:ascii="Times New Roman" w:hAnsi="Times New Roman"/>
                <w:color w:val="000000" w:themeColor="text1"/>
                <w:spacing w:val="-2"/>
                <w:w w:val="95"/>
                <w:sz w:val="20"/>
              </w:rPr>
              <w:t>risulta</w:t>
            </w:r>
            <w:proofErr w:type="gramEnd"/>
            <w:r w:rsidRPr="004B56A9">
              <w:rPr>
                <w:rFonts w:ascii="Times New Roman" w:hAnsi="Times New Roman"/>
                <w:color w:val="000000" w:themeColor="text1"/>
                <w:spacing w:val="-2"/>
                <w:w w:val="95"/>
                <w:sz w:val="20"/>
              </w:rPr>
              <w:t xml:space="preserve"> impossibile calcolare l’importo del close-out per le passività risultanti da derivati, l’importo segnalato deve essere pari all’importo segnalato nella riga 0332.</w:t>
            </w:r>
          </w:p>
        </w:tc>
      </w:tr>
      <w:tr w:rsidR="00D22EB0" w:rsidRPr="004B56A9" w14:paraId="5F790722" w14:textId="77777777" w:rsidTr="00367C1E">
        <w:tc>
          <w:tcPr>
            <w:tcW w:w="908" w:type="dxa"/>
            <w:tcBorders>
              <w:top w:val="single" w:sz="4" w:space="0" w:color="1A171C"/>
              <w:left w:val="nil"/>
              <w:bottom w:val="single" w:sz="4" w:space="0" w:color="1A171C"/>
              <w:right w:val="single" w:sz="4" w:space="0" w:color="1A171C"/>
            </w:tcBorders>
            <w:vAlign w:val="center"/>
          </w:tcPr>
          <w:p w14:paraId="487A20A0" w14:textId="23473B98"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14:paraId="507862D2"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Somma delle passività nette tenendo conto delle norme in materia di compensazione </w:t>
            </w:r>
            <w:proofErr w:type="gramStart"/>
            <w:r w:rsidRPr="004B56A9">
              <w:rPr>
                <w:rFonts w:ascii="Times New Roman" w:hAnsi="Times New Roman"/>
                <w:b/>
                <w:color w:val="000000" w:themeColor="text1"/>
                <w:sz w:val="20"/>
              </w:rPr>
              <w:t>prudenziale</w:t>
            </w:r>
            <w:proofErr w:type="gramEnd"/>
          </w:p>
          <w:p w14:paraId="10426DC0" w14:textId="1E94FB1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Sono segnalate le passività nette per i derivati tenendo conto delle regole di compensazione prudenziale </w:t>
            </w:r>
            <w:proofErr w:type="gramStart"/>
            <w:r w:rsidRPr="004B56A9">
              <w:rPr>
                <w:rFonts w:ascii="Times New Roman" w:hAnsi="Times New Roman"/>
                <w:color w:val="000000" w:themeColor="text1"/>
                <w:spacing w:val="-2"/>
                <w:w w:val="95"/>
                <w:sz w:val="20"/>
              </w:rPr>
              <w:t>di</w:t>
            </w:r>
            <w:proofErr w:type="gramEnd"/>
            <w:r w:rsidRPr="004B56A9">
              <w:rPr>
                <w:rFonts w:ascii="Times New Roman" w:hAnsi="Times New Roman"/>
                <w:color w:val="000000" w:themeColor="text1"/>
                <w:spacing w:val="-2"/>
                <w:w w:val="95"/>
                <w:sz w:val="20"/>
              </w:rPr>
              <w:t xml:space="preserve"> cui all’articolo 429 del regolamento (UE) n. 575/2013 (relative al calcolo della misura dell’esposizione complessiva del coefficiente di leva finanziaria).</w:t>
            </w:r>
          </w:p>
        </w:tc>
      </w:tr>
      <w:tr w:rsidR="00D22EB0" w:rsidRPr="004B56A9" w14:paraId="4250F070" w14:textId="77777777" w:rsidTr="00367C1E">
        <w:tc>
          <w:tcPr>
            <w:tcW w:w="908" w:type="dxa"/>
            <w:tcBorders>
              <w:top w:val="single" w:sz="4" w:space="0" w:color="1A171C"/>
              <w:left w:val="nil"/>
              <w:bottom w:val="single" w:sz="4" w:space="0" w:color="1A171C"/>
              <w:right w:val="single" w:sz="4" w:space="0" w:color="1A171C"/>
            </w:tcBorders>
            <w:vAlign w:val="center"/>
          </w:tcPr>
          <w:p w14:paraId="010874C1" w14:textId="6EDE95EE"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14:paraId="3DF28DA5"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 xml:space="preserve">Passività garantite non coperte da garanzia </w:t>
            </w:r>
            <w:proofErr w:type="gramStart"/>
            <w:r w:rsidRPr="004B56A9">
              <w:rPr>
                <w:rFonts w:ascii="Times New Roman" w:hAnsi="Times New Roman"/>
                <w:b/>
                <w:color w:val="000000" w:themeColor="text1"/>
                <w:spacing w:val="-2"/>
                <w:w w:val="95"/>
                <w:sz w:val="20"/>
              </w:rPr>
              <w:t>reale</w:t>
            </w:r>
            <w:proofErr w:type="gramEnd"/>
          </w:p>
          <w:p w14:paraId="3C73D220" w14:textId="5FE5F529" w:rsidR="0081175C" w:rsidRPr="004B56A9"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L’importo delle passività garantite o delle passività per le quali </w:t>
            </w:r>
            <w:proofErr w:type="gramStart"/>
            <w:r w:rsidRPr="004B56A9">
              <w:rPr>
                <w:rFonts w:ascii="Times New Roman" w:hAnsi="Times New Roman"/>
                <w:color w:val="000000" w:themeColor="text1"/>
                <w:spacing w:val="-2"/>
                <w:w w:val="95"/>
                <w:sz w:val="20"/>
              </w:rPr>
              <w:t>è</w:t>
            </w:r>
            <w:proofErr w:type="gramEnd"/>
            <w:r w:rsidRPr="004B56A9">
              <w:rPr>
                <w:rFonts w:ascii="Times New Roman" w:hAnsi="Times New Roman"/>
                <w:color w:val="000000" w:themeColor="text1"/>
                <w:spacing w:val="-2"/>
                <w:w w:val="95"/>
                <w:sz w:val="20"/>
              </w:rPr>
              <w:t xml:space="preserve"> stata costituita una garanzia reale che eccede il valore delle attività, pegni, ipoteche o garanzie che la garantiscono. Rileva la parte “sottogarantita” delle passività coperte da garanzia reale, ad esempio la parte sottogarantita delle obbligazioni garantite o delle operazioni di vendita con patto </w:t>
            </w:r>
            <w:proofErr w:type="gramStart"/>
            <w:r w:rsidRPr="004B56A9">
              <w:rPr>
                <w:rFonts w:ascii="Times New Roman" w:hAnsi="Times New Roman"/>
                <w:color w:val="000000" w:themeColor="text1"/>
                <w:spacing w:val="-2"/>
                <w:w w:val="95"/>
                <w:sz w:val="20"/>
              </w:rPr>
              <w:t>di</w:t>
            </w:r>
            <w:proofErr w:type="gramEnd"/>
            <w:r w:rsidRPr="004B56A9">
              <w:rPr>
                <w:rFonts w:ascii="Times New Roman" w:hAnsi="Times New Roman"/>
                <w:color w:val="000000" w:themeColor="text1"/>
                <w:spacing w:val="-2"/>
                <w:w w:val="95"/>
                <w:sz w:val="20"/>
              </w:rPr>
              <w:t xml:space="preserve"> riacquisto.</w:t>
            </w:r>
          </w:p>
        </w:tc>
      </w:tr>
      <w:tr w:rsidR="00D22EB0" w:rsidRPr="004B56A9" w14:paraId="72B05DDF" w14:textId="77777777" w:rsidTr="00367C1E">
        <w:tc>
          <w:tcPr>
            <w:tcW w:w="908" w:type="dxa"/>
            <w:tcBorders>
              <w:top w:val="single" w:sz="4" w:space="0" w:color="1A171C"/>
              <w:left w:val="nil"/>
              <w:bottom w:val="single" w:sz="4" w:space="0" w:color="1A171C"/>
              <w:right w:val="single" w:sz="4" w:space="0" w:color="1A171C"/>
            </w:tcBorders>
            <w:vAlign w:val="center"/>
          </w:tcPr>
          <w:p w14:paraId="5D91F20F" w14:textId="75252630"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14:paraId="7B6507B0"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Obbligazioni strutturate</w:t>
            </w:r>
          </w:p>
          <w:p w14:paraId="43000443" w14:textId="5BFF1D06" w:rsidR="0081175C" w:rsidRPr="004B56A9" w:rsidRDefault="0081175C" w:rsidP="00077AF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Le obbligazioni strutturate sono qui definite come obbligazioni debitorie con una </w:t>
            </w:r>
            <w:proofErr w:type="gramStart"/>
            <w:r w:rsidRPr="004B56A9">
              <w:rPr>
                <w:rFonts w:ascii="Times New Roman" w:hAnsi="Times New Roman"/>
                <w:color w:val="000000" w:themeColor="text1"/>
                <w:spacing w:val="-2"/>
                <w:w w:val="95"/>
                <w:sz w:val="20"/>
              </w:rPr>
              <w:t>componente</w:t>
            </w:r>
            <w:proofErr w:type="gramEnd"/>
            <w:r w:rsidRPr="004B56A9">
              <w:rPr>
                <w:rFonts w:ascii="Times New Roman" w:hAnsi="Times New Roman"/>
                <w:color w:val="000000" w:themeColor="text1"/>
                <w:spacing w:val="-2"/>
                <w:w w:val="95"/>
                <w:sz w:val="20"/>
              </w:rPr>
              <w:t xml:space="preserve"> derivata incorporata, con rendimenti collegati a un titolo sottostante o a un indice (pubblico o su misura, ad esempio strumenti di capitale o obbligazioni, tassi di rendimento fisso o credito, tasso di cambio, merci, ecc.). Le obbligazioni strutturate non includono gli strumenti di debito che comprendono soltanto </w:t>
            </w:r>
            <w:proofErr w:type="gramStart"/>
            <w:r w:rsidRPr="004B56A9">
              <w:rPr>
                <w:rFonts w:ascii="Times New Roman" w:hAnsi="Times New Roman"/>
                <w:color w:val="000000" w:themeColor="text1"/>
                <w:spacing w:val="-2"/>
                <w:w w:val="95"/>
                <w:sz w:val="20"/>
              </w:rPr>
              <w:t>opzioni</w:t>
            </w:r>
            <w:proofErr w:type="gramEnd"/>
            <w:r w:rsidRPr="004B56A9">
              <w:rPr>
                <w:rFonts w:ascii="Times New Roman" w:hAnsi="Times New Roman"/>
                <w:color w:val="000000" w:themeColor="text1"/>
                <w:spacing w:val="-2"/>
                <w:w w:val="95"/>
                <w:sz w:val="20"/>
              </w:rPr>
              <w:t xml:space="preserve"> call o put, ossia il cui valore non dipende da nessuna componente derivata incorporata.</w:t>
            </w:r>
          </w:p>
        </w:tc>
      </w:tr>
      <w:tr w:rsidR="00D22EB0" w:rsidRPr="004B56A9" w14:paraId="7FAA3A5B" w14:textId="77777777" w:rsidTr="00367C1E">
        <w:tc>
          <w:tcPr>
            <w:tcW w:w="908" w:type="dxa"/>
            <w:tcBorders>
              <w:top w:val="single" w:sz="4" w:space="0" w:color="1A171C"/>
              <w:left w:val="nil"/>
              <w:bottom w:val="single" w:sz="4" w:space="0" w:color="1A171C"/>
              <w:right w:val="single" w:sz="4" w:space="0" w:color="1A171C"/>
            </w:tcBorders>
            <w:vAlign w:val="center"/>
          </w:tcPr>
          <w:p w14:paraId="389370ED" w14:textId="37DD6F2F"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14:paraId="7BA875FE"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 xml:space="preserve">Passività di primo rango (senior) non </w:t>
            </w:r>
            <w:proofErr w:type="gramStart"/>
            <w:r w:rsidRPr="004B56A9">
              <w:rPr>
                <w:rFonts w:ascii="Times New Roman" w:hAnsi="Times New Roman"/>
                <w:b/>
                <w:color w:val="000000" w:themeColor="text1"/>
                <w:spacing w:val="-2"/>
                <w:w w:val="95"/>
                <w:sz w:val="20"/>
              </w:rPr>
              <w:t>garantite</w:t>
            </w:r>
            <w:proofErr w:type="gramEnd"/>
          </w:p>
          <w:p w14:paraId="0B601249" w14:textId="45AFF277" w:rsidR="0081175C" w:rsidRPr="004B56A9" w:rsidRDefault="00EF01C1"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Sono compresi tutti gli strumenti di primo rango non garantiti che non rientrano nella categoria delle obbligazioni strutturate.</w:t>
            </w:r>
          </w:p>
        </w:tc>
      </w:tr>
      <w:tr w:rsidR="00D22EB0" w:rsidRPr="004B56A9" w14:paraId="29376310" w14:textId="77777777" w:rsidTr="00367C1E">
        <w:tc>
          <w:tcPr>
            <w:tcW w:w="908" w:type="dxa"/>
            <w:tcBorders>
              <w:top w:val="single" w:sz="4" w:space="0" w:color="1A171C"/>
              <w:left w:val="nil"/>
              <w:bottom w:val="single" w:sz="4" w:space="0" w:color="1A171C"/>
              <w:right w:val="single" w:sz="4" w:space="0" w:color="1A171C"/>
            </w:tcBorders>
            <w:vAlign w:val="center"/>
          </w:tcPr>
          <w:p w14:paraId="10A86A68" w14:textId="0DD8D65A" w:rsidR="000B7DC6"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14:paraId="2FB76479" w14:textId="77777777" w:rsidR="000B7DC6" w:rsidRPr="004B56A9"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Passività di primo rango (senior) non </w:t>
            </w:r>
            <w:proofErr w:type="gramStart"/>
            <w:r w:rsidRPr="004B56A9">
              <w:rPr>
                <w:rFonts w:ascii="Times New Roman" w:hAnsi="Times New Roman"/>
                <w:b/>
                <w:color w:val="000000" w:themeColor="text1"/>
                <w:spacing w:val="-2"/>
                <w:w w:val="95"/>
                <w:sz w:val="20"/>
              </w:rPr>
              <w:t>privilegiate</w:t>
            </w:r>
            <w:proofErr w:type="gramEnd"/>
          </w:p>
          <w:p w14:paraId="714B24D7" w14:textId="2003FA32" w:rsidR="00C92D66" w:rsidRPr="004B56A9"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delle passività seguenti:</w:t>
            </w:r>
          </w:p>
          <w:p w14:paraId="780D9F9A" w14:textId="77777777" w:rsidR="00C92D66" w:rsidRPr="004B56A9"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crediti</w:t>
            </w:r>
            <w:proofErr w:type="gramEnd"/>
            <w:r w:rsidRPr="004B56A9">
              <w:rPr>
                <w:rFonts w:ascii="Times New Roman" w:hAnsi="Times New Roman"/>
                <w:color w:val="000000" w:themeColor="text1"/>
                <w:spacing w:val="-2"/>
                <w:w w:val="95"/>
                <w:sz w:val="20"/>
              </w:rPr>
              <w:t xml:space="preserve"> chirografari derivanti da titoli di debito che soddisfano le condizioni di cui all’articolo 108, paragrafo 2, lettere a), b) e c), e paragrafo 3, della direttiva 2014/59/UE </w:t>
            </w:r>
          </w:p>
          <w:p w14:paraId="42ADF066" w14:textId="77777777" w:rsidR="00C92D66" w:rsidRPr="004B56A9"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crediti</w:t>
            </w:r>
            <w:proofErr w:type="gramEnd"/>
            <w:r w:rsidRPr="004B56A9">
              <w:rPr>
                <w:rFonts w:ascii="Times New Roman" w:hAnsi="Times New Roman"/>
                <w:color w:val="000000" w:themeColor="text1"/>
                <w:spacing w:val="-2"/>
                <w:w w:val="95"/>
                <w:sz w:val="20"/>
              </w:rPr>
              <w:t xml:space="preserve"> chirografari derivanti da titoli di debito di cui all’articolo 108, paragrafo 5, primo comma, lettera b), della direttiva 2014/59/UE oppure</w:t>
            </w:r>
          </w:p>
          <w:p w14:paraId="2806D573" w14:textId="6401C252" w:rsidR="000B7DC6" w:rsidRPr="004B56A9"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titoli</w:t>
            </w:r>
            <w:proofErr w:type="gramEnd"/>
            <w:r w:rsidRPr="004B56A9">
              <w:rPr>
                <w:rFonts w:ascii="Times New Roman" w:hAnsi="Times New Roman"/>
                <w:color w:val="000000" w:themeColor="text1"/>
                <w:spacing w:val="-2"/>
                <w:w w:val="95"/>
                <w:sz w:val="20"/>
              </w:rPr>
              <w:t xml:space="preserve"> di debito con il grado di priorità più basso tra i crediti chirografari ordinari derivanti dai titoli di debito di cui all’articolo 108, paragrafo 7, della direttiva 2014/59/UE, per i quali uno Stato membro abbia previsto, a norma di tale paragrafo, che abbiano lo stesso grado di priorità dei crediti che soddisfano le condizioni di cui all’articolo 108, paragrafo 2, lettere a), b) e c), e paragrafo 3, della direttiva 2014/59/UE.</w:t>
            </w:r>
          </w:p>
        </w:tc>
      </w:tr>
      <w:tr w:rsidR="00D22EB0" w:rsidRPr="004B56A9" w14:paraId="38D3EEB9" w14:textId="77777777" w:rsidTr="00367C1E">
        <w:tc>
          <w:tcPr>
            <w:tcW w:w="908" w:type="dxa"/>
            <w:tcBorders>
              <w:top w:val="single" w:sz="4" w:space="0" w:color="1A171C"/>
              <w:left w:val="nil"/>
              <w:bottom w:val="single" w:sz="4" w:space="0" w:color="1A171C"/>
              <w:right w:val="single" w:sz="4" w:space="0" w:color="1A171C"/>
            </w:tcBorders>
            <w:vAlign w:val="center"/>
          </w:tcPr>
          <w:p w14:paraId="2347CF0B" w14:textId="24F02BD0"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0370</w:t>
            </w:r>
          </w:p>
        </w:tc>
        <w:tc>
          <w:tcPr>
            <w:tcW w:w="8175" w:type="dxa"/>
            <w:tcBorders>
              <w:top w:val="single" w:sz="4" w:space="0" w:color="1A171C"/>
              <w:left w:val="single" w:sz="4" w:space="0" w:color="1A171C"/>
              <w:bottom w:val="single" w:sz="4" w:space="0" w:color="1A171C"/>
              <w:right w:val="nil"/>
            </w:tcBorders>
            <w:vAlign w:val="center"/>
          </w:tcPr>
          <w:p w14:paraId="62394F6E"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Passività subordinate</w:t>
            </w:r>
          </w:p>
          <w:p w14:paraId="315E5424" w14:textId="3D45C4E8" w:rsidR="0081175C" w:rsidRPr="004B56A9"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passività che saranno rimborsate secondo la normativa nazionale in materia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insolvenza solo dopo che saranno state integralmente rimborsate tutte le classi di creditori ordinari e di creditori di primo rango non privilegiati. Sono comprese le passività subordinate sia per legge </w:t>
            </w:r>
            <w:proofErr w:type="gramStart"/>
            <w:r w:rsidRPr="004B56A9">
              <w:rPr>
                <w:rFonts w:ascii="Times New Roman" w:hAnsi="Times New Roman"/>
                <w:color w:val="000000" w:themeColor="text1"/>
                <w:spacing w:val="-2"/>
                <w:w w:val="95"/>
                <w:sz w:val="20"/>
              </w:rPr>
              <w:t>che</w:t>
            </w:r>
            <w:proofErr w:type="gramEnd"/>
            <w:r w:rsidRPr="004B56A9">
              <w:rPr>
                <w:rFonts w:ascii="Times New Roman" w:hAnsi="Times New Roman"/>
                <w:color w:val="000000" w:themeColor="text1"/>
                <w:spacing w:val="-2"/>
                <w:w w:val="95"/>
                <w:sz w:val="20"/>
              </w:rPr>
              <w:t xml:space="preserve"> per contratto. Nel caso delle società di partecipazione, possono essere segnalati in questa categoria anche i titoli di debito non subordinati (ossia la subordinazione strutturale).</w:t>
            </w:r>
          </w:p>
          <w:p w14:paraId="160B5660" w14:textId="45D9598A" w:rsidR="00EF01C1" w:rsidRPr="004B56A9"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In questa categoria sono inclusi solo gli strumenti subordinati che non sono riconosciuti come fondi propri. </w:t>
            </w:r>
          </w:p>
          <w:p w14:paraId="14DE8D00" w14:textId="21F84643" w:rsidR="0081175C" w:rsidRPr="004B56A9" w:rsidRDefault="00EF01C1" w:rsidP="00EF01C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Questa riga comprende anche la parte delle passività subordinate ammissibili in linea di principio come fondi propri non inclusa nei fondi propri a causa di disposizioni in materia di eliminazione graduale quali l’articolo </w:t>
            </w:r>
            <w:proofErr w:type="gramStart"/>
            <w:r w:rsidRPr="004B56A9">
              <w:rPr>
                <w:rFonts w:ascii="Times New Roman" w:hAnsi="Times New Roman"/>
                <w:color w:val="000000" w:themeColor="text1"/>
                <w:spacing w:val="-2"/>
                <w:w w:val="95"/>
                <w:sz w:val="20"/>
              </w:rPr>
              <w:t>64</w:t>
            </w:r>
            <w:proofErr w:type="gramEnd"/>
            <w:r w:rsidRPr="004B56A9">
              <w:rPr>
                <w:rFonts w:ascii="Times New Roman" w:hAnsi="Times New Roman"/>
                <w:color w:val="000000" w:themeColor="text1"/>
                <w:spacing w:val="-2"/>
                <w:w w:val="95"/>
                <w:sz w:val="20"/>
              </w:rPr>
              <w:t xml:space="preserve"> del regolamento (UE) n. 575/2013 (durata residua) o la parte 10 dello stesso regolamento (clausola grandfathering). </w:t>
            </w:r>
          </w:p>
        </w:tc>
      </w:tr>
      <w:tr w:rsidR="00D22EB0" w:rsidRPr="004B56A9" w14:paraId="5D69C78C" w14:textId="77777777" w:rsidTr="00367C1E">
        <w:tc>
          <w:tcPr>
            <w:tcW w:w="908" w:type="dxa"/>
            <w:tcBorders>
              <w:top w:val="single" w:sz="4" w:space="0" w:color="1A171C"/>
              <w:left w:val="nil"/>
              <w:bottom w:val="single" w:sz="4" w:space="0" w:color="1A171C"/>
              <w:right w:val="single" w:sz="4" w:space="0" w:color="1A171C"/>
            </w:tcBorders>
            <w:vAlign w:val="center"/>
          </w:tcPr>
          <w:p w14:paraId="3411B12E" w14:textId="2D8B74A1"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14:paraId="30524916"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Altre passività ammissibili al MREL</w:t>
            </w:r>
          </w:p>
          <w:p w14:paraId="25C6F9CC" w14:textId="0402CCBC" w:rsidR="0081175C" w:rsidRPr="004B56A9" w:rsidRDefault="0081175C" w:rsidP="00CF2F2B">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Ogni strumento ammissibile al MREL ma non rilevato nelle righe 0320 e da 0340 a 0370.</w:t>
            </w:r>
            <w:proofErr w:type="gramEnd"/>
          </w:p>
        </w:tc>
      </w:tr>
      <w:tr w:rsidR="00D22EB0" w:rsidRPr="004B56A9" w14:paraId="727F9839" w14:textId="77777777" w:rsidTr="00367C1E">
        <w:tc>
          <w:tcPr>
            <w:tcW w:w="908" w:type="dxa"/>
            <w:tcBorders>
              <w:top w:val="single" w:sz="4" w:space="0" w:color="1A171C"/>
              <w:left w:val="nil"/>
              <w:bottom w:val="single" w:sz="4" w:space="0" w:color="1A171C"/>
              <w:right w:val="single" w:sz="4" w:space="0" w:color="1A171C"/>
            </w:tcBorders>
            <w:vAlign w:val="center"/>
          </w:tcPr>
          <w:p w14:paraId="6973D0B7" w14:textId="60CE6FB4"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14:paraId="1BA1A725"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Passività non finanziarie</w:t>
            </w:r>
          </w:p>
          <w:p w14:paraId="1B1AE994" w14:textId="32ED9959" w:rsidR="0081175C" w:rsidRPr="004B56A9" w:rsidRDefault="0081175C" w:rsidP="003D1CFF">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Questa riga rileva le passività non finanziarie che </w:t>
            </w:r>
            <w:r w:rsidR="003D1CFF" w:rsidRPr="004B56A9">
              <w:rPr>
                <w:rFonts w:ascii="Times New Roman" w:hAnsi="Times New Roman"/>
                <w:color w:val="000000" w:themeColor="text1"/>
                <w:spacing w:val="-2"/>
                <w:w w:val="95"/>
                <w:sz w:val="20"/>
              </w:rPr>
              <w:t xml:space="preserve">per motivi pratici </w:t>
            </w:r>
            <w:r w:rsidRPr="004B56A9">
              <w:rPr>
                <w:rFonts w:ascii="Times New Roman" w:hAnsi="Times New Roman"/>
                <w:color w:val="000000" w:themeColor="text1"/>
                <w:spacing w:val="-2"/>
                <w:w w:val="95"/>
                <w:sz w:val="20"/>
              </w:rPr>
              <w:t xml:space="preserve">non si riferiscono a strumenti di debito i cui titolari possono essere sottoposti a bail-in, quali </w:t>
            </w:r>
            <w:r w:rsidR="007D6859" w:rsidRPr="004B56A9">
              <w:rPr>
                <w:rFonts w:ascii="Times New Roman" w:hAnsi="Times New Roman"/>
                <w:color w:val="000000" w:themeColor="text1"/>
                <w:spacing w:val="-2"/>
                <w:w w:val="95"/>
                <w:sz w:val="20"/>
              </w:rPr>
              <w:t>gli accantonamenti per</w:t>
            </w:r>
            <w:r w:rsidRPr="004B56A9">
              <w:rPr>
                <w:rFonts w:ascii="Times New Roman" w:hAnsi="Times New Roman"/>
                <w:color w:val="000000" w:themeColor="text1"/>
                <w:spacing w:val="-2"/>
                <w:w w:val="95"/>
                <w:sz w:val="20"/>
              </w:rPr>
              <w:t xml:space="preserve"> controversie </w:t>
            </w:r>
            <w:r w:rsidR="007D6859" w:rsidRPr="004B56A9">
              <w:rPr>
                <w:rFonts w:ascii="Times New Roman" w:hAnsi="Times New Roman"/>
                <w:color w:val="000000" w:themeColor="text1"/>
                <w:spacing w:val="-2"/>
                <w:w w:val="95"/>
                <w:sz w:val="20"/>
              </w:rPr>
              <w:t xml:space="preserve">che coinvolgono </w:t>
            </w:r>
            <w:r w:rsidRPr="004B56A9">
              <w:rPr>
                <w:rFonts w:ascii="Times New Roman" w:hAnsi="Times New Roman"/>
                <w:color w:val="000000" w:themeColor="text1"/>
                <w:spacing w:val="-2"/>
                <w:w w:val="95"/>
                <w:sz w:val="20"/>
              </w:rPr>
              <w:t xml:space="preserve">l’entità. </w:t>
            </w:r>
          </w:p>
        </w:tc>
      </w:tr>
      <w:tr w:rsidR="00D22EB0" w:rsidRPr="004B56A9" w14:paraId="0AB36F6D" w14:textId="77777777" w:rsidTr="00367C1E">
        <w:tc>
          <w:tcPr>
            <w:tcW w:w="908" w:type="dxa"/>
            <w:tcBorders>
              <w:top w:val="single" w:sz="4" w:space="0" w:color="1A171C"/>
              <w:left w:val="nil"/>
              <w:bottom w:val="single" w:sz="4" w:space="0" w:color="1A171C"/>
              <w:right w:val="single" w:sz="4" w:space="0" w:color="1A171C"/>
            </w:tcBorders>
            <w:vAlign w:val="center"/>
          </w:tcPr>
          <w:p w14:paraId="595BA30C" w14:textId="7EC0928D"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14:paraId="0119E47A"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Altre passività</w:t>
            </w:r>
          </w:p>
          <w:p w14:paraId="2B8AE657" w14:textId="029900E7" w:rsidR="0081175C" w:rsidRPr="004B56A9"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Ogni passività non segnalata nelle righe da 0100 a 0390. </w:t>
            </w:r>
          </w:p>
        </w:tc>
      </w:tr>
      <w:tr w:rsidR="00D22EB0" w:rsidRPr="004B56A9" w14:paraId="79411245" w14:textId="77777777" w:rsidTr="00367C1E">
        <w:tc>
          <w:tcPr>
            <w:tcW w:w="908" w:type="dxa"/>
            <w:tcBorders>
              <w:top w:val="single" w:sz="4" w:space="0" w:color="1A171C"/>
              <w:left w:val="nil"/>
              <w:bottom w:val="single" w:sz="4" w:space="0" w:color="1A171C"/>
              <w:right w:val="single" w:sz="4" w:space="0" w:color="1A171C"/>
            </w:tcBorders>
            <w:vAlign w:val="center"/>
          </w:tcPr>
          <w:p w14:paraId="3E3D7A10" w14:textId="268C550B"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14:paraId="720C337C" w14:textId="19528B39" w:rsidR="00C3490B" w:rsidRPr="004B56A9"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z w:val="20"/>
              </w:rPr>
              <w:t>Fondi propri</w:t>
            </w:r>
          </w:p>
          <w:p w14:paraId="3BD265E4" w14:textId="1AC5CC51" w:rsidR="0081175C" w:rsidRPr="004B56A9"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paragrafo 1, punto 118, e articolo 72 del regolamento (UE) n. 575/2013</w:t>
            </w:r>
          </w:p>
          <w:p w14:paraId="57808A28" w14:textId="25786F76" w:rsidR="00C62EEE" w:rsidRPr="004B56A9"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COREP (OF): {C 01.00;010;010}</w:t>
            </w:r>
          </w:p>
        </w:tc>
      </w:tr>
      <w:tr w:rsidR="00D22EB0" w:rsidRPr="004B56A9" w14:paraId="6A71BE58" w14:textId="77777777" w:rsidTr="00367C1E">
        <w:tc>
          <w:tcPr>
            <w:tcW w:w="908" w:type="dxa"/>
            <w:tcBorders>
              <w:top w:val="single" w:sz="4" w:space="0" w:color="1A171C"/>
              <w:left w:val="nil"/>
              <w:bottom w:val="single" w:sz="4" w:space="0" w:color="1A171C"/>
              <w:right w:val="single" w:sz="4" w:space="0" w:color="1A171C"/>
            </w:tcBorders>
            <w:vAlign w:val="center"/>
          </w:tcPr>
          <w:p w14:paraId="738775B4" w14:textId="4B6CE705"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14:paraId="6F125B5D"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 xml:space="preserve">Capitale primario di classe </w:t>
            </w:r>
            <w:proofErr w:type="gramStart"/>
            <w:r w:rsidRPr="004B56A9">
              <w:rPr>
                <w:rFonts w:ascii="Times New Roman" w:hAnsi="Times New Roman"/>
                <w:b/>
                <w:color w:val="000000" w:themeColor="text1"/>
                <w:spacing w:val="-2"/>
                <w:w w:val="95"/>
                <w:sz w:val="20"/>
              </w:rPr>
              <w:t>1</w:t>
            </w:r>
            <w:proofErr w:type="gramEnd"/>
          </w:p>
          <w:p w14:paraId="28A3F19F" w14:textId="63865DBA" w:rsidR="00C62EEE" w:rsidRPr="004B56A9"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50</w:t>
            </w:r>
            <w:proofErr w:type="gramEnd"/>
            <w:r w:rsidRPr="004B56A9">
              <w:rPr>
                <w:rFonts w:ascii="Times New Roman" w:hAnsi="Times New Roman"/>
                <w:color w:val="000000" w:themeColor="text1"/>
                <w:spacing w:val="-2"/>
                <w:w w:val="95"/>
                <w:sz w:val="20"/>
              </w:rPr>
              <w:t xml:space="preserve"> del regolamento (UE) n. 575/2013</w:t>
            </w:r>
          </w:p>
          <w:p w14:paraId="2EBB81DD" w14:textId="561D821F" w:rsidR="0081175C" w:rsidRPr="004B56A9"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Stessa definizione di COREP (OF): {C 01.00;020;010}</w:t>
            </w:r>
          </w:p>
        </w:tc>
      </w:tr>
      <w:tr w:rsidR="00D22EB0" w:rsidRPr="004B56A9" w14:paraId="2265D658" w14:textId="77777777" w:rsidTr="00367C1E">
        <w:tc>
          <w:tcPr>
            <w:tcW w:w="908" w:type="dxa"/>
            <w:tcBorders>
              <w:top w:val="single" w:sz="4" w:space="0" w:color="1A171C"/>
              <w:left w:val="nil"/>
              <w:bottom w:val="single" w:sz="4" w:space="0" w:color="1A171C"/>
              <w:right w:val="single" w:sz="4" w:space="0" w:color="1A171C"/>
            </w:tcBorders>
            <w:vAlign w:val="center"/>
          </w:tcPr>
          <w:p w14:paraId="3369589C" w14:textId="68A2D5C6"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14:paraId="044BB575"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b/>
                <w:color w:val="000000" w:themeColor="text1"/>
                <w:sz w:val="20"/>
              </w:rPr>
              <w:t>di</w:t>
            </w:r>
            <w:proofErr w:type="gramEnd"/>
            <w:r w:rsidRPr="004B56A9">
              <w:rPr>
                <w:rFonts w:ascii="Times New Roman" w:hAnsi="Times New Roman"/>
                <w:b/>
                <w:color w:val="000000" w:themeColor="text1"/>
                <w:sz w:val="20"/>
              </w:rPr>
              <w:t xml:space="preserve"> cui: strumenti di capitale/capitale sociale</w:t>
            </w:r>
          </w:p>
          <w:p w14:paraId="6B792AA4" w14:textId="594AFBCE" w:rsidR="0081175C" w:rsidRPr="004B56A9"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Gli strumenti giuridici che costituiscono il (o parte del) capitale primario di classe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xml:space="preserve"> sotto forma di strumenti di capitale/capitale sociale.</w:t>
            </w:r>
          </w:p>
        </w:tc>
      </w:tr>
      <w:tr w:rsidR="00D22EB0" w:rsidRPr="004B56A9" w14:paraId="13F70132" w14:textId="77777777" w:rsidTr="00367C1E">
        <w:tc>
          <w:tcPr>
            <w:tcW w:w="908" w:type="dxa"/>
            <w:tcBorders>
              <w:top w:val="single" w:sz="4" w:space="0" w:color="1A171C"/>
              <w:left w:val="nil"/>
              <w:bottom w:val="single" w:sz="4" w:space="0" w:color="1A171C"/>
              <w:right w:val="single" w:sz="4" w:space="0" w:color="1A171C"/>
            </w:tcBorders>
            <w:vAlign w:val="center"/>
          </w:tcPr>
          <w:p w14:paraId="0D92E287" w14:textId="7960B1F6"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14:paraId="0876D07C"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b/>
                <w:color w:val="000000" w:themeColor="text1"/>
                <w:sz w:val="20"/>
              </w:rPr>
              <w:t>di</w:t>
            </w:r>
            <w:proofErr w:type="gramEnd"/>
            <w:r w:rsidRPr="004B56A9">
              <w:rPr>
                <w:rFonts w:ascii="Times New Roman" w:hAnsi="Times New Roman"/>
                <w:b/>
                <w:color w:val="000000" w:themeColor="text1"/>
                <w:sz w:val="20"/>
              </w:rPr>
              <w:t xml:space="preserve"> cui: strumenti di pari rango delle azioni ordinarie</w:t>
            </w:r>
          </w:p>
          <w:p w14:paraId="57091EFF" w14:textId="0727A8B9" w:rsidR="0081175C" w:rsidRPr="004B56A9"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Gli strumenti giuridici che costituiscono i (o parte dei) fondi propri del capitale primario di classe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xml:space="preserve"> sotto forma di strumenti diversi dagli strumenti di capitale/capitale sociale, ma di pari rango rispetto a questa categoria.</w:t>
            </w:r>
          </w:p>
        </w:tc>
      </w:tr>
      <w:tr w:rsidR="00D22EB0" w:rsidRPr="004B56A9" w14:paraId="5A6A9B6C" w14:textId="77777777" w:rsidTr="00367C1E">
        <w:tc>
          <w:tcPr>
            <w:tcW w:w="908" w:type="dxa"/>
            <w:tcBorders>
              <w:top w:val="single" w:sz="4" w:space="0" w:color="1A171C"/>
              <w:left w:val="nil"/>
              <w:bottom w:val="single" w:sz="4" w:space="0" w:color="1A171C"/>
              <w:right w:val="single" w:sz="4" w:space="0" w:color="1A171C"/>
            </w:tcBorders>
            <w:vAlign w:val="center"/>
          </w:tcPr>
          <w:p w14:paraId="7B9C8481" w14:textId="2C4B4C1E"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14:paraId="07781C90"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pacing w:val="-2"/>
                <w:w w:val="95"/>
                <w:sz w:val="20"/>
              </w:rPr>
              <w:t xml:space="preserve">Capitale aggiuntivo di classe </w:t>
            </w:r>
            <w:proofErr w:type="gramStart"/>
            <w:r w:rsidRPr="004B56A9">
              <w:rPr>
                <w:rFonts w:ascii="Times New Roman" w:hAnsi="Times New Roman"/>
                <w:b/>
                <w:color w:val="000000" w:themeColor="text1"/>
                <w:spacing w:val="-2"/>
                <w:w w:val="95"/>
                <w:sz w:val="20"/>
              </w:rPr>
              <w:t>1</w:t>
            </w:r>
            <w:proofErr w:type="gramEnd"/>
          </w:p>
          <w:p w14:paraId="5AA9D874" w14:textId="5AF12DAB" w:rsidR="00C62EEE" w:rsidRPr="004B56A9"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61</w:t>
            </w:r>
            <w:proofErr w:type="gramEnd"/>
            <w:r w:rsidRPr="004B56A9">
              <w:rPr>
                <w:rFonts w:ascii="Times New Roman" w:hAnsi="Times New Roman"/>
                <w:color w:val="000000" w:themeColor="text1"/>
                <w:spacing w:val="-2"/>
                <w:w w:val="95"/>
                <w:sz w:val="20"/>
              </w:rPr>
              <w:t xml:space="preserve"> del regolamento (UE) n. 575/2013</w:t>
            </w:r>
          </w:p>
          <w:p w14:paraId="3E944D69" w14:textId="057156EA" w:rsidR="0081175C" w:rsidRPr="004B56A9"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Stessa definizione di COREP (OF): {C 01.00;530;010}</w:t>
            </w:r>
          </w:p>
        </w:tc>
      </w:tr>
      <w:tr w:rsidR="00D22EB0" w:rsidRPr="004B56A9" w14:paraId="747FBAA4" w14:textId="77777777" w:rsidTr="00367C1E">
        <w:tc>
          <w:tcPr>
            <w:tcW w:w="908" w:type="dxa"/>
            <w:tcBorders>
              <w:top w:val="single" w:sz="4" w:space="0" w:color="1A171C"/>
              <w:left w:val="nil"/>
              <w:bottom w:val="single" w:sz="4" w:space="0" w:color="1A171C"/>
              <w:right w:val="single" w:sz="4" w:space="0" w:color="1A171C"/>
            </w:tcBorders>
            <w:vAlign w:val="center"/>
          </w:tcPr>
          <w:p w14:paraId="32E3FD47" w14:textId="07E95DBF"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14:paraId="10421769"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b/>
                <w:color w:val="000000" w:themeColor="text1"/>
                <w:sz w:val="20"/>
              </w:rPr>
              <w:t>di</w:t>
            </w:r>
            <w:proofErr w:type="gramEnd"/>
            <w:r w:rsidRPr="004B56A9">
              <w:rPr>
                <w:rFonts w:ascii="Times New Roman" w:hAnsi="Times New Roman"/>
                <w:b/>
                <w:color w:val="000000" w:themeColor="text1"/>
                <w:sz w:val="20"/>
              </w:rPr>
              <w:t xml:space="preserve"> cui: (parte delle) passività subordinate riconosciute come fondi propri</w:t>
            </w:r>
          </w:p>
          <w:p w14:paraId="6F78486F" w14:textId="0A8726CD" w:rsidR="0081175C" w:rsidRPr="004B56A9" w:rsidRDefault="00FA24AE" w:rsidP="00FA24A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Gli strumenti giuridici che costituiscono il (o parte del) capitale aggiuntivo di classe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w:t>
            </w:r>
          </w:p>
        </w:tc>
      </w:tr>
      <w:tr w:rsidR="00D22EB0" w:rsidRPr="004B56A9" w14:paraId="3278B5B5" w14:textId="77777777" w:rsidTr="00367C1E">
        <w:tc>
          <w:tcPr>
            <w:tcW w:w="908" w:type="dxa"/>
            <w:tcBorders>
              <w:top w:val="single" w:sz="4" w:space="0" w:color="1A171C"/>
              <w:left w:val="nil"/>
              <w:bottom w:val="single" w:sz="4" w:space="0" w:color="1A171C"/>
              <w:right w:val="single" w:sz="4" w:space="0" w:color="1A171C"/>
            </w:tcBorders>
            <w:vAlign w:val="center"/>
          </w:tcPr>
          <w:p w14:paraId="634FB742" w14:textId="7D268368"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14:paraId="6F16B7D5"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Capitale di classe </w:t>
            </w:r>
            <w:proofErr w:type="gramStart"/>
            <w:r w:rsidRPr="004B56A9">
              <w:rPr>
                <w:rFonts w:ascii="Times New Roman" w:hAnsi="Times New Roman"/>
                <w:b/>
                <w:color w:val="000000" w:themeColor="text1"/>
                <w:sz w:val="20"/>
              </w:rPr>
              <w:t>2</w:t>
            </w:r>
            <w:proofErr w:type="gramEnd"/>
          </w:p>
          <w:p w14:paraId="4512A46D" w14:textId="20BC07D8" w:rsidR="00C62EEE" w:rsidRPr="004B56A9"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71</w:t>
            </w:r>
            <w:proofErr w:type="gramEnd"/>
            <w:r w:rsidRPr="004B56A9">
              <w:rPr>
                <w:rFonts w:ascii="Times New Roman" w:hAnsi="Times New Roman"/>
                <w:color w:val="000000" w:themeColor="text1"/>
                <w:spacing w:val="-2"/>
                <w:w w:val="95"/>
                <w:sz w:val="20"/>
              </w:rPr>
              <w:t xml:space="preserve"> del regolamento (UE) n. 575/2013</w:t>
            </w:r>
          </w:p>
          <w:p w14:paraId="04364EC6" w14:textId="078C2261" w:rsidR="0081175C" w:rsidRPr="004B56A9"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Stessa definizione di COREP (OF): {C 01.00;750;010}</w:t>
            </w:r>
          </w:p>
        </w:tc>
      </w:tr>
      <w:tr w:rsidR="00D22EB0" w:rsidRPr="004B56A9" w14:paraId="6D627251" w14:textId="77777777" w:rsidTr="00367C1E">
        <w:tc>
          <w:tcPr>
            <w:tcW w:w="908" w:type="dxa"/>
            <w:tcBorders>
              <w:top w:val="single" w:sz="4" w:space="0" w:color="1A171C"/>
              <w:left w:val="nil"/>
              <w:bottom w:val="single" w:sz="4" w:space="0" w:color="1A171C"/>
              <w:right w:val="single" w:sz="4" w:space="0" w:color="1A171C"/>
            </w:tcBorders>
            <w:vAlign w:val="center"/>
          </w:tcPr>
          <w:p w14:paraId="45F13850" w14:textId="1928DD1E"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0531</w:t>
            </w:r>
          </w:p>
        </w:tc>
        <w:tc>
          <w:tcPr>
            <w:tcW w:w="8175" w:type="dxa"/>
            <w:tcBorders>
              <w:top w:val="single" w:sz="4" w:space="0" w:color="1A171C"/>
              <w:left w:val="single" w:sz="4" w:space="0" w:color="1A171C"/>
              <w:bottom w:val="single" w:sz="4" w:space="0" w:color="1A171C"/>
              <w:right w:val="nil"/>
            </w:tcBorders>
            <w:vAlign w:val="center"/>
          </w:tcPr>
          <w:p w14:paraId="1F24C530"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b/>
                <w:color w:val="000000" w:themeColor="text1"/>
                <w:sz w:val="20"/>
              </w:rPr>
              <w:t>di</w:t>
            </w:r>
            <w:proofErr w:type="gramEnd"/>
            <w:r w:rsidRPr="004B56A9">
              <w:rPr>
                <w:rFonts w:ascii="Times New Roman" w:hAnsi="Times New Roman"/>
                <w:b/>
                <w:color w:val="000000" w:themeColor="text1"/>
                <w:sz w:val="20"/>
              </w:rPr>
              <w:t xml:space="preserve"> cui: (parte delle) passività subordinate riconosciute come fondi propri</w:t>
            </w:r>
          </w:p>
          <w:p w14:paraId="520A3A11" w14:textId="7B3DB068"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 xml:space="preserve">Questa disaggregazione individua gli strumenti giuridici che costituiscono i (o parte dei) fondi propri di classe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w:t>
            </w:r>
          </w:p>
        </w:tc>
      </w:tr>
      <w:tr w:rsidR="00D22EB0" w:rsidRPr="004B56A9" w14:paraId="35860920" w14:textId="77777777" w:rsidTr="00367C1E">
        <w:tc>
          <w:tcPr>
            <w:tcW w:w="908" w:type="dxa"/>
            <w:tcBorders>
              <w:top w:val="single" w:sz="4" w:space="0" w:color="1A171C"/>
              <w:left w:val="nil"/>
              <w:bottom w:val="single" w:sz="4" w:space="0" w:color="1A171C"/>
              <w:right w:val="single" w:sz="4" w:space="0" w:color="1A171C"/>
            </w:tcBorders>
            <w:vAlign w:val="center"/>
          </w:tcPr>
          <w:p w14:paraId="2CFC7BC3" w14:textId="76A0E380" w:rsidR="0081175C" w:rsidRPr="004B56A9" w:rsidRDefault="00903E0D" w:rsidP="00367C1E">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14:paraId="50F80762" w14:textId="77777777" w:rsidR="0081175C" w:rsidRPr="004B56A9"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Totale passività e fondi propri, comprese le passività risultanti da </w:t>
            </w:r>
            <w:proofErr w:type="gramStart"/>
            <w:r w:rsidRPr="004B56A9">
              <w:rPr>
                <w:rFonts w:ascii="Times New Roman" w:hAnsi="Times New Roman"/>
                <w:b/>
                <w:color w:val="000000" w:themeColor="text1"/>
                <w:sz w:val="20"/>
              </w:rPr>
              <w:t>derivati</w:t>
            </w:r>
            <w:proofErr w:type="gramEnd"/>
          </w:p>
          <w:p w14:paraId="6D24BD7B" w14:textId="0417EBE6" w:rsidR="0081175C" w:rsidRPr="004B56A9" w:rsidRDefault="0081175C" w:rsidP="00100FC4">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La somma di tutte le passività segnalate in questo modello e dell’importo dei fondi propri obbligatori</w:t>
            </w:r>
            <w:proofErr w:type="gramEnd"/>
            <w:r w:rsidRPr="004B56A9">
              <w:rPr>
                <w:rFonts w:ascii="Times New Roman" w:hAnsi="Times New Roman"/>
                <w:color w:val="000000" w:themeColor="text1"/>
                <w:spacing w:val="-2"/>
                <w:w w:val="95"/>
                <w:sz w:val="20"/>
              </w:rPr>
              <w:t>. A tal fine, sono sommati tutti gli importi dalle linee precedenti. Per quanto riguarda i derivati, il valore da utilizzare è la riga 0334 “Somma delle passività nette tenendo conto delle norme in materia di compensazione prudenziale”.</w:t>
            </w:r>
          </w:p>
        </w:tc>
      </w:tr>
    </w:tbl>
    <w:p w14:paraId="746DE946" w14:textId="0E0FB5C0" w:rsidR="00E13CE3" w:rsidRPr="004B56A9"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130388"/>
      <w:r w:rsidRPr="004B56A9">
        <w:rPr>
          <w:rFonts w:ascii="Times New Roman" w:hAnsi="Times New Roman"/>
        </w:rPr>
        <w:t>Z 03.00 - Requisiti di fondi propri (OWN)</w:t>
      </w:r>
      <w:bookmarkEnd w:id="22"/>
      <w:bookmarkEnd w:id="23"/>
      <w:bookmarkEnd w:id="24"/>
    </w:p>
    <w:p w14:paraId="561F0C14" w14:textId="77777777" w:rsidR="00F73F97" w:rsidRPr="004B56A9" w:rsidRDefault="00F73F97" w:rsidP="00EC261B">
      <w:pPr>
        <w:pStyle w:val="Instructionsberschrift3"/>
      </w:pPr>
      <w:r w:rsidRPr="004B56A9">
        <w:t>Osservazioni di carattere generale</w:t>
      </w:r>
    </w:p>
    <w:p w14:paraId="6D825BFC" w14:textId="3410BDBA" w:rsidR="002449CC" w:rsidRPr="004B56A9" w:rsidRDefault="002449CC"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Questo modello contiene informazioni sui requisiti di fondi propri applicabili a un’entità o a un gruppo.</w:t>
      </w:r>
    </w:p>
    <w:p w14:paraId="3778B5B5" w14:textId="3A4BD3CE" w:rsidR="00B93E39" w:rsidRPr="004B56A9" w:rsidRDefault="00B93E39"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Tutte le informazioni segnalate rispecchiano i requisiti di fondi propri applicabili alla data di riferimento per le segnalazioni.</w:t>
      </w:r>
    </w:p>
    <w:p w14:paraId="60F8AFF3" w14:textId="37DD3AE0" w:rsidR="00B93E39" w:rsidRPr="004B56A9" w:rsidRDefault="000447AD"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Le informazioni sui requisiti del pilastro </w:t>
      </w:r>
      <w:proofErr w:type="gramStart"/>
      <w:r w:rsidRPr="004B56A9">
        <w:rPr>
          <w:rFonts w:ascii="Times New Roman" w:hAnsi="Times New Roman"/>
          <w:sz w:val="20"/>
        </w:rPr>
        <w:t>2</w:t>
      </w:r>
      <w:proofErr w:type="gramEnd"/>
      <w:r w:rsidRPr="004B56A9">
        <w:rPr>
          <w:rFonts w:ascii="Times New Roman" w:hAnsi="Times New Roman"/>
          <w:sz w:val="20"/>
        </w:rPr>
        <w:t xml:space="preserve"> segnalate in questo modello si basano sull’ultima lettera SREP ufficiale disponibile comunicata dall’autorità competente.</w:t>
      </w:r>
    </w:p>
    <w:p w14:paraId="3D2870ED" w14:textId="60E46DA6" w:rsidR="00066E8E" w:rsidRPr="004B56A9" w:rsidRDefault="00066E8E"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Laddove l’entità oggetto della segnalazione non è soggetta a requisiti patrimoniali su base individuale, è compilata soltanto la riga 0110.</w:t>
      </w:r>
    </w:p>
    <w:p w14:paraId="37F6C520" w14:textId="77777777" w:rsidR="00E13CE3" w:rsidRPr="004B56A9" w:rsidRDefault="00E13CE3" w:rsidP="00EC261B">
      <w:pPr>
        <w:pStyle w:val="Instructionsberschrift3"/>
      </w:pPr>
      <w:r w:rsidRPr="004B56A9">
        <w:t xml:space="preserve">Istruzioni </w:t>
      </w:r>
      <w:proofErr w:type="gramStart"/>
      <w:r w:rsidRPr="004B56A9">
        <w:t>relative a</w:t>
      </w:r>
      <w:proofErr w:type="gramEnd"/>
      <w:r w:rsidRPr="004B56A9">
        <w:t xml:space="preserve">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740"/>
        <w:gridCol w:w="8343"/>
      </w:tblGrid>
      <w:tr w:rsidR="00D22EB0" w:rsidRPr="004B56A9" w14:paraId="43746A28"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585E193F" w14:textId="77777777" w:rsidR="00FE3E96" w:rsidRPr="004B56A9" w:rsidRDefault="00FE3E96" w:rsidP="001C68A5">
            <w:pPr>
              <w:pStyle w:val="TableParagraph"/>
              <w:spacing w:before="66"/>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Righe</w:t>
            </w:r>
          </w:p>
        </w:tc>
        <w:tc>
          <w:tcPr>
            <w:tcW w:w="8277" w:type="dxa"/>
            <w:tcBorders>
              <w:top w:val="single" w:sz="4" w:space="0" w:color="1A171C"/>
              <w:left w:val="single" w:sz="4" w:space="0" w:color="1A171C"/>
              <w:bottom w:val="single" w:sz="4" w:space="0" w:color="1A171C"/>
              <w:right w:val="nil"/>
            </w:tcBorders>
            <w:shd w:val="clear" w:color="auto" w:fill="E4E5E5"/>
          </w:tcPr>
          <w:p w14:paraId="2CFB6592" w14:textId="77777777" w:rsidR="00FE3E96" w:rsidRPr="004B56A9"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1"/>
                <w:w w:val="90"/>
                <w:sz w:val="20"/>
              </w:rPr>
              <w:t>Istruzioni</w:t>
            </w:r>
          </w:p>
        </w:tc>
      </w:tr>
      <w:tr w:rsidR="00D22EB0" w:rsidRPr="004B56A9" w14:paraId="75F48EE6" w14:textId="77777777" w:rsidTr="00E54104">
        <w:tc>
          <w:tcPr>
            <w:tcW w:w="749" w:type="dxa"/>
            <w:tcBorders>
              <w:top w:val="single" w:sz="4" w:space="0" w:color="1A171C"/>
              <w:left w:val="nil"/>
              <w:bottom w:val="single" w:sz="4" w:space="0" w:color="1A171C"/>
              <w:right w:val="single" w:sz="4" w:space="0" w:color="1A171C"/>
            </w:tcBorders>
            <w:vAlign w:val="center"/>
          </w:tcPr>
          <w:p w14:paraId="64194B62" w14:textId="1B4B324F" w:rsidR="00FE3E96" w:rsidRPr="004B56A9"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4B56A9">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14:paraId="245985E1" w14:textId="5B93064A" w:rsidR="00FE3E96" w:rsidRPr="004B56A9" w:rsidRDefault="00FE3E96" w:rsidP="00B525EC">
            <w:pPr>
              <w:pStyle w:val="TableParagraph"/>
              <w:spacing w:before="108"/>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Importo complessivo dell’esposizione al rischio</w:t>
            </w:r>
          </w:p>
          <w:p w14:paraId="79BB5042" w14:textId="0272C496" w:rsidR="00FE3E96" w:rsidRPr="004B56A9"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92</w:t>
            </w:r>
            <w:proofErr w:type="gramEnd"/>
            <w:r w:rsidRPr="004B56A9">
              <w:rPr>
                <w:rFonts w:ascii="Times New Roman" w:hAnsi="Times New Roman"/>
                <w:color w:val="000000" w:themeColor="text1"/>
                <w:spacing w:val="-2"/>
                <w:w w:val="95"/>
                <w:sz w:val="20"/>
              </w:rPr>
              <w:t>, paragrafo 3, del regolamento (UE) n. 575/2013</w:t>
            </w:r>
          </w:p>
          <w:p w14:paraId="15B03977" w14:textId="5BE1DCD6" w:rsidR="00271815" w:rsidRPr="004B56A9" w:rsidRDefault="009F5277" w:rsidP="00B525EC">
            <w:pPr>
              <w:pStyle w:val="TableParagraph"/>
              <w:spacing w:before="108"/>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1"/>
                <w:w w:val="95"/>
                <w:sz w:val="20"/>
              </w:rPr>
              <w:t>Cfr. Z 01.00, colonna 0100</w:t>
            </w:r>
          </w:p>
          <w:p w14:paraId="4652EA55" w14:textId="1176ED06" w:rsidR="00255A8C" w:rsidRPr="004B56A9" w:rsidRDefault="00271815" w:rsidP="00B525EC">
            <w:pPr>
              <w:pStyle w:val="TableParagraph"/>
              <w:spacing w:before="108"/>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complessivo dell’esposizione al rischio quale definito per COREP (OF): {C 02.00;010;010</w:t>
            </w:r>
            <w:proofErr w:type="gramStart"/>
            <w:r w:rsidRPr="004B56A9">
              <w:rPr>
                <w:rFonts w:ascii="Times New Roman" w:hAnsi="Times New Roman"/>
                <w:color w:val="000000" w:themeColor="text1"/>
                <w:spacing w:val="-2"/>
                <w:w w:val="95"/>
                <w:sz w:val="20"/>
              </w:rPr>
              <w:t>}</w:t>
            </w:r>
            <w:proofErr w:type="gramEnd"/>
          </w:p>
        </w:tc>
      </w:tr>
      <w:tr w:rsidR="00D22EB0" w:rsidRPr="004B56A9" w14:paraId="4872FDAF"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0DA579" w14:textId="33DEB56D" w:rsidR="00271815" w:rsidRPr="004B56A9" w:rsidRDefault="00271815" w:rsidP="00D66D58">
            <w:pPr>
              <w:pStyle w:val="TableParagraph"/>
              <w:spacing w:before="106"/>
              <w:ind w:left="-1"/>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14:paraId="419207C5" w14:textId="3BE05586" w:rsidR="00271815" w:rsidRPr="004B56A9"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b/>
                <w:color w:val="000000" w:themeColor="text1"/>
                <w:spacing w:val="-2"/>
                <w:w w:val="95"/>
                <w:sz w:val="20"/>
              </w:rPr>
              <w:t xml:space="preserve">Contributo all’importo complessivo consolidato dell’esposizione al rischio </w:t>
            </w:r>
          </w:p>
          <w:p w14:paraId="283DB9DE" w14:textId="10614AA1" w:rsidR="00D66D58" w:rsidRPr="004B56A9"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Cfr. Z 01.00, colonna 0140</w:t>
            </w:r>
          </w:p>
          <w:p w14:paraId="6527411F" w14:textId="77777777" w:rsidR="00D66D58" w:rsidRPr="004B56A9"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L’esposizione complessiva del coefficiente di leva finanziaria quale definita per COREP (LR): {C 47.00;290;010</w:t>
            </w:r>
            <w:proofErr w:type="gramStart"/>
            <w:r w:rsidRPr="004B56A9">
              <w:rPr>
                <w:rFonts w:ascii="Times New Roman" w:hAnsi="Times New Roman"/>
                <w:color w:val="000000" w:themeColor="text1"/>
                <w:spacing w:val="-2"/>
                <w:w w:val="95"/>
                <w:sz w:val="20"/>
              </w:rPr>
              <w:t>}</w:t>
            </w:r>
            <w:proofErr w:type="gramEnd"/>
          </w:p>
          <w:p w14:paraId="1A40F13A" w14:textId="6B265D51" w:rsidR="00271815" w:rsidRPr="004B56A9"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4B56A9">
              <w:rPr>
                <w:rFonts w:ascii="Times New Roman" w:hAnsi="Times New Roman"/>
                <w:color w:val="000000" w:themeColor="text1"/>
                <w:spacing w:val="-2"/>
                <w:w w:val="95"/>
                <w:sz w:val="20"/>
              </w:rPr>
              <w:t>Questo elemento è segnalato soltanto per le entità che non sono soggette a requisiti patrimoniali su base individuale.</w:t>
            </w:r>
          </w:p>
        </w:tc>
      </w:tr>
      <w:tr w:rsidR="00D22EB0" w:rsidRPr="004B56A9" w14:paraId="08B8BB14" w14:textId="77777777" w:rsidTr="00E54104">
        <w:tc>
          <w:tcPr>
            <w:tcW w:w="749" w:type="dxa"/>
            <w:tcBorders>
              <w:top w:val="single" w:sz="4" w:space="0" w:color="1A171C"/>
              <w:left w:val="nil"/>
              <w:bottom w:val="single" w:sz="4" w:space="0" w:color="1A171C"/>
              <w:right w:val="single" w:sz="4" w:space="0" w:color="1A171C"/>
            </w:tcBorders>
            <w:vAlign w:val="center"/>
          </w:tcPr>
          <w:p w14:paraId="7874529E" w14:textId="78028DEE" w:rsidR="007E7CB4" w:rsidRPr="004B56A9" w:rsidRDefault="007F33DF"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14:paraId="21926851" w14:textId="33E44E96" w:rsidR="007E7CB4" w:rsidRPr="004B56A9" w:rsidRDefault="009C3899"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Requisiti di capitale iniziale e di coefficiente di leva finanziaria</w:t>
            </w:r>
          </w:p>
        </w:tc>
      </w:tr>
      <w:tr w:rsidR="00D22EB0" w:rsidRPr="004B56A9" w14:paraId="371D392D" w14:textId="77777777" w:rsidTr="00E54104">
        <w:tc>
          <w:tcPr>
            <w:tcW w:w="749" w:type="dxa"/>
            <w:tcBorders>
              <w:top w:val="single" w:sz="4" w:space="0" w:color="1A171C"/>
              <w:left w:val="nil"/>
              <w:bottom w:val="single" w:sz="4" w:space="0" w:color="1A171C"/>
              <w:right w:val="single" w:sz="4" w:space="0" w:color="1A171C"/>
            </w:tcBorders>
            <w:vAlign w:val="center"/>
          </w:tcPr>
          <w:p w14:paraId="670287C4" w14:textId="10B76EBF" w:rsidR="00FE3E96" w:rsidRPr="004B56A9" w:rsidRDefault="007F33DF" w:rsidP="00BA3A8B">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14:paraId="26F775C1" w14:textId="6A8025D2" w:rsidR="00B52DAF" w:rsidRPr="004B56A9" w:rsidRDefault="00B52DAF"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Capitale iniziale</w:t>
            </w:r>
          </w:p>
          <w:p w14:paraId="07D3C8FB" w14:textId="18360E65" w:rsidR="00FE3E96" w:rsidRPr="004B56A9"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12</w:t>
            </w:r>
            <w:proofErr w:type="gramEnd"/>
            <w:r w:rsidRPr="004B56A9">
              <w:rPr>
                <w:rFonts w:ascii="Times New Roman" w:hAnsi="Times New Roman"/>
                <w:color w:val="000000" w:themeColor="text1"/>
                <w:spacing w:val="-2"/>
                <w:w w:val="95"/>
                <w:sz w:val="20"/>
              </w:rPr>
              <w:t xml:space="preserve"> e articoli da 28 a 31 della direttiva 2013/36/UE; articolo 93 del regolamento (UE) n. 575/2013</w:t>
            </w:r>
          </w:p>
          <w:p w14:paraId="671F4EC1" w14:textId="55E4D531" w:rsidR="00FE3E96" w:rsidRPr="004B56A9" w:rsidRDefault="00FE3E96" w:rsidP="00B525EC">
            <w:pPr>
              <w:pStyle w:val="TableParagraph"/>
              <w:spacing w:before="108"/>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L’ammontare del capitale iniziale richiesto come condizione sine qua non per autorizzare un ente a iniziare l’attività.</w:t>
            </w:r>
            <w:proofErr w:type="gramEnd"/>
          </w:p>
        </w:tc>
      </w:tr>
      <w:tr w:rsidR="00D22EB0" w:rsidRPr="004B56A9" w14:paraId="3F12B761" w14:textId="77777777" w:rsidTr="00E54104">
        <w:tc>
          <w:tcPr>
            <w:tcW w:w="749" w:type="dxa"/>
            <w:tcBorders>
              <w:top w:val="single" w:sz="4" w:space="0" w:color="1A171C"/>
              <w:left w:val="nil"/>
              <w:bottom w:val="single" w:sz="4" w:space="0" w:color="1A171C"/>
              <w:right w:val="single" w:sz="4" w:space="0" w:color="1A171C"/>
            </w:tcBorders>
            <w:vAlign w:val="center"/>
          </w:tcPr>
          <w:p w14:paraId="3700B38D" w14:textId="2054F13A" w:rsidR="00FE3E96" w:rsidRPr="004B56A9" w:rsidRDefault="007F33DF" w:rsidP="00BA3A8B">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14:paraId="0575C2BC" w14:textId="53DF55D3" w:rsidR="00FE3E96" w:rsidRPr="004B56A9" w:rsidRDefault="00FE3E96"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Requisito di coefficiente di leva finanziaria</w:t>
            </w:r>
          </w:p>
          <w:p w14:paraId="5036F4A3" w14:textId="488100A0" w:rsidR="00FE3E96" w:rsidRPr="004B56A9"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requisito di coefficiente di leva finanziaria applicabile all’entità o al gruppo, espresso in percentuale dell’esposizione complessiva de</w:t>
            </w:r>
            <w:proofErr w:type="gramEnd"/>
            <w:r w:rsidRPr="004B56A9">
              <w:rPr>
                <w:rFonts w:ascii="Times New Roman" w:hAnsi="Times New Roman"/>
                <w:color w:val="000000" w:themeColor="text1"/>
                <w:spacing w:val="-2"/>
                <w:w w:val="95"/>
                <w:sz w:val="20"/>
              </w:rPr>
              <w:t>l coefficiente di leva finanziaria. Se non vige alcun obbligo formale, le entità non compilano questa cella.</w:t>
            </w:r>
          </w:p>
          <w:p w14:paraId="30F4EC1C" w14:textId="72929517" w:rsidR="00A20924" w:rsidRPr="004B56A9" w:rsidRDefault="00A20924" w:rsidP="00B525EC">
            <w:pPr>
              <w:pStyle w:val="TableParagraph"/>
              <w:spacing w:before="108"/>
              <w:jc w:val="both"/>
              <w:rPr>
                <w:rFonts w:ascii="Times New Roman"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L’esposizione complessiva del coefficiente di leva finanziaria è definita come per COREP (LR): {C 47.00;290;010</w:t>
            </w:r>
            <w:proofErr w:type="gramStart"/>
            <w:r w:rsidRPr="004B56A9">
              <w:rPr>
                <w:rFonts w:ascii="Times New Roman" w:hAnsi="Times New Roman"/>
                <w:color w:val="000000" w:themeColor="text1"/>
                <w:spacing w:val="-2"/>
                <w:w w:val="95"/>
                <w:sz w:val="20"/>
              </w:rPr>
              <w:t>}</w:t>
            </w:r>
            <w:proofErr w:type="gramEnd"/>
          </w:p>
        </w:tc>
      </w:tr>
      <w:tr w:rsidR="00D22EB0" w:rsidRPr="004B56A9" w14:paraId="29458042" w14:textId="77777777" w:rsidTr="00E54104">
        <w:tc>
          <w:tcPr>
            <w:tcW w:w="749" w:type="dxa"/>
            <w:tcBorders>
              <w:top w:val="single" w:sz="4" w:space="0" w:color="1A171C"/>
              <w:left w:val="nil"/>
              <w:bottom w:val="single" w:sz="4" w:space="0" w:color="1A171C"/>
              <w:right w:val="single" w:sz="4" w:space="0" w:color="1A171C"/>
            </w:tcBorders>
            <w:vAlign w:val="center"/>
          </w:tcPr>
          <w:p w14:paraId="70532F8C" w14:textId="1DD130AC" w:rsidR="00517EFA" w:rsidRPr="004B56A9" w:rsidRDefault="009968AE"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0300</w:t>
            </w:r>
          </w:p>
        </w:tc>
        <w:tc>
          <w:tcPr>
            <w:tcW w:w="8277" w:type="dxa"/>
            <w:tcBorders>
              <w:top w:val="single" w:sz="4" w:space="0" w:color="1A171C"/>
              <w:left w:val="single" w:sz="4" w:space="0" w:color="1A171C"/>
              <w:bottom w:val="single" w:sz="4" w:space="0" w:color="1A171C"/>
              <w:right w:val="nil"/>
            </w:tcBorders>
            <w:vAlign w:val="center"/>
          </w:tcPr>
          <w:p w14:paraId="0904A797" w14:textId="56319EC6" w:rsidR="00517EFA" w:rsidRPr="004B56A9" w:rsidRDefault="009968AE"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Coefficiente di requisito patrimoniale complessivo SREP (TSCR) </w:t>
            </w:r>
          </w:p>
          <w:p w14:paraId="48A503BF" w14:textId="6B85ABB1" w:rsidR="002F55A8"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03.00;130;010}</w:t>
            </w:r>
          </w:p>
          <w:p w14:paraId="43B0309C" w14:textId="77777777" w:rsidR="00517EFA" w:rsidRPr="004B56A9" w:rsidRDefault="00517EFA" w:rsidP="0073582D">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59459980" w14:textId="6CD2FD40" w:rsidR="00517EFA" w:rsidRPr="004B56A9" w:rsidRDefault="00517EFA" w:rsidP="0073582D">
            <w:pPr>
              <w:pStyle w:val="InstructionsText"/>
              <w:ind w:left="789" w:hanging="567"/>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di capitale totale (8%) quale specificato all’articolo 92, paragrafo 1, lettera c), del regolamento (UE) n. 575/2013; </w:t>
            </w:r>
          </w:p>
          <w:p w14:paraId="5E1EB29E" w14:textId="77777777" w:rsidR="00517EFA" w:rsidRPr="004B56A9" w:rsidRDefault="00517EFA" w:rsidP="0073582D">
            <w:pPr>
              <w:pStyle w:val="InstructionsText"/>
              <w:ind w:left="789" w:hanging="567"/>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di requisiti aggiuntivi di fondi propri (requisiti del pilastro 2 – P2R) determinato secondo i criteri di cui agli Orientamenti ABE su procedure e metodologie comuni per il processo di revisione e valutazione prudenziale e le prove di stress prudenziali (</w:t>
            </w:r>
            <w:r w:rsidRPr="004B56A9">
              <w:rPr>
                <w:rFonts w:ascii="Times New Roman" w:hAnsi="Times New Roman"/>
                <w:i/>
                <w:color w:val="000000" w:themeColor="text1"/>
                <w:sz w:val="20"/>
              </w:rPr>
              <w:t>EBA Guidelines on common procedures and methodologies for the supervisory review and evaluation process and supervisory stress testing</w:t>
            </w:r>
            <w:r w:rsidRPr="004B56A9">
              <w:rPr>
                <w:rFonts w:ascii="Times New Roman" w:hAnsi="Times New Roman"/>
                <w:color w:val="000000" w:themeColor="text1"/>
                <w:sz w:val="20"/>
              </w:rPr>
              <w:t xml:space="preserve"> - EBA SREP GL).</w:t>
            </w:r>
          </w:p>
          <w:p w14:paraId="5AB73F8C" w14:textId="77777777" w:rsidR="00517EFA" w:rsidRPr="004B56A9" w:rsidRDefault="00517EFA" w:rsidP="0073582D">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Questo elemento rispecchia il coefficiente di requisito patrimoniale complessivo SREP (TSCR) secondo quanto comunicato all’ente dall’autorità competente. </w:t>
            </w: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TSCR è definito nella sezione 1.2 degli EBA SREP GL.</w:t>
            </w:r>
          </w:p>
          <w:p w14:paraId="4253F0B1" w14:textId="40E92F33" w:rsidR="00517EFA" w:rsidRPr="004B56A9" w:rsidRDefault="00517EFA"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z w:val="20"/>
              </w:rPr>
              <w:t xml:space="preserve">Se l’autorità competente non ha comunicato requisiti aggiuntivi di fondi </w:t>
            </w:r>
            <w:proofErr w:type="gramStart"/>
            <w:r w:rsidRPr="004B56A9">
              <w:rPr>
                <w:rFonts w:ascii="Times New Roman" w:hAnsi="Times New Roman"/>
                <w:color w:val="000000" w:themeColor="text1"/>
                <w:sz w:val="20"/>
              </w:rPr>
              <w:t>propri</w:t>
            </w:r>
            <w:proofErr w:type="gramEnd"/>
            <w:r w:rsidRPr="004B56A9">
              <w:rPr>
                <w:rFonts w:ascii="Times New Roman" w:hAnsi="Times New Roman"/>
                <w:color w:val="000000" w:themeColor="text1"/>
                <w:sz w:val="20"/>
              </w:rPr>
              <w:t xml:space="preserve"> deve essere segnalato solo l’elemento di cui al punto i).</w:t>
            </w:r>
          </w:p>
        </w:tc>
      </w:tr>
      <w:tr w:rsidR="00D22EB0" w:rsidRPr="004B56A9" w14:paraId="150C048F" w14:textId="77777777" w:rsidTr="00E54104">
        <w:tc>
          <w:tcPr>
            <w:tcW w:w="749" w:type="dxa"/>
            <w:tcBorders>
              <w:top w:val="single" w:sz="4" w:space="0" w:color="1A171C"/>
              <w:left w:val="nil"/>
              <w:bottom w:val="single" w:sz="4" w:space="0" w:color="1A171C"/>
              <w:right w:val="single" w:sz="4" w:space="0" w:color="1A171C"/>
            </w:tcBorders>
            <w:vAlign w:val="center"/>
          </w:tcPr>
          <w:p w14:paraId="1294B8EA" w14:textId="51F969E4" w:rsidR="00122E1B" w:rsidRPr="004B56A9" w:rsidRDefault="0060078E" w:rsidP="009D7DA8">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14:paraId="6E869297" w14:textId="6B818D7D" w:rsidR="00122E1B" w:rsidRPr="004B56A9" w:rsidRDefault="00122E1B"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TSCR: da costituire con capitale primario di classe </w:t>
            </w:r>
            <w:proofErr w:type="gramStart"/>
            <w:r w:rsidRPr="004B56A9">
              <w:rPr>
                <w:rFonts w:ascii="Times New Roman" w:hAnsi="Times New Roman"/>
                <w:b/>
                <w:color w:val="000000" w:themeColor="text1"/>
                <w:sz w:val="20"/>
              </w:rPr>
              <w:t>1</w:t>
            </w:r>
            <w:proofErr w:type="gramEnd"/>
            <w:r w:rsidRPr="004B56A9">
              <w:rPr>
                <w:rFonts w:ascii="Times New Roman" w:hAnsi="Times New Roman"/>
                <w:b/>
                <w:color w:val="000000" w:themeColor="text1"/>
                <w:sz w:val="20"/>
              </w:rPr>
              <w:t xml:space="preserve"> </w:t>
            </w:r>
          </w:p>
          <w:p w14:paraId="641DDF08" w14:textId="0D36E12C" w:rsidR="002F55A8"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03.00;140;010}</w:t>
            </w:r>
          </w:p>
          <w:p w14:paraId="3BB2A3CA" w14:textId="77777777" w:rsidR="00122E1B" w:rsidRPr="004B56A9" w:rsidRDefault="00122E1B" w:rsidP="00B525EC">
            <w:pPr>
              <w:pStyle w:val="TableParagraph"/>
              <w:spacing w:before="108"/>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4F425CD1" w14:textId="1A804604" w:rsidR="00122E1B" w:rsidRPr="004B56A9" w:rsidRDefault="00122E1B" w:rsidP="00B525EC">
            <w:pPr>
              <w:pStyle w:val="TableParagraph"/>
              <w:spacing w:before="108"/>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i)</w:t>
            </w:r>
            <w:r w:rsidRPr="004B56A9">
              <w:tab/>
            </w:r>
            <w:proofErr w:type="gramStart"/>
            <w:r w:rsidRPr="004B56A9">
              <w:rPr>
                <w:rFonts w:ascii="Times New Roman" w:hAnsi="Times New Roman"/>
                <w:color w:val="000000" w:themeColor="text1"/>
                <w:sz w:val="20"/>
              </w:rPr>
              <w:t>i</w:t>
            </w:r>
            <w:proofErr w:type="gramEnd"/>
            <w:r w:rsidRPr="004B56A9">
              <w:rPr>
                <w:rFonts w:ascii="Times New Roman" w:hAnsi="Times New Roman"/>
                <w:color w:val="000000" w:themeColor="text1"/>
                <w:sz w:val="20"/>
              </w:rPr>
              <w:t>l coefficiente di capitale primario di classe 1 (4,5%) ai sensi dell’articolo 92, paragrafo 1, lettera a), del regolamento (UE) n. 575/2013;</w:t>
            </w:r>
          </w:p>
          <w:p w14:paraId="3FEF8F00" w14:textId="20332443" w:rsidR="00122E1B" w:rsidRPr="004B56A9" w:rsidRDefault="00122E1B" w:rsidP="00B525EC">
            <w:pPr>
              <w:pStyle w:val="TableParagraph"/>
              <w:spacing w:before="108"/>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ii)</w:t>
            </w:r>
            <w:r w:rsidRPr="004B56A9">
              <w:tab/>
            </w:r>
            <w:proofErr w:type="gramStart"/>
            <w:r w:rsidRPr="004B56A9">
              <w:rPr>
                <w:rFonts w:ascii="Times New Roman" w:hAnsi="Times New Roman"/>
                <w:color w:val="000000" w:themeColor="text1"/>
                <w:sz w:val="20"/>
              </w:rPr>
              <w:t>l</w:t>
            </w:r>
            <w:proofErr w:type="gramEnd"/>
            <w:r w:rsidRPr="004B56A9">
              <w:rPr>
                <w:rFonts w:ascii="Times New Roman" w:hAnsi="Times New Roman"/>
                <w:color w:val="000000" w:themeColor="text1"/>
                <w:sz w:val="20"/>
              </w:rPr>
              <w:t xml:space="preserve">a parte del coefficiente P2R, di cui al punto ii) della riga </w:t>
            </w:r>
            <w:r w:rsidR="00FB390B" w:rsidRPr="004B56A9">
              <w:rPr>
                <w:rFonts w:ascii="Times New Roman" w:hAnsi="Times New Roman"/>
                <w:color w:val="000000" w:themeColor="text1"/>
                <w:sz w:val="20"/>
              </w:rPr>
              <w:t>300</w:t>
            </w:r>
            <w:r w:rsidRPr="004B56A9">
              <w:rPr>
                <w:rFonts w:ascii="Times New Roman" w:hAnsi="Times New Roman"/>
                <w:color w:val="000000" w:themeColor="text1"/>
                <w:sz w:val="20"/>
              </w:rPr>
              <w:t>, che l’autorità competente impone di detenere sotto forma di capitale primario di classe 1.</w:t>
            </w:r>
          </w:p>
          <w:p w14:paraId="644DBB01" w14:textId="77777777" w:rsidR="00122E1B" w:rsidRPr="004B56A9" w:rsidRDefault="00122E1B"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z w:val="20"/>
              </w:rPr>
              <w:t xml:space="preserve">Se l’autorità competente non ha comunicato requisiti aggiuntivi di fondi propri, da detenere sotto forma di capitale primario di classe </w:t>
            </w:r>
            <w:proofErr w:type="gramStart"/>
            <w:r w:rsidRPr="004B56A9">
              <w:rPr>
                <w:rFonts w:ascii="Times New Roman" w:hAnsi="Times New Roman"/>
                <w:color w:val="000000" w:themeColor="text1"/>
                <w:sz w:val="20"/>
              </w:rPr>
              <w:t>1</w:t>
            </w:r>
            <w:proofErr w:type="gramEnd"/>
            <w:r w:rsidRPr="004B56A9">
              <w:rPr>
                <w:rFonts w:ascii="Times New Roman" w:hAnsi="Times New Roman"/>
                <w:color w:val="000000" w:themeColor="text1"/>
                <w:sz w:val="20"/>
              </w:rPr>
              <w:t>, deve essere segnalato solo l’elemento di cui al punto i).</w:t>
            </w:r>
          </w:p>
        </w:tc>
      </w:tr>
      <w:tr w:rsidR="00D22EB0" w:rsidRPr="004B56A9" w14:paraId="447BABF6" w14:textId="77777777" w:rsidTr="00E54104">
        <w:tc>
          <w:tcPr>
            <w:tcW w:w="749" w:type="dxa"/>
            <w:tcBorders>
              <w:top w:val="single" w:sz="4" w:space="0" w:color="1A171C"/>
              <w:left w:val="nil"/>
              <w:bottom w:val="single" w:sz="4" w:space="0" w:color="1A171C"/>
              <w:right w:val="single" w:sz="4" w:space="0" w:color="1A171C"/>
            </w:tcBorders>
            <w:vAlign w:val="center"/>
          </w:tcPr>
          <w:p w14:paraId="0917AAB5" w14:textId="4D9A987C" w:rsidR="00122E1B" w:rsidRPr="004B56A9" w:rsidRDefault="0060078E" w:rsidP="009D7DA8">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14:paraId="6BFCA38A" w14:textId="77777777" w:rsidR="00122E1B" w:rsidRPr="004B56A9" w:rsidRDefault="00122E1B" w:rsidP="0073582D">
            <w:pPr>
              <w:pStyle w:val="InstructionsText"/>
              <w:rPr>
                <w:rStyle w:val="InstructionsTabelleberschrift"/>
                <w:rFonts w:ascii="Times New Roman" w:hAnsi="Times New Roman"/>
                <w:color w:val="000000" w:themeColor="text1"/>
                <w:szCs w:val="20"/>
                <w:u w:val="none"/>
              </w:rPr>
            </w:pPr>
            <w:r w:rsidRPr="004B56A9">
              <w:rPr>
                <w:rStyle w:val="InstructionsTabelleberschrift"/>
                <w:rFonts w:ascii="Times New Roman" w:hAnsi="Times New Roman"/>
                <w:color w:val="000000" w:themeColor="text1"/>
                <w:u w:val="none"/>
              </w:rPr>
              <w:t xml:space="preserve">TSCR: da costituire con capitale di classe </w:t>
            </w:r>
            <w:proofErr w:type="gramStart"/>
            <w:r w:rsidRPr="004B56A9">
              <w:rPr>
                <w:rStyle w:val="InstructionsTabelleberschrift"/>
                <w:rFonts w:ascii="Times New Roman" w:hAnsi="Times New Roman"/>
                <w:color w:val="000000" w:themeColor="text1"/>
                <w:u w:val="none"/>
              </w:rPr>
              <w:t>1</w:t>
            </w:r>
            <w:proofErr w:type="gramEnd"/>
          </w:p>
          <w:p w14:paraId="19872026" w14:textId="532BAA74" w:rsidR="002F55A8"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03.00;150;010}</w:t>
            </w:r>
          </w:p>
          <w:p w14:paraId="561AD167" w14:textId="77777777" w:rsidR="00122E1B" w:rsidRPr="004B56A9" w:rsidRDefault="00122E1B" w:rsidP="00C80BDE">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5DE04863" w14:textId="2335004D" w:rsidR="00122E1B" w:rsidRPr="004B56A9" w:rsidRDefault="00122E1B" w:rsidP="00715DAB">
            <w:pPr>
              <w:pStyle w:val="InstructionsText"/>
              <w:numPr>
                <w:ilvl w:val="0"/>
                <w:numId w:val="31"/>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di capitale di classe 1 (6%) ai sensi dell’articolo 92, paragrafo 1, lettera b), del regolamento (UE) n. 575/2013;</w:t>
            </w:r>
          </w:p>
          <w:p w14:paraId="0045F45B" w14:textId="0DBAC35D" w:rsidR="00122E1B" w:rsidRPr="004B56A9" w:rsidRDefault="00122E1B" w:rsidP="00715DAB">
            <w:pPr>
              <w:pStyle w:val="InstructionsText"/>
              <w:numPr>
                <w:ilvl w:val="0"/>
                <w:numId w:val="31"/>
              </w:numPr>
              <w:rPr>
                <w:rFonts w:ascii="Times New Roman" w:hAnsi="Times New Roman" w:cs="Times New Roman"/>
                <w:bCs/>
                <w:color w:val="000000" w:themeColor="text1"/>
                <w:sz w:val="20"/>
                <w:szCs w:val="20"/>
                <w:u w:val="single"/>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parte del coefficiente P2R, di cui al punto ii) della riga </w:t>
            </w:r>
            <w:r w:rsidR="00581C3E" w:rsidRPr="004B56A9">
              <w:rPr>
                <w:rFonts w:ascii="Times New Roman" w:hAnsi="Times New Roman"/>
                <w:color w:val="000000" w:themeColor="text1"/>
                <w:sz w:val="20"/>
              </w:rPr>
              <w:t>300</w:t>
            </w:r>
            <w:r w:rsidRPr="004B56A9">
              <w:rPr>
                <w:rFonts w:ascii="Times New Roman" w:hAnsi="Times New Roman"/>
                <w:color w:val="000000" w:themeColor="text1"/>
                <w:sz w:val="20"/>
              </w:rPr>
              <w:t>, che l’autorità competente impone di detenere sotto forma di capitale di classe 1.</w:t>
            </w:r>
          </w:p>
          <w:p w14:paraId="16BBFA3D" w14:textId="77777777" w:rsidR="00122E1B" w:rsidRPr="004B56A9" w:rsidRDefault="00122E1B"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z w:val="20"/>
              </w:rPr>
              <w:t xml:space="preserve">Se l’autorità competente non ha comunicato requisiti aggiuntivi di fondi propri, da detenere sotto forma di capitale di classe </w:t>
            </w:r>
            <w:proofErr w:type="gramStart"/>
            <w:r w:rsidRPr="004B56A9">
              <w:rPr>
                <w:rFonts w:ascii="Times New Roman" w:hAnsi="Times New Roman"/>
                <w:color w:val="000000" w:themeColor="text1"/>
                <w:sz w:val="20"/>
              </w:rPr>
              <w:t>1</w:t>
            </w:r>
            <w:proofErr w:type="gramEnd"/>
            <w:r w:rsidRPr="004B56A9">
              <w:rPr>
                <w:rFonts w:ascii="Times New Roman" w:hAnsi="Times New Roman"/>
                <w:color w:val="000000" w:themeColor="text1"/>
                <w:sz w:val="20"/>
              </w:rPr>
              <w:t>, deve essere segnalato solo l’elemento di cui al punto i).</w:t>
            </w:r>
          </w:p>
        </w:tc>
      </w:tr>
      <w:tr w:rsidR="00D22EB0" w:rsidRPr="004B56A9" w14:paraId="747CBFB1" w14:textId="77777777" w:rsidTr="00E54104">
        <w:tc>
          <w:tcPr>
            <w:tcW w:w="749" w:type="dxa"/>
            <w:tcBorders>
              <w:top w:val="single" w:sz="4" w:space="0" w:color="1A171C"/>
              <w:left w:val="nil"/>
              <w:bottom w:val="single" w:sz="4" w:space="0" w:color="1A171C"/>
              <w:right w:val="single" w:sz="4" w:space="0" w:color="1A171C"/>
            </w:tcBorders>
            <w:vAlign w:val="center"/>
          </w:tcPr>
          <w:p w14:paraId="764CF176" w14:textId="77777777" w:rsidR="00F24B99" w:rsidRPr="004B56A9" w:rsidRDefault="00F24B99" w:rsidP="009D7DA8">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14:paraId="00D821A0" w14:textId="452604EA" w:rsidR="00F24B99" w:rsidRPr="004B56A9" w:rsidRDefault="00F24B99"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Requisito combinato di riserva di capitale</w:t>
            </w:r>
          </w:p>
          <w:p w14:paraId="7E8E9E02" w14:textId="43595DE4" w:rsidR="00F24B99" w:rsidRPr="004B56A9"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128, punto </w:t>
            </w:r>
            <w:proofErr w:type="gramStart"/>
            <w:r w:rsidRPr="004B56A9">
              <w:rPr>
                <w:rFonts w:ascii="Times New Roman" w:hAnsi="Times New Roman"/>
                <w:color w:val="000000" w:themeColor="text1"/>
                <w:spacing w:val="-2"/>
                <w:w w:val="95"/>
                <w:sz w:val="20"/>
              </w:rPr>
              <w:t>6</w:t>
            </w:r>
            <w:proofErr w:type="gramEnd"/>
            <w:r w:rsidRPr="004B56A9">
              <w:rPr>
                <w:rFonts w:ascii="Times New Roman" w:hAnsi="Times New Roman"/>
                <w:color w:val="000000" w:themeColor="text1"/>
                <w:spacing w:val="-2"/>
                <w:w w:val="95"/>
                <w:sz w:val="20"/>
              </w:rPr>
              <w:t>, della direttiva 2013/36/UE</w:t>
            </w:r>
          </w:p>
          <w:p w14:paraId="751C48A6" w14:textId="77777777" w:rsidR="005337DD" w:rsidRPr="004B56A9"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04.00;740;010}</w:t>
            </w:r>
          </w:p>
          <w:p w14:paraId="4050BD58" w14:textId="0031106A" w:rsidR="00F24B99" w:rsidRPr="004B56A9"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4B56A9" w14:paraId="17466ED3" w14:textId="77777777" w:rsidTr="00E54104">
        <w:tc>
          <w:tcPr>
            <w:tcW w:w="749" w:type="dxa"/>
            <w:tcBorders>
              <w:top w:val="single" w:sz="4" w:space="0" w:color="1A171C"/>
              <w:left w:val="nil"/>
              <w:bottom w:val="single" w:sz="4" w:space="0" w:color="1A171C"/>
              <w:right w:val="single" w:sz="4" w:space="0" w:color="1A171C"/>
            </w:tcBorders>
            <w:vAlign w:val="center"/>
          </w:tcPr>
          <w:p w14:paraId="07A011EB" w14:textId="77777777" w:rsidR="00046CD0" w:rsidRPr="004B56A9" w:rsidRDefault="00046CD0" w:rsidP="009D7DA8">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14:paraId="22DC2B08" w14:textId="77777777" w:rsidR="00046CD0" w:rsidRPr="004B56A9" w:rsidRDefault="00046CD0"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Riserva di conservazione del capitale</w:t>
            </w:r>
          </w:p>
          <w:p w14:paraId="736B9065" w14:textId="5673DE73" w:rsidR="00046CD0" w:rsidRPr="004B56A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128, punto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e articolo 129 della direttiva 2013/36/UE</w:t>
            </w:r>
          </w:p>
          <w:p w14:paraId="1F6EE5D3" w14:textId="5C424D4D" w:rsidR="005337DD" w:rsidRPr="004B56A9" w:rsidRDefault="005337DD" w:rsidP="00B525EC">
            <w:pPr>
              <w:pStyle w:val="TableParagraph"/>
              <w:spacing w:before="108"/>
              <w:jc w:val="both"/>
              <w:rPr>
                <w:rFonts w:ascii="Times New Roman" w:hAnsi="Times New Roman" w:cs="Times New Roman"/>
                <w:color w:val="000000" w:themeColor="text1"/>
                <w:sz w:val="20"/>
                <w:szCs w:val="20"/>
              </w:rPr>
            </w:pPr>
            <w:r w:rsidRPr="004B56A9">
              <w:rPr>
                <w:rFonts w:ascii="Times New Roman" w:hAnsi="Times New Roman"/>
                <w:color w:val="000000" w:themeColor="text1"/>
                <w:spacing w:val="-2"/>
                <w:w w:val="95"/>
                <w:sz w:val="20"/>
              </w:rPr>
              <w:t>COREP (OF): {C 04.00;750;010}</w:t>
            </w:r>
            <w:proofErr w:type="gramStart"/>
            <w:r w:rsidRPr="004B56A9">
              <w:rPr>
                <w:rFonts w:ascii="Times New Roman" w:hAnsi="Times New Roman"/>
                <w:color w:val="000000" w:themeColor="text1"/>
                <w:spacing w:val="-2"/>
                <w:w w:val="95"/>
                <w:sz w:val="20"/>
              </w:rPr>
              <w:t>).</w:t>
            </w:r>
            <w:proofErr w:type="gramEnd"/>
          </w:p>
          <w:p w14:paraId="5CB738DF" w14:textId="4E25E92B" w:rsidR="00413A0F" w:rsidRPr="004B56A9"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 xml:space="preserve">Conformemente all’articolo 129, paragrafo </w:t>
            </w:r>
            <w:proofErr w:type="gramStart"/>
            <w:r w:rsidRPr="004B56A9">
              <w:rPr>
                <w:rFonts w:ascii="Times New Roman" w:hAnsi="Times New Roman"/>
                <w:color w:val="000000" w:themeColor="text1"/>
                <w:sz w:val="20"/>
              </w:rPr>
              <w:t>1</w:t>
            </w:r>
            <w:proofErr w:type="gramEnd"/>
            <w:r w:rsidRPr="004B56A9">
              <w:rPr>
                <w:rFonts w:ascii="Times New Roman" w:hAnsi="Times New Roman"/>
                <w:color w:val="000000" w:themeColor="text1"/>
                <w:sz w:val="20"/>
              </w:rPr>
              <w:t xml:space="preserve">, la riserva di conservazione del capitale è un importo aggiuntivo del capitale primario di classe 1. Dato che il coefficiente della riserva di conservazione </w:t>
            </w:r>
            <w:proofErr w:type="gramStart"/>
            <w:r w:rsidRPr="004B56A9">
              <w:rPr>
                <w:rFonts w:ascii="Times New Roman" w:hAnsi="Times New Roman"/>
                <w:color w:val="000000" w:themeColor="text1"/>
                <w:sz w:val="20"/>
              </w:rPr>
              <w:t>del</w:t>
            </w:r>
            <w:proofErr w:type="gramEnd"/>
            <w:r w:rsidRPr="004B56A9">
              <w:rPr>
                <w:rFonts w:ascii="Times New Roman" w:hAnsi="Times New Roman"/>
                <w:color w:val="000000" w:themeColor="text1"/>
                <w:sz w:val="20"/>
              </w:rPr>
              <w:t xml:space="preserve"> </w:t>
            </w:r>
            <w:r w:rsidRPr="004B56A9">
              <w:rPr>
                <w:rFonts w:ascii="Times New Roman" w:hAnsi="Times New Roman"/>
                <w:color w:val="000000" w:themeColor="text1"/>
                <w:sz w:val="20"/>
              </w:rPr>
              <w:lastRenderedPageBreak/>
              <w:t>capitale del 2,5% è fisso, in questa cella è segnalato un importo.</w:t>
            </w:r>
          </w:p>
          <w:p w14:paraId="008F5F44" w14:textId="6402DDE8" w:rsidR="00046CD0" w:rsidRPr="004B56A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4B56A9" w14:paraId="13070489" w14:textId="77777777" w:rsidTr="00E54104">
        <w:tc>
          <w:tcPr>
            <w:tcW w:w="749" w:type="dxa"/>
            <w:tcBorders>
              <w:top w:val="single" w:sz="4" w:space="0" w:color="1A171C"/>
              <w:left w:val="nil"/>
              <w:bottom w:val="single" w:sz="4" w:space="0" w:color="1A171C"/>
              <w:right w:val="single" w:sz="4" w:space="0" w:color="1A171C"/>
            </w:tcBorders>
            <w:vAlign w:val="center"/>
          </w:tcPr>
          <w:p w14:paraId="6BC22E4E" w14:textId="77777777" w:rsidR="005337DD" w:rsidRPr="004B56A9" w:rsidRDefault="005337DD" w:rsidP="008C24D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14:paraId="13774E7D" w14:textId="1C2BB406" w:rsidR="005337DD" w:rsidRPr="004B56A9" w:rsidRDefault="005337DD" w:rsidP="00B525EC">
            <w:pPr>
              <w:rPr>
                <w:rStyle w:val="InstructionsTabelleberschrift"/>
                <w:rFonts w:ascii="Times New Roman" w:hAnsi="Times New Roman"/>
                <w:color w:val="000000" w:themeColor="text1"/>
                <w:szCs w:val="20"/>
                <w:u w:val="none"/>
              </w:rPr>
            </w:pPr>
            <w:r w:rsidRPr="004B56A9">
              <w:rPr>
                <w:rStyle w:val="InstructionsTabelleberschrift"/>
                <w:rFonts w:ascii="Times New Roman" w:hAnsi="Times New Roman"/>
                <w:color w:val="000000" w:themeColor="text1"/>
                <w:u w:val="none"/>
              </w:rPr>
              <w:t xml:space="preserve">Riserva di conservazione dovuta al rischio macroprudenziale o sistemico individuato a livello di uno Stato </w:t>
            </w:r>
            <w:proofErr w:type="gramStart"/>
            <w:r w:rsidRPr="004B56A9">
              <w:rPr>
                <w:rStyle w:val="InstructionsTabelleberschrift"/>
                <w:rFonts w:ascii="Times New Roman" w:hAnsi="Times New Roman"/>
                <w:color w:val="000000" w:themeColor="text1"/>
                <w:u w:val="none"/>
              </w:rPr>
              <w:t>membro</w:t>
            </w:r>
            <w:proofErr w:type="gramEnd"/>
          </w:p>
          <w:p w14:paraId="53A5F975" w14:textId="77777777" w:rsidR="005337DD" w:rsidRPr="004B56A9" w:rsidRDefault="005337DD" w:rsidP="00B525EC">
            <w:pPr>
              <w:rPr>
                <w:rStyle w:val="InstructionsTabelleberschrift"/>
                <w:rFonts w:ascii="Times New Roman" w:hAnsi="Times New Roman"/>
                <w:color w:val="000000" w:themeColor="text1"/>
                <w:szCs w:val="20"/>
                <w:u w:val="none"/>
              </w:rPr>
            </w:pPr>
          </w:p>
          <w:p w14:paraId="31F8EA11" w14:textId="6A385886" w:rsidR="005337DD" w:rsidRPr="004B56A9" w:rsidRDefault="005337DD" w:rsidP="00B525EC">
            <w:pPr>
              <w:rPr>
                <w:rStyle w:val="InstructionsTabelleberschrift"/>
                <w:rFonts w:ascii="Times New Roman" w:hAnsi="Times New Roman"/>
                <w:b w:val="0"/>
                <w:color w:val="000000" w:themeColor="text1"/>
                <w:szCs w:val="20"/>
                <w:u w:val="none"/>
              </w:rPr>
            </w:pPr>
            <w:r w:rsidRPr="004B56A9">
              <w:rPr>
                <w:rStyle w:val="InstructionsTabelleberschrift"/>
                <w:rFonts w:ascii="Times New Roman" w:hAnsi="Times New Roman"/>
                <w:b w:val="0"/>
                <w:color w:val="000000" w:themeColor="text1"/>
                <w:u w:val="none"/>
              </w:rPr>
              <w:t xml:space="preserve">Articolo 458, paragrafo </w:t>
            </w:r>
            <w:proofErr w:type="gramStart"/>
            <w:r w:rsidRPr="004B56A9">
              <w:rPr>
                <w:rStyle w:val="InstructionsTabelleberschrift"/>
                <w:rFonts w:ascii="Times New Roman" w:hAnsi="Times New Roman"/>
                <w:b w:val="0"/>
                <w:color w:val="000000" w:themeColor="text1"/>
                <w:u w:val="none"/>
              </w:rPr>
              <w:t>2</w:t>
            </w:r>
            <w:proofErr w:type="gramEnd"/>
            <w:r w:rsidRPr="004B56A9">
              <w:rPr>
                <w:rStyle w:val="InstructionsTabelleberschrift"/>
                <w:rFonts w:ascii="Times New Roman" w:hAnsi="Times New Roman"/>
                <w:b w:val="0"/>
                <w:color w:val="000000" w:themeColor="text1"/>
                <w:u w:val="none"/>
              </w:rPr>
              <w:t>, lettera d), punto iv), del regolamento (UE) n. 575/2013</w:t>
            </w:r>
          </w:p>
          <w:p w14:paraId="5680C166" w14:textId="5783B996" w:rsidR="0039780B" w:rsidRPr="004B56A9"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4B56A9">
              <w:rPr>
                <w:rFonts w:ascii="Times New Roman" w:hAnsi="Times New Roman"/>
                <w:color w:val="000000" w:themeColor="text1"/>
                <w:spacing w:val="-2"/>
                <w:w w:val="95"/>
                <w:sz w:val="20"/>
              </w:rPr>
              <w:t>COREP (OF): {C 04.00;760;010}</w:t>
            </w:r>
            <w:proofErr w:type="gramStart"/>
            <w:r w:rsidRPr="004B56A9">
              <w:rPr>
                <w:rFonts w:ascii="Times New Roman" w:hAnsi="Times New Roman"/>
                <w:color w:val="000000" w:themeColor="text1"/>
                <w:spacing w:val="-2"/>
                <w:w w:val="95"/>
                <w:sz w:val="20"/>
              </w:rPr>
              <w:t>).</w:t>
            </w:r>
            <w:proofErr w:type="gramEnd"/>
          </w:p>
          <w:p w14:paraId="35384EFD" w14:textId="0EA8F129" w:rsidR="005337DD" w:rsidRPr="004B56A9" w:rsidRDefault="005337DD" w:rsidP="00B525EC">
            <w:pPr>
              <w:pStyle w:val="TableParagraph"/>
              <w:spacing w:before="108"/>
              <w:jc w:val="both"/>
              <w:rPr>
                <w:rFonts w:ascii="Times New Roman" w:hAnsi="Times New Roman" w:cs="Times New Roman"/>
                <w:color w:val="000000" w:themeColor="text1"/>
                <w:sz w:val="20"/>
                <w:szCs w:val="20"/>
              </w:rPr>
            </w:pPr>
            <w:r w:rsidRPr="004B56A9">
              <w:rPr>
                <w:rFonts w:ascii="Times New Roman" w:hAnsi="Times New Roman"/>
                <w:color w:val="000000" w:themeColor="text1"/>
                <w:sz w:val="20"/>
              </w:rPr>
              <w:t>In questa cella è segnalato l’importo della riserva di conservazione dovuta al rischio macroprudenziale o sistemico individuato a livello di uno Stato membro che può essere richiesta conformemente all'articolo 458 del regolamento (UE) n. 575/2013, in aggiunta alla riserva di conservazione del capitale.</w:t>
            </w:r>
          </w:p>
          <w:p w14:paraId="76F9EEE1" w14:textId="3D0B509D" w:rsidR="002F55A8" w:rsidRPr="004B56A9" w:rsidRDefault="002F55A8" w:rsidP="00B525EC">
            <w:pPr>
              <w:pStyle w:val="TableParagraph"/>
              <w:spacing w:before="108"/>
              <w:jc w:val="both"/>
              <w:rPr>
                <w:rFonts w:ascii="Times New Roman" w:hAnsi="Times New Roman" w:cs="Times New Roman"/>
                <w:color w:val="000000" w:themeColor="text1"/>
                <w:sz w:val="20"/>
                <w:szCs w:val="20"/>
              </w:rPr>
            </w:pPr>
            <w:r w:rsidRPr="004B56A9">
              <w:rPr>
                <w:rFonts w:ascii="Times New Roman" w:hAnsi="Times New Roman"/>
                <w:color w:val="000000" w:themeColor="text1"/>
                <w:sz w:val="20"/>
              </w:rPr>
              <w:t>L’importo indicato rappresenta l’</w:t>
            </w:r>
            <w:proofErr w:type="gramStart"/>
            <w:r w:rsidRPr="004B56A9">
              <w:rPr>
                <w:rFonts w:ascii="Times New Roman" w:hAnsi="Times New Roman"/>
                <w:color w:val="000000" w:themeColor="text1"/>
                <w:sz w:val="20"/>
              </w:rPr>
              <w:t>importo</w:t>
            </w:r>
            <w:proofErr w:type="gramEnd"/>
            <w:r w:rsidRPr="004B56A9">
              <w:rPr>
                <w:rFonts w:ascii="Times New Roman" w:hAnsi="Times New Roman"/>
                <w:color w:val="000000" w:themeColor="text1"/>
                <w:sz w:val="20"/>
              </w:rPr>
              <w:t xml:space="preserve"> dei fondi propri necessari per soddisfare i rispettivi requisiti di riserva di capitale alla data di riferimento per le segnalazioni.</w:t>
            </w:r>
          </w:p>
          <w:p w14:paraId="4C3B1E52" w14:textId="77777777" w:rsidR="005337DD" w:rsidRPr="004B56A9"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4B56A9" w14:paraId="0D7BEB6F" w14:textId="77777777" w:rsidTr="00E54104">
        <w:tc>
          <w:tcPr>
            <w:tcW w:w="749" w:type="dxa"/>
            <w:tcBorders>
              <w:top w:val="single" w:sz="4" w:space="0" w:color="1A171C"/>
              <w:left w:val="nil"/>
              <w:bottom w:val="single" w:sz="4" w:space="0" w:color="1A171C"/>
              <w:right w:val="single" w:sz="4" w:space="0" w:color="1A171C"/>
            </w:tcBorders>
            <w:vAlign w:val="center"/>
          </w:tcPr>
          <w:p w14:paraId="58666FE3" w14:textId="37DE94EB" w:rsidR="001F7941" w:rsidRPr="004B56A9" w:rsidRDefault="001F7941" w:rsidP="00A94CD3">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14:paraId="6CDF4EF9" w14:textId="62958D43" w:rsidR="001F7941" w:rsidRPr="004B56A9" w:rsidRDefault="001F7941"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Riserva di capitale </w:t>
            </w:r>
            <w:r w:rsidR="00A23403" w:rsidRPr="004B56A9">
              <w:rPr>
                <w:rFonts w:ascii="Times New Roman" w:hAnsi="Times New Roman"/>
                <w:b/>
                <w:color w:val="000000" w:themeColor="text1"/>
                <w:sz w:val="20"/>
              </w:rPr>
              <w:t>anticiclica specifica dell’</w:t>
            </w:r>
            <w:proofErr w:type="gramStart"/>
            <w:r w:rsidR="00A23403" w:rsidRPr="004B56A9">
              <w:rPr>
                <w:rFonts w:ascii="Times New Roman" w:hAnsi="Times New Roman"/>
                <w:b/>
                <w:color w:val="000000" w:themeColor="text1"/>
                <w:sz w:val="20"/>
              </w:rPr>
              <w:t>ente</w:t>
            </w:r>
            <w:proofErr w:type="gramEnd"/>
          </w:p>
          <w:p w14:paraId="4DE59BCB" w14:textId="0E6DAF91" w:rsidR="001F7941" w:rsidRPr="004B56A9"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128, punto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articolo 130 e articoli da 135 a</w:t>
            </w:r>
            <w:r w:rsidR="00581C3E" w:rsidRPr="004B56A9">
              <w:rPr>
                <w:rFonts w:ascii="Times New Roman" w:hAnsi="Times New Roman"/>
                <w:color w:val="000000" w:themeColor="text1"/>
                <w:spacing w:val="-2"/>
                <w:w w:val="95"/>
                <w:sz w:val="20"/>
              </w:rPr>
              <w:t xml:space="preserve"> 140 della direttiva 2013/36/UE</w:t>
            </w:r>
          </w:p>
          <w:p w14:paraId="2D3431F7" w14:textId="77777777" w:rsidR="005337DD" w:rsidRPr="004B56A9"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(Cfr. COREP (OF): {C 04.00;770;010}).</w:t>
            </w:r>
          </w:p>
          <w:p w14:paraId="3A69F229" w14:textId="7C162580" w:rsidR="001F7941"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L’importo indicato rappresenta l’</w:t>
            </w:r>
            <w:proofErr w:type="gramStart"/>
            <w:r w:rsidRPr="004B56A9">
              <w:rPr>
                <w:rFonts w:ascii="Times New Roman" w:hAnsi="Times New Roman"/>
                <w:color w:val="000000" w:themeColor="text1"/>
                <w:sz w:val="20"/>
              </w:rPr>
              <w:t>importo</w:t>
            </w:r>
            <w:proofErr w:type="gramEnd"/>
            <w:r w:rsidRPr="004B56A9">
              <w:rPr>
                <w:rFonts w:ascii="Times New Roman" w:hAnsi="Times New Roman"/>
                <w:color w:val="000000" w:themeColor="text1"/>
                <w:sz w:val="20"/>
              </w:rPr>
              <w:t xml:space="preserve"> dei fondi propri necessari per soddisfare i rispettivi requisiti di riserva di capitale alla data di riferimento per le segnalazioni.</w:t>
            </w:r>
          </w:p>
        </w:tc>
      </w:tr>
      <w:tr w:rsidR="00D22EB0" w:rsidRPr="004B56A9" w14:paraId="5E6332AF" w14:textId="77777777" w:rsidTr="00E54104">
        <w:tc>
          <w:tcPr>
            <w:tcW w:w="749" w:type="dxa"/>
            <w:tcBorders>
              <w:top w:val="single" w:sz="4" w:space="0" w:color="1A171C"/>
              <w:left w:val="nil"/>
              <w:bottom w:val="single" w:sz="4" w:space="0" w:color="1A171C"/>
              <w:right w:val="single" w:sz="4" w:space="0" w:color="1A171C"/>
            </w:tcBorders>
            <w:vAlign w:val="center"/>
          </w:tcPr>
          <w:p w14:paraId="3500F9B0" w14:textId="188C7277" w:rsidR="00046CD0" w:rsidRPr="004B56A9" w:rsidRDefault="00046CD0" w:rsidP="00A94CD3">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14:paraId="0177B261" w14:textId="77777777" w:rsidR="00046CD0" w:rsidRPr="004B56A9" w:rsidRDefault="00046CD0"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Riserva di capitale a fronte del rischio sistemico</w:t>
            </w:r>
          </w:p>
          <w:p w14:paraId="6802D3C1" w14:textId="233CA973" w:rsidR="00046CD0" w:rsidRPr="004B56A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128, punto </w:t>
            </w:r>
            <w:proofErr w:type="gramStart"/>
            <w:r w:rsidRPr="004B56A9">
              <w:rPr>
                <w:rFonts w:ascii="Times New Roman" w:hAnsi="Times New Roman"/>
                <w:color w:val="000000" w:themeColor="text1"/>
                <w:spacing w:val="-2"/>
                <w:w w:val="95"/>
                <w:sz w:val="20"/>
              </w:rPr>
              <w:t>5</w:t>
            </w:r>
            <w:proofErr w:type="gramEnd"/>
            <w:r w:rsidRPr="004B56A9">
              <w:rPr>
                <w:rFonts w:ascii="Times New Roman" w:hAnsi="Times New Roman"/>
                <w:color w:val="000000" w:themeColor="text1"/>
                <w:spacing w:val="-2"/>
                <w:w w:val="95"/>
                <w:sz w:val="20"/>
              </w:rPr>
              <w:t>, e articoli 133 e 134 della direttiva 2013/36/UE</w:t>
            </w:r>
          </w:p>
          <w:p w14:paraId="4366E253" w14:textId="3EA29CCA" w:rsidR="005337DD" w:rsidRPr="004B56A9"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(Cfr. COREP (OF): {C 04.00;780;010}).</w:t>
            </w:r>
          </w:p>
          <w:p w14:paraId="4F828CDF" w14:textId="476B56B8" w:rsidR="00046CD0"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L’importo indicato rappresenta l’</w:t>
            </w:r>
            <w:proofErr w:type="gramStart"/>
            <w:r w:rsidRPr="004B56A9">
              <w:rPr>
                <w:rFonts w:ascii="Times New Roman" w:hAnsi="Times New Roman"/>
                <w:color w:val="000000" w:themeColor="text1"/>
                <w:sz w:val="20"/>
              </w:rPr>
              <w:t>importo</w:t>
            </w:r>
            <w:proofErr w:type="gramEnd"/>
            <w:r w:rsidRPr="004B56A9">
              <w:rPr>
                <w:rFonts w:ascii="Times New Roman" w:hAnsi="Times New Roman"/>
                <w:color w:val="000000" w:themeColor="text1"/>
                <w:sz w:val="20"/>
              </w:rPr>
              <w:t xml:space="preserve"> dei fondi propri necessari per soddisfare i rispettivi requisiti di riserva di capitale alla data di riferimento per le segnalazioni.</w:t>
            </w:r>
          </w:p>
        </w:tc>
      </w:tr>
      <w:tr w:rsidR="00D22EB0" w:rsidRPr="004B56A9" w14:paraId="08856A61" w14:textId="77777777" w:rsidTr="00E54104">
        <w:tc>
          <w:tcPr>
            <w:tcW w:w="749" w:type="dxa"/>
            <w:tcBorders>
              <w:top w:val="single" w:sz="4" w:space="0" w:color="1A171C"/>
              <w:left w:val="nil"/>
              <w:bottom w:val="single" w:sz="4" w:space="0" w:color="1A171C"/>
              <w:right w:val="single" w:sz="4" w:space="0" w:color="1A171C"/>
            </w:tcBorders>
            <w:vAlign w:val="center"/>
          </w:tcPr>
          <w:p w14:paraId="1E9C3E17" w14:textId="7EF06924" w:rsidR="00046CD0" w:rsidRPr="004B56A9" w:rsidRDefault="00046CD0" w:rsidP="00331567">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14:paraId="6B06BC03" w14:textId="77777777" w:rsidR="00046CD0" w:rsidRPr="004B56A9" w:rsidRDefault="00046CD0"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Riserva degli enti a rilevanza sistemica a livello globale</w:t>
            </w:r>
          </w:p>
          <w:p w14:paraId="7C67C01D" w14:textId="693D5CF1" w:rsidR="00046CD0" w:rsidRPr="004B56A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128, punto </w:t>
            </w:r>
            <w:proofErr w:type="gramStart"/>
            <w:r w:rsidRPr="004B56A9">
              <w:rPr>
                <w:rFonts w:ascii="Times New Roman" w:hAnsi="Times New Roman"/>
                <w:color w:val="000000" w:themeColor="text1"/>
                <w:spacing w:val="-2"/>
                <w:w w:val="95"/>
                <w:sz w:val="20"/>
              </w:rPr>
              <w:t>3</w:t>
            </w:r>
            <w:proofErr w:type="gramEnd"/>
            <w:r w:rsidRPr="004B56A9">
              <w:rPr>
                <w:rFonts w:ascii="Times New Roman" w:hAnsi="Times New Roman"/>
                <w:color w:val="000000" w:themeColor="text1"/>
                <w:spacing w:val="-2"/>
                <w:w w:val="95"/>
                <w:sz w:val="20"/>
              </w:rPr>
              <w:t>, e articolo 131 della direttiva 2013/36/UE</w:t>
            </w:r>
          </w:p>
          <w:p w14:paraId="157C41E7" w14:textId="0F3B935E" w:rsidR="002F55A8"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04.00;800;010}</w:t>
            </w:r>
          </w:p>
          <w:p w14:paraId="334210A5" w14:textId="286EBD61" w:rsidR="00046CD0"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L’importo indicato rappresenta l’</w:t>
            </w:r>
            <w:proofErr w:type="gramStart"/>
            <w:r w:rsidRPr="004B56A9">
              <w:rPr>
                <w:rFonts w:ascii="Times New Roman" w:hAnsi="Times New Roman"/>
                <w:color w:val="000000" w:themeColor="text1"/>
                <w:sz w:val="20"/>
              </w:rPr>
              <w:t>importo</w:t>
            </w:r>
            <w:proofErr w:type="gramEnd"/>
            <w:r w:rsidRPr="004B56A9">
              <w:rPr>
                <w:rFonts w:ascii="Times New Roman" w:hAnsi="Times New Roman"/>
                <w:color w:val="000000" w:themeColor="text1"/>
                <w:sz w:val="20"/>
              </w:rPr>
              <w:t xml:space="preserve"> dei fondi propri necessari per soddisfare i rispettivi requisiti di riserva di capitale alla data di riferimento per le segnalazioni.</w:t>
            </w:r>
          </w:p>
        </w:tc>
      </w:tr>
      <w:tr w:rsidR="00D22EB0" w:rsidRPr="004B56A9" w14:paraId="34EF0124" w14:textId="77777777" w:rsidTr="00E54104">
        <w:tc>
          <w:tcPr>
            <w:tcW w:w="749" w:type="dxa"/>
            <w:tcBorders>
              <w:top w:val="single" w:sz="4" w:space="0" w:color="1A171C"/>
              <w:left w:val="nil"/>
              <w:bottom w:val="single" w:sz="4" w:space="0" w:color="1A171C"/>
              <w:right w:val="single" w:sz="4" w:space="0" w:color="1A171C"/>
            </w:tcBorders>
            <w:vAlign w:val="center"/>
          </w:tcPr>
          <w:p w14:paraId="014EB5F4" w14:textId="7F9453E2" w:rsidR="00046CD0" w:rsidRPr="004B56A9" w:rsidRDefault="00046CD0" w:rsidP="00331567">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14:paraId="43A6F349" w14:textId="77777777" w:rsidR="00046CD0" w:rsidRPr="004B56A9" w:rsidRDefault="00046CD0"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Riserva di altri enti a rilevanza sistemica</w:t>
            </w:r>
          </w:p>
          <w:p w14:paraId="76D00059" w14:textId="6E1F391F" w:rsidR="00046CD0" w:rsidRPr="004B56A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128, punto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e articolo 131 della direttiva 2013/36/UE</w:t>
            </w:r>
          </w:p>
          <w:p w14:paraId="21509079" w14:textId="5E9F661E" w:rsidR="0039780B" w:rsidRPr="004B56A9"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04.00;810;010}</w:t>
            </w:r>
          </w:p>
          <w:p w14:paraId="24AA50EB" w14:textId="451B0C1D" w:rsidR="00046CD0" w:rsidRPr="004B56A9"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L’importo indicato rappresenta l’</w:t>
            </w:r>
            <w:proofErr w:type="gramStart"/>
            <w:r w:rsidRPr="004B56A9">
              <w:rPr>
                <w:rFonts w:ascii="Times New Roman" w:hAnsi="Times New Roman"/>
                <w:color w:val="000000" w:themeColor="text1"/>
                <w:sz w:val="20"/>
              </w:rPr>
              <w:t>importo</w:t>
            </w:r>
            <w:proofErr w:type="gramEnd"/>
            <w:r w:rsidRPr="004B56A9">
              <w:rPr>
                <w:rFonts w:ascii="Times New Roman" w:hAnsi="Times New Roman"/>
                <w:color w:val="000000" w:themeColor="text1"/>
                <w:sz w:val="20"/>
              </w:rPr>
              <w:t xml:space="preserve"> dei fondi propri necessari per soddisfare i rispettivi requisiti di riserva di capitale alla data di riferimento per le segnalazioni.</w:t>
            </w:r>
          </w:p>
        </w:tc>
      </w:tr>
      <w:tr w:rsidR="00D22EB0" w:rsidRPr="004B56A9" w14:paraId="3CD5F3CE" w14:textId="77777777" w:rsidTr="00E54104">
        <w:tc>
          <w:tcPr>
            <w:tcW w:w="749" w:type="dxa"/>
            <w:tcBorders>
              <w:top w:val="single" w:sz="4" w:space="0" w:color="1A171C"/>
              <w:left w:val="nil"/>
              <w:bottom w:val="single" w:sz="4" w:space="0" w:color="1A171C"/>
              <w:right w:val="single" w:sz="4" w:space="0" w:color="1A171C"/>
            </w:tcBorders>
            <w:vAlign w:val="center"/>
          </w:tcPr>
          <w:p w14:paraId="6A2B01B4" w14:textId="6FC6A215" w:rsidR="007E7CB4" w:rsidRPr="004B56A9" w:rsidRDefault="005C514D"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14:paraId="25B310EE" w14:textId="2F4C2239" w:rsidR="007E7CB4" w:rsidRPr="004B56A9" w:rsidRDefault="005C514D" w:rsidP="00EE3EE4">
            <w:pPr>
              <w:pStyle w:val="TableParagraph"/>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Coefficiente di requisito patrimoniale complessivo (OCR)</w:t>
            </w:r>
          </w:p>
          <w:p w14:paraId="4D0B1C21" w14:textId="0604E116" w:rsidR="00B4561B" w:rsidRPr="004B56A9"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03.00;160;010}</w:t>
            </w:r>
          </w:p>
          <w:p w14:paraId="7CD3CB91" w14:textId="77777777" w:rsidR="00B77E4E" w:rsidRPr="004B56A9"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64357DB3" w14:textId="7ADF36E4" w:rsidR="00B77E4E" w:rsidRPr="004B56A9" w:rsidRDefault="00B77E4E" w:rsidP="00715DAB">
            <w:pPr>
              <w:pStyle w:val="InstructionsText"/>
              <w:numPr>
                <w:ilvl w:val="0"/>
                <w:numId w:val="32"/>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TSCR di cui alla riga 0300;</w:t>
            </w:r>
          </w:p>
          <w:p w14:paraId="732417F6" w14:textId="7FCCF63E" w:rsidR="00B77E4E" w:rsidRPr="004B56A9" w:rsidRDefault="00B77E4E" w:rsidP="00715DAB">
            <w:pPr>
              <w:pStyle w:val="InstructionsText"/>
              <w:numPr>
                <w:ilvl w:val="0"/>
                <w:numId w:val="32"/>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nella misura in cui è giuridicamente applicabile, il coefficiente di requisito combinato di riserva di capitale di cui all’articolo 128, punto </w:t>
            </w:r>
            <w:proofErr w:type="gramStart"/>
            <w:r w:rsidRPr="004B56A9">
              <w:rPr>
                <w:rFonts w:ascii="Times New Roman" w:hAnsi="Times New Roman"/>
                <w:color w:val="000000" w:themeColor="text1"/>
                <w:sz w:val="20"/>
              </w:rPr>
              <w:t>6</w:t>
            </w:r>
            <w:proofErr w:type="gramEnd"/>
            <w:r w:rsidRPr="004B56A9">
              <w:rPr>
                <w:rFonts w:ascii="Times New Roman" w:hAnsi="Times New Roman"/>
                <w:color w:val="000000" w:themeColor="text1"/>
                <w:sz w:val="20"/>
              </w:rPr>
              <w:t>, della direttiva 2013/36/UE.</w:t>
            </w:r>
          </w:p>
          <w:p w14:paraId="4AB833B3" w14:textId="67D73034" w:rsidR="00B77E4E" w:rsidRPr="004B56A9" w:rsidRDefault="00B77E4E" w:rsidP="00C80BDE">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Questo elemento rispecchia il coefficiente di requisito patrimoniale complessivo (OCR) come definito nella sezione 1.2 degli orientamenti EBA SREP.</w:t>
            </w:r>
          </w:p>
          <w:p w14:paraId="0EED334E" w14:textId="17A43345" w:rsidR="00B77E4E" w:rsidRPr="004B56A9" w:rsidRDefault="00B77E4E"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z w:val="20"/>
              </w:rPr>
              <w:t>Se non è applicabile nessun requisito di riserva di capitale, deve essere segnalato solo l’elemento di cui al punto i</w:t>
            </w:r>
            <w:proofErr w:type="gramStart"/>
            <w:r w:rsidRPr="004B56A9">
              <w:rPr>
                <w:rFonts w:ascii="Times New Roman" w:hAnsi="Times New Roman"/>
                <w:color w:val="000000" w:themeColor="text1"/>
                <w:sz w:val="20"/>
              </w:rPr>
              <w:t>).</w:t>
            </w:r>
            <w:proofErr w:type="gramEnd"/>
          </w:p>
        </w:tc>
      </w:tr>
      <w:tr w:rsidR="00D22EB0" w:rsidRPr="004B56A9" w14:paraId="53B9218E" w14:textId="77777777" w:rsidTr="00E54104">
        <w:tc>
          <w:tcPr>
            <w:tcW w:w="749" w:type="dxa"/>
            <w:tcBorders>
              <w:top w:val="single" w:sz="4" w:space="0" w:color="1A171C"/>
              <w:left w:val="nil"/>
              <w:bottom w:val="single" w:sz="4" w:space="0" w:color="1A171C"/>
              <w:right w:val="single" w:sz="4" w:space="0" w:color="1A171C"/>
            </w:tcBorders>
            <w:vAlign w:val="center"/>
          </w:tcPr>
          <w:p w14:paraId="427ECCDD" w14:textId="3C6A3BA0" w:rsidR="004E1838" w:rsidRPr="004B56A9" w:rsidRDefault="004E1838"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6D47BB5B" w14:textId="6CEF662B" w:rsidR="004E1838" w:rsidRPr="004B56A9" w:rsidRDefault="004E1838"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OCR: da costituire con capitale primario di classe </w:t>
            </w:r>
            <w:proofErr w:type="gramStart"/>
            <w:r w:rsidRPr="004B56A9">
              <w:rPr>
                <w:rFonts w:ascii="Times New Roman" w:hAnsi="Times New Roman"/>
                <w:b/>
                <w:color w:val="000000" w:themeColor="text1"/>
                <w:sz w:val="20"/>
              </w:rPr>
              <w:t>1</w:t>
            </w:r>
            <w:proofErr w:type="gramEnd"/>
          </w:p>
          <w:p w14:paraId="2847F185" w14:textId="1E0DBFE5" w:rsidR="004E1838" w:rsidRPr="004B56A9"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03.00;170;010}</w:t>
            </w:r>
          </w:p>
          <w:p w14:paraId="47A45D66" w14:textId="77777777" w:rsidR="004E1838" w:rsidRPr="004B56A9" w:rsidRDefault="004E1838" w:rsidP="00C80BDE">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079FDAD0" w14:textId="653F19E5" w:rsidR="004E1838" w:rsidRPr="004B56A9" w:rsidRDefault="004E1838" w:rsidP="00715DAB">
            <w:pPr>
              <w:pStyle w:val="InstructionsText"/>
              <w:numPr>
                <w:ilvl w:val="0"/>
                <w:numId w:val="33"/>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TSCR da costituire con capitale primario di classe 1 di cui alla riga 0310;</w:t>
            </w:r>
          </w:p>
          <w:p w14:paraId="1A9A1F5A" w14:textId="555AE80B" w:rsidR="004E1838" w:rsidRPr="004B56A9"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sidRPr="004B56A9">
              <w:rPr>
                <w:rFonts w:ascii="Times New Roman" w:hAnsi="Times New Roman"/>
                <w:color w:val="000000" w:themeColor="text1"/>
                <w:sz w:val="20"/>
              </w:rPr>
              <w:t xml:space="preserve">nella misura in cui è giuridicamente applicabile, il coefficiente di requisito combinato di riserva di capitale di cui all’articolo 128, punto </w:t>
            </w:r>
            <w:proofErr w:type="gramStart"/>
            <w:r w:rsidRPr="004B56A9">
              <w:rPr>
                <w:rFonts w:ascii="Times New Roman" w:hAnsi="Times New Roman"/>
                <w:color w:val="000000" w:themeColor="text1"/>
                <w:sz w:val="20"/>
              </w:rPr>
              <w:t>6</w:t>
            </w:r>
            <w:proofErr w:type="gramEnd"/>
            <w:r w:rsidRPr="004B56A9">
              <w:rPr>
                <w:rFonts w:ascii="Times New Roman" w:hAnsi="Times New Roman"/>
                <w:color w:val="000000" w:themeColor="text1"/>
                <w:sz w:val="20"/>
              </w:rPr>
              <w:t>, della direttiva 2013/36/UE.</w:t>
            </w:r>
          </w:p>
          <w:p w14:paraId="158613FA" w14:textId="25B1859B" w:rsidR="004E1838" w:rsidRPr="004B56A9" w:rsidRDefault="004E1838"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z w:val="20"/>
              </w:rPr>
              <w:t>Se non è applicabile nessun requisito di riserva di capitale, deve essere segnalato solo l’elemento di cui al punto i</w:t>
            </w:r>
            <w:proofErr w:type="gramStart"/>
            <w:r w:rsidRPr="004B56A9">
              <w:rPr>
                <w:rFonts w:ascii="Times New Roman" w:hAnsi="Times New Roman"/>
                <w:color w:val="000000" w:themeColor="text1"/>
                <w:sz w:val="20"/>
              </w:rPr>
              <w:t>).</w:t>
            </w:r>
            <w:proofErr w:type="gramEnd"/>
          </w:p>
        </w:tc>
      </w:tr>
      <w:tr w:rsidR="00D22EB0" w:rsidRPr="004B56A9" w14:paraId="076F9A22" w14:textId="77777777" w:rsidTr="00E54104">
        <w:tc>
          <w:tcPr>
            <w:tcW w:w="749" w:type="dxa"/>
            <w:tcBorders>
              <w:top w:val="single" w:sz="4" w:space="0" w:color="1A171C"/>
              <w:left w:val="nil"/>
              <w:bottom w:val="single" w:sz="4" w:space="0" w:color="1A171C"/>
              <w:right w:val="single" w:sz="4" w:space="0" w:color="1A171C"/>
            </w:tcBorders>
            <w:vAlign w:val="center"/>
          </w:tcPr>
          <w:p w14:paraId="14285AAF" w14:textId="5F6A53E8" w:rsidR="004E1838" w:rsidRPr="004B56A9" w:rsidRDefault="004E1838"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14:paraId="2CB63A6B" w14:textId="12919F36" w:rsidR="004E1838" w:rsidRPr="004B56A9" w:rsidRDefault="004E1838"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OCR: da costituire con capitale di classe </w:t>
            </w:r>
            <w:proofErr w:type="gramStart"/>
            <w:r w:rsidRPr="004B56A9">
              <w:rPr>
                <w:rFonts w:ascii="Times New Roman" w:hAnsi="Times New Roman"/>
                <w:b/>
                <w:color w:val="000000" w:themeColor="text1"/>
                <w:sz w:val="20"/>
              </w:rPr>
              <w:t>1</w:t>
            </w:r>
            <w:proofErr w:type="gramEnd"/>
          </w:p>
          <w:p w14:paraId="16FD5791" w14:textId="76545895" w:rsidR="004E1838" w:rsidRPr="004B56A9"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03.00;180;010}</w:t>
            </w:r>
          </w:p>
          <w:p w14:paraId="4944ABE0" w14:textId="77777777" w:rsidR="004E1838" w:rsidRPr="004B56A9"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6A829DB1" w14:textId="7BAFD87A" w:rsidR="004E1838" w:rsidRPr="004B56A9" w:rsidRDefault="004E1838" w:rsidP="00715DAB">
            <w:pPr>
              <w:pStyle w:val="InstructionsText"/>
              <w:numPr>
                <w:ilvl w:val="0"/>
                <w:numId w:val="34"/>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TSCR da costituire con capitale di classe 1 di cui alla riga 0320;</w:t>
            </w:r>
          </w:p>
          <w:p w14:paraId="2FE89007" w14:textId="282BA8AD" w:rsidR="004E1838" w:rsidRPr="004B56A9"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sidRPr="004B56A9">
              <w:rPr>
                <w:rFonts w:ascii="Times New Roman" w:hAnsi="Times New Roman"/>
                <w:color w:val="000000" w:themeColor="text1"/>
                <w:sz w:val="20"/>
              </w:rPr>
              <w:t xml:space="preserve">nella misura in cui è giuridicamente applicabile, il coefficiente di requisito combinato di riserva di capitale di cui all’articolo 128, punto </w:t>
            </w:r>
            <w:proofErr w:type="gramStart"/>
            <w:r w:rsidRPr="004B56A9">
              <w:rPr>
                <w:rFonts w:ascii="Times New Roman" w:hAnsi="Times New Roman"/>
                <w:color w:val="000000" w:themeColor="text1"/>
                <w:sz w:val="20"/>
              </w:rPr>
              <w:t>6</w:t>
            </w:r>
            <w:proofErr w:type="gramEnd"/>
            <w:r w:rsidRPr="004B56A9">
              <w:rPr>
                <w:rFonts w:ascii="Times New Roman" w:hAnsi="Times New Roman"/>
                <w:color w:val="000000" w:themeColor="text1"/>
                <w:sz w:val="20"/>
              </w:rPr>
              <w:t>, della direttiva 2013/36/UE.</w:t>
            </w:r>
          </w:p>
          <w:p w14:paraId="6B2BB946" w14:textId="07EA38A2" w:rsidR="004E1838" w:rsidRPr="004B56A9" w:rsidRDefault="004E1838"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z w:val="20"/>
              </w:rPr>
              <w:t>Se non è applicabile nessun requisito di riserva di capitale, deve essere segnalato solo l’elemento di cui al punto i</w:t>
            </w:r>
            <w:proofErr w:type="gramStart"/>
            <w:r w:rsidRPr="004B56A9">
              <w:rPr>
                <w:rFonts w:ascii="Times New Roman" w:hAnsi="Times New Roman"/>
                <w:color w:val="000000" w:themeColor="text1"/>
                <w:sz w:val="20"/>
              </w:rPr>
              <w:t>).</w:t>
            </w:r>
            <w:proofErr w:type="gramEnd"/>
          </w:p>
        </w:tc>
      </w:tr>
      <w:tr w:rsidR="00D22EB0" w:rsidRPr="004B56A9" w14:paraId="4538895A" w14:textId="77777777" w:rsidTr="00E54104">
        <w:tc>
          <w:tcPr>
            <w:tcW w:w="749" w:type="dxa"/>
            <w:tcBorders>
              <w:top w:val="single" w:sz="4" w:space="0" w:color="1A171C"/>
              <w:left w:val="nil"/>
              <w:bottom w:val="single" w:sz="4" w:space="0" w:color="1A171C"/>
              <w:right w:val="single" w:sz="4" w:space="0" w:color="1A171C"/>
            </w:tcBorders>
            <w:vAlign w:val="center"/>
          </w:tcPr>
          <w:p w14:paraId="743C8A9C" w14:textId="7B5426CE" w:rsidR="00FE3E96" w:rsidRPr="004B56A9" w:rsidRDefault="00B27F8F"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14:paraId="4583225D" w14:textId="387EAEB2" w:rsidR="00B27F8F" w:rsidRPr="004B56A9" w:rsidRDefault="00B27F8F"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OCR e orientamenti del secondo pilastro (P2G)</w:t>
            </w:r>
          </w:p>
          <w:p w14:paraId="6B7FCE56" w14:textId="7DC57043" w:rsidR="00B27F8F" w:rsidRPr="004B56A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03.00;190;010}</w:t>
            </w:r>
          </w:p>
          <w:p w14:paraId="037F92B1" w14:textId="77777777" w:rsidR="00B27F8F" w:rsidRPr="004B56A9" w:rsidRDefault="00B27F8F" w:rsidP="00C80BDE">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502B3D2F" w14:textId="0585FC0F" w:rsidR="00B27F8F" w:rsidRPr="004B56A9" w:rsidRDefault="00B27F8F" w:rsidP="00715DAB">
            <w:pPr>
              <w:pStyle w:val="InstructionsText"/>
              <w:numPr>
                <w:ilvl w:val="0"/>
                <w:numId w:val="35"/>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OCR di cui alla riga 0500;</w:t>
            </w:r>
          </w:p>
          <w:p w14:paraId="25D70659" w14:textId="77777777" w:rsidR="00B27F8F" w:rsidRPr="004B56A9" w:rsidRDefault="00B27F8F" w:rsidP="00715DAB">
            <w:pPr>
              <w:pStyle w:val="InstructionsText"/>
              <w:numPr>
                <w:ilvl w:val="0"/>
                <w:numId w:val="35"/>
              </w:numPr>
              <w:rPr>
                <w:rFonts w:ascii="Times New Roman" w:hAnsi="Times New Roman" w:cs="Times New Roman"/>
                <w:bCs/>
                <w:color w:val="000000" w:themeColor="text1"/>
                <w:sz w:val="20"/>
                <w:szCs w:val="20"/>
                <w:u w:val="single"/>
              </w:rPr>
            </w:pPr>
            <w:proofErr w:type="gramStart"/>
            <w:r w:rsidRPr="004B56A9">
              <w:rPr>
                <w:rFonts w:ascii="Times New Roman" w:hAnsi="Times New Roman"/>
                <w:color w:val="000000" w:themeColor="text1"/>
                <w:sz w:val="20"/>
              </w:rPr>
              <w:t>ove</w:t>
            </w:r>
            <w:proofErr w:type="gramEnd"/>
            <w:r w:rsidRPr="004B56A9">
              <w:rPr>
                <w:rFonts w:ascii="Times New Roman" w:hAnsi="Times New Roman"/>
                <w:color w:val="000000" w:themeColor="text1"/>
                <w:sz w:val="20"/>
              </w:rPr>
              <w:t xml:space="preserve"> applicabili, gli orientamenti del secondo pilastro (P2G) come definiti negli EBA SREP GL. I P2G sono inclusi solo se l’autorità competente li ha comunicati all’ente.</w:t>
            </w:r>
          </w:p>
          <w:p w14:paraId="519E693F" w14:textId="451B48BE" w:rsidR="00FE3E96" w:rsidRPr="004B56A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Se l’autorità competente non ha comunicato P2G, deve essere segnalato solo l’elemento di cui al punto i</w:t>
            </w:r>
            <w:proofErr w:type="gramStart"/>
            <w:r w:rsidRPr="004B56A9">
              <w:rPr>
                <w:rFonts w:ascii="Times New Roman" w:hAnsi="Times New Roman"/>
                <w:color w:val="000000" w:themeColor="text1"/>
                <w:sz w:val="20"/>
              </w:rPr>
              <w:t>).</w:t>
            </w:r>
            <w:proofErr w:type="gramEnd"/>
          </w:p>
        </w:tc>
      </w:tr>
      <w:tr w:rsidR="00D22EB0" w:rsidRPr="004B56A9" w14:paraId="630E6B2D" w14:textId="77777777" w:rsidTr="00E54104">
        <w:tc>
          <w:tcPr>
            <w:tcW w:w="749" w:type="dxa"/>
            <w:tcBorders>
              <w:top w:val="single" w:sz="4" w:space="0" w:color="1A171C"/>
              <w:left w:val="nil"/>
              <w:bottom w:val="single" w:sz="4" w:space="0" w:color="1A171C"/>
              <w:right w:val="single" w:sz="4" w:space="0" w:color="1A171C"/>
            </w:tcBorders>
            <w:vAlign w:val="center"/>
          </w:tcPr>
          <w:p w14:paraId="2F6F5B1F" w14:textId="721DD980" w:rsidR="00FE3E96" w:rsidRPr="004B56A9" w:rsidRDefault="004B50C4"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14:paraId="33A8858F" w14:textId="06D6DCF4" w:rsidR="00FE3E96" w:rsidRPr="004B56A9" w:rsidRDefault="00B27F8F"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OCR: da costituire con capitale primario di classe </w:t>
            </w:r>
            <w:proofErr w:type="gramStart"/>
            <w:r w:rsidRPr="004B56A9">
              <w:rPr>
                <w:rFonts w:ascii="Times New Roman" w:hAnsi="Times New Roman"/>
                <w:b/>
                <w:color w:val="000000" w:themeColor="text1"/>
                <w:sz w:val="20"/>
              </w:rPr>
              <w:t>1</w:t>
            </w:r>
            <w:proofErr w:type="gramEnd"/>
          </w:p>
          <w:p w14:paraId="6ECEDA77" w14:textId="37AA8E64" w:rsidR="00B27F8F" w:rsidRPr="004B56A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03.00;200;010}</w:t>
            </w:r>
          </w:p>
          <w:p w14:paraId="0E217054" w14:textId="77777777" w:rsidR="00B27F8F" w:rsidRPr="004B56A9" w:rsidRDefault="00B27F8F" w:rsidP="00C80BDE">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33DEF57F" w14:textId="35BEDF4F" w:rsidR="00B27F8F" w:rsidRPr="004B56A9" w:rsidRDefault="00B27F8F" w:rsidP="00715DAB">
            <w:pPr>
              <w:pStyle w:val="InstructionsText"/>
              <w:numPr>
                <w:ilvl w:val="0"/>
                <w:numId w:val="36"/>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OCR da costituire con capitale primario di classe 1 di cui alla riga 0520;</w:t>
            </w:r>
          </w:p>
          <w:p w14:paraId="0B7CDEB5" w14:textId="7BA9C208" w:rsidR="00B27F8F" w:rsidRPr="004B56A9" w:rsidRDefault="00B27F8F" w:rsidP="00715DAB">
            <w:pPr>
              <w:pStyle w:val="InstructionsText"/>
              <w:numPr>
                <w:ilvl w:val="0"/>
                <w:numId w:val="36"/>
              </w:numPr>
              <w:rPr>
                <w:rFonts w:ascii="Times New Roman" w:hAnsi="Times New Roman" w:cs="Times New Roman"/>
                <w:bCs/>
                <w:color w:val="000000" w:themeColor="text1"/>
                <w:sz w:val="20"/>
                <w:szCs w:val="20"/>
                <w:u w:val="single"/>
              </w:rPr>
            </w:pPr>
            <w:proofErr w:type="gramStart"/>
            <w:r w:rsidRPr="004B56A9">
              <w:rPr>
                <w:rFonts w:ascii="Times New Roman" w:hAnsi="Times New Roman"/>
                <w:color w:val="000000" w:themeColor="text1"/>
                <w:sz w:val="20"/>
              </w:rPr>
              <w:t>ove</w:t>
            </w:r>
            <w:proofErr w:type="gramEnd"/>
            <w:r w:rsidRPr="004B56A9">
              <w:rPr>
                <w:rFonts w:ascii="Times New Roman" w:hAnsi="Times New Roman"/>
                <w:color w:val="000000" w:themeColor="text1"/>
                <w:sz w:val="20"/>
              </w:rPr>
              <w:t xml:space="preserve"> applicabile, la parte di P2G, di cui al punto ii) della riga 0600, che l’autorità competente impone di detenere sotto forma di capitale primario di classe 1. I P2G sono inclusi solo se l’autorità competente li ha comunicati all’ente.</w:t>
            </w:r>
          </w:p>
          <w:p w14:paraId="5E078F39" w14:textId="507889DD" w:rsidR="00B27F8F" w:rsidRPr="004B56A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Se l’autorità competente non ha comunicato P2G, deve essere segnalato solo l’elemento di cui al punto i</w:t>
            </w:r>
            <w:proofErr w:type="gramStart"/>
            <w:r w:rsidRPr="004B56A9">
              <w:rPr>
                <w:rFonts w:ascii="Times New Roman" w:hAnsi="Times New Roman"/>
                <w:color w:val="000000" w:themeColor="text1"/>
                <w:sz w:val="20"/>
              </w:rPr>
              <w:t>).</w:t>
            </w:r>
            <w:proofErr w:type="gramEnd"/>
          </w:p>
        </w:tc>
      </w:tr>
      <w:tr w:rsidR="00D22EB0" w:rsidRPr="004B56A9" w14:paraId="08FD2F46" w14:textId="77777777" w:rsidTr="00E54104">
        <w:tc>
          <w:tcPr>
            <w:tcW w:w="749" w:type="dxa"/>
            <w:tcBorders>
              <w:top w:val="single" w:sz="4" w:space="0" w:color="1A171C"/>
              <w:left w:val="nil"/>
              <w:bottom w:val="single" w:sz="4" w:space="0" w:color="1A171C"/>
              <w:right w:val="single" w:sz="4" w:space="0" w:color="1A171C"/>
            </w:tcBorders>
            <w:vAlign w:val="center"/>
          </w:tcPr>
          <w:p w14:paraId="209D1157" w14:textId="0906C75B" w:rsidR="00FE3E96" w:rsidRPr="004B56A9" w:rsidRDefault="004B50C4" w:rsidP="001C68A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14:paraId="1868E3A5" w14:textId="33336EAF" w:rsidR="00B27F8F" w:rsidRPr="004B56A9" w:rsidRDefault="00B27F8F" w:rsidP="00B525EC">
            <w:pPr>
              <w:pStyle w:val="TableParagraph"/>
              <w:spacing w:before="108"/>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OCR e P2G: da costituire con capitale di classe </w:t>
            </w:r>
            <w:proofErr w:type="gramStart"/>
            <w:r w:rsidRPr="004B56A9">
              <w:rPr>
                <w:rFonts w:ascii="Times New Roman" w:hAnsi="Times New Roman"/>
                <w:b/>
                <w:color w:val="000000" w:themeColor="text1"/>
                <w:sz w:val="20"/>
              </w:rPr>
              <w:t>1</w:t>
            </w:r>
            <w:proofErr w:type="gramEnd"/>
          </w:p>
          <w:p w14:paraId="6069345E" w14:textId="3DC3425A" w:rsidR="00B27F8F" w:rsidRPr="004B56A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COREP (OF): {C 03.00;210;010}</w:t>
            </w:r>
          </w:p>
          <w:p w14:paraId="0AB6E204" w14:textId="35F6AA6F" w:rsidR="00B27F8F" w:rsidRPr="004B56A9" w:rsidRDefault="00B27F8F" w:rsidP="00C80BDE">
            <w:pPr>
              <w:pStyle w:val="InstructionsText"/>
              <w:numPr>
                <w:ilvl w:val="0"/>
                <w:numId w:val="0"/>
              </w:numPr>
              <w:rPr>
                <w:rFonts w:ascii="Times New Roman" w:hAnsi="Times New Roman" w:cs="Times New Roman"/>
                <w:color w:val="000000" w:themeColor="text1"/>
                <w:sz w:val="20"/>
                <w:szCs w:val="20"/>
              </w:rPr>
            </w:pPr>
            <w:r w:rsidRPr="004B56A9">
              <w:rPr>
                <w:rFonts w:ascii="Times New Roman" w:hAnsi="Times New Roman"/>
                <w:color w:val="000000" w:themeColor="text1"/>
                <w:sz w:val="20"/>
              </w:rPr>
              <w:t>La somma dei seguenti elementi i) e ii</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w:t>
            </w:r>
          </w:p>
          <w:p w14:paraId="25097A6A" w14:textId="020D9624" w:rsidR="00B27F8F" w:rsidRPr="004B56A9" w:rsidRDefault="00B27F8F" w:rsidP="00715DAB">
            <w:pPr>
              <w:pStyle w:val="InstructionsText"/>
              <w:numPr>
                <w:ilvl w:val="0"/>
                <w:numId w:val="37"/>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il</w:t>
            </w:r>
            <w:proofErr w:type="gramEnd"/>
            <w:r w:rsidRPr="004B56A9">
              <w:rPr>
                <w:rFonts w:ascii="Times New Roman" w:hAnsi="Times New Roman"/>
                <w:color w:val="000000" w:themeColor="text1"/>
                <w:sz w:val="20"/>
              </w:rPr>
              <w:t xml:space="preserve"> coefficiente OCR da costituire con capitale di classe 1 di cui alla riga 0520;</w:t>
            </w:r>
          </w:p>
          <w:p w14:paraId="77A9E881" w14:textId="7DA7E49E" w:rsidR="00B27F8F" w:rsidRPr="004B56A9" w:rsidRDefault="00B27F8F" w:rsidP="00715DAB">
            <w:pPr>
              <w:pStyle w:val="InstructionsText"/>
              <w:numPr>
                <w:ilvl w:val="0"/>
                <w:numId w:val="37"/>
              </w:numPr>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ove</w:t>
            </w:r>
            <w:proofErr w:type="gramEnd"/>
            <w:r w:rsidRPr="004B56A9">
              <w:rPr>
                <w:rFonts w:ascii="Times New Roman" w:hAnsi="Times New Roman"/>
                <w:color w:val="000000" w:themeColor="text1"/>
                <w:sz w:val="20"/>
              </w:rPr>
              <w:t xml:space="preserve"> applicabile, la parte di P2G, di cui al punto ii) della riga 600, che l’autorità competente impone di detenere sotto forma di capitale di classe 1. I P2G sono inclusi solo se l’autorità competente li ha comunicati all’ente.</w:t>
            </w:r>
          </w:p>
          <w:p w14:paraId="44AF026F" w14:textId="1253EDDA" w:rsidR="00E05E83" w:rsidRPr="004B56A9"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Se l’autorità competente non ha comunicato P2G, deve essere segnalato solo l’elemento di cui al punto i</w:t>
            </w:r>
            <w:proofErr w:type="gramStart"/>
            <w:r w:rsidRPr="004B56A9">
              <w:rPr>
                <w:rFonts w:ascii="Times New Roman" w:hAnsi="Times New Roman"/>
                <w:color w:val="000000" w:themeColor="text1"/>
                <w:sz w:val="20"/>
              </w:rPr>
              <w:t>).</w:t>
            </w:r>
            <w:proofErr w:type="gramEnd"/>
          </w:p>
        </w:tc>
      </w:tr>
    </w:tbl>
    <w:p w14:paraId="70B7029A" w14:textId="77777777" w:rsidR="00FE3E96" w:rsidRPr="004B56A9" w:rsidRDefault="00FE3E96" w:rsidP="00E13CE3">
      <w:pPr>
        <w:rPr>
          <w:rFonts w:ascii="Times New Roman" w:hAnsi="Times New Roman" w:cs="Times New Roman"/>
          <w:color w:val="000000" w:themeColor="text1"/>
          <w:sz w:val="20"/>
          <w:szCs w:val="20"/>
        </w:rPr>
      </w:pPr>
    </w:p>
    <w:p w14:paraId="49A6D1D4" w14:textId="61BD9993" w:rsidR="00E13CE3" w:rsidRPr="004B56A9"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130389"/>
      <w:r w:rsidRPr="004B56A9">
        <w:rPr>
          <w:rFonts w:ascii="Times New Roman" w:hAnsi="Times New Roman"/>
        </w:rPr>
        <w:lastRenderedPageBreak/>
        <w:t>Z 04.00 - Interconnessioni finanziarie infragruppo (IFC)</w:t>
      </w:r>
      <w:bookmarkEnd w:id="25"/>
      <w:bookmarkEnd w:id="26"/>
      <w:bookmarkEnd w:id="27"/>
    </w:p>
    <w:p w14:paraId="1FCC8FC1" w14:textId="77777777" w:rsidR="00E13CE3" w:rsidRPr="004B56A9" w:rsidRDefault="00AD2380" w:rsidP="00EC261B">
      <w:pPr>
        <w:pStyle w:val="Instructionsberschrift3"/>
      </w:pPr>
      <w:r w:rsidRPr="004B56A9">
        <w:t>Osservazioni di carattere generale</w:t>
      </w:r>
    </w:p>
    <w:p w14:paraId="7770596B" w14:textId="710DB936" w:rsidR="00E13CE3" w:rsidRPr="004B56A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Questo modello richiede informazioni sulle passività infragruppo non escluse dal bail-in, sugli strumenti di capitale e sulle garanzie. </w:t>
      </w:r>
    </w:p>
    <w:p w14:paraId="7C5B87BE" w14:textId="028F7AB9" w:rsidR="00395330" w:rsidRPr="004B56A9" w:rsidRDefault="00395330"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Sono segnalate tutte le interconnessioni finanziarie tra entità giuridiche pertinenti che sono incluse nel bilancio consolidato. Gli importi segnalati sono aggregati laddove si riferiscono alle stesse controparti (sia emittente o entità garantita, sia creditore, titolare o prestatore di garanzia) e allo stesso tipo di passività, strumenti di capitale o garanzie.</w:t>
      </w:r>
    </w:p>
    <w:p w14:paraId="256F8889" w14:textId="0FF8E84D" w:rsidR="00E13CE3" w:rsidRPr="004B56A9"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La combinazione dei valori segnalati nelle colonne 0020, 0040 e 0050 di questo modello costituisce una chiave primaria che dev’essere unica per ciascuna riga del modello.</w:t>
      </w:r>
    </w:p>
    <w:p w14:paraId="20F806B4" w14:textId="77777777" w:rsidR="00E13CE3" w:rsidRPr="004B56A9" w:rsidRDefault="00E13CE3" w:rsidP="00715DAB">
      <w:pPr>
        <w:pStyle w:val="Instructionsberschrift3"/>
      </w:pPr>
      <w:r w:rsidRPr="004B56A9">
        <w:t xml:space="preserve">Istruzioni </w:t>
      </w:r>
      <w:proofErr w:type="gramStart"/>
      <w:r w:rsidRPr="004B56A9">
        <w:t>relative a</w:t>
      </w:r>
      <w:proofErr w:type="gramEnd"/>
      <w:r w:rsidRPr="004B56A9">
        <w:t xml:space="preserve">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4B56A9" w14:paraId="642143F7"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03A7B28A" w14:textId="1C7D9615" w:rsidR="004D27A1" w:rsidRPr="004B56A9" w:rsidRDefault="004D27A1" w:rsidP="00DF1EA4">
            <w:pPr>
              <w:pStyle w:val="TableParagraph"/>
              <w:spacing w:before="66"/>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Colonne</w:t>
            </w:r>
          </w:p>
        </w:tc>
        <w:tc>
          <w:tcPr>
            <w:tcW w:w="8175" w:type="dxa"/>
            <w:tcBorders>
              <w:top w:val="single" w:sz="4" w:space="0" w:color="1A171C"/>
              <w:left w:val="single" w:sz="4" w:space="0" w:color="1A171C"/>
              <w:bottom w:val="single" w:sz="4" w:space="0" w:color="1A171C"/>
              <w:right w:val="nil"/>
            </w:tcBorders>
            <w:shd w:val="clear" w:color="auto" w:fill="E4E5E5"/>
          </w:tcPr>
          <w:p w14:paraId="537900D1" w14:textId="77777777" w:rsidR="004D27A1" w:rsidRPr="004B56A9"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1"/>
                <w:w w:val="90"/>
                <w:sz w:val="20"/>
              </w:rPr>
              <w:t>Istruzioni</w:t>
            </w:r>
          </w:p>
        </w:tc>
      </w:tr>
      <w:tr w:rsidR="00D22EB0" w:rsidRPr="004B56A9" w14:paraId="4F74A1E6" w14:textId="77777777" w:rsidTr="00DF1EA4">
        <w:tc>
          <w:tcPr>
            <w:tcW w:w="908" w:type="dxa"/>
            <w:tcBorders>
              <w:top w:val="single" w:sz="4" w:space="0" w:color="1A171C"/>
              <w:left w:val="nil"/>
              <w:bottom w:val="single" w:sz="4" w:space="0" w:color="1A171C"/>
              <w:right w:val="single" w:sz="4" w:space="0" w:color="1A171C"/>
            </w:tcBorders>
            <w:vAlign w:val="center"/>
          </w:tcPr>
          <w:p w14:paraId="6B39461A" w14:textId="1ECB069C" w:rsidR="004D27A1" w:rsidRPr="004B56A9" w:rsidRDefault="00AF56D5"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004ABAD9" w14:textId="43D59F41"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Emittente o entità garantita</w:t>
            </w:r>
          </w:p>
          <w:p w14:paraId="20D967ED" w14:textId="7C343F6A" w:rsidR="004D27A1" w:rsidRPr="004B56A9"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L’entità giuridica che emette le passività o lo strumento di capitale, o che è l’entità garantita.</w:t>
            </w:r>
          </w:p>
        </w:tc>
      </w:tr>
      <w:tr w:rsidR="00D22EB0" w:rsidRPr="004B56A9" w14:paraId="4060C052" w14:textId="77777777" w:rsidTr="00DF1EA4">
        <w:tc>
          <w:tcPr>
            <w:tcW w:w="908" w:type="dxa"/>
            <w:tcBorders>
              <w:top w:val="single" w:sz="4" w:space="0" w:color="1A171C"/>
              <w:left w:val="nil"/>
              <w:bottom w:val="single" w:sz="4" w:space="0" w:color="1A171C"/>
              <w:right w:val="single" w:sz="4" w:space="0" w:color="1A171C"/>
            </w:tcBorders>
            <w:vAlign w:val="center"/>
          </w:tcPr>
          <w:p w14:paraId="029BD913" w14:textId="19A9C812"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96E6AFF" w14:textId="77777777"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Nome dell’entità </w:t>
            </w:r>
          </w:p>
          <w:p w14:paraId="2FE35C82" w14:textId="03D65DDC" w:rsidR="004D27A1" w:rsidRPr="004B56A9"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Dev’essere diverso dal nome dell’entità riportato nella colonna 0030. </w:t>
            </w:r>
          </w:p>
        </w:tc>
      </w:tr>
      <w:tr w:rsidR="00D22EB0" w:rsidRPr="004B56A9" w14:paraId="4840AAF9" w14:textId="77777777" w:rsidTr="00DF1EA4">
        <w:tc>
          <w:tcPr>
            <w:tcW w:w="908" w:type="dxa"/>
            <w:tcBorders>
              <w:top w:val="single" w:sz="4" w:space="0" w:color="1A171C"/>
              <w:left w:val="nil"/>
              <w:bottom w:val="single" w:sz="4" w:space="0" w:color="1A171C"/>
              <w:right w:val="single" w:sz="4" w:space="0" w:color="1A171C"/>
            </w:tcBorders>
            <w:vAlign w:val="center"/>
          </w:tcPr>
          <w:p w14:paraId="38550920" w14:textId="6E15D4DB"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53BEED64" w14:textId="77777777"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2AECA2C7" w14:textId="0B6AAABA" w:rsidR="00F0371B" w:rsidRPr="004B56A9"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dell’emittente o del destinatario della garanzia. Per gli enti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Per le altre entità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o, in sua mancanza, di un codice di un sistema di codifica uniforme applicabile nell’Unione ovvero, in sua mancanza, di un codice nazionale.</w:t>
            </w:r>
          </w:p>
          <w:p w14:paraId="549D64CE" w14:textId="77777777" w:rsidR="00F0371B" w:rsidRPr="004B56A9"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è unico e utilizzato in modo coerente in tutti i modelli.</w:t>
            </w:r>
          </w:p>
          <w:p w14:paraId="0F320A37" w14:textId="0D0852A5" w:rsidR="004D27A1" w:rsidRPr="004B56A9"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dev’essere diverso dal </w:t>
            </w:r>
            <w:proofErr w:type="gramStart"/>
            <w:r w:rsidRPr="004B56A9">
              <w:rPr>
                <w:rFonts w:ascii="Times New Roman" w:hAnsi="Times New Roman"/>
                <w:color w:val="000000" w:themeColor="text1"/>
                <w:spacing w:val="-2"/>
                <w:w w:val="95"/>
                <w:sz w:val="20"/>
              </w:rPr>
              <w:t>codice</w:t>
            </w:r>
            <w:proofErr w:type="gramEnd"/>
            <w:r w:rsidRPr="004B56A9">
              <w:rPr>
                <w:rFonts w:ascii="Times New Roman" w:hAnsi="Times New Roman"/>
                <w:color w:val="000000" w:themeColor="text1"/>
                <w:spacing w:val="-2"/>
                <w:w w:val="95"/>
                <w:sz w:val="20"/>
              </w:rPr>
              <w:t xml:space="preserve"> riportato nella colonna 0040.</w:t>
            </w:r>
          </w:p>
          <w:p w14:paraId="314BE944" w14:textId="25036B24" w:rsidR="00F0371B" w:rsidRPr="004B56A9"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4B56A9" w14:paraId="3D4D8B00" w14:textId="77777777" w:rsidTr="00DF1EA4">
        <w:tc>
          <w:tcPr>
            <w:tcW w:w="908" w:type="dxa"/>
            <w:tcBorders>
              <w:top w:val="single" w:sz="4" w:space="0" w:color="1A171C"/>
              <w:left w:val="nil"/>
              <w:bottom w:val="single" w:sz="4" w:space="0" w:color="1A171C"/>
              <w:right w:val="single" w:sz="4" w:space="0" w:color="1A171C"/>
            </w:tcBorders>
            <w:vAlign w:val="center"/>
          </w:tcPr>
          <w:p w14:paraId="40D1D213" w14:textId="6A01EF25"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32882256" w14:textId="6E090EC6" w:rsidR="004D27A1" w:rsidRPr="004B56A9"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Creditore, titolare o prestatore di garanzia</w:t>
            </w:r>
          </w:p>
          <w:p w14:paraId="4C74F0FA" w14:textId="5A8F070B" w:rsidR="004D27A1" w:rsidRPr="004B56A9"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L’entità giuridica che è il creditore della passività, è titolare dello strumento di capitale o fornisce la garanzia.</w:t>
            </w:r>
          </w:p>
        </w:tc>
      </w:tr>
      <w:tr w:rsidR="00D22EB0" w:rsidRPr="004B56A9" w14:paraId="168C8B8A" w14:textId="77777777" w:rsidTr="00DF1EA4">
        <w:tc>
          <w:tcPr>
            <w:tcW w:w="908" w:type="dxa"/>
            <w:tcBorders>
              <w:top w:val="single" w:sz="4" w:space="0" w:color="1A171C"/>
              <w:left w:val="nil"/>
              <w:bottom w:val="single" w:sz="4" w:space="0" w:color="1A171C"/>
              <w:right w:val="single" w:sz="4" w:space="0" w:color="1A171C"/>
            </w:tcBorders>
            <w:vAlign w:val="center"/>
          </w:tcPr>
          <w:p w14:paraId="0B9D8CF0" w14:textId="5A82322D"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6F09BA36" w14:textId="77777777"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Nome dell’entità </w:t>
            </w:r>
          </w:p>
          <w:p w14:paraId="36347C2D" w14:textId="7A214366"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Dev’essere diverso dal nome dell’entità riportato nella colonna 0010. </w:t>
            </w:r>
          </w:p>
        </w:tc>
      </w:tr>
      <w:tr w:rsidR="00D22EB0" w:rsidRPr="004B56A9" w14:paraId="34346EDF" w14:textId="77777777" w:rsidTr="00DF1EA4">
        <w:tc>
          <w:tcPr>
            <w:tcW w:w="908" w:type="dxa"/>
            <w:tcBorders>
              <w:top w:val="single" w:sz="4" w:space="0" w:color="1A171C"/>
              <w:left w:val="nil"/>
              <w:bottom w:val="single" w:sz="4" w:space="0" w:color="1A171C"/>
              <w:right w:val="single" w:sz="4" w:space="0" w:color="1A171C"/>
            </w:tcBorders>
            <w:vAlign w:val="center"/>
          </w:tcPr>
          <w:p w14:paraId="5C012ADB" w14:textId="6B6EE5ED"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4DC2FFDF" w14:textId="77777777"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7CE468CC" w14:textId="20F50BCB" w:rsidR="000C7729" w:rsidRPr="004B56A9"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del creditore, titolare o prestatore di garanzia. Per gli enti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Per le altre entità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o, in sua mancanza, di un codice di un sistema di codifica uniforme applicabile nell’Unione ovvero, in sua mancanza, di un codice nazionale.</w:t>
            </w:r>
          </w:p>
          <w:p w14:paraId="61954E9F" w14:textId="77777777" w:rsidR="000C7729" w:rsidRPr="004B56A9"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è unico e utilizzato in modo coerente in tutti i modelli.</w:t>
            </w:r>
          </w:p>
          <w:p w14:paraId="33D602C1" w14:textId="35454E3C" w:rsidR="004D27A1" w:rsidRPr="004B56A9"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Dev’essere diverso dal codice riportato nella colonna 0020.</w:t>
            </w:r>
          </w:p>
        </w:tc>
      </w:tr>
      <w:tr w:rsidR="00D22EB0" w:rsidRPr="004B56A9" w14:paraId="565076E2" w14:textId="77777777" w:rsidTr="00DF1EA4">
        <w:tc>
          <w:tcPr>
            <w:tcW w:w="908" w:type="dxa"/>
            <w:tcBorders>
              <w:top w:val="single" w:sz="4" w:space="0" w:color="1A171C"/>
              <w:left w:val="nil"/>
              <w:bottom w:val="single" w:sz="4" w:space="0" w:color="1A171C"/>
              <w:right w:val="single" w:sz="4" w:space="0" w:color="1A171C"/>
            </w:tcBorders>
            <w:vAlign w:val="center"/>
          </w:tcPr>
          <w:p w14:paraId="219A7ACB" w14:textId="6E6C9810"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 xml:space="preserve">0050- 0070 </w:t>
            </w:r>
          </w:p>
        </w:tc>
        <w:tc>
          <w:tcPr>
            <w:tcW w:w="8175" w:type="dxa"/>
            <w:tcBorders>
              <w:top w:val="single" w:sz="4" w:space="0" w:color="1A171C"/>
              <w:left w:val="single" w:sz="4" w:space="0" w:color="1A171C"/>
              <w:bottom w:val="single" w:sz="4" w:space="0" w:color="1A171C"/>
              <w:right w:val="nil"/>
            </w:tcBorders>
            <w:vAlign w:val="center"/>
          </w:tcPr>
          <w:p w14:paraId="72AB6579" w14:textId="77777777"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Interconnessione finanziaria</w:t>
            </w:r>
          </w:p>
          <w:p w14:paraId="3E657BF0" w14:textId="352043EB" w:rsidR="004D27A1" w:rsidRPr="004B56A9" w:rsidRDefault="00C8777C" w:rsidP="00EE3EE4">
            <w:pPr>
              <w:pStyle w:val="TableParagraph"/>
              <w:spacing w:before="108" w:after="720"/>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Questo campo descrive l’interconnessione finanziaria tra le entità giuridiche pertinenti.</w:t>
            </w:r>
          </w:p>
        </w:tc>
      </w:tr>
      <w:tr w:rsidR="00D22EB0" w:rsidRPr="004B56A9" w14:paraId="3D7E7141" w14:textId="77777777" w:rsidTr="00DF1EA4">
        <w:tc>
          <w:tcPr>
            <w:tcW w:w="908" w:type="dxa"/>
            <w:tcBorders>
              <w:top w:val="single" w:sz="4" w:space="0" w:color="1A171C"/>
              <w:left w:val="nil"/>
              <w:bottom w:val="single" w:sz="4" w:space="0" w:color="1A171C"/>
              <w:right w:val="single" w:sz="4" w:space="0" w:color="1A171C"/>
            </w:tcBorders>
            <w:vAlign w:val="center"/>
          </w:tcPr>
          <w:p w14:paraId="3BBEFA58" w14:textId="209B1990"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lastRenderedPageBreak/>
              <w:t xml:space="preserve">0050 </w:t>
            </w:r>
          </w:p>
        </w:tc>
        <w:tc>
          <w:tcPr>
            <w:tcW w:w="8175" w:type="dxa"/>
            <w:tcBorders>
              <w:top w:val="single" w:sz="4" w:space="0" w:color="1A171C"/>
              <w:left w:val="single" w:sz="4" w:space="0" w:color="1A171C"/>
              <w:bottom w:val="single" w:sz="4" w:space="0" w:color="1A171C"/>
              <w:right w:val="nil"/>
            </w:tcBorders>
            <w:vAlign w:val="center"/>
          </w:tcPr>
          <w:p w14:paraId="45088347" w14:textId="2DA5314B" w:rsidR="004D27A1" w:rsidRPr="004B56A9"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Tipo</w:t>
            </w:r>
          </w:p>
          <w:p w14:paraId="72A1045F" w14:textId="1A38D8A2"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Selezionare dal seguente elenco:</w:t>
            </w:r>
          </w:p>
          <w:p w14:paraId="57B797DE" w14:textId="77777777"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4B56A9">
              <w:rPr>
                <w:rFonts w:ascii="Times New Roman" w:hAnsi="Times New Roman"/>
                <w:color w:val="000000" w:themeColor="text1"/>
                <w:spacing w:val="-2"/>
                <w:w w:val="95"/>
                <w:sz w:val="20"/>
                <w:u w:val="single"/>
              </w:rPr>
              <w:t>Passività infragruppo</w:t>
            </w:r>
          </w:p>
          <w:p w14:paraId="652F7D86" w14:textId="77777777" w:rsidR="0005258C"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Depositi, non protetti ma preferenziali</w:t>
            </w:r>
          </w:p>
          <w:p w14:paraId="57CCB9BD" w14:textId="450AE4BF" w:rsidR="00967F9A" w:rsidRPr="004B56A9"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0310</w:t>
            </w:r>
          </w:p>
          <w:p w14:paraId="145CA07D"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Depositi, non protetti e non preferenziali</w:t>
            </w:r>
          </w:p>
          <w:p w14:paraId="4085A1EB" w14:textId="4F4FBAE5" w:rsidR="004D27A1" w:rsidRPr="004B56A9"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0320</w:t>
            </w:r>
          </w:p>
          <w:p w14:paraId="61A18B49"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Passività risultanti da derivati (importi del close-out)</w:t>
            </w:r>
          </w:p>
          <w:p w14:paraId="0D696456" w14:textId="0AA8FCCA" w:rsidR="004D27A1" w:rsidRPr="004B56A9"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0330</w:t>
            </w:r>
          </w:p>
          <w:p w14:paraId="1F3AF18A"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Passività garantite non coperte da garanzia </w:t>
            </w:r>
            <w:proofErr w:type="gramStart"/>
            <w:r w:rsidRPr="004B56A9">
              <w:rPr>
                <w:rFonts w:ascii="Times New Roman" w:hAnsi="Times New Roman"/>
                <w:color w:val="000000" w:themeColor="text1"/>
                <w:spacing w:val="-2"/>
                <w:w w:val="95"/>
                <w:sz w:val="20"/>
              </w:rPr>
              <w:t>reale</w:t>
            </w:r>
            <w:proofErr w:type="gramEnd"/>
          </w:p>
          <w:p w14:paraId="3350FABF" w14:textId="1E377F7F" w:rsidR="004D27A1" w:rsidRPr="004B56A9"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0340</w:t>
            </w:r>
          </w:p>
          <w:p w14:paraId="44B05365"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Obbligazioni strutturate</w:t>
            </w:r>
          </w:p>
          <w:p w14:paraId="3B7C13A5" w14:textId="4ED90091" w:rsidR="004D27A1" w:rsidRPr="004B56A9"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0350</w:t>
            </w:r>
          </w:p>
          <w:p w14:paraId="220A857F"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Passività di primo rango (senior) non </w:t>
            </w:r>
            <w:proofErr w:type="gramStart"/>
            <w:r w:rsidRPr="004B56A9">
              <w:rPr>
                <w:rFonts w:ascii="Times New Roman" w:hAnsi="Times New Roman"/>
                <w:color w:val="000000" w:themeColor="text1"/>
                <w:spacing w:val="-2"/>
                <w:w w:val="95"/>
                <w:sz w:val="20"/>
              </w:rPr>
              <w:t>garantite</w:t>
            </w:r>
            <w:proofErr w:type="gramEnd"/>
          </w:p>
          <w:p w14:paraId="08B029D7" w14:textId="3F5CCBE7" w:rsidR="004D27A1" w:rsidRPr="004B56A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0360</w:t>
            </w:r>
          </w:p>
          <w:p w14:paraId="7A895A9D" w14:textId="59531EE3" w:rsidR="00863F05" w:rsidRPr="004B56A9"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Passività di primo rango (senior) non </w:t>
            </w:r>
            <w:proofErr w:type="gramStart"/>
            <w:r w:rsidRPr="004B56A9">
              <w:rPr>
                <w:rFonts w:ascii="Times New Roman" w:hAnsi="Times New Roman"/>
                <w:color w:val="000000" w:themeColor="text1"/>
                <w:spacing w:val="-2"/>
                <w:w w:val="95"/>
                <w:sz w:val="20"/>
              </w:rPr>
              <w:t>privilegiate</w:t>
            </w:r>
            <w:proofErr w:type="gramEnd"/>
          </w:p>
          <w:p w14:paraId="004D6B09" w14:textId="398AA408" w:rsidR="00863F05" w:rsidRPr="004B56A9"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0365</w:t>
            </w:r>
          </w:p>
          <w:p w14:paraId="6941C245" w14:textId="28FCAB89"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Passività subordinate</w:t>
            </w:r>
          </w:p>
          <w:p w14:paraId="1AC6AE81" w14:textId="4654DD23" w:rsidR="004D27A1" w:rsidRPr="004B56A9"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0370</w:t>
            </w:r>
          </w:p>
          <w:p w14:paraId="532151BF"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Altre passività ammissibili al MREL</w:t>
            </w:r>
          </w:p>
          <w:p w14:paraId="4049DFC8" w14:textId="6E73DDBD" w:rsidR="004D27A1" w:rsidRPr="004B56A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0380</w:t>
            </w:r>
          </w:p>
          <w:p w14:paraId="6D1ADBDD"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Passività non finanziarie</w:t>
            </w:r>
          </w:p>
          <w:p w14:paraId="3A718FD1" w14:textId="30A74EA1" w:rsidR="004D27A1" w:rsidRPr="004B56A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0390</w:t>
            </w:r>
          </w:p>
          <w:p w14:paraId="31A7195F"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Altre passività</w:t>
            </w:r>
          </w:p>
          <w:p w14:paraId="7285202F" w14:textId="14A2166E" w:rsidR="004D27A1" w:rsidRPr="004B56A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0400. Ogni passività non rilevata da nessuno degli elementi precedenti.</w:t>
            </w:r>
          </w:p>
          <w:p w14:paraId="7830A0A2"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Capitale di classe </w:t>
            </w:r>
            <w:proofErr w:type="gramStart"/>
            <w:r w:rsidRPr="004B56A9">
              <w:rPr>
                <w:rFonts w:ascii="Times New Roman" w:hAnsi="Times New Roman"/>
                <w:color w:val="000000" w:themeColor="text1"/>
                <w:spacing w:val="-2"/>
                <w:w w:val="95"/>
                <w:sz w:val="20"/>
              </w:rPr>
              <w:t>2</w:t>
            </w:r>
            <w:proofErr w:type="gramEnd"/>
          </w:p>
          <w:p w14:paraId="7C8F66E7" w14:textId="4D058D5F" w:rsidR="004D27A1" w:rsidRPr="004B56A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0530</w:t>
            </w:r>
          </w:p>
          <w:p w14:paraId="246B9618"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Capitale aggiuntivo di classe </w:t>
            </w:r>
            <w:proofErr w:type="gramStart"/>
            <w:r w:rsidRPr="004B56A9">
              <w:rPr>
                <w:rFonts w:ascii="Times New Roman" w:hAnsi="Times New Roman"/>
                <w:color w:val="000000" w:themeColor="text1"/>
                <w:spacing w:val="-2"/>
                <w:w w:val="95"/>
                <w:sz w:val="20"/>
              </w:rPr>
              <w:t>1</w:t>
            </w:r>
            <w:proofErr w:type="gramEnd"/>
          </w:p>
          <w:p w14:paraId="4E69D908" w14:textId="290228DD" w:rsidR="004D27A1" w:rsidRPr="004B56A9"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0520</w:t>
            </w:r>
          </w:p>
          <w:p w14:paraId="4DB7D83B" w14:textId="77777777" w:rsidR="004D27A1" w:rsidRPr="004B56A9"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Capitale primario di classe </w:t>
            </w:r>
            <w:proofErr w:type="gramStart"/>
            <w:r w:rsidRPr="004B56A9">
              <w:rPr>
                <w:rFonts w:ascii="Times New Roman" w:hAnsi="Times New Roman"/>
                <w:color w:val="000000" w:themeColor="text1"/>
                <w:spacing w:val="-2"/>
                <w:w w:val="95"/>
                <w:sz w:val="20"/>
              </w:rPr>
              <w:t>1</w:t>
            </w:r>
            <w:proofErr w:type="gramEnd"/>
          </w:p>
          <w:p w14:paraId="20EF1E7C" w14:textId="0A448ECB" w:rsidR="004D27A1" w:rsidRPr="004B56A9"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Stessa definizione di Z 02.00 (LIAB</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riga 0510</w:t>
            </w:r>
          </w:p>
          <w:p w14:paraId="64B31294" w14:textId="77777777"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4B56A9">
              <w:rPr>
                <w:rFonts w:ascii="Times New Roman" w:hAnsi="Times New Roman"/>
                <w:color w:val="000000" w:themeColor="text1"/>
                <w:spacing w:val="-2"/>
                <w:w w:val="95"/>
                <w:sz w:val="20"/>
                <w:u w:val="single"/>
              </w:rPr>
              <w:t>Garanzie infragruppo</w:t>
            </w:r>
          </w:p>
          <w:p w14:paraId="44DC9CC5" w14:textId="77777777" w:rsidR="004D27A1" w:rsidRPr="004B56A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Emissione </w:t>
            </w:r>
          </w:p>
          <w:p w14:paraId="5E7705B6" w14:textId="0483E2C3" w:rsidR="004D27A1" w:rsidRPr="004B56A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Garanzie su specifici strumenti/passività che sono stati </w:t>
            </w:r>
            <w:proofErr w:type="gramStart"/>
            <w:r w:rsidRPr="004B56A9">
              <w:rPr>
                <w:rFonts w:ascii="Times New Roman" w:hAnsi="Times New Roman"/>
                <w:color w:val="000000" w:themeColor="text1"/>
                <w:spacing w:val="-2"/>
                <w:w w:val="95"/>
                <w:sz w:val="20"/>
              </w:rPr>
              <w:t>emessi</w:t>
            </w:r>
            <w:proofErr w:type="gramEnd"/>
          </w:p>
          <w:p w14:paraId="1722F049" w14:textId="77777777" w:rsidR="004D27A1" w:rsidRPr="004B56A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Controparte </w:t>
            </w:r>
          </w:p>
          <w:p w14:paraId="3268D9D7" w14:textId="529F10A8" w:rsidR="004D27A1" w:rsidRPr="004B56A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Garanzie concesse a una specifica controparte dell’</w:t>
            </w:r>
            <w:proofErr w:type="gramStart"/>
            <w:r w:rsidRPr="004B56A9">
              <w:rPr>
                <w:rFonts w:ascii="Times New Roman" w:hAnsi="Times New Roman"/>
                <w:color w:val="000000" w:themeColor="text1"/>
                <w:spacing w:val="-2"/>
                <w:w w:val="95"/>
                <w:sz w:val="20"/>
              </w:rPr>
              <w:t>ente</w:t>
            </w:r>
            <w:proofErr w:type="gramEnd"/>
          </w:p>
          <w:p w14:paraId="7B79E538" w14:textId="77777777" w:rsidR="004D27A1" w:rsidRPr="004B56A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Illimitate</w:t>
            </w:r>
          </w:p>
          <w:p w14:paraId="0E5B8690" w14:textId="3B4ED140" w:rsidR="004D27A1" w:rsidRPr="004B56A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Garanzie generali non </w:t>
            </w:r>
            <w:proofErr w:type="gramStart"/>
            <w:r w:rsidRPr="004B56A9">
              <w:rPr>
                <w:rFonts w:ascii="Times New Roman" w:hAnsi="Times New Roman"/>
                <w:color w:val="000000" w:themeColor="text1"/>
                <w:spacing w:val="-2"/>
                <w:w w:val="95"/>
                <w:sz w:val="20"/>
              </w:rPr>
              <w:t>limitate</w:t>
            </w:r>
            <w:proofErr w:type="gramEnd"/>
            <w:r w:rsidRPr="004B56A9">
              <w:rPr>
                <w:rFonts w:ascii="Times New Roman" w:hAnsi="Times New Roman"/>
                <w:color w:val="000000" w:themeColor="text1"/>
                <w:spacing w:val="-2"/>
                <w:w w:val="95"/>
                <w:sz w:val="20"/>
              </w:rPr>
              <w:t xml:space="preserve"> a un importo fisso </w:t>
            </w:r>
          </w:p>
          <w:p w14:paraId="68460778" w14:textId="77777777" w:rsidR="004D27A1" w:rsidRPr="004B56A9"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Altro </w:t>
            </w:r>
          </w:p>
          <w:p w14:paraId="2896D537" w14:textId="61997988" w:rsidR="004D27A1" w:rsidRPr="004B56A9"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Ogni tipo di garanzia non rientrante nei </w:t>
            </w:r>
            <w:proofErr w:type="gramStart"/>
            <w:r w:rsidRPr="004B56A9">
              <w:rPr>
                <w:rFonts w:ascii="Times New Roman" w:hAnsi="Times New Roman"/>
                <w:color w:val="000000" w:themeColor="text1"/>
                <w:spacing w:val="-2"/>
                <w:w w:val="95"/>
                <w:sz w:val="20"/>
              </w:rPr>
              <w:t>tipi</w:t>
            </w:r>
            <w:proofErr w:type="gramEnd"/>
            <w:r w:rsidRPr="004B56A9">
              <w:rPr>
                <w:rFonts w:ascii="Times New Roman" w:hAnsi="Times New Roman"/>
                <w:color w:val="000000" w:themeColor="text1"/>
                <w:spacing w:val="-2"/>
                <w:w w:val="95"/>
                <w:sz w:val="20"/>
              </w:rPr>
              <w:t xml:space="preserve"> precedenti. </w:t>
            </w:r>
          </w:p>
        </w:tc>
      </w:tr>
      <w:tr w:rsidR="00D22EB0" w:rsidRPr="004B56A9" w14:paraId="5E18D6BE" w14:textId="77777777" w:rsidTr="00DF1EA4">
        <w:tc>
          <w:tcPr>
            <w:tcW w:w="908" w:type="dxa"/>
            <w:tcBorders>
              <w:top w:val="single" w:sz="4" w:space="0" w:color="1A171C"/>
              <w:left w:val="nil"/>
              <w:bottom w:val="single" w:sz="4" w:space="0" w:color="1A171C"/>
              <w:right w:val="single" w:sz="4" w:space="0" w:color="1A171C"/>
            </w:tcBorders>
            <w:vAlign w:val="center"/>
          </w:tcPr>
          <w:p w14:paraId="77F9EF84" w14:textId="3F3CC64E" w:rsidR="004D27A1" w:rsidRPr="004B56A9" w:rsidRDefault="004D27A1"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0060</w:t>
            </w:r>
          </w:p>
        </w:tc>
        <w:tc>
          <w:tcPr>
            <w:tcW w:w="8175" w:type="dxa"/>
            <w:tcBorders>
              <w:top w:val="single" w:sz="4" w:space="0" w:color="1A171C"/>
              <w:left w:val="single" w:sz="4" w:space="0" w:color="1A171C"/>
              <w:bottom w:val="single" w:sz="4" w:space="0" w:color="1A171C"/>
              <w:right w:val="nil"/>
            </w:tcBorders>
            <w:vAlign w:val="center"/>
          </w:tcPr>
          <w:p w14:paraId="1F68C867" w14:textId="5BF45A22" w:rsidR="004D27A1" w:rsidRPr="004B56A9"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Importo in essere</w:t>
            </w:r>
          </w:p>
          <w:p w14:paraId="11DCC9B3" w14:textId="13D36600"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Per le passività (colonna 0050, tipi L.1, L.2 e da L.4 a L.14), l’importo in essere delle passività infragruppo; per le </w:t>
            </w:r>
            <w:proofErr w:type="gramStart"/>
            <w:r w:rsidRPr="004B56A9">
              <w:rPr>
                <w:rFonts w:ascii="Times New Roman" w:hAnsi="Times New Roman"/>
                <w:color w:val="000000" w:themeColor="text1"/>
                <w:spacing w:val="-2"/>
                <w:w w:val="95"/>
                <w:sz w:val="20"/>
              </w:rPr>
              <w:t>passività</w:t>
            </w:r>
            <w:proofErr w:type="gramEnd"/>
            <w:r w:rsidRPr="004B56A9">
              <w:rPr>
                <w:rFonts w:ascii="Times New Roman" w:hAnsi="Times New Roman"/>
                <w:color w:val="000000" w:themeColor="text1"/>
                <w:spacing w:val="-2"/>
                <w:w w:val="95"/>
                <w:sz w:val="20"/>
              </w:rPr>
              <w:t xml:space="preserve"> risultanti da derivati (tipo L.3), gli importi del close-out come definiti ai fini del modello Z 02.00 (LIAB), riga 0333.</w:t>
            </w:r>
          </w:p>
          <w:p w14:paraId="4A66A01A" w14:textId="097F808F"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Per le garanzie (colonna 0050, valori da G.1 a G.4), l’importo potenziale massimo dei futuri pagamenti nell’ambito della garanzia</w:t>
            </w:r>
            <w:proofErr w:type="gramEnd"/>
            <w:r w:rsidRPr="004B56A9">
              <w:rPr>
                <w:rFonts w:ascii="Times New Roman" w:hAnsi="Times New Roman"/>
                <w:color w:val="000000" w:themeColor="text1"/>
                <w:spacing w:val="-2"/>
                <w:w w:val="95"/>
                <w:sz w:val="20"/>
              </w:rPr>
              <w:t xml:space="preserve">. </w:t>
            </w:r>
          </w:p>
        </w:tc>
      </w:tr>
      <w:tr w:rsidR="00D22EB0" w:rsidRPr="004B56A9" w14:paraId="5417D6C9" w14:textId="77777777" w:rsidTr="00DF1EA4">
        <w:tc>
          <w:tcPr>
            <w:tcW w:w="908" w:type="dxa"/>
            <w:tcBorders>
              <w:top w:val="single" w:sz="4" w:space="0" w:color="1A171C"/>
              <w:left w:val="nil"/>
              <w:bottom w:val="single" w:sz="4" w:space="0" w:color="1A171C"/>
              <w:right w:val="single" w:sz="4" w:space="0" w:color="1A171C"/>
            </w:tcBorders>
            <w:vAlign w:val="center"/>
          </w:tcPr>
          <w:p w14:paraId="783740E1" w14:textId="643F2DF3" w:rsidR="000526E3" w:rsidRPr="004B56A9" w:rsidRDefault="000526E3" w:rsidP="00DF1EA4">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14:paraId="19BEE874" w14:textId="69D5FEC7" w:rsidR="006560B6" w:rsidRPr="004B56A9" w:rsidRDefault="006560B6" w:rsidP="00F244B8">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b/>
                <w:color w:val="000000" w:themeColor="text1"/>
                <w:sz w:val="20"/>
              </w:rPr>
              <w:t>di</w:t>
            </w:r>
            <w:proofErr w:type="gramEnd"/>
            <w:r w:rsidRPr="004B56A9">
              <w:rPr>
                <w:rFonts w:ascii="Times New Roman" w:hAnsi="Times New Roman"/>
                <w:b/>
                <w:color w:val="000000" w:themeColor="text1"/>
                <w:sz w:val="20"/>
              </w:rPr>
              <w:t xml:space="preserve"> cui emesso ai sensi del diritto di un paese terzo</w:t>
            </w:r>
          </w:p>
          <w:p w14:paraId="7AC0DE29" w14:textId="1FF5ACB8" w:rsidR="000526E3" w:rsidRPr="004B56A9" w:rsidRDefault="000526E3" w:rsidP="001D706F">
            <w:pPr>
              <w:pStyle w:val="TableParagraph"/>
              <w:spacing w:before="108"/>
              <w:ind w:left="85"/>
              <w:jc w:val="both"/>
              <w:rPr>
                <w:rFonts w:ascii="Times New Roman" w:hAnsi="Times New Roman" w:cs="Times New Roman"/>
                <w:bCs/>
                <w:color w:val="000000" w:themeColor="text1"/>
                <w:sz w:val="20"/>
                <w:szCs w:val="20"/>
              </w:rPr>
            </w:pPr>
            <w:proofErr w:type="gramStart"/>
            <w:r w:rsidRPr="004B56A9">
              <w:rPr>
                <w:rFonts w:ascii="Times New Roman" w:hAnsi="Times New Roman"/>
                <w:color w:val="000000" w:themeColor="text1"/>
                <w:sz w:val="20"/>
              </w:rPr>
              <w:t>L’importo monetario della quota dell’importo in essere a norma del diritto di un paese terzo.</w:t>
            </w:r>
            <w:proofErr w:type="gramEnd"/>
          </w:p>
        </w:tc>
      </w:tr>
      <w:tr w:rsidR="00D22EB0" w:rsidRPr="004B56A9" w14:paraId="553B8F81" w14:textId="77777777" w:rsidTr="00DF1EA4">
        <w:tc>
          <w:tcPr>
            <w:tcW w:w="908" w:type="dxa"/>
            <w:tcBorders>
              <w:top w:val="single" w:sz="4" w:space="0" w:color="1A171C"/>
              <w:left w:val="nil"/>
              <w:bottom w:val="single" w:sz="4" w:space="0" w:color="1A171C"/>
              <w:right w:val="single" w:sz="4" w:space="0" w:color="1A171C"/>
            </w:tcBorders>
            <w:vAlign w:val="center"/>
          </w:tcPr>
          <w:p w14:paraId="69AF2F5E" w14:textId="4922A959" w:rsidR="004D27A1" w:rsidRPr="004B56A9" w:rsidRDefault="004D27A1" w:rsidP="00AF56D5">
            <w:pPr>
              <w:pStyle w:val="TableParagraph"/>
              <w:spacing w:before="106"/>
              <w:ind w:left="-1"/>
              <w:rPr>
                <w:rFonts w:ascii="Times New Roman" w:hAnsi="Times New Roman" w:cs="Times New Roman"/>
                <w:color w:val="000000" w:themeColor="text1"/>
                <w:sz w:val="20"/>
                <w:szCs w:val="20"/>
              </w:rPr>
            </w:pPr>
            <w:r w:rsidRPr="004B56A9">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14:paraId="6FFA16D3" w14:textId="7AE831FE" w:rsidR="004D27A1" w:rsidRPr="004B56A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b/>
                <w:color w:val="000000" w:themeColor="text1"/>
                <w:sz w:val="20"/>
              </w:rPr>
              <w:t>di</w:t>
            </w:r>
            <w:proofErr w:type="gramEnd"/>
            <w:r w:rsidRPr="004B56A9">
              <w:rPr>
                <w:rFonts w:ascii="Times New Roman" w:hAnsi="Times New Roman"/>
                <w:b/>
                <w:color w:val="000000" w:themeColor="text1"/>
                <w:sz w:val="20"/>
              </w:rPr>
              <w:t xml:space="preserve"> cui ammissibile al MREL</w:t>
            </w:r>
          </w:p>
          <w:p w14:paraId="00B90683" w14:textId="5C8B802D" w:rsidR="004D27A1" w:rsidRPr="004B56A9"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in essere delle passività ammissibili al MREL calcolato conformemente all’articolo </w:t>
            </w:r>
            <w:proofErr w:type="gramStart"/>
            <w:r w:rsidRPr="004B56A9">
              <w:rPr>
                <w:rFonts w:ascii="Times New Roman" w:hAnsi="Times New Roman"/>
                <w:color w:val="000000" w:themeColor="text1"/>
                <w:spacing w:val="-2"/>
                <w:w w:val="95"/>
                <w:sz w:val="20"/>
              </w:rPr>
              <w:t>45</w:t>
            </w:r>
            <w:proofErr w:type="gramEnd"/>
            <w:r w:rsidRPr="004B56A9">
              <w:rPr>
                <w:rFonts w:ascii="Times New Roman" w:hAnsi="Times New Roman"/>
                <w:color w:val="000000" w:themeColor="text1"/>
                <w:spacing w:val="-2"/>
                <w:w w:val="95"/>
                <w:sz w:val="20"/>
              </w:rPr>
              <w:t xml:space="preserve">, paragrafo 4, lettera a) e lettere da c) a f), della direttiva 2014/59/UE. A tal fine, le passività non sono escluse dal calcolo per il solo motivo che </w:t>
            </w:r>
            <w:proofErr w:type="gramStart"/>
            <w:r w:rsidRPr="004B56A9">
              <w:rPr>
                <w:rFonts w:ascii="Times New Roman" w:hAnsi="Times New Roman"/>
                <w:color w:val="000000" w:themeColor="text1"/>
                <w:spacing w:val="-2"/>
                <w:w w:val="95"/>
                <w:sz w:val="20"/>
              </w:rPr>
              <w:t>sono</w:t>
            </w:r>
            <w:proofErr w:type="gramEnd"/>
            <w:r w:rsidRPr="004B56A9">
              <w:rPr>
                <w:rFonts w:ascii="Times New Roman" w:hAnsi="Times New Roman"/>
                <w:color w:val="000000" w:themeColor="text1"/>
                <w:spacing w:val="-2"/>
                <w:w w:val="95"/>
                <w:sz w:val="20"/>
              </w:rPr>
              <w:t xml:space="preserve"> emesse o detenute da un’entità del gruppo.</w:t>
            </w:r>
          </w:p>
        </w:tc>
      </w:tr>
    </w:tbl>
    <w:p w14:paraId="16944367" w14:textId="77777777" w:rsidR="00E13CE3" w:rsidRPr="004B56A9" w:rsidRDefault="00E13CE3" w:rsidP="00E13CE3">
      <w:pPr>
        <w:jc w:val="both"/>
        <w:rPr>
          <w:rFonts w:ascii="Times New Roman" w:hAnsi="Times New Roman" w:cs="Times New Roman"/>
          <w:color w:val="000000" w:themeColor="text1"/>
          <w:sz w:val="20"/>
          <w:szCs w:val="20"/>
        </w:rPr>
      </w:pPr>
    </w:p>
    <w:p w14:paraId="50EA8B0D" w14:textId="25B1BED4" w:rsidR="00E13CE3" w:rsidRPr="004B56A9"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130390"/>
      <w:r w:rsidRPr="004B56A9">
        <w:rPr>
          <w:rFonts w:ascii="Times New Roman" w:hAnsi="Times New Roman"/>
        </w:rPr>
        <w:t xml:space="preserve">Z 05.01 e Z 05.02 - </w:t>
      </w:r>
      <w:bookmarkStart w:id="30" w:name="_Toc492542325"/>
      <w:r w:rsidRPr="004B56A9">
        <w:rPr>
          <w:rFonts w:ascii="Times New Roman" w:hAnsi="Times New Roman"/>
        </w:rPr>
        <w:t>Controparti principali (MCP)</w:t>
      </w:r>
      <w:bookmarkEnd w:id="28"/>
      <w:bookmarkEnd w:id="30"/>
      <w:bookmarkEnd w:id="29"/>
    </w:p>
    <w:p w14:paraId="50E55A3F" w14:textId="77777777" w:rsidR="00BF5063" w:rsidRPr="004B56A9" w:rsidRDefault="00BF5063" w:rsidP="00715DAB">
      <w:pPr>
        <w:pStyle w:val="Instructionsberschrift3"/>
      </w:pPr>
      <w:r w:rsidRPr="004B56A9">
        <w:t>Osservazioni di carattere generale</w:t>
      </w:r>
    </w:p>
    <w:p w14:paraId="092BB6CB" w14:textId="436FDBB2" w:rsidR="00747EE2" w:rsidRPr="004B56A9" w:rsidRDefault="005B6B0C"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Questi modelli riuniscono informazioni sulle passività nei confronti delle controparti principali (Z 05.01) e sugli elementi fuori bilancio pervenuti dalle controparti principali (Z 05.02). Gli importi segnalati sono aggregati laddove appartengono alla stessa controparte e allo stesso tipo di passività o di elementi fuori bilancio.</w:t>
      </w:r>
    </w:p>
    <w:p w14:paraId="22339A3C" w14:textId="742143D0" w:rsidR="0056559D" w:rsidRPr="004B56A9" w:rsidRDefault="007B491F"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Le passività e gli elementi fuori bilancio </w:t>
      </w:r>
      <w:proofErr w:type="gramStart"/>
      <w:r w:rsidRPr="004B56A9">
        <w:rPr>
          <w:rFonts w:ascii="Times New Roman" w:hAnsi="Times New Roman"/>
          <w:sz w:val="20"/>
        </w:rPr>
        <w:t>in relazione ai</w:t>
      </w:r>
      <w:proofErr w:type="gramEnd"/>
      <w:r w:rsidRPr="004B56A9">
        <w:rPr>
          <w:rFonts w:ascii="Times New Roman" w:hAnsi="Times New Roman"/>
          <w:sz w:val="20"/>
        </w:rPr>
        <w:t xml:space="preserve"> quali non può essere individuata la controparte non sono segnalati in questi modelli. Le passività e gli elementi fuori bilancio </w:t>
      </w:r>
      <w:proofErr w:type="gramStart"/>
      <w:r w:rsidRPr="004B56A9">
        <w:rPr>
          <w:rFonts w:ascii="Times New Roman" w:hAnsi="Times New Roman"/>
          <w:sz w:val="20"/>
        </w:rPr>
        <w:t>in relazione ai</w:t>
      </w:r>
      <w:proofErr w:type="gramEnd"/>
      <w:r w:rsidRPr="004B56A9">
        <w:rPr>
          <w:rFonts w:ascii="Times New Roman" w:hAnsi="Times New Roman"/>
          <w:sz w:val="20"/>
        </w:rPr>
        <w:t xml:space="preserve"> quali la controparte è un’entità inclusa nel bilancio consolidato non sono segnalati.</w:t>
      </w:r>
    </w:p>
    <w:p w14:paraId="79CCD9A1" w14:textId="42399122" w:rsidR="00DF1EA4" w:rsidRPr="004B56A9" w:rsidRDefault="00F7117F" w:rsidP="00715DAB">
      <w:pPr>
        <w:pStyle w:val="Instructionsberschrift3"/>
      </w:pPr>
      <w:r w:rsidRPr="004B56A9">
        <w:t xml:space="preserve">Z 05.01 – Controparti principali delle passività: Istruzioni </w:t>
      </w:r>
      <w:proofErr w:type="gramStart"/>
      <w:r w:rsidRPr="004B56A9">
        <w:t>relative a</w:t>
      </w:r>
      <w:proofErr w:type="gramEnd"/>
      <w:r w:rsidRPr="004B56A9">
        <w:t xml:space="preserve"> posizioni specifiche</w:t>
      </w:r>
    </w:p>
    <w:p w14:paraId="39F42F68" w14:textId="1CBA5C0C" w:rsidR="00DF1EA4" w:rsidRPr="004B56A9" w:rsidRDefault="00DF1EA4"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La combinazione dei valori segnalati nelle colonne 0020 e 0060 di questo modello costituisce una chiave primaria che dev’essere unica per ciascuna riga del modello.</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4B56A9" w14:paraId="7EF9571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04952405" w14:textId="77777777" w:rsidR="007F5A56" w:rsidRPr="004B56A9" w:rsidRDefault="007F5A56" w:rsidP="00DF1EA4">
            <w:pPr>
              <w:pStyle w:val="TableParagraph"/>
              <w:spacing w:before="66"/>
              <w:rPr>
                <w:rFonts w:ascii="Times New Roman" w:eastAsia="Cambria" w:hAnsi="Times New Roman" w:cs="Times New Roman"/>
                <w:color w:val="000000" w:themeColor="text1"/>
                <w:sz w:val="20"/>
                <w:szCs w:val="20"/>
              </w:rPr>
            </w:pPr>
            <w:r w:rsidRPr="004B56A9">
              <w:rPr>
                <w:rFonts w:ascii="Times New Roman" w:hAnsi="Times New Roman"/>
                <w:color w:val="000000" w:themeColor="text1"/>
                <w:sz w:val="20"/>
              </w:rPr>
              <w:t>Colonne</w:t>
            </w:r>
          </w:p>
        </w:tc>
        <w:tc>
          <w:tcPr>
            <w:tcW w:w="8175" w:type="dxa"/>
            <w:tcBorders>
              <w:top w:val="single" w:sz="4" w:space="0" w:color="1A171C"/>
              <w:left w:val="single" w:sz="4" w:space="0" w:color="1A171C"/>
              <w:bottom w:val="single" w:sz="4" w:space="0" w:color="1A171C"/>
              <w:right w:val="nil"/>
            </w:tcBorders>
            <w:shd w:val="clear" w:color="auto" w:fill="E4E5E5"/>
          </w:tcPr>
          <w:p w14:paraId="689388F0" w14:textId="77777777" w:rsidR="007F5A56" w:rsidRPr="004B56A9"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4B56A9">
              <w:rPr>
                <w:rFonts w:ascii="Times New Roman" w:hAnsi="Times New Roman"/>
                <w:color w:val="000000" w:themeColor="text1"/>
                <w:spacing w:val="-1"/>
                <w:w w:val="90"/>
                <w:sz w:val="20"/>
              </w:rPr>
              <w:t>Istruzioni</w:t>
            </w:r>
          </w:p>
        </w:tc>
      </w:tr>
      <w:tr w:rsidR="00D22EB0" w:rsidRPr="004B56A9" w14:paraId="43172F8D" w14:textId="77777777" w:rsidTr="00DF1EA4">
        <w:tc>
          <w:tcPr>
            <w:tcW w:w="908" w:type="dxa"/>
            <w:tcBorders>
              <w:top w:val="single" w:sz="4" w:space="0" w:color="1A171C"/>
              <w:left w:val="nil"/>
              <w:bottom w:val="single" w:sz="4" w:space="0" w:color="1A171C"/>
              <w:right w:val="single" w:sz="4" w:space="0" w:color="1A171C"/>
            </w:tcBorders>
            <w:vAlign w:val="center"/>
          </w:tcPr>
          <w:p w14:paraId="4AB2BCE1" w14:textId="1E505B6E" w:rsidR="007F5A56" w:rsidRPr="004B56A9"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14:paraId="608A2FE4" w14:textId="77777777" w:rsidR="007F5A56" w:rsidRPr="004B56A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Controparte</w:t>
            </w:r>
          </w:p>
          <w:p w14:paraId="19D806F7" w14:textId="70C32136" w:rsidR="00550D93"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Informazioni sulla controparte principale </w:t>
            </w:r>
            <w:proofErr w:type="gramStart"/>
            <w:r w:rsidRPr="004B56A9">
              <w:rPr>
                <w:rFonts w:ascii="Times New Roman" w:hAnsi="Times New Roman"/>
                <w:color w:val="000000" w:themeColor="text1"/>
                <w:spacing w:val="-2"/>
                <w:w w:val="95"/>
                <w:sz w:val="20"/>
              </w:rPr>
              <w:t>in relazione alla</w:t>
            </w:r>
            <w:proofErr w:type="gramEnd"/>
            <w:r w:rsidRPr="004B56A9">
              <w:rPr>
                <w:rFonts w:ascii="Times New Roman" w:hAnsi="Times New Roman"/>
                <w:color w:val="000000" w:themeColor="text1"/>
                <w:spacing w:val="-2"/>
                <w:w w:val="95"/>
                <w:sz w:val="20"/>
              </w:rPr>
              <w:t xml:space="preserve"> quale sorge la passività. </w:t>
            </w:r>
          </w:p>
          <w:p w14:paraId="61BCF981" w14:textId="77777777" w:rsidR="004571D1"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 controparti principali sono individuate sommando gli importi in essere di tutte le passività dell’entità o del gruppo per cui è segnalato il modello, nei confronti di ciascuna controparte o gruppo di clienti connessi, escluse le passività nei confronti di entità incluse nel bilancio consolidato.</w:t>
            </w:r>
          </w:p>
          <w:p w14:paraId="7ED2136E" w14:textId="1F823877" w:rsidR="008744AF" w:rsidRPr="004B56A9"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controparti e i gruppi di controparti connesse sono poi classificati secondo l’importo in essere aggregato al fine di individuare le </w:t>
            </w:r>
            <w:proofErr w:type="gramStart"/>
            <w:r w:rsidRPr="004B56A9">
              <w:rPr>
                <w:rFonts w:ascii="Times New Roman" w:hAnsi="Times New Roman"/>
                <w:color w:val="000000" w:themeColor="text1"/>
                <w:spacing w:val="-2"/>
                <w:w w:val="95"/>
                <w:sz w:val="20"/>
              </w:rPr>
              <w:t>10</w:t>
            </w:r>
            <w:proofErr w:type="gramEnd"/>
            <w:r w:rsidRPr="004B56A9">
              <w:rPr>
                <w:rFonts w:ascii="Times New Roman" w:hAnsi="Times New Roman"/>
                <w:color w:val="000000" w:themeColor="text1"/>
                <w:spacing w:val="-2"/>
                <w:w w:val="95"/>
                <w:sz w:val="20"/>
              </w:rPr>
              <w:t xml:space="preserve"> principali controparti, per le quali sono fornite informazioni in questo modello.</w:t>
            </w:r>
          </w:p>
          <w:p w14:paraId="38609427" w14:textId="77777777" w:rsidR="00AD011A" w:rsidRPr="004B56A9"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055D887" w14:textId="5270C455" w:rsidR="00AD011A" w:rsidRPr="004B56A9"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 definizione di “gruppo di controparti connesse” segue la definizione di “gruppo di clienti connessi” di cui all’articolo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xml:space="preserve">, paragrafo 1, punto 39, del regolamento (UE) n. 575/2013. </w:t>
            </w:r>
          </w:p>
          <w:p w14:paraId="67298EBD" w14:textId="77777777" w:rsidR="00AD011A" w:rsidRPr="004B56A9"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604D975" w14:textId="0F938FA7" w:rsidR="007F5A56" w:rsidRPr="004B56A9" w:rsidRDefault="007F5A56" w:rsidP="004571D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Ai fini del presente modello, una controparte non può essere un’entità inclusa nel bilancio consolidato.</w:t>
            </w:r>
          </w:p>
        </w:tc>
      </w:tr>
      <w:tr w:rsidR="00D22EB0" w:rsidRPr="004B56A9" w14:paraId="024ACDD5" w14:textId="77777777" w:rsidTr="00DF1EA4">
        <w:tc>
          <w:tcPr>
            <w:tcW w:w="908" w:type="dxa"/>
            <w:tcBorders>
              <w:top w:val="single" w:sz="4" w:space="0" w:color="1A171C"/>
              <w:left w:val="nil"/>
              <w:bottom w:val="single" w:sz="4" w:space="0" w:color="1A171C"/>
              <w:right w:val="single" w:sz="4" w:space="0" w:color="1A171C"/>
            </w:tcBorders>
            <w:vAlign w:val="center"/>
          </w:tcPr>
          <w:p w14:paraId="78F1CCDD" w14:textId="1E7FAAC3"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14:paraId="038FD180" w14:textId="5C0B9651" w:rsidR="007F5A56" w:rsidRPr="004B56A9"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3F64C875" w14:textId="77777777" w:rsidR="007F5A56" w:rsidRPr="004B56A9" w:rsidRDefault="007F5A56" w:rsidP="007F5A56">
            <w:pPr>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nome della controparte principale o, se del caso, il nome di un gruppo di clienti connessi.</w:t>
            </w:r>
            <w:proofErr w:type="gramEnd"/>
          </w:p>
          <w:p w14:paraId="6F4D4486" w14:textId="5D61A4AC"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nome di un gruppo di clienti connessi è il nome della società madre oppure, se il gruppo di clienti connessi non ha una società madre, la denominazione commerciale del gruppo.</w:t>
            </w:r>
          </w:p>
        </w:tc>
      </w:tr>
      <w:tr w:rsidR="00D22EB0" w:rsidRPr="004B56A9" w14:paraId="3FCE4927" w14:textId="77777777" w:rsidTr="00DF1EA4">
        <w:tc>
          <w:tcPr>
            <w:tcW w:w="908" w:type="dxa"/>
            <w:tcBorders>
              <w:top w:val="single" w:sz="4" w:space="0" w:color="1A171C"/>
              <w:left w:val="nil"/>
              <w:bottom w:val="single" w:sz="4" w:space="0" w:color="1A171C"/>
              <w:right w:val="single" w:sz="4" w:space="0" w:color="1A171C"/>
            </w:tcBorders>
            <w:vAlign w:val="center"/>
          </w:tcPr>
          <w:p w14:paraId="44D1A84E" w14:textId="0EC9B3AC"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14:paraId="22DA6D97" w14:textId="77777777" w:rsidR="007F5A56" w:rsidRPr="004B56A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4ED5F2B7" w14:textId="6DB6ADB2" w:rsidR="005D56E3" w:rsidRPr="004B56A9"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della controparte principale o del gruppo di clienti connessi. Per gli enti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Per le altre entità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o, in sua mancanza, di un codice di un sistema di codifica uniforme applicabile nell’Unione ovvero, in sua mancanza, di un codice nazionale.</w:t>
            </w:r>
          </w:p>
          <w:p w14:paraId="0B8C8889" w14:textId="77777777" w:rsidR="005D56E3" w:rsidRPr="004B56A9"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è unico e utilizzato in modo coerente in tutti i modelli.</w:t>
            </w:r>
          </w:p>
          <w:p w14:paraId="3A328969" w14:textId="5953D0EB" w:rsidR="00BE2A9D" w:rsidRPr="004B56A9"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4B56A9" w14:paraId="3BAEB5BE" w14:textId="77777777" w:rsidTr="00DF1EA4">
        <w:tc>
          <w:tcPr>
            <w:tcW w:w="908" w:type="dxa"/>
            <w:tcBorders>
              <w:top w:val="single" w:sz="4" w:space="0" w:color="1A171C"/>
              <w:left w:val="nil"/>
              <w:bottom w:val="single" w:sz="4" w:space="0" w:color="1A171C"/>
              <w:right w:val="single" w:sz="4" w:space="0" w:color="1A171C"/>
            </w:tcBorders>
            <w:vAlign w:val="center"/>
          </w:tcPr>
          <w:p w14:paraId="5CE3CEF8" w14:textId="61D90256"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14:paraId="2DED6531" w14:textId="77777777" w:rsidR="007F5A56" w:rsidRPr="004B56A9"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Gruppo o singolo</w:t>
            </w:r>
          </w:p>
          <w:p w14:paraId="2A87ED7E" w14:textId="11DFB2CC" w:rsidR="007F5A56" w:rsidRPr="004B56A9" w:rsidRDefault="00BE2A9D" w:rsidP="00774595">
            <w:pPr>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L’ente indica “1” per le controparti principali singole e “2” per i gruppi di clienti connessi.</w:t>
            </w:r>
          </w:p>
        </w:tc>
      </w:tr>
      <w:tr w:rsidR="00D22EB0" w:rsidRPr="004B56A9" w14:paraId="43A8E58F" w14:textId="77777777" w:rsidTr="00DF1EA4">
        <w:tc>
          <w:tcPr>
            <w:tcW w:w="908" w:type="dxa"/>
            <w:tcBorders>
              <w:top w:val="single" w:sz="4" w:space="0" w:color="1A171C"/>
              <w:left w:val="nil"/>
              <w:bottom w:val="single" w:sz="4" w:space="0" w:color="1A171C"/>
              <w:right w:val="single" w:sz="4" w:space="0" w:color="1A171C"/>
            </w:tcBorders>
            <w:vAlign w:val="center"/>
          </w:tcPr>
          <w:p w14:paraId="2539F8F0" w14:textId="694A162E"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14:paraId="36F560D9" w14:textId="5C08D88F" w:rsidR="007F5A56" w:rsidRPr="004B56A9"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7E9141AA" w14:textId="51E63564" w:rsidR="007F5A56" w:rsidRPr="004B56A9"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ISO </w:t>
            </w:r>
            <w:proofErr w:type="gramStart"/>
            <w:r w:rsidRPr="004B56A9">
              <w:rPr>
                <w:rFonts w:ascii="Times New Roman" w:hAnsi="Times New Roman"/>
                <w:color w:val="000000" w:themeColor="text1"/>
                <w:spacing w:val="-2"/>
                <w:w w:val="95"/>
                <w:sz w:val="20"/>
              </w:rPr>
              <w:t>3166-1-alpha-2</w:t>
            </w:r>
            <w:proofErr w:type="gramEnd"/>
            <w:r w:rsidRPr="004B56A9">
              <w:rPr>
                <w:rFonts w:ascii="Times New Roman" w:hAnsi="Times New Roman"/>
                <w:color w:val="000000" w:themeColor="text1"/>
                <w:spacing w:val="-2"/>
                <w:w w:val="95"/>
                <w:sz w:val="20"/>
              </w:rPr>
              <w:t xml:space="preserve"> del paese di costituzione della controparte. Sono compresi gli pseudo-codici </w:t>
            </w:r>
            <w:r w:rsidRPr="004B56A9">
              <w:rPr>
                <w:rFonts w:ascii="Times New Roman" w:hAnsi="Times New Roman"/>
                <w:color w:val="000000" w:themeColor="text1"/>
                <w:spacing w:val="-2"/>
                <w:w w:val="95"/>
                <w:sz w:val="20"/>
              </w:rPr>
              <w:lastRenderedPageBreak/>
              <w:t xml:space="preserve">ISO per le organizzazioni internazionali, disponibili nell’ultima edizione del “Vademecum di Eurostat sulla bilancia dei pagamenti”. </w:t>
            </w:r>
          </w:p>
          <w:p w14:paraId="3C0FC297" w14:textId="5A68C482" w:rsidR="007F5A56" w:rsidRPr="004B56A9"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paese è determinato </w:t>
            </w:r>
            <w:proofErr w:type="gramStart"/>
            <w:r w:rsidRPr="004B56A9">
              <w:rPr>
                <w:rFonts w:ascii="Times New Roman" w:hAnsi="Times New Roman"/>
                <w:color w:val="000000" w:themeColor="text1"/>
                <w:spacing w:val="-2"/>
                <w:w w:val="95"/>
                <w:sz w:val="20"/>
              </w:rPr>
              <w:t>in</w:t>
            </w:r>
            <w:proofErr w:type="gramEnd"/>
            <w:r w:rsidRPr="004B56A9">
              <w:rPr>
                <w:rFonts w:ascii="Times New Roman" w:hAnsi="Times New Roman"/>
                <w:color w:val="000000" w:themeColor="text1"/>
                <w:spacing w:val="-2"/>
                <w:w w:val="95"/>
                <w:sz w:val="20"/>
              </w:rPr>
              <w:t xml:space="preserve"> riferimento alla sede legale della controparte. </w:t>
            </w:r>
            <w:proofErr w:type="gramStart"/>
            <w:r w:rsidRPr="004B56A9">
              <w:rPr>
                <w:rFonts w:ascii="Times New Roman" w:hAnsi="Times New Roman"/>
                <w:color w:val="000000" w:themeColor="text1"/>
                <w:spacing w:val="-2"/>
                <w:w w:val="95"/>
                <w:sz w:val="20"/>
              </w:rPr>
              <w:t>Per i gruppi di clienti connessi, il paese di costituzione della società madre</w:t>
            </w:r>
            <w:proofErr w:type="gramEnd"/>
            <w:r w:rsidRPr="004B56A9">
              <w:rPr>
                <w:rFonts w:ascii="Times New Roman" w:hAnsi="Times New Roman"/>
                <w:color w:val="000000" w:themeColor="text1"/>
                <w:spacing w:val="-2"/>
                <w:w w:val="95"/>
                <w:sz w:val="20"/>
              </w:rPr>
              <w:t xml:space="preserve">. </w:t>
            </w:r>
          </w:p>
        </w:tc>
      </w:tr>
      <w:tr w:rsidR="00D22EB0" w:rsidRPr="004B56A9" w14:paraId="6C0D97EC" w14:textId="77777777" w:rsidTr="00DF1EA4">
        <w:tc>
          <w:tcPr>
            <w:tcW w:w="908" w:type="dxa"/>
            <w:tcBorders>
              <w:top w:val="single" w:sz="4" w:space="0" w:color="1A171C"/>
              <w:left w:val="nil"/>
              <w:bottom w:val="single" w:sz="4" w:space="0" w:color="1A171C"/>
              <w:right w:val="single" w:sz="4" w:space="0" w:color="1A171C"/>
            </w:tcBorders>
            <w:vAlign w:val="center"/>
          </w:tcPr>
          <w:p w14:paraId="61A3AAD3" w14:textId="31F33474"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0050</w:t>
            </w:r>
          </w:p>
        </w:tc>
        <w:tc>
          <w:tcPr>
            <w:tcW w:w="8175" w:type="dxa"/>
            <w:tcBorders>
              <w:top w:val="single" w:sz="4" w:space="0" w:color="1A171C"/>
              <w:left w:val="single" w:sz="4" w:space="0" w:color="1A171C"/>
              <w:bottom w:val="single" w:sz="4" w:space="0" w:color="1A171C"/>
              <w:right w:val="nil"/>
            </w:tcBorders>
            <w:vAlign w:val="center"/>
          </w:tcPr>
          <w:p w14:paraId="48BBBE7F" w14:textId="77777777" w:rsidR="007F5A56" w:rsidRPr="004B56A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Settore</w:t>
            </w:r>
          </w:p>
          <w:p w14:paraId="6587ED38" w14:textId="45D76174" w:rsidR="007F5A56" w:rsidRPr="004B56A9"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 ogni controparte </w:t>
            </w:r>
            <w:proofErr w:type="gramStart"/>
            <w:r w:rsidRPr="004B56A9">
              <w:rPr>
                <w:rFonts w:ascii="Times New Roman" w:hAnsi="Times New Roman"/>
                <w:color w:val="000000" w:themeColor="text1"/>
                <w:spacing w:val="-2"/>
                <w:w w:val="95"/>
                <w:sz w:val="20"/>
              </w:rPr>
              <w:t>viene</w:t>
            </w:r>
            <w:proofErr w:type="gramEnd"/>
            <w:r w:rsidRPr="004B56A9">
              <w:rPr>
                <w:rFonts w:ascii="Times New Roman" w:hAnsi="Times New Roman"/>
                <w:color w:val="000000" w:themeColor="text1"/>
                <w:spacing w:val="-2"/>
                <w:w w:val="95"/>
                <w:sz w:val="20"/>
              </w:rPr>
              <w:t xml:space="preserve"> attribuito un settore sulla base della classificazione dei settori economici FINREP (FINREP, allegato V, parte 1, capitolo 6):</w:t>
            </w:r>
          </w:p>
          <w:p w14:paraId="6FED55D0" w14:textId="29A2471E" w:rsidR="00774595" w:rsidRPr="004B56A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banche centrali</w:t>
            </w:r>
          </w:p>
          <w:p w14:paraId="6ED92BA1" w14:textId="276461E1" w:rsidR="007F5A56" w:rsidRPr="004B56A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amministrazioni</w:t>
            </w:r>
            <w:proofErr w:type="gramEnd"/>
            <w:r w:rsidRPr="004B56A9">
              <w:rPr>
                <w:rFonts w:ascii="Times New Roman" w:hAnsi="Times New Roman"/>
                <w:color w:val="000000" w:themeColor="text1"/>
                <w:spacing w:val="-2"/>
                <w:w w:val="95"/>
                <w:sz w:val="20"/>
              </w:rPr>
              <w:t xml:space="preserve"> pubbliche</w:t>
            </w:r>
          </w:p>
          <w:p w14:paraId="140DCCAD" w14:textId="4B5D2852" w:rsidR="007F5A56" w:rsidRPr="004B56A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enti creditizi </w:t>
            </w:r>
          </w:p>
          <w:p w14:paraId="7071C769" w14:textId="774226E2" w:rsidR="007F5A56" w:rsidRPr="004B56A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altre</w:t>
            </w:r>
            <w:proofErr w:type="gramEnd"/>
            <w:r w:rsidRPr="004B56A9">
              <w:rPr>
                <w:rFonts w:ascii="Times New Roman" w:hAnsi="Times New Roman"/>
                <w:color w:val="000000" w:themeColor="text1"/>
                <w:spacing w:val="-2"/>
                <w:w w:val="95"/>
                <w:sz w:val="20"/>
              </w:rPr>
              <w:t xml:space="preserve"> società finanziarie</w:t>
            </w:r>
          </w:p>
          <w:p w14:paraId="78CCE8DB" w14:textId="4344BBC1" w:rsidR="007F5A56" w:rsidRPr="004B56A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società</w:t>
            </w:r>
            <w:proofErr w:type="gramEnd"/>
            <w:r w:rsidRPr="004B56A9">
              <w:rPr>
                <w:rFonts w:ascii="Times New Roman" w:hAnsi="Times New Roman"/>
                <w:color w:val="000000" w:themeColor="text1"/>
                <w:spacing w:val="-2"/>
                <w:w w:val="95"/>
                <w:sz w:val="20"/>
              </w:rPr>
              <w:t xml:space="preserve"> non finanziarie</w:t>
            </w:r>
          </w:p>
          <w:p w14:paraId="00D0F613" w14:textId="3889D139" w:rsidR="007F5A56" w:rsidRPr="004B56A9"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famiglie</w:t>
            </w:r>
            <w:proofErr w:type="gramEnd"/>
          </w:p>
          <w:p w14:paraId="5EDD54DD" w14:textId="1A2C4CE7" w:rsidR="007F5A56" w:rsidRPr="004B56A9"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Per i gruppi di clienti connessi non è segnalato nessun settore.</w:t>
            </w:r>
          </w:p>
        </w:tc>
      </w:tr>
      <w:tr w:rsidR="00D22EB0" w:rsidRPr="004B56A9" w14:paraId="1E88535F" w14:textId="77777777" w:rsidTr="00DF1EA4">
        <w:tc>
          <w:tcPr>
            <w:tcW w:w="908" w:type="dxa"/>
            <w:tcBorders>
              <w:top w:val="single" w:sz="4" w:space="0" w:color="1A171C"/>
              <w:left w:val="nil"/>
              <w:bottom w:val="single" w:sz="4" w:space="0" w:color="1A171C"/>
              <w:right w:val="single" w:sz="4" w:space="0" w:color="1A171C"/>
            </w:tcBorders>
            <w:vAlign w:val="center"/>
          </w:tcPr>
          <w:p w14:paraId="373F4A6E" w14:textId="7986262E"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14:paraId="39BFE2EA" w14:textId="77777777" w:rsidR="007F5A56" w:rsidRPr="004B56A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Tipo</w:t>
            </w:r>
          </w:p>
          <w:p w14:paraId="117110D7" w14:textId="17461C60" w:rsidR="007F5A56" w:rsidRPr="004B56A9"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tipo di passività è uno dei </w:t>
            </w:r>
            <w:proofErr w:type="gramStart"/>
            <w:r w:rsidRPr="004B56A9">
              <w:rPr>
                <w:rFonts w:ascii="Times New Roman" w:hAnsi="Times New Roman"/>
                <w:color w:val="000000" w:themeColor="text1"/>
                <w:spacing w:val="-2"/>
                <w:w w:val="95"/>
                <w:sz w:val="20"/>
              </w:rPr>
              <w:t>tipi</w:t>
            </w:r>
            <w:proofErr w:type="gramEnd"/>
            <w:r w:rsidRPr="004B56A9">
              <w:rPr>
                <w:rFonts w:ascii="Times New Roman" w:hAnsi="Times New Roman"/>
                <w:color w:val="000000" w:themeColor="text1"/>
                <w:spacing w:val="-2"/>
                <w:w w:val="95"/>
                <w:sz w:val="20"/>
              </w:rPr>
              <w:t xml:space="preserve"> riportati nel modello Z 02.00 - Struttura delle passività (LIAB), ossia:</w:t>
            </w:r>
          </w:p>
          <w:p w14:paraId="399FB5D0" w14:textId="4A40197C"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L.0</w:t>
            </w:r>
            <w:r w:rsidRPr="004B56A9">
              <w:tab/>
            </w:r>
            <w:r w:rsidRPr="004B56A9">
              <w:rPr>
                <w:rFonts w:ascii="Times New Roman" w:hAnsi="Times New Roman"/>
                <w:color w:val="000000" w:themeColor="text1"/>
                <w:spacing w:val="-2"/>
                <w:w w:val="95"/>
                <w:sz w:val="20"/>
              </w:rPr>
              <w:t>Passività escluse dal bail-in</w:t>
            </w:r>
          </w:p>
          <w:p w14:paraId="3F0EBEC2" w14:textId="090FB39F"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L.1</w:t>
            </w:r>
            <w:r w:rsidRPr="004B56A9">
              <w:tab/>
            </w:r>
            <w:r w:rsidRPr="004B56A9">
              <w:rPr>
                <w:rFonts w:ascii="Times New Roman" w:hAnsi="Times New Roman"/>
                <w:color w:val="000000" w:themeColor="text1"/>
                <w:spacing w:val="-2"/>
                <w:w w:val="95"/>
                <w:sz w:val="20"/>
              </w:rPr>
              <w:t>Depositi, non protetti ma preferenziali</w:t>
            </w:r>
          </w:p>
          <w:p w14:paraId="33B8FC48" w14:textId="3FFB98C6"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L.2.</w:t>
            </w:r>
            <w:r w:rsidRPr="004B56A9">
              <w:tab/>
            </w:r>
            <w:r w:rsidRPr="004B56A9">
              <w:rPr>
                <w:rFonts w:ascii="Times New Roman" w:hAnsi="Times New Roman"/>
                <w:color w:val="000000" w:themeColor="text1"/>
                <w:spacing w:val="-2"/>
                <w:w w:val="95"/>
                <w:sz w:val="20"/>
              </w:rPr>
              <w:t>Depositi, non protetti e non preferenziali</w:t>
            </w:r>
          </w:p>
          <w:p w14:paraId="5AB32DE5" w14:textId="2014A997"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L.3</w:t>
            </w:r>
            <w:r w:rsidRPr="004B56A9">
              <w:tab/>
            </w:r>
            <w:r w:rsidRPr="004B56A9">
              <w:rPr>
                <w:rFonts w:ascii="Times New Roman" w:hAnsi="Times New Roman"/>
                <w:color w:val="000000" w:themeColor="text1"/>
                <w:spacing w:val="-2"/>
                <w:w w:val="95"/>
                <w:sz w:val="20"/>
              </w:rPr>
              <w:t>Passività risultanti da derivati</w:t>
            </w:r>
          </w:p>
          <w:p w14:paraId="26F49EEE" w14:textId="0C56FFD6"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L.4</w:t>
            </w:r>
            <w:r w:rsidRPr="004B56A9">
              <w:tab/>
            </w:r>
            <w:r w:rsidRPr="004B56A9">
              <w:rPr>
                <w:rFonts w:ascii="Times New Roman" w:hAnsi="Times New Roman"/>
                <w:color w:val="000000" w:themeColor="text1"/>
                <w:spacing w:val="-2"/>
                <w:w w:val="95"/>
                <w:sz w:val="20"/>
              </w:rPr>
              <w:t xml:space="preserve">Passività garantite non coperte da garanzia </w:t>
            </w:r>
            <w:proofErr w:type="gramStart"/>
            <w:r w:rsidRPr="004B56A9">
              <w:rPr>
                <w:rFonts w:ascii="Times New Roman" w:hAnsi="Times New Roman"/>
                <w:color w:val="000000" w:themeColor="text1"/>
                <w:spacing w:val="-2"/>
                <w:w w:val="95"/>
                <w:sz w:val="20"/>
              </w:rPr>
              <w:t>reale</w:t>
            </w:r>
            <w:proofErr w:type="gramEnd"/>
          </w:p>
          <w:p w14:paraId="1181EA27" w14:textId="1AE3FFBC"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L.5</w:t>
            </w:r>
            <w:r w:rsidRPr="004B56A9">
              <w:tab/>
            </w:r>
            <w:r w:rsidRPr="004B56A9">
              <w:rPr>
                <w:rFonts w:ascii="Times New Roman" w:hAnsi="Times New Roman"/>
                <w:color w:val="000000" w:themeColor="text1"/>
                <w:spacing w:val="-2"/>
                <w:w w:val="95"/>
                <w:sz w:val="20"/>
              </w:rPr>
              <w:t>Obbligazioni strutturate</w:t>
            </w:r>
          </w:p>
          <w:p w14:paraId="40009DE7" w14:textId="7B990919"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L.6</w:t>
            </w:r>
            <w:r w:rsidRPr="004B56A9">
              <w:tab/>
            </w:r>
            <w:r w:rsidRPr="004B56A9">
              <w:rPr>
                <w:rFonts w:ascii="Times New Roman" w:hAnsi="Times New Roman"/>
                <w:color w:val="000000" w:themeColor="text1"/>
                <w:spacing w:val="-2"/>
                <w:w w:val="95"/>
                <w:sz w:val="20"/>
              </w:rPr>
              <w:t xml:space="preserve">Passività di primo rango (senior) non </w:t>
            </w:r>
            <w:proofErr w:type="gramStart"/>
            <w:r w:rsidRPr="004B56A9">
              <w:rPr>
                <w:rFonts w:ascii="Times New Roman" w:hAnsi="Times New Roman"/>
                <w:color w:val="000000" w:themeColor="text1"/>
                <w:spacing w:val="-2"/>
                <w:w w:val="95"/>
                <w:sz w:val="20"/>
              </w:rPr>
              <w:t>garantite</w:t>
            </w:r>
            <w:proofErr w:type="gramEnd"/>
          </w:p>
          <w:p w14:paraId="38FEF78C" w14:textId="43F22345" w:rsidR="00306CCC" w:rsidRPr="004B56A9"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L.7</w:t>
            </w:r>
            <w:r w:rsidR="00D802D7" w:rsidRPr="004B56A9">
              <w:tab/>
            </w:r>
            <w:r w:rsidRPr="004B56A9">
              <w:rPr>
                <w:rFonts w:ascii="Times New Roman" w:hAnsi="Times New Roman"/>
                <w:color w:val="000000" w:themeColor="text1"/>
                <w:spacing w:val="-2"/>
                <w:w w:val="95"/>
                <w:sz w:val="20"/>
              </w:rPr>
              <w:t xml:space="preserve">Passività di primo rango (senior) non </w:t>
            </w:r>
            <w:proofErr w:type="gramStart"/>
            <w:r w:rsidRPr="004B56A9">
              <w:rPr>
                <w:rFonts w:ascii="Times New Roman" w:hAnsi="Times New Roman"/>
                <w:color w:val="000000" w:themeColor="text1"/>
                <w:spacing w:val="-2"/>
                <w:w w:val="95"/>
                <w:sz w:val="20"/>
              </w:rPr>
              <w:t>privilegiate</w:t>
            </w:r>
            <w:proofErr w:type="gramEnd"/>
          </w:p>
          <w:p w14:paraId="72B6888C" w14:textId="6CB2F31F"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L.8</w:t>
            </w:r>
            <w:r w:rsidRPr="004B56A9">
              <w:tab/>
            </w:r>
            <w:r w:rsidRPr="004B56A9">
              <w:rPr>
                <w:rFonts w:ascii="Times New Roman" w:hAnsi="Times New Roman"/>
                <w:color w:val="000000" w:themeColor="text1"/>
                <w:spacing w:val="-2"/>
                <w:w w:val="95"/>
                <w:sz w:val="20"/>
              </w:rPr>
              <w:t>Passività subordinate (non riconosciute come fondi propri</w:t>
            </w:r>
            <w:proofErr w:type="gramStart"/>
            <w:r w:rsidRPr="004B56A9">
              <w:rPr>
                <w:rFonts w:ascii="Times New Roman" w:hAnsi="Times New Roman"/>
                <w:color w:val="000000" w:themeColor="text1"/>
                <w:spacing w:val="-2"/>
                <w:w w:val="95"/>
                <w:sz w:val="20"/>
              </w:rPr>
              <w:t>)</w:t>
            </w:r>
            <w:proofErr w:type="gramEnd"/>
          </w:p>
          <w:p w14:paraId="5FA156B2" w14:textId="662B6358"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L.9</w:t>
            </w:r>
            <w:r w:rsidRPr="004B56A9">
              <w:tab/>
            </w:r>
            <w:r w:rsidRPr="004B56A9">
              <w:rPr>
                <w:rFonts w:ascii="Times New Roman" w:hAnsi="Times New Roman"/>
                <w:color w:val="000000" w:themeColor="text1"/>
                <w:spacing w:val="-2"/>
                <w:w w:val="95"/>
                <w:sz w:val="20"/>
              </w:rPr>
              <w:t>Altre passività ammissibili al MREL</w:t>
            </w:r>
          </w:p>
          <w:p w14:paraId="4B87E3D3" w14:textId="022F6271" w:rsidR="007F5A56" w:rsidRPr="004B56A9"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L.10</w:t>
            </w:r>
            <w:r w:rsidRPr="004B56A9">
              <w:tab/>
            </w:r>
            <w:r w:rsidRPr="004B56A9">
              <w:rPr>
                <w:rFonts w:ascii="Times New Roman" w:hAnsi="Times New Roman"/>
                <w:color w:val="000000" w:themeColor="text1"/>
                <w:spacing w:val="-2"/>
                <w:w w:val="95"/>
                <w:sz w:val="20"/>
              </w:rPr>
              <w:t>Passività non finanziarie</w:t>
            </w:r>
          </w:p>
          <w:p w14:paraId="3670F019" w14:textId="119114F9" w:rsidR="00C9331A" w:rsidRPr="004B56A9"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L.11</w:t>
            </w:r>
            <w:r w:rsidRPr="004B56A9">
              <w:tab/>
            </w:r>
            <w:r w:rsidRPr="004B56A9">
              <w:rPr>
                <w:rFonts w:ascii="Times New Roman" w:hAnsi="Times New Roman"/>
                <w:color w:val="000000" w:themeColor="text1"/>
                <w:spacing w:val="-2"/>
                <w:w w:val="95"/>
                <w:sz w:val="20"/>
              </w:rPr>
              <w:t>Altre passività</w:t>
            </w:r>
          </w:p>
          <w:p w14:paraId="12172F90" w14:textId="42586A85" w:rsidR="007F5A56" w:rsidRPr="004B56A9" w:rsidRDefault="00C9331A" w:rsidP="009B516A">
            <w:pPr>
              <w:pStyle w:val="TableParagraph"/>
              <w:spacing w:before="108"/>
              <w:ind w:left="85"/>
              <w:jc w:val="both"/>
              <w:rPr>
                <w:rFonts w:ascii="Times New Roman" w:hAnsi="Times New Roman" w:cs="Times New Roman"/>
                <w:color w:val="000000" w:themeColor="text1"/>
                <w:w w:val="95"/>
                <w:sz w:val="20"/>
                <w:szCs w:val="20"/>
              </w:rPr>
            </w:pPr>
            <w:r w:rsidRPr="004B56A9">
              <w:rPr>
                <w:rFonts w:ascii="Times New Roman" w:hAnsi="Times New Roman"/>
                <w:color w:val="000000" w:themeColor="text1"/>
                <w:spacing w:val="-2"/>
                <w:w w:val="95"/>
                <w:sz w:val="20"/>
              </w:rPr>
              <w:t xml:space="preserve">Se le passività nei confronti di una controparte principale sono costituite da più di uno dei summenzionati tipi, ciascun </w:t>
            </w:r>
            <w:proofErr w:type="gramStart"/>
            <w:r w:rsidRPr="004B56A9">
              <w:rPr>
                <w:rFonts w:ascii="Times New Roman" w:hAnsi="Times New Roman"/>
                <w:color w:val="000000" w:themeColor="text1"/>
                <w:spacing w:val="-2"/>
                <w:w w:val="95"/>
                <w:sz w:val="20"/>
              </w:rPr>
              <w:t>tipo</w:t>
            </w:r>
            <w:proofErr w:type="gramEnd"/>
            <w:r w:rsidRPr="004B56A9">
              <w:rPr>
                <w:rFonts w:ascii="Times New Roman" w:hAnsi="Times New Roman"/>
                <w:color w:val="000000" w:themeColor="text1"/>
                <w:spacing w:val="-2"/>
                <w:w w:val="95"/>
                <w:sz w:val="20"/>
              </w:rPr>
              <w:t xml:space="preserve"> di passività è segnalato in una riga distinta.</w:t>
            </w:r>
          </w:p>
        </w:tc>
      </w:tr>
      <w:tr w:rsidR="00D22EB0" w:rsidRPr="004B56A9" w14:paraId="2FD44A08" w14:textId="77777777" w:rsidTr="00DF1EA4">
        <w:tc>
          <w:tcPr>
            <w:tcW w:w="908" w:type="dxa"/>
            <w:tcBorders>
              <w:top w:val="single" w:sz="4" w:space="0" w:color="1A171C"/>
              <w:left w:val="nil"/>
              <w:bottom w:val="single" w:sz="4" w:space="0" w:color="1A171C"/>
              <w:right w:val="single" w:sz="4" w:space="0" w:color="1A171C"/>
            </w:tcBorders>
            <w:vAlign w:val="center"/>
          </w:tcPr>
          <w:p w14:paraId="6525FB48" w14:textId="7136AC2E" w:rsidR="007F5A56" w:rsidRPr="004B56A9"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14:paraId="4646CEE0" w14:textId="77777777" w:rsidR="007F5A56" w:rsidRPr="004B56A9"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Importo</w:t>
            </w:r>
          </w:p>
          <w:p w14:paraId="7D25D7CA" w14:textId="6AC1BB30" w:rsidR="007F5A56" w:rsidRPr="004B56A9" w:rsidRDefault="007F5A56" w:rsidP="0055296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risponde alla definizione di “</w:t>
            </w:r>
            <w:proofErr w:type="gramStart"/>
            <w:r w:rsidRPr="004B56A9">
              <w:rPr>
                <w:rFonts w:ascii="Times New Roman" w:hAnsi="Times New Roman"/>
                <w:color w:val="000000" w:themeColor="text1"/>
                <w:spacing w:val="-2"/>
                <w:w w:val="95"/>
                <w:sz w:val="20"/>
              </w:rPr>
              <w:t>importo</w:t>
            </w:r>
            <w:proofErr w:type="gramEnd"/>
            <w:r w:rsidRPr="004B56A9">
              <w:rPr>
                <w:rFonts w:ascii="Times New Roman" w:hAnsi="Times New Roman"/>
                <w:color w:val="000000" w:themeColor="text1"/>
                <w:spacing w:val="-2"/>
                <w:w w:val="95"/>
                <w:sz w:val="20"/>
              </w:rPr>
              <w:t xml:space="preserve"> in essere” di cui al modello Z 0</w:t>
            </w:r>
            <w:r w:rsidR="0055296A" w:rsidRPr="004B56A9">
              <w:rPr>
                <w:rFonts w:ascii="Times New Roman" w:hAnsi="Times New Roman"/>
                <w:color w:val="000000" w:themeColor="text1"/>
                <w:spacing w:val="-2"/>
                <w:w w:val="95"/>
                <w:sz w:val="20"/>
              </w:rPr>
              <w:t>2</w:t>
            </w:r>
            <w:r w:rsidRPr="004B56A9">
              <w:rPr>
                <w:rFonts w:ascii="Times New Roman" w:hAnsi="Times New Roman"/>
                <w:color w:val="000000" w:themeColor="text1"/>
                <w:spacing w:val="-2"/>
                <w:w w:val="95"/>
                <w:sz w:val="20"/>
              </w:rPr>
              <w:t>.00 - Struttura delle passività. Nel caso delle passività risultanti da derivati (tipo L.3), sono segnalati gli importi del close-out come definiti ai fini della riga 0333 del modello Z 02.00.</w:t>
            </w:r>
          </w:p>
        </w:tc>
      </w:tr>
    </w:tbl>
    <w:p w14:paraId="376D88BD" w14:textId="77777777" w:rsidR="00627D51" w:rsidRPr="004B56A9" w:rsidRDefault="00627D51" w:rsidP="007F5A56">
      <w:pPr>
        <w:pStyle w:val="body"/>
        <w:rPr>
          <w:rFonts w:ascii="Times New Roman" w:hAnsi="Times New Roman" w:cs="Times New Roman"/>
          <w:color w:val="000000" w:themeColor="text1"/>
          <w:sz w:val="20"/>
          <w:szCs w:val="20"/>
        </w:rPr>
      </w:pPr>
    </w:p>
    <w:p w14:paraId="70EBEFB4" w14:textId="6C22777A" w:rsidR="005A6A04" w:rsidRPr="004B56A9" w:rsidRDefault="00F7117F" w:rsidP="00715DAB">
      <w:pPr>
        <w:pStyle w:val="Instructionsberschrift3"/>
      </w:pPr>
      <w:r w:rsidRPr="004B56A9">
        <w:t xml:space="preserve">Z 05.02 – Controparti principali degli elementi fuori bilancio: Istruzioni </w:t>
      </w:r>
      <w:proofErr w:type="gramStart"/>
      <w:r w:rsidRPr="004B56A9">
        <w:t>relative a</w:t>
      </w:r>
      <w:proofErr w:type="gramEnd"/>
      <w:r w:rsidRPr="004B56A9">
        <w:t xml:space="preserve"> posizioni specifiche</w:t>
      </w:r>
    </w:p>
    <w:p w14:paraId="0394F6C7" w14:textId="4C962026" w:rsidR="0056559D" w:rsidRPr="004B56A9" w:rsidRDefault="005A6A04" w:rsidP="00B20A53">
      <w:pPr>
        <w:pStyle w:val="InstructionsText2"/>
        <w:numPr>
          <w:ilvl w:val="0"/>
          <w:numId w:val="29"/>
        </w:numPr>
        <w:spacing w:before="0" w:after="1080"/>
        <w:ind w:left="714" w:hanging="357"/>
        <w:rPr>
          <w:rFonts w:ascii="Times New Roman" w:hAnsi="Times New Roman" w:cs="Times New Roman"/>
          <w:sz w:val="20"/>
          <w:szCs w:val="20"/>
        </w:rPr>
      </w:pPr>
      <w:r w:rsidRPr="004B56A9">
        <w:rPr>
          <w:rFonts w:ascii="Times New Roman" w:hAnsi="Times New Roman"/>
          <w:sz w:val="20"/>
        </w:rPr>
        <w:t xml:space="preserve">La combinazione dei valori segnalati nelle colonne </w:t>
      </w:r>
      <w:r w:rsidR="0055296A" w:rsidRPr="004B56A9">
        <w:rPr>
          <w:rFonts w:ascii="Times New Roman" w:hAnsi="Times New Roman"/>
          <w:sz w:val="20"/>
        </w:rPr>
        <w:t>0</w:t>
      </w:r>
      <w:r w:rsidRPr="004B56A9">
        <w:rPr>
          <w:rFonts w:ascii="Times New Roman" w:hAnsi="Times New Roman"/>
          <w:sz w:val="20"/>
        </w:rPr>
        <w:t xml:space="preserve">020 e </w:t>
      </w:r>
      <w:r w:rsidR="0055296A" w:rsidRPr="004B56A9">
        <w:rPr>
          <w:rFonts w:ascii="Times New Roman" w:hAnsi="Times New Roman"/>
          <w:sz w:val="20"/>
        </w:rPr>
        <w:t>0</w:t>
      </w:r>
      <w:r w:rsidRPr="004B56A9">
        <w:rPr>
          <w:rFonts w:ascii="Times New Roman" w:hAnsi="Times New Roman"/>
          <w:sz w:val="20"/>
        </w:rPr>
        <w:t>060 di questo modello costituisce una chiave primaria che dev’essere unica per ciascuna riga del modello.</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4B56A9" w14:paraId="11D9480E"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2805E3E3" w14:textId="77777777" w:rsidR="00627D51" w:rsidRPr="004B56A9"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Colonne</w:t>
            </w:r>
          </w:p>
        </w:tc>
        <w:tc>
          <w:tcPr>
            <w:tcW w:w="8174" w:type="dxa"/>
            <w:tcBorders>
              <w:top w:val="single" w:sz="4" w:space="0" w:color="1A171C"/>
              <w:left w:val="single" w:sz="4" w:space="0" w:color="1A171C"/>
              <w:bottom w:val="single" w:sz="4" w:space="0" w:color="1A171C"/>
              <w:right w:val="nil"/>
            </w:tcBorders>
            <w:shd w:val="clear" w:color="auto" w:fill="E4E5E5"/>
          </w:tcPr>
          <w:p w14:paraId="05045263" w14:textId="77777777" w:rsidR="00627D51" w:rsidRPr="004B56A9"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6B6DE35C" w14:textId="77777777" w:rsidTr="005A6A04">
        <w:tc>
          <w:tcPr>
            <w:tcW w:w="909" w:type="dxa"/>
            <w:tcBorders>
              <w:top w:val="single" w:sz="4" w:space="0" w:color="1A171C"/>
              <w:left w:val="nil"/>
              <w:bottom w:val="single" w:sz="4" w:space="0" w:color="1A171C"/>
              <w:right w:val="single" w:sz="4" w:space="0" w:color="1A171C"/>
            </w:tcBorders>
            <w:vAlign w:val="center"/>
          </w:tcPr>
          <w:p w14:paraId="35839D4F" w14:textId="746EE9AF" w:rsidR="00627D51" w:rsidRPr="004B56A9"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14:paraId="169D5328" w14:textId="77777777" w:rsidR="00627D51" w:rsidRPr="004B56A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Controparti</w:t>
            </w:r>
          </w:p>
          <w:p w14:paraId="3FC7A4B4" w14:textId="03CBF6DC" w:rsidR="00627D51" w:rsidRPr="004B56A9"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Informazioni sull</w:t>
            </w:r>
            <w:r w:rsidR="0055296A" w:rsidRPr="004B56A9">
              <w:rPr>
                <w:rFonts w:ascii="Times New Roman" w:hAnsi="Times New Roman"/>
                <w:color w:val="000000" w:themeColor="text1"/>
                <w:spacing w:val="-2"/>
                <w:w w:val="95"/>
                <w:sz w:val="20"/>
              </w:rPr>
              <w:t>e</w:t>
            </w:r>
            <w:r w:rsidRPr="004B56A9">
              <w:rPr>
                <w:rFonts w:ascii="Times New Roman" w:hAnsi="Times New Roman"/>
                <w:color w:val="000000" w:themeColor="text1"/>
                <w:spacing w:val="-2"/>
                <w:w w:val="95"/>
                <w:sz w:val="20"/>
              </w:rPr>
              <w:t xml:space="preserve"> contropart</w:t>
            </w:r>
            <w:r w:rsidR="0055296A" w:rsidRPr="004B56A9">
              <w:rPr>
                <w:rFonts w:ascii="Times New Roman" w:hAnsi="Times New Roman"/>
                <w:color w:val="000000" w:themeColor="text1"/>
                <w:spacing w:val="-2"/>
                <w:w w:val="95"/>
                <w:sz w:val="20"/>
              </w:rPr>
              <w:t>i</w:t>
            </w:r>
            <w:r w:rsidRPr="004B56A9">
              <w:rPr>
                <w:rFonts w:ascii="Times New Roman" w:hAnsi="Times New Roman"/>
                <w:color w:val="000000" w:themeColor="text1"/>
                <w:spacing w:val="-2"/>
                <w:w w:val="95"/>
                <w:sz w:val="20"/>
              </w:rPr>
              <w:t xml:space="preserve"> principal</w:t>
            </w:r>
            <w:r w:rsidR="0055296A" w:rsidRPr="004B56A9">
              <w:rPr>
                <w:rFonts w:ascii="Times New Roman" w:hAnsi="Times New Roman"/>
                <w:color w:val="000000" w:themeColor="text1"/>
                <w:spacing w:val="-2"/>
                <w:w w:val="95"/>
                <w:sz w:val="20"/>
              </w:rPr>
              <w:t>i</w:t>
            </w:r>
            <w:r w:rsidRPr="004B56A9">
              <w:rPr>
                <w:rFonts w:ascii="Times New Roman" w:hAnsi="Times New Roman"/>
                <w:color w:val="000000" w:themeColor="text1"/>
                <w:spacing w:val="-2"/>
                <w:w w:val="95"/>
                <w:sz w:val="20"/>
              </w:rPr>
              <w:t xml:space="preserve"> degli elementi fuori bilancio.</w:t>
            </w:r>
          </w:p>
          <w:p w14:paraId="2C8BD809" w14:textId="3FB4F1BF" w:rsidR="00627D51" w:rsidRPr="004B56A9"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controparti principali degli elementi fuori bilancio sono individuate sommando l’importo nominale totale degli impegni e delle garanzie finanziarie (come definiti ai fini FINREP, modello F 09) che l’entità o le </w:t>
            </w:r>
            <w:proofErr w:type="gramStart"/>
            <w:r w:rsidRPr="004B56A9">
              <w:rPr>
                <w:rFonts w:ascii="Times New Roman" w:hAnsi="Times New Roman"/>
                <w:color w:val="000000" w:themeColor="text1"/>
                <w:spacing w:val="-2"/>
                <w:w w:val="95"/>
                <w:sz w:val="20"/>
              </w:rPr>
              <w:t>entità</w:t>
            </w:r>
            <w:proofErr w:type="gramEnd"/>
            <w:r w:rsidRPr="004B56A9">
              <w:rPr>
                <w:rFonts w:ascii="Times New Roman" w:hAnsi="Times New Roman"/>
                <w:color w:val="000000" w:themeColor="text1"/>
                <w:spacing w:val="-2"/>
                <w:w w:val="95"/>
                <w:sz w:val="20"/>
              </w:rPr>
              <w:t xml:space="preserve"> del gruppo per cui è segnalato il modello hanno ricevuto dalle controparti o dal gruppo di clienti connessi. Le controparti principali degli elementi fuori bilancio escludono le entità incluse nel </w:t>
            </w:r>
            <w:proofErr w:type="gramStart"/>
            <w:r w:rsidRPr="004B56A9">
              <w:rPr>
                <w:rFonts w:ascii="Times New Roman" w:hAnsi="Times New Roman"/>
                <w:color w:val="000000" w:themeColor="text1"/>
                <w:spacing w:val="-2"/>
                <w:w w:val="95"/>
                <w:sz w:val="20"/>
              </w:rPr>
              <w:t>bilancio</w:t>
            </w:r>
            <w:proofErr w:type="gramEnd"/>
            <w:r w:rsidRPr="004B56A9">
              <w:rPr>
                <w:rFonts w:ascii="Times New Roman" w:hAnsi="Times New Roman"/>
                <w:color w:val="000000" w:themeColor="text1"/>
                <w:spacing w:val="-2"/>
                <w:w w:val="95"/>
                <w:sz w:val="20"/>
              </w:rPr>
              <w:t xml:space="preserve"> consolidato del gruppo. Le controparti e i gruppi di clienti connessi sono poi classificati secondo l’importo aggregato al fine di individuare le </w:t>
            </w:r>
            <w:proofErr w:type="gramStart"/>
            <w:r w:rsidRPr="004B56A9">
              <w:rPr>
                <w:rFonts w:ascii="Times New Roman" w:hAnsi="Times New Roman"/>
                <w:color w:val="000000" w:themeColor="text1"/>
                <w:spacing w:val="-2"/>
                <w:w w:val="95"/>
                <w:sz w:val="20"/>
              </w:rPr>
              <w:t>10</w:t>
            </w:r>
            <w:proofErr w:type="gramEnd"/>
            <w:r w:rsidRPr="004B56A9">
              <w:rPr>
                <w:rFonts w:ascii="Times New Roman" w:hAnsi="Times New Roman"/>
                <w:color w:val="000000" w:themeColor="text1"/>
                <w:spacing w:val="-2"/>
                <w:w w:val="95"/>
                <w:sz w:val="20"/>
              </w:rPr>
              <w:t xml:space="preserve"> principali controparti degli elementi fuori bilancio, per le quali sono fornite informazioni in questo modello.</w:t>
            </w:r>
          </w:p>
          <w:p w14:paraId="15369E91" w14:textId="37AB1488" w:rsidR="00627D51" w:rsidRPr="004B56A9"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Ai fini del presente modello, sono segnalate soltanto le controparti che non sono incluse nel bilancio consolidato.</w:t>
            </w:r>
          </w:p>
        </w:tc>
      </w:tr>
      <w:tr w:rsidR="00D22EB0" w:rsidRPr="004B56A9" w14:paraId="08D20287" w14:textId="77777777" w:rsidTr="005A6A04">
        <w:tc>
          <w:tcPr>
            <w:tcW w:w="909" w:type="dxa"/>
            <w:tcBorders>
              <w:top w:val="single" w:sz="4" w:space="0" w:color="1A171C"/>
              <w:left w:val="nil"/>
              <w:bottom w:val="single" w:sz="4" w:space="0" w:color="1A171C"/>
              <w:right w:val="single" w:sz="4" w:space="0" w:color="1A171C"/>
            </w:tcBorders>
            <w:vAlign w:val="center"/>
          </w:tcPr>
          <w:p w14:paraId="421C840B" w14:textId="645506C4" w:rsidR="00627D51" w:rsidRPr="004B56A9"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14:paraId="4037F601" w14:textId="6F7730AF" w:rsidR="00627D51" w:rsidRPr="004B56A9"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5B027868" w14:textId="0D6EBB33" w:rsidR="00627D51" w:rsidRPr="004B56A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Cfr. istruzioni </w:t>
            </w:r>
            <w:proofErr w:type="gramStart"/>
            <w:r w:rsidRPr="004B56A9">
              <w:rPr>
                <w:rFonts w:ascii="Times New Roman" w:hAnsi="Times New Roman"/>
                <w:color w:val="000000" w:themeColor="text1"/>
                <w:spacing w:val="-2"/>
                <w:w w:val="95"/>
                <w:sz w:val="20"/>
              </w:rPr>
              <w:t>relative alla</w:t>
            </w:r>
            <w:proofErr w:type="gramEnd"/>
            <w:r w:rsidRPr="004B56A9">
              <w:rPr>
                <w:rFonts w:ascii="Times New Roman" w:hAnsi="Times New Roman"/>
                <w:color w:val="000000" w:themeColor="text1"/>
                <w:spacing w:val="-2"/>
                <w:w w:val="95"/>
                <w:sz w:val="20"/>
              </w:rPr>
              <w:t xml:space="preserve"> colonna 0010 del modello Z 05.01</w:t>
            </w:r>
          </w:p>
        </w:tc>
      </w:tr>
      <w:tr w:rsidR="00D22EB0" w:rsidRPr="004B56A9" w14:paraId="6570386F" w14:textId="77777777" w:rsidTr="005A6A04">
        <w:tc>
          <w:tcPr>
            <w:tcW w:w="909" w:type="dxa"/>
            <w:tcBorders>
              <w:top w:val="single" w:sz="4" w:space="0" w:color="1A171C"/>
              <w:left w:val="nil"/>
              <w:bottom w:val="single" w:sz="4" w:space="0" w:color="1A171C"/>
              <w:right w:val="single" w:sz="4" w:space="0" w:color="1A171C"/>
            </w:tcBorders>
            <w:vAlign w:val="center"/>
          </w:tcPr>
          <w:p w14:paraId="70A50266" w14:textId="3163F199" w:rsidR="00627D51" w:rsidRPr="004B56A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14:paraId="6412434F" w14:textId="77777777" w:rsidR="00627D51" w:rsidRPr="004B56A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0559E9EF" w14:textId="5EEAB6CB" w:rsidR="00627D51" w:rsidRPr="004B56A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Cfr. istruzioni </w:t>
            </w:r>
            <w:proofErr w:type="gramStart"/>
            <w:r w:rsidRPr="004B56A9">
              <w:rPr>
                <w:rFonts w:ascii="Times New Roman" w:hAnsi="Times New Roman"/>
                <w:color w:val="000000" w:themeColor="text1"/>
                <w:spacing w:val="-2"/>
                <w:w w:val="95"/>
                <w:sz w:val="20"/>
              </w:rPr>
              <w:t>relative alla</w:t>
            </w:r>
            <w:proofErr w:type="gramEnd"/>
            <w:r w:rsidRPr="004B56A9">
              <w:rPr>
                <w:rFonts w:ascii="Times New Roman" w:hAnsi="Times New Roman"/>
                <w:color w:val="000000" w:themeColor="text1"/>
                <w:spacing w:val="-2"/>
                <w:w w:val="95"/>
                <w:sz w:val="20"/>
              </w:rPr>
              <w:t xml:space="preserve"> colonna 0020 del modello Z 05.01</w:t>
            </w:r>
          </w:p>
        </w:tc>
      </w:tr>
      <w:tr w:rsidR="00D22EB0" w:rsidRPr="004B56A9" w14:paraId="275009B9" w14:textId="77777777" w:rsidTr="005A6A04">
        <w:tc>
          <w:tcPr>
            <w:tcW w:w="909" w:type="dxa"/>
            <w:tcBorders>
              <w:top w:val="single" w:sz="4" w:space="0" w:color="1A171C"/>
              <w:left w:val="nil"/>
              <w:bottom w:val="single" w:sz="4" w:space="0" w:color="1A171C"/>
              <w:right w:val="single" w:sz="4" w:space="0" w:color="1A171C"/>
            </w:tcBorders>
            <w:vAlign w:val="center"/>
          </w:tcPr>
          <w:p w14:paraId="3E38B60E" w14:textId="15BBA5BD" w:rsidR="00627D51" w:rsidRPr="004B56A9"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14:paraId="1D4C3DC2" w14:textId="77777777" w:rsidR="00627D51" w:rsidRPr="004B56A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Gruppo o singolo</w:t>
            </w:r>
          </w:p>
          <w:p w14:paraId="20ACFC19" w14:textId="2961F538" w:rsidR="00627D51" w:rsidRPr="004B56A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Cfr. istruzioni </w:t>
            </w:r>
            <w:proofErr w:type="gramStart"/>
            <w:r w:rsidRPr="004B56A9">
              <w:rPr>
                <w:rFonts w:ascii="Times New Roman" w:hAnsi="Times New Roman"/>
                <w:color w:val="000000" w:themeColor="text1"/>
                <w:spacing w:val="-2"/>
                <w:w w:val="95"/>
                <w:sz w:val="20"/>
              </w:rPr>
              <w:t>relative alla</w:t>
            </w:r>
            <w:proofErr w:type="gramEnd"/>
            <w:r w:rsidRPr="004B56A9">
              <w:rPr>
                <w:rFonts w:ascii="Times New Roman" w:hAnsi="Times New Roman"/>
                <w:color w:val="000000" w:themeColor="text1"/>
                <w:spacing w:val="-2"/>
                <w:w w:val="95"/>
                <w:sz w:val="20"/>
              </w:rPr>
              <w:t xml:space="preserve"> colonna 0030 del modello Z 05.01</w:t>
            </w:r>
          </w:p>
        </w:tc>
      </w:tr>
      <w:tr w:rsidR="00D22EB0" w:rsidRPr="004B56A9" w14:paraId="6F2531E7" w14:textId="77777777" w:rsidTr="005A6A04">
        <w:tc>
          <w:tcPr>
            <w:tcW w:w="909" w:type="dxa"/>
            <w:tcBorders>
              <w:top w:val="single" w:sz="4" w:space="0" w:color="1A171C"/>
              <w:left w:val="nil"/>
              <w:bottom w:val="single" w:sz="4" w:space="0" w:color="1A171C"/>
              <w:right w:val="single" w:sz="4" w:space="0" w:color="1A171C"/>
            </w:tcBorders>
            <w:vAlign w:val="center"/>
          </w:tcPr>
          <w:p w14:paraId="36E70A84" w14:textId="4A8708A5" w:rsidR="00627D51" w:rsidRPr="004B56A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14:paraId="2AC66C90" w14:textId="77777777" w:rsidR="00C562FB" w:rsidRPr="004B56A9"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588B32B5" w14:textId="507C5462" w:rsidR="00627D51" w:rsidRPr="004B56A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Cfr. istruzioni </w:t>
            </w:r>
            <w:proofErr w:type="gramStart"/>
            <w:r w:rsidRPr="004B56A9">
              <w:rPr>
                <w:rFonts w:ascii="Times New Roman" w:hAnsi="Times New Roman"/>
                <w:color w:val="000000" w:themeColor="text1"/>
                <w:spacing w:val="-2"/>
                <w:w w:val="95"/>
                <w:sz w:val="20"/>
              </w:rPr>
              <w:t>relative alla</w:t>
            </w:r>
            <w:proofErr w:type="gramEnd"/>
            <w:r w:rsidRPr="004B56A9">
              <w:rPr>
                <w:rFonts w:ascii="Times New Roman" w:hAnsi="Times New Roman"/>
                <w:color w:val="000000" w:themeColor="text1"/>
                <w:spacing w:val="-2"/>
                <w:w w:val="95"/>
                <w:sz w:val="20"/>
              </w:rPr>
              <w:t xml:space="preserve"> colonna 0040 del modello Z 05.01</w:t>
            </w:r>
          </w:p>
        </w:tc>
      </w:tr>
      <w:tr w:rsidR="00D22EB0" w:rsidRPr="004B56A9" w14:paraId="49064262" w14:textId="77777777" w:rsidTr="005A6A04">
        <w:tc>
          <w:tcPr>
            <w:tcW w:w="909" w:type="dxa"/>
            <w:tcBorders>
              <w:top w:val="single" w:sz="4" w:space="0" w:color="1A171C"/>
              <w:left w:val="nil"/>
              <w:bottom w:val="single" w:sz="4" w:space="0" w:color="1A171C"/>
              <w:right w:val="single" w:sz="4" w:space="0" w:color="1A171C"/>
            </w:tcBorders>
            <w:vAlign w:val="center"/>
          </w:tcPr>
          <w:p w14:paraId="14E932B5" w14:textId="6DDC6582" w:rsidR="00627D51" w:rsidRPr="004B56A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14:paraId="50F5CF2E" w14:textId="77777777" w:rsidR="00627D51" w:rsidRPr="004B56A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Settore</w:t>
            </w:r>
          </w:p>
          <w:p w14:paraId="514B18E1" w14:textId="524009A0" w:rsidR="00627D51" w:rsidRPr="004B56A9"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Cfr. istruzioni </w:t>
            </w:r>
            <w:proofErr w:type="gramStart"/>
            <w:r w:rsidRPr="004B56A9">
              <w:rPr>
                <w:rFonts w:ascii="Times New Roman" w:hAnsi="Times New Roman"/>
                <w:color w:val="000000" w:themeColor="text1"/>
                <w:spacing w:val="-2"/>
                <w:w w:val="95"/>
                <w:sz w:val="20"/>
              </w:rPr>
              <w:t>relative alla</w:t>
            </w:r>
            <w:proofErr w:type="gramEnd"/>
            <w:r w:rsidRPr="004B56A9">
              <w:rPr>
                <w:rFonts w:ascii="Times New Roman" w:hAnsi="Times New Roman"/>
                <w:color w:val="000000" w:themeColor="text1"/>
                <w:spacing w:val="-2"/>
                <w:w w:val="95"/>
                <w:sz w:val="20"/>
              </w:rPr>
              <w:t xml:space="preserve"> colonna 0050 del modello Z 05.01</w:t>
            </w:r>
          </w:p>
        </w:tc>
      </w:tr>
      <w:tr w:rsidR="00D22EB0" w:rsidRPr="004B56A9" w14:paraId="20D7196F" w14:textId="77777777" w:rsidTr="005A6A04">
        <w:tc>
          <w:tcPr>
            <w:tcW w:w="909" w:type="dxa"/>
            <w:tcBorders>
              <w:top w:val="single" w:sz="4" w:space="0" w:color="1A171C"/>
              <w:left w:val="nil"/>
              <w:bottom w:val="single" w:sz="4" w:space="0" w:color="1A171C"/>
              <w:right w:val="single" w:sz="4" w:space="0" w:color="1A171C"/>
            </w:tcBorders>
            <w:vAlign w:val="center"/>
          </w:tcPr>
          <w:p w14:paraId="04A4464A" w14:textId="6F00AF7C" w:rsidR="00627D51" w:rsidRPr="004B56A9"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14:paraId="41749439" w14:textId="77777777" w:rsidR="00627D51" w:rsidRPr="004B56A9"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Tipo</w:t>
            </w:r>
          </w:p>
          <w:p w14:paraId="306733C9" w14:textId="60E941BA" w:rsidR="00627D51" w:rsidRPr="004B56A9"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tipo di esposizione fuori bilancio è uno dei seguenti, quali definiti in FINREP, modello F 09.02:</w:t>
            </w:r>
          </w:p>
          <w:p w14:paraId="4E7DA635" w14:textId="6F8B6CA9" w:rsidR="00532D56" w:rsidRPr="004B56A9"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OBS.</w:t>
            </w:r>
            <w:proofErr w:type="gramStart"/>
            <w:r w:rsidRPr="004B56A9">
              <w:rPr>
                <w:rFonts w:ascii="Times New Roman" w:hAnsi="Times New Roman"/>
                <w:color w:val="000000" w:themeColor="text1"/>
                <w:spacing w:val="-2"/>
                <w:w w:val="95"/>
                <w:sz w:val="20"/>
              </w:rPr>
              <w:t>1</w:t>
            </w:r>
            <w:proofErr w:type="gramEnd"/>
            <w:r w:rsidRPr="004B56A9">
              <w:tab/>
            </w:r>
            <w:r w:rsidRPr="004B56A9">
              <w:rPr>
                <w:rFonts w:ascii="Times New Roman" w:hAnsi="Times New Roman"/>
                <w:color w:val="000000" w:themeColor="text1"/>
                <w:spacing w:val="-2"/>
                <w:w w:val="95"/>
                <w:sz w:val="20"/>
              </w:rPr>
              <w:t>Impegni all’erogazione di finanziamenti ricevuti</w:t>
            </w:r>
          </w:p>
          <w:p w14:paraId="1C74C986" w14:textId="3E0EC3EB" w:rsidR="00532D56" w:rsidRPr="004B56A9"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OBS.</w:t>
            </w:r>
            <w:proofErr w:type="gramStart"/>
            <w:r w:rsidRPr="004B56A9">
              <w:rPr>
                <w:rFonts w:ascii="Times New Roman" w:hAnsi="Times New Roman"/>
                <w:color w:val="000000" w:themeColor="text1"/>
                <w:spacing w:val="-2"/>
                <w:w w:val="95"/>
                <w:sz w:val="20"/>
              </w:rPr>
              <w:t>2</w:t>
            </w:r>
            <w:proofErr w:type="gramEnd"/>
            <w:r w:rsidRPr="004B56A9">
              <w:tab/>
            </w:r>
            <w:r w:rsidRPr="004B56A9">
              <w:rPr>
                <w:rFonts w:ascii="Times New Roman" w:hAnsi="Times New Roman"/>
                <w:color w:val="000000" w:themeColor="text1"/>
                <w:spacing w:val="-2"/>
                <w:w w:val="95"/>
                <w:sz w:val="20"/>
              </w:rPr>
              <w:t>Garanzie finanziarie ricevute</w:t>
            </w:r>
          </w:p>
          <w:p w14:paraId="4FB55DC9" w14:textId="77777777" w:rsidR="00627D51" w:rsidRPr="004B56A9"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OBS.</w:t>
            </w:r>
            <w:proofErr w:type="gramStart"/>
            <w:r w:rsidRPr="004B56A9">
              <w:rPr>
                <w:rFonts w:ascii="Times New Roman" w:hAnsi="Times New Roman"/>
                <w:color w:val="000000" w:themeColor="text1"/>
                <w:spacing w:val="-2"/>
                <w:w w:val="95"/>
                <w:sz w:val="20"/>
              </w:rPr>
              <w:t>3</w:t>
            </w:r>
            <w:proofErr w:type="gramEnd"/>
            <w:r w:rsidRPr="004B56A9">
              <w:tab/>
            </w:r>
            <w:r w:rsidRPr="004B56A9">
              <w:rPr>
                <w:rFonts w:ascii="Times New Roman" w:hAnsi="Times New Roman"/>
                <w:color w:val="000000" w:themeColor="text1"/>
                <w:spacing w:val="-2"/>
                <w:w w:val="95"/>
                <w:sz w:val="20"/>
              </w:rPr>
              <w:t>Altri impegni ricevuti</w:t>
            </w:r>
          </w:p>
          <w:p w14:paraId="2D2934B0" w14:textId="1D75B181" w:rsidR="007514EE" w:rsidRPr="004B56A9"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 gli elementi fuori bilancio pervenuti da una controparte principale sono costituiti da più di uno dei summenzionati tipi, ciascun </w:t>
            </w:r>
            <w:proofErr w:type="gramStart"/>
            <w:r w:rsidRPr="004B56A9">
              <w:rPr>
                <w:rFonts w:ascii="Times New Roman" w:hAnsi="Times New Roman"/>
                <w:color w:val="000000" w:themeColor="text1"/>
                <w:spacing w:val="-2"/>
                <w:w w:val="95"/>
                <w:sz w:val="20"/>
              </w:rPr>
              <w:t>tipo</w:t>
            </w:r>
            <w:proofErr w:type="gramEnd"/>
            <w:r w:rsidRPr="004B56A9">
              <w:rPr>
                <w:rFonts w:ascii="Times New Roman" w:hAnsi="Times New Roman"/>
                <w:color w:val="000000" w:themeColor="text1"/>
                <w:spacing w:val="-2"/>
                <w:w w:val="95"/>
                <w:sz w:val="20"/>
              </w:rPr>
              <w:t xml:space="preserve"> di elemento fuori bilancio è segnalato in una riga distinta.</w:t>
            </w:r>
          </w:p>
        </w:tc>
      </w:tr>
      <w:tr w:rsidR="00D22EB0" w:rsidRPr="004B56A9" w14:paraId="08601EAA" w14:textId="77777777" w:rsidTr="005A6A04">
        <w:tc>
          <w:tcPr>
            <w:tcW w:w="909" w:type="dxa"/>
            <w:tcBorders>
              <w:top w:val="single" w:sz="4" w:space="0" w:color="1A171C"/>
              <w:left w:val="nil"/>
              <w:bottom w:val="single" w:sz="4" w:space="0" w:color="1A171C"/>
              <w:right w:val="single" w:sz="4" w:space="0" w:color="1A171C"/>
            </w:tcBorders>
            <w:vAlign w:val="center"/>
          </w:tcPr>
          <w:p w14:paraId="0A1C4E08" w14:textId="06FC7DA9" w:rsidR="00627D51" w:rsidRPr="004B56A9"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14:paraId="7AEA44D8" w14:textId="54EBDE7E" w:rsidR="00486C71" w:rsidRPr="004B56A9" w:rsidRDefault="00627D51" w:rsidP="00486C71">
            <w:pPr>
              <w:pStyle w:val="TableParagraph"/>
              <w:spacing w:before="108"/>
              <w:ind w:left="85"/>
              <w:jc w:val="both"/>
              <w:rPr>
                <w:rFonts w:ascii="Times New Roman" w:hAnsi="Times New Roman" w:cs="Times New Roman"/>
                <w:bCs/>
                <w:color w:val="000000" w:themeColor="text1"/>
                <w:sz w:val="20"/>
                <w:szCs w:val="20"/>
              </w:rPr>
            </w:pPr>
            <w:r w:rsidRPr="004B56A9">
              <w:rPr>
                <w:rFonts w:ascii="Times New Roman" w:hAnsi="Times New Roman"/>
                <w:b/>
                <w:color w:val="000000" w:themeColor="text1"/>
                <w:sz w:val="20"/>
              </w:rPr>
              <w:t xml:space="preserve">Importo </w:t>
            </w:r>
          </w:p>
        </w:tc>
      </w:tr>
    </w:tbl>
    <w:p w14:paraId="2A6B27DA" w14:textId="77777777" w:rsidR="00241763" w:rsidRPr="004B56A9" w:rsidRDefault="00241763" w:rsidP="0056559D">
      <w:pPr>
        <w:rPr>
          <w:rFonts w:ascii="Times New Roman" w:hAnsi="Times New Roman" w:cs="Times New Roman"/>
          <w:color w:val="000000" w:themeColor="text1"/>
          <w:sz w:val="20"/>
          <w:szCs w:val="20"/>
        </w:rPr>
      </w:pPr>
    </w:p>
    <w:p w14:paraId="4EC8B188" w14:textId="743FE717" w:rsidR="00E13CE3" w:rsidRPr="004B56A9"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130391"/>
      <w:r w:rsidRPr="004B56A9">
        <w:rPr>
          <w:rFonts w:ascii="Times New Roman" w:hAnsi="Times New Roman"/>
        </w:rPr>
        <w:t>Z 06.00 - Assicurazione dei depositi (DIS)</w:t>
      </w:r>
      <w:bookmarkEnd w:id="31"/>
      <w:bookmarkEnd w:id="32"/>
      <w:bookmarkEnd w:id="33"/>
    </w:p>
    <w:p w14:paraId="044F93DD" w14:textId="77777777" w:rsidR="008F7980" w:rsidRPr="004B56A9" w:rsidRDefault="006A7DCF" w:rsidP="00715DAB">
      <w:pPr>
        <w:pStyle w:val="Instructionsberschrift3"/>
      </w:pPr>
      <w:r w:rsidRPr="004B56A9">
        <w:t>Osservazioni di carattere generale</w:t>
      </w:r>
    </w:p>
    <w:p w14:paraId="7BE83682" w14:textId="3DE2967E" w:rsidR="0076289A" w:rsidRPr="004B56A9" w:rsidRDefault="00DF64E1"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Questo modello presenta una panoramica dell’assicurazione dei depositi all’interno </w:t>
      </w:r>
      <w:proofErr w:type="gramStart"/>
      <w:r w:rsidRPr="004B56A9">
        <w:rPr>
          <w:rFonts w:ascii="Times New Roman" w:hAnsi="Times New Roman"/>
          <w:sz w:val="20"/>
        </w:rPr>
        <w:t>di</w:t>
      </w:r>
      <w:proofErr w:type="gramEnd"/>
      <w:r w:rsidRPr="004B56A9">
        <w:rPr>
          <w:rFonts w:ascii="Times New Roman" w:hAnsi="Times New Roman"/>
          <w:sz w:val="20"/>
        </w:rPr>
        <w:t xml:space="preserve"> un gruppo e dei sistemi di garanzia dei depositi di cui sono membri gli enti creditizi che sono entità giuridiche pertinenti.</w:t>
      </w:r>
    </w:p>
    <w:p w14:paraId="4D4DAC42" w14:textId="2202309D" w:rsidR="000C2D75" w:rsidRPr="004B56A9" w:rsidRDefault="0057049E" w:rsidP="00106F72">
      <w:pPr>
        <w:pStyle w:val="InstructionsText2"/>
        <w:numPr>
          <w:ilvl w:val="0"/>
          <w:numId w:val="29"/>
        </w:numPr>
        <w:spacing w:before="0" w:after="840"/>
        <w:ind w:left="714" w:hanging="357"/>
        <w:rPr>
          <w:rFonts w:ascii="Times New Roman" w:hAnsi="Times New Roman" w:cs="Times New Roman"/>
          <w:sz w:val="20"/>
          <w:szCs w:val="20"/>
        </w:rPr>
      </w:pPr>
      <w:r w:rsidRPr="004B56A9">
        <w:rPr>
          <w:rFonts w:ascii="Times New Roman" w:hAnsi="Times New Roman"/>
          <w:sz w:val="20"/>
        </w:rPr>
        <w:t>Ogni ente creditizio appartenente al gruppo è segnalato in una riga distinta.</w:t>
      </w:r>
    </w:p>
    <w:p w14:paraId="37D64954" w14:textId="77777777" w:rsidR="006A7DCF" w:rsidRPr="004B56A9" w:rsidRDefault="006A7DCF" w:rsidP="00715DAB">
      <w:pPr>
        <w:pStyle w:val="Instructionsberschrift3"/>
      </w:pPr>
      <w:r w:rsidRPr="004B56A9">
        <w:lastRenderedPageBreak/>
        <w:t xml:space="preserve">Istruzioni </w:t>
      </w:r>
      <w:proofErr w:type="gramStart"/>
      <w:r w:rsidRPr="004B56A9">
        <w:t>relative a</w:t>
      </w:r>
      <w:proofErr w:type="gramEnd"/>
      <w:r w:rsidRPr="004B56A9">
        <w:t xml:space="preserve"> posizioni specifiche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64B043DB"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6577EB2D" w14:textId="77777777"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44860666" w14:textId="77777777" w:rsidR="0057049E" w:rsidRPr="004B56A9"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4AA01A73" w14:textId="77777777" w:rsidTr="00DD2B90">
        <w:tc>
          <w:tcPr>
            <w:tcW w:w="1191" w:type="dxa"/>
            <w:tcBorders>
              <w:top w:val="single" w:sz="4" w:space="0" w:color="1A171C"/>
              <w:left w:val="nil"/>
              <w:bottom w:val="single" w:sz="4" w:space="0" w:color="1A171C"/>
              <w:right w:val="single" w:sz="4" w:space="0" w:color="1A171C"/>
            </w:tcBorders>
          </w:tcPr>
          <w:p w14:paraId="5928095D" w14:textId="6C45211B" w:rsidR="0057049E" w:rsidRPr="004B56A9"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14:paraId="37B234CB" w14:textId="506E201D" w:rsidR="0057049E" w:rsidRPr="004B56A9"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Entità</w:t>
            </w:r>
          </w:p>
        </w:tc>
      </w:tr>
      <w:tr w:rsidR="00D22EB0" w:rsidRPr="004B56A9" w14:paraId="694BCDB1" w14:textId="77777777" w:rsidTr="00DD2B90">
        <w:tc>
          <w:tcPr>
            <w:tcW w:w="1191" w:type="dxa"/>
            <w:tcBorders>
              <w:top w:val="single" w:sz="4" w:space="0" w:color="1A171C"/>
              <w:left w:val="nil"/>
              <w:bottom w:val="single" w:sz="4" w:space="0" w:color="1A171C"/>
              <w:right w:val="single" w:sz="4" w:space="0" w:color="1A171C"/>
            </w:tcBorders>
          </w:tcPr>
          <w:p w14:paraId="5BE5D2B5" w14:textId="4D030663"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14:paraId="7E8B584F" w14:textId="1D2ED3D8" w:rsidR="0057049E" w:rsidRPr="004B56A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1AD144DF" w14:textId="7585734E" w:rsidR="0057049E" w:rsidRPr="004B56A9"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nome dell’entità come segnalato in Z 01.00 - Struttura organizzativa (ORG)</w:t>
            </w:r>
            <w:proofErr w:type="gramEnd"/>
            <w:r w:rsidRPr="004B56A9">
              <w:rPr>
                <w:rFonts w:ascii="Times New Roman" w:hAnsi="Times New Roman"/>
                <w:color w:val="000000" w:themeColor="text1"/>
                <w:spacing w:val="-2"/>
                <w:w w:val="95"/>
                <w:sz w:val="20"/>
              </w:rPr>
              <w:t xml:space="preserve">. </w:t>
            </w:r>
          </w:p>
        </w:tc>
      </w:tr>
      <w:tr w:rsidR="00D22EB0" w:rsidRPr="004B56A9" w14:paraId="06DE80C0" w14:textId="77777777" w:rsidTr="00DD2B90">
        <w:tc>
          <w:tcPr>
            <w:tcW w:w="1191" w:type="dxa"/>
            <w:tcBorders>
              <w:top w:val="single" w:sz="4" w:space="0" w:color="1A171C"/>
              <w:left w:val="nil"/>
              <w:bottom w:val="single" w:sz="4" w:space="0" w:color="1A171C"/>
              <w:right w:val="single" w:sz="4" w:space="0" w:color="1A171C"/>
            </w:tcBorders>
          </w:tcPr>
          <w:p w14:paraId="55AB11F2" w14:textId="16AB8D31"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14:paraId="161003EA" w14:textId="77777777" w:rsidR="0057049E" w:rsidRPr="004B56A9"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
          <w:p w14:paraId="04926FDE" w14:textId="7F6ED2F9"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codice dell’entità come segnalato in Z 01.00 - Struttura organizzativa (ORG).</w:t>
            </w:r>
            <w:proofErr w:type="gramEnd"/>
          </w:p>
          <w:p w14:paraId="1EDC5CBD" w14:textId="1964F286"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Si tratta di un identificatore di riga che deve essere </w:t>
            </w:r>
            <w:proofErr w:type="gramStart"/>
            <w:r w:rsidRPr="004B56A9">
              <w:rPr>
                <w:rFonts w:ascii="Times New Roman" w:hAnsi="Times New Roman"/>
                <w:color w:val="000000" w:themeColor="text1"/>
                <w:spacing w:val="-2"/>
                <w:w w:val="95"/>
                <w:sz w:val="20"/>
              </w:rPr>
              <w:t>unico</w:t>
            </w:r>
            <w:proofErr w:type="gramEnd"/>
            <w:r w:rsidRPr="004B56A9">
              <w:rPr>
                <w:rFonts w:ascii="Times New Roman" w:hAnsi="Times New Roman"/>
                <w:color w:val="000000" w:themeColor="text1"/>
                <w:spacing w:val="-2"/>
                <w:w w:val="95"/>
                <w:sz w:val="20"/>
              </w:rPr>
              <w:t xml:space="preserve"> per ciascuna riga del modello.</w:t>
            </w:r>
          </w:p>
        </w:tc>
      </w:tr>
      <w:tr w:rsidR="00D22EB0" w:rsidRPr="004B56A9" w14:paraId="0B225F6C" w14:textId="77777777" w:rsidTr="00DD2B90">
        <w:tc>
          <w:tcPr>
            <w:tcW w:w="1191" w:type="dxa"/>
            <w:tcBorders>
              <w:top w:val="single" w:sz="4" w:space="0" w:color="1A171C"/>
              <w:left w:val="nil"/>
              <w:bottom w:val="single" w:sz="4" w:space="0" w:color="1A171C"/>
              <w:right w:val="single" w:sz="4" w:space="0" w:color="1A171C"/>
            </w:tcBorders>
          </w:tcPr>
          <w:p w14:paraId="0D36369E" w14:textId="6C747981"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14:paraId="77524AF0" w14:textId="77777777" w:rsidR="0057049E" w:rsidRPr="004B56A9"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SGD</w:t>
            </w:r>
          </w:p>
          <w:p w14:paraId="729794F8" w14:textId="43B5ECE4"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paragrafo 3, della direttiva 2014/49/UE</w:t>
            </w:r>
          </w:p>
          <w:p w14:paraId="4BAF141D" w14:textId="0363AC1B" w:rsidR="0057049E" w:rsidRPr="004B56A9"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nome </w:t>
            </w:r>
            <w:proofErr w:type="gramStart"/>
            <w:r w:rsidRPr="004B56A9">
              <w:rPr>
                <w:rFonts w:ascii="Times New Roman" w:hAnsi="Times New Roman"/>
                <w:color w:val="000000" w:themeColor="text1"/>
                <w:spacing w:val="-2"/>
                <w:w w:val="95"/>
                <w:sz w:val="20"/>
              </w:rPr>
              <w:t>dell’</w:t>
            </w:r>
            <w:proofErr w:type="gramEnd"/>
            <w:r w:rsidRPr="004B56A9">
              <w:rPr>
                <w:rFonts w:ascii="Times New Roman" w:hAnsi="Times New Roman"/>
                <w:color w:val="000000" w:themeColor="text1"/>
                <w:spacing w:val="-2"/>
                <w:w w:val="95"/>
                <w:sz w:val="20"/>
              </w:rPr>
              <w:t xml:space="preserve">SGD ufficialmente riconosciuto di cui l’entità è membro in applicazione della direttiva 2014/49/UE. Si tratta </w:t>
            </w:r>
            <w:proofErr w:type="gramStart"/>
            <w:r w:rsidRPr="004B56A9">
              <w:rPr>
                <w:rFonts w:ascii="Times New Roman" w:hAnsi="Times New Roman"/>
                <w:color w:val="000000" w:themeColor="text1"/>
                <w:spacing w:val="-2"/>
                <w:w w:val="95"/>
                <w:sz w:val="20"/>
              </w:rPr>
              <w:t>dell’</w:t>
            </w:r>
            <w:proofErr w:type="gramEnd"/>
            <w:r w:rsidRPr="004B56A9">
              <w:rPr>
                <w:rFonts w:ascii="Times New Roman" w:hAnsi="Times New Roman"/>
                <w:color w:val="000000" w:themeColor="text1"/>
                <w:spacing w:val="-2"/>
                <w:w w:val="95"/>
                <w:sz w:val="20"/>
              </w:rPr>
              <w:t xml:space="preserve">SGD dello Stato membro di costituzione dell’entità, ad esclusione di altri SGD che, in altri Stati membri, potrebbero offrire una tutela aggiuntiva (“top-up”) ai clienti dell’entità presso una succursale in tale Stato membro. Laddove un ente è membro di un sistema di tutela istituzionale che è anche ufficialmente </w:t>
            </w:r>
            <w:proofErr w:type="gramStart"/>
            <w:r w:rsidRPr="004B56A9">
              <w:rPr>
                <w:rFonts w:ascii="Times New Roman" w:hAnsi="Times New Roman"/>
                <w:color w:val="000000" w:themeColor="text1"/>
                <w:spacing w:val="-2"/>
                <w:w w:val="95"/>
                <w:sz w:val="20"/>
              </w:rPr>
              <w:t>riconosciuto</w:t>
            </w:r>
            <w:proofErr w:type="gramEnd"/>
            <w:r w:rsidRPr="004B56A9">
              <w:rPr>
                <w:rFonts w:ascii="Times New Roman" w:hAnsi="Times New Roman"/>
                <w:color w:val="000000" w:themeColor="text1"/>
                <w:spacing w:val="-2"/>
                <w:w w:val="95"/>
                <w:sz w:val="20"/>
              </w:rPr>
              <w:t xml:space="preserve"> come SGD a norma dell’articolo 4, paragrafo 2, della direttiva 2014/49/UE, il nome dell’SGD è identico al nome del sistema di tutela istituzionale figurante nella riga 050.</w:t>
            </w:r>
          </w:p>
          <w:p w14:paraId="66CF9FE1" w14:textId="5B12B736" w:rsidR="00607BC1" w:rsidRPr="004B56A9"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w:t>
            </w:r>
            <w:proofErr w:type="gramEnd"/>
            <w:r w:rsidRPr="004B56A9">
              <w:rPr>
                <w:rFonts w:ascii="Times New Roman" w:hAnsi="Times New Roman"/>
                <w:color w:val="000000" w:themeColor="text1"/>
                <w:spacing w:val="-2"/>
                <w:w w:val="95"/>
                <w:sz w:val="20"/>
              </w:rPr>
              <w:t>SGD è scelto, per ciascun paese di costituzione dell’entità, tra i seguenti:</w:t>
            </w:r>
          </w:p>
          <w:p w14:paraId="0C667FB4" w14:textId="73B5F725" w:rsidR="004842F3" w:rsidRPr="004B56A9"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sidRPr="004B56A9">
              <w:rPr>
                <w:rFonts w:ascii="Times New Roman" w:hAnsi="Times New Roman"/>
                <w:b/>
                <w:color w:val="000000" w:themeColor="text1"/>
                <w:spacing w:val="-2"/>
                <w:w w:val="95"/>
                <w:sz w:val="20"/>
                <w:u w:val="single"/>
              </w:rPr>
              <w:t>per</w:t>
            </w:r>
            <w:proofErr w:type="gramEnd"/>
            <w:r w:rsidRPr="004B56A9">
              <w:rPr>
                <w:rFonts w:ascii="Times New Roman" w:hAnsi="Times New Roman"/>
                <w:b/>
                <w:color w:val="000000" w:themeColor="text1"/>
                <w:spacing w:val="-2"/>
                <w:w w:val="95"/>
                <w:sz w:val="20"/>
                <w:u w:val="single"/>
              </w:rPr>
              <w:t xml:space="preserve"> l’Austria</w:t>
            </w:r>
          </w:p>
          <w:p w14:paraId="533DD21D" w14:textId="249FDCDE"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“Einlagensicherung der Banken und Bankiers GmbH”</w:t>
            </w:r>
          </w:p>
          <w:p w14:paraId="05B28572" w14:textId="766044DF"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“Sparkassen-Haftungs AG”</w:t>
            </w:r>
          </w:p>
          <w:p w14:paraId="2CB610E6" w14:textId="1844DC2E"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“Österreichische Raiffeisen-Einlagensicherung eGen”</w:t>
            </w:r>
          </w:p>
          <w:p w14:paraId="5FB32104" w14:textId="06160C29"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“Volksbank Einlagensicherung eG”</w:t>
            </w:r>
          </w:p>
          <w:p w14:paraId="76069202" w14:textId="263E9066"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“Hypo Haftungs-Gesellschaft </w:t>
            </w:r>
            <w:proofErr w:type="gramStart"/>
            <w:r w:rsidRPr="004B56A9">
              <w:rPr>
                <w:rFonts w:ascii="Times New Roman" w:hAnsi="Times New Roman"/>
                <w:color w:val="000000" w:themeColor="text1"/>
                <w:spacing w:val="-2"/>
                <w:w w:val="95"/>
                <w:sz w:val="20"/>
              </w:rPr>
              <w:t>m.b.H.</w:t>
            </w:r>
            <w:proofErr w:type="gramEnd"/>
            <w:r w:rsidRPr="004B56A9">
              <w:rPr>
                <w:rFonts w:ascii="Times New Roman" w:hAnsi="Times New Roman"/>
                <w:color w:val="000000" w:themeColor="text1"/>
                <w:spacing w:val="-2"/>
                <w:w w:val="95"/>
                <w:sz w:val="20"/>
              </w:rPr>
              <w:t>”</w:t>
            </w:r>
          </w:p>
          <w:p w14:paraId="751C44B8" w14:textId="77777777" w:rsidR="004842F3" w:rsidRPr="004B56A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sidRPr="004B56A9">
              <w:rPr>
                <w:rFonts w:ascii="Times New Roman" w:hAnsi="Times New Roman"/>
                <w:b/>
                <w:color w:val="000000" w:themeColor="text1"/>
                <w:spacing w:val="-2"/>
                <w:w w:val="95"/>
                <w:sz w:val="20"/>
                <w:u w:val="single"/>
              </w:rPr>
              <w:t>per</w:t>
            </w:r>
            <w:proofErr w:type="gramEnd"/>
            <w:r w:rsidRPr="004B56A9">
              <w:rPr>
                <w:rFonts w:ascii="Times New Roman" w:hAnsi="Times New Roman"/>
                <w:b/>
                <w:color w:val="000000" w:themeColor="text1"/>
                <w:spacing w:val="-2"/>
                <w:w w:val="95"/>
                <w:sz w:val="20"/>
                <w:u w:val="single"/>
              </w:rPr>
              <w:t xml:space="preserve"> il Belgio</w:t>
            </w:r>
          </w:p>
          <w:p w14:paraId="5885398F" w14:textId="2FBF74FA"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“Garantiefonds voor financiële diensten / Fonds de garantie pour les services financiers”</w:t>
            </w:r>
          </w:p>
          <w:p w14:paraId="09FE0063" w14:textId="77777777" w:rsidR="004842F3" w:rsidRPr="004B56A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sidRPr="004B56A9">
              <w:rPr>
                <w:rFonts w:ascii="Times New Roman" w:hAnsi="Times New Roman"/>
                <w:b/>
                <w:color w:val="000000" w:themeColor="text1"/>
                <w:spacing w:val="-2"/>
                <w:w w:val="95"/>
                <w:sz w:val="20"/>
                <w:u w:val="single"/>
              </w:rPr>
              <w:t>per</w:t>
            </w:r>
            <w:proofErr w:type="gramEnd"/>
            <w:r w:rsidRPr="004B56A9">
              <w:rPr>
                <w:rFonts w:ascii="Times New Roman" w:hAnsi="Times New Roman"/>
                <w:b/>
                <w:color w:val="000000" w:themeColor="text1"/>
                <w:spacing w:val="-2"/>
                <w:w w:val="95"/>
                <w:sz w:val="20"/>
                <w:u w:val="single"/>
              </w:rPr>
              <w:t xml:space="preserve"> la Bulgaria</w:t>
            </w:r>
          </w:p>
          <w:p w14:paraId="70619CD8" w14:textId="572D5EAE"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“Фондът за гарантиране на влоговете в банките”</w:t>
            </w:r>
          </w:p>
          <w:p w14:paraId="6BCB043A" w14:textId="77777777" w:rsidR="004842F3" w:rsidRPr="004B56A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sidRPr="004B56A9">
              <w:rPr>
                <w:rFonts w:ascii="Times New Roman" w:hAnsi="Times New Roman"/>
                <w:b/>
                <w:color w:val="000000" w:themeColor="text1"/>
                <w:spacing w:val="-2"/>
                <w:w w:val="95"/>
                <w:sz w:val="20"/>
                <w:u w:val="single"/>
              </w:rPr>
              <w:t>per</w:t>
            </w:r>
            <w:proofErr w:type="gramEnd"/>
            <w:r w:rsidRPr="004B56A9">
              <w:rPr>
                <w:rFonts w:ascii="Times New Roman" w:hAnsi="Times New Roman"/>
                <w:b/>
                <w:color w:val="000000" w:themeColor="text1"/>
                <w:spacing w:val="-2"/>
                <w:w w:val="95"/>
                <w:sz w:val="20"/>
                <w:u w:val="single"/>
              </w:rPr>
              <w:t xml:space="preserve"> la Croazia</w:t>
            </w:r>
          </w:p>
          <w:p w14:paraId="666E055A" w14:textId="41CA0BEF" w:rsidR="004842F3" w:rsidRPr="004B56A9" w:rsidRDefault="00845EB0"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w:t>
            </w:r>
            <w:r w:rsidR="008B4886" w:rsidRPr="004B56A9">
              <w:rPr>
                <w:rFonts w:ascii="Times New Roman" w:hAnsi="Times New Roman"/>
                <w:noProof/>
                <w:color w:val="000000" w:themeColor="text1"/>
                <w:spacing w:val="-2"/>
                <w:w w:val="95"/>
                <w:sz w:val="20"/>
              </w:rPr>
              <w:t>Državna agencija za osiguranje štednih uloga i sanaciju banaka”</w:t>
            </w:r>
          </w:p>
          <w:p w14:paraId="25D03745"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Cipro</w:t>
            </w:r>
          </w:p>
          <w:p w14:paraId="3FE52949" w14:textId="029613BA"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“Σύστημα Εγγύησης των Καταθέσεων και Εξυγίανσης Πιστωτικών και Άλλων Ιδρυμάτων”</w:t>
            </w:r>
          </w:p>
          <w:p w14:paraId="556D997A" w14:textId="4AFB211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Republica ceca</w:t>
            </w:r>
          </w:p>
          <w:p w14:paraId="68A5D3DB" w14:textId="527F8A3B"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“Garanční systém finančního trhu”</w:t>
            </w:r>
          </w:p>
          <w:p w14:paraId="3CBD6009"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Danimarca</w:t>
            </w:r>
          </w:p>
          <w:p w14:paraId="481A0D30" w14:textId="1F8482A4"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“Garantiformuen”</w:t>
            </w:r>
          </w:p>
          <w:p w14:paraId="2A78D510"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l’Estonia </w:t>
            </w:r>
          </w:p>
          <w:p w14:paraId="78928C7E" w14:textId="09101913"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“Tagastisfond”</w:t>
            </w:r>
          </w:p>
          <w:p w14:paraId="05047031"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la Finlandia </w:t>
            </w:r>
          </w:p>
          <w:p w14:paraId="1650C3AC" w14:textId="19C1DA66"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“Talletussuojarahasto’”</w:t>
            </w:r>
          </w:p>
          <w:p w14:paraId="52FB6489"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lastRenderedPageBreak/>
              <w:t>per la Francia</w:t>
            </w:r>
          </w:p>
          <w:p w14:paraId="114CB84F" w14:textId="01E6D41A"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“Fonds de Garantie des Dépôts et de Résolution”</w:t>
            </w:r>
          </w:p>
          <w:p w14:paraId="1A6E346D"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la Germania </w:t>
            </w:r>
          </w:p>
          <w:p w14:paraId="10DDEEF3" w14:textId="0F63ABAF"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“Entschädigungseinrichtung deutscher Banken GmbH”</w:t>
            </w:r>
          </w:p>
          <w:p w14:paraId="2D24A058" w14:textId="7DBE21EE"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“Entschädigungseinrichtung des Bundesverbandes Öffentlicher Banken Deutschlands GmbH”</w:t>
            </w:r>
          </w:p>
          <w:p w14:paraId="71280F0E" w14:textId="6342D5C0"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“Sicherungseinrichtung des Deutschen Sparkassen- und Giroverbandes (DSGV-Haftungsverbund)”</w:t>
            </w:r>
          </w:p>
          <w:p w14:paraId="28D68A0B" w14:textId="1B517501"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“BVR Institutssicherung GmbH”</w:t>
            </w:r>
          </w:p>
          <w:p w14:paraId="23B20D67" w14:textId="77777777" w:rsidR="00EE17EF" w:rsidRPr="004B56A9" w:rsidRDefault="00EE17EF" w:rsidP="00EE17EF">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Gibilterra</w:t>
            </w:r>
          </w:p>
          <w:p w14:paraId="00B8F7EC" w14:textId="08AECDE2" w:rsidR="00EE17EF"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“Gibraltar Deposit Guarantee Scheme”</w:t>
            </w:r>
          </w:p>
          <w:p w14:paraId="497A8882"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la Grecia </w:t>
            </w:r>
          </w:p>
          <w:p w14:paraId="7CD3CC1F" w14:textId="1E81CDF2"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“Ταμείο Εγγύησης Καταθέσεων και Επενδύσεων”</w:t>
            </w:r>
          </w:p>
          <w:p w14:paraId="644ACCDA"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l’Ungheria </w:t>
            </w:r>
          </w:p>
          <w:p w14:paraId="24A1B052" w14:textId="56FBACC1"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“Országos Betétbiztosítási Alap”</w:t>
            </w:r>
          </w:p>
          <w:p w14:paraId="69F60D8F"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l’Islanda</w:t>
            </w:r>
          </w:p>
          <w:p w14:paraId="1F7303A3" w14:textId="022891A3"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“Tryggingarsjóður innstæðueigenda og fjárfesta”</w:t>
            </w:r>
          </w:p>
          <w:p w14:paraId="1A5F5225"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l’Irlanda</w:t>
            </w:r>
          </w:p>
          <w:p w14:paraId="55DF0552" w14:textId="35A95D2F"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“Irish Deposit Protection Scheme”</w:t>
            </w:r>
          </w:p>
          <w:p w14:paraId="67DBF740" w14:textId="77777777" w:rsidR="004842F3" w:rsidRPr="004B56A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sidRPr="004B56A9">
              <w:rPr>
                <w:rFonts w:ascii="Times New Roman" w:hAnsi="Times New Roman"/>
                <w:b/>
                <w:color w:val="000000" w:themeColor="text1"/>
                <w:spacing w:val="-2"/>
                <w:w w:val="95"/>
                <w:sz w:val="20"/>
                <w:u w:val="single"/>
              </w:rPr>
              <w:t>per</w:t>
            </w:r>
            <w:proofErr w:type="gramEnd"/>
            <w:r w:rsidRPr="004B56A9">
              <w:rPr>
                <w:rFonts w:ascii="Times New Roman" w:hAnsi="Times New Roman"/>
                <w:b/>
                <w:color w:val="000000" w:themeColor="text1"/>
                <w:spacing w:val="-2"/>
                <w:w w:val="95"/>
                <w:sz w:val="20"/>
                <w:u w:val="single"/>
              </w:rPr>
              <w:t xml:space="preserve"> l’Italia </w:t>
            </w:r>
          </w:p>
          <w:p w14:paraId="7CA931A1" w14:textId="5C90EB7A"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“Fondo Interbancario di Tutela dei Depositi”</w:t>
            </w:r>
          </w:p>
          <w:p w14:paraId="01E1F676" w14:textId="57E06C6B" w:rsidR="004842F3" w:rsidRPr="004B56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“Fondo di Garanzia dei Depositanti </w:t>
            </w:r>
            <w:proofErr w:type="gramStart"/>
            <w:r w:rsidRPr="004B56A9">
              <w:rPr>
                <w:rFonts w:ascii="Times New Roman" w:hAnsi="Times New Roman"/>
                <w:color w:val="000000" w:themeColor="text1"/>
                <w:spacing w:val="-2"/>
                <w:w w:val="95"/>
                <w:sz w:val="20"/>
              </w:rPr>
              <w:t>del</w:t>
            </w:r>
            <w:proofErr w:type="gramEnd"/>
            <w:r w:rsidRPr="004B56A9">
              <w:rPr>
                <w:rFonts w:ascii="Times New Roman" w:hAnsi="Times New Roman"/>
                <w:color w:val="000000" w:themeColor="text1"/>
                <w:spacing w:val="-2"/>
                <w:w w:val="95"/>
                <w:sz w:val="20"/>
              </w:rPr>
              <w:t xml:space="preserve"> Credito Cooperativo”</w:t>
            </w:r>
          </w:p>
          <w:p w14:paraId="54B8C1D7" w14:textId="77777777" w:rsidR="004842F3" w:rsidRPr="004B56A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sidRPr="004B56A9">
              <w:rPr>
                <w:rFonts w:ascii="Times New Roman" w:hAnsi="Times New Roman"/>
                <w:b/>
                <w:color w:val="000000" w:themeColor="text1"/>
                <w:spacing w:val="-2"/>
                <w:w w:val="95"/>
                <w:sz w:val="20"/>
                <w:u w:val="single"/>
              </w:rPr>
              <w:t>per</w:t>
            </w:r>
            <w:proofErr w:type="gramEnd"/>
            <w:r w:rsidRPr="004B56A9">
              <w:rPr>
                <w:rFonts w:ascii="Times New Roman" w:hAnsi="Times New Roman"/>
                <w:b/>
                <w:color w:val="000000" w:themeColor="text1"/>
                <w:spacing w:val="-2"/>
                <w:w w:val="95"/>
                <w:sz w:val="20"/>
                <w:u w:val="single"/>
              </w:rPr>
              <w:t xml:space="preserve"> la Lettonia</w:t>
            </w:r>
          </w:p>
          <w:p w14:paraId="4EF13F0E" w14:textId="45179E37"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“Latvijas Noguldījumu garantiju fonds”</w:t>
            </w:r>
          </w:p>
          <w:p w14:paraId="180CE6C9"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il Liechtenstein </w:t>
            </w:r>
          </w:p>
          <w:p w14:paraId="41FE79AC" w14:textId="69C86DB6"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“Einlagensicherungs- und Anlegerentschädigungs-Stiftung SV”</w:t>
            </w:r>
          </w:p>
          <w:p w14:paraId="5A8E8E5B"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Lituania</w:t>
            </w:r>
          </w:p>
          <w:p w14:paraId="29F80EDA" w14:textId="702A50DD"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“Indėlių ir investicijų draudimas”</w:t>
            </w:r>
          </w:p>
          <w:p w14:paraId="2C5E9A36"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il Lussemburgo</w:t>
            </w:r>
          </w:p>
          <w:p w14:paraId="444EDB5D" w14:textId="6B51790D"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“Fond de garantie des Dépôts Luxembourg”</w:t>
            </w:r>
          </w:p>
          <w:p w14:paraId="20425F25" w14:textId="77777777" w:rsidR="004842F3" w:rsidRPr="004B56A9" w:rsidRDefault="004842F3" w:rsidP="00743CD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Malta</w:t>
            </w:r>
          </w:p>
          <w:p w14:paraId="2D48D88C" w14:textId="252BB2B8"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“Depositor Compensation Scheme”</w:t>
            </w:r>
          </w:p>
          <w:p w14:paraId="5EA83EFC"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i Paesi Bassi </w:t>
            </w:r>
          </w:p>
          <w:p w14:paraId="7785385D" w14:textId="768AACB7"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“De Nederlandsche Bank, Depositogarantiestelsel”</w:t>
            </w:r>
          </w:p>
          <w:p w14:paraId="4CD03A6D"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Norvegia</w:t>
            </w:r>
          </w:p>
          <w:p w14:paraId="6B5E3E23" w14:textId="6967DC86"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“Bankenes sikringsfond”</w:t>
            </w:r>
          </w:p>
          <w:p w14:paraId="1982BD0D"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Polonia</w:t>
            </w:r>
          </w:p>
          <w:p w14:paraId="479B6AC6" w14:textId="5083F75E"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“Bankowy Fundusz Gwarancyjny”</w:t>
            </w:r>
          </w:p>
          <w:p w14:paraId="305BF99C"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il Portogallo</w:t>
            </w:r>
          </w:p>
          <w:p w14:paraId="53839AAE" w14:textId="023AA326"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“Fundo de Garantia de Depósitos”</w:t>
            </w:r>
          </w:p>
          <w:p w14:paraId="7AD1EA36" w14:textId="68A266E2" w:rsidR="004842F3" w:rsidRPr="004B56A9" w:rsidRDefault="008B4886" w:rsidP="00106F72">
            <w:pPr>
              <w:pStyle w:val="TableParagraph"/>
              <w:numPr>
                <w:ilvl w:val="0"/>
                <w:numId w:val="28"/>
              </w:numPr>
              <w:spacing w:before="108" w:after="360"/>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“Fundo de Garantia do Crédito Agrícola Mútuo”</w:t>
            </w:r>
          </w:p>
          <w:p w14:paraId="62131420"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lastRenderedPageBreak/>
              <w:t>per la Romania</w:t>
            </w:r>
          </w:p>
          <w:p w14:paraId="10F7E8DE" w14:textId="01278A20"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“Fondul de Garantare a Depozitelor in Sistemul Bancar”</w:t>
            </w:r>
          </w:p>
          <w:p w14:paraId="406D672F"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Slovacchia</w:t>
            </w:r>
          </w:p>
          <w:p w14:paraId="401C414D" w14:textId="7D73B45F"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“Fond ochrany vkladov”</w:t>
            </w:r>
          </w:p>
          <w:p w14:paraId="3154A5C9"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 xml:space="preserve">per la Slovenia </w:t>
            </w:r>
          </w:p>
          <w:p w14:paraId="1768D1E2" w14:textId="067474B7"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“Banka Slovenije”</w:t>
            </w:r>
          </w:p>
          <w:p w14:paraId="64EE639D"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Spagna</w:t>
            </w:r>
          </w:p>
          <w:p w14:paraId="28706D75" w14:textId="71B5B733"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“Fondo de Garantía de Depósitos de Entidades de Crédito”</w:t>
            </w:r>
          </w:p>
          <w:p w14:paraId="06410C43"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la Svezia</w:t>
            </w:r>
          </w:p>
          <w:p w14:paraId="08802D73" w14:textId="35F2CA91"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“Riksgälden”</w:t>
            </w:r>
          </w:p>
          <w:p w14:paraId="385C56B7" w14:textId="77777777" w:rsidR="004842F3" w:rsidRPr="004B56A9" w:rsidRDefault="004842F3" w:rsidP="004842F3">
            <w:pPr>
              <w:pStyle w:val="TableParagraph"/>
              <w:spacing w:before="108"/>
              <w:ind w:left="85"/>
              <w:jc w:val="both"/>
              <w:rPr>
                <w:rFonts w:ascii="Times New Roman" w:eastAsia="Cambria" w:hAnsi="Times New Roman" w:cs="Times New Roman"/>
                <w:b/>
                <w:noProof/>
                <w:color w:val="000000" w:themeColor="text1"/>
                <w:spacing w:val="-2"/>
                <w:w w:val="95"/>
                <w:sz w:val="20"/>
                <w:szCs w:val="20"/>
                <w:u w:val="single"/>
              </w:rPr>
            </w:pPr>
            <w:r w:rsidRPr="004B56A9">
              <w:rPr>
                <w:rFonts w:ascii="Times New Roman" w:hAnsi="Times New Roman"/>
                <w:b/>
                <w:noProof/>
                <w:color w:val="000000" w:themeColor="text1"/>
                <w:spacing w:val="-2"/>
                <w:w w:val="95"/>
                <w:sz w:val="20"/>
                <w:u w:val="single"/>
              </w:rPr>
              <w:t>per il Regno Unito</w:t>
            </w:r>
          </w:p>
          <w:p w14:paraId="780B6A94" w14:textId="104E0DDE" w:rsidR="004842F3" w:rsidRPr="004B56A9" w:rsidRDefault="008B4886" w:rsidP="00715DAB">
            <w:pPr>
              <w:pStyle w:val="TableParagraph"/>
              <w:numPr>
                <w:ilvl w:val="0"/>
                <w:numId w:val="28"/>
              </w:numPr>
              <w:spacing w:before="108"/>
              <w:jc w:val="both"/>
              <w:rPr>
                <w:rFonts w:ascii="Times New Roman" w:eastAsia="Cambria" w:hAnsi="Times New Roman" w:cs="Times New Roman"/>
                <w:noProof/>
                <w:color w:val="000000" w:themeColor="text1"/>
                <w:spacing w:val="-2"/>
                <w:w w:val="95"/>
                <w:sz w:val="20"/>
                <w:szCs w:val="20"/>
              </w:rPr>
            </w:pPr>
            <w:r w:rsidRPr="004B56A9">
              <w:rPr>
                <w:rFonts w:ascii="Times New Roman" w:hAnsi="Times New Roman"/>
                <w:noProof/>
                <w:color w:val="000000" w:themeColor="text1"/>
                <w:spacing w:val="-2"/>
                <w:w w:val="95"/>
                <w:sz w:val="20"/>
              </w:rPr>
              <w:t>“Financial Services Compensation Scheme”</w:t>
            </w:r>
          </w:p>
          <w:p w14:paraId="023D7292" w14:textId="77777777" w:rsidR="00EE17EF" w:rsidRPr="004B56A9"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73D9F1E9" w14:textId="5F3152AC" w:rsidR="00F86BB3" w:rsidRPr="004B56A9"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 </w:t>
            </w:r>
            <w:proofErr w:type="gramStart"/>
            <w:r w:rsidRPr="004B56A9">
              <w:rPr>
                <w:rFonts w:ascii="Times New Roman" w:hAnsi="Times New Roman"/>
                <w:color w:val="000000" w:themeColor="text1"/>
                <w:spacing w:val="-2"/>
                <w:w w:val="95"/>
                <w:sz w:val="20"/>
              </w:rPr>
              <w:t>l’</w:t>
            </w:r>
            <w:proofErr w:type="gramEnd"/>
            <w:r w:rsidRPr="004B56A9">
              <w:rPr>
                <w:rFonts w:ascii="Times New Roman" w:hAnsi="Times New Roman"/>
                <w:color w:val="000000" w:themeColor="text1"/>
                <w:spacing w:val="-2"/>
                <w:w w:val="95"/>
                <w:sz w:val="20"/>
              </w:rPr>
              <w:t>SGD ufficialmente riconosciuto di cui l’entità è membro non figura nell’elenco sopra riportato, indicare “Altro”.</w:t>
            </w:r>
          </w:p>
        </w:tc>
      </w:tr>
      <w:tr w:rsidR="00D22EB0" w:rsidRPr="004B56A9" w14:paraId="7EAF8029" w14:textId="77777777" w:rsidTr="00DD2B90">
        <w:tc>
          <w:tcPr>
            <w:tcW w:w="1191" w:type="dxa"/>
            <w:tcBorders>
              <w:top w:val="single" w:sz="4" w:space="0" w:color="1A171C"/>
              <w:left w:val="nil"/>
              <w:bottom w:val="single" w:sz="4" w:space="0" w:color="1A171C"/>
              <w:right w:val="single" w:sz="4" w:space="0" w:color="1A171C"/>
            </w:tcBorders>
          </w:tcPr>
          <w:p w14:paraId="5FE4A478" w14:textId="505AD76E"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14:paraId="48F44D61" w14:textId="77777777" w:rsidR="0057049E" w:rsidRPr="004B56A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Importo dei depositi coperti</w:t>
            </w:r>
          </w:p>
          <w:p w14:paraId="2DF935C8" w14:textId="5CB53E19" w:rsidR="0057049E" w:rsidRPr="004B56A9"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punto 5, e articolo 6, paragrafo 2, della direttiva 2014/49/UE</w:t>
            </w:r>
          </w:p>
          <w:p w14:paraId="618677D1" w14:textId="10578299" w:rsidR="0057049E" w:rsidRPr="004B56A9"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dei depositi coperti quali definiti all’articolo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punto 5, in combinato disposto con l’articolo 6, della direttiva 2014/49/UE, protetti dall’SGD di cui alla riga 0030, ad esclusione dei saldi temporaneamente elevati quali definiti all’articolo 6, paragrafo 2, della medesima direttiva.</w:t>
            </w:r>
          </w:p>
        </w:tc>
      </w:tr>
      <w:tr w:rsidR="00D22EB0" w:rsidRPr="004B56A9" w14:paraId="18C0B81C" w14:textId="77777777" w:rsidTr="00DD2B90">
        <w:tc>
          <w:tcPr>
            <w:tcW w:w="1191" w:type="dxa"/>
            <w:tcBorders>
              <w:top w:val="single" w:sz="4" w:space="0" w:color="1A171C"/>
              <w:left w:val="nil"/>
              <w:bottom w:val="single" w:sz="4" w:space="0" w:color="1A171C"/>
              <w:right w:val="single" w:sz="4" w:space="0" w:color="1A171C"/>
            </w:tcBorders>
          </w:tcPr>
          <w:p w14:paraId="7F05E950" w14:textId="40880C46"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14:paraId="1531212F" w14:textId="38FD30C4" w:rsidR="0057049E" w:rsidRPr="004B56A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Sistema di tutela istituzionale</w:t>
            </w:r>
          </w:p>
          <w:p w14:paraId="706DE224" w14:textId="76D586D5" w:rsidR="0057049E" w:rsidRPr="004B56A9"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113, paragrafo </w:t>
            </w:r>
            <w:proofErr w:type="gramStart"/>
            <w:r w:rsidRPr="004B56A9">
              <w:rPr>
                <w:rFonts w:ascii="Times New Roman" w:hAnsi="Times New Roman"/>
                <w:color w:val="000000" w:themeColor="text1"/>
                <w:spacing w:val="-2"/>
                <w:w w:val="95"/>
                <w:sz w:val="20"/>
              </w:rPr>
              <w:t>7</w:t>
            </w:r>
            <w:proofErr w:type="gramEnd"/>
            <w:r w:rsidRPr="004B56A9">
              <w:rPr>
                <w:rFonts w:ascii="Times New Roman" w:hAnsi="Times New Roman"/>
                <w:color w:val="000000" w:themeColor="text1"/>
                <w:spacing w:val="-2"/>
                <w:w w:val="95"/>
                <w:sz w:val="20"/>
              </w:rPr>
              <w:t>, del regolamento (UE) n. 575/2013</w:t>
            </w:r>
          </w:p>
          <w:p w14:paraId="331C9672" w14:textId="11A2B29A" w:rsidR="006550E5" w:rsidRPr="004B56A9"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nome del sistema di tutela istituzionale di cui all’articolo 113, paragrafo </w:t>
            </w:r>
            <w:proofErr w:type="gramStart"/>
            <w:r w:rsidRPr="004B56A9">
              <w:rPr>
                <w:rFonts w:ascii="Times New Roman" w:hAnsi="Times New Roman"/>
                <w:color w:val="000000" w:themeColor="text1"/>
                <w:spacing w:val="-2"/>
                <w:w w:val="95"/>
                <w:sz w:val="20"/>
              </w:rPr>
              <w:t>7</w:t>
            </w:r>
            <w:proofErr w:type="gramEnd"/>
            <w:r w:rsidRPr="004B56A9">
              <w:rPr>
                <w:rFonts w:ascii="Times New Roman" w:hAnsi="Times New Roman"/>
                <w:color w:val="000000" w:themeColor="text1"/>
                <w:spacing w:val="-2"/>
                <w:w w:val="95"/>
                <w:sz w:val="20"/>
              </w:rPr>
              <w:t xml:space="preserve">, del regolamento (UE) n. 575/2013, di cui l’entità è membro. Non segnalare nulla se l’entità non è </w:t>
            </w:r>
            <w:proofErr w:type="gramStart"/>
            <w:r w:rsidRPr="004B56A9">
              <w:rPr>
                <w:rFonts w:ascii="Times New Roman" w:hAnsi="Times New Roman"/>
                <w:color w:val="000000" w:themeColor="text1"/>
                <w:spacing w:val="-2"/>
                <w:w w:val="95"/>
                <w:sz w:val="20"/>
              </w:rPr>
              <w:t>membro</w:t>
            </w:r>
            <w:proofErr w:type="gramEnd"/>
            <w:r w:rsidRPr="004B56A9">
              <w:rPr>
                <w:rFonts w:ascii="Times New Roman" w:hAnsi="Times New Roman"/>
                <w:color w:val="000000" w:themeColor="text1"/>
                <w:spacing w:val="-2"/>
                <w:w w:val="95"/>
                <w:sz w:val="20"/>
              </w:rPr>
              <w:t xml:space="preserve"> di un sistema di tutela istituzionale. Se l’entità è membro di un sistema di tutela istituzionale che è anche ufficialmente </w:t>
            </w:r>
            <w:proofErr w:type="gramStart"/>
            <w:r w:rsidRPr="004B56A9">
              <w:rPr>
                <w:rFonts w:ascii="Times New Roman" w:hAnsi="Times New Roman"/>
                <w:color w:val="000000" w:themeColor="text1"/>
                <w:spacing w:val="-2"/>
                <w:w w:val="95"/>
                <w:sz w:val="20"/>
              </w:rPr>
              <w:t>riconosciuto</w:t>
            </w:r>
            <w:proofErr w:type="gramEnd"/>
            <w:r w:rsidRPr="004B56A9">
              <w:rPr>
                <w:rFonts w:ascii="Times New Roman" w:hAnsi="Times New Roman"/>
                <w:color w:val="000000" w:themeColor="text1"/>
                <w:spacing w:val="-2"/>
                <w:w w:val="95"/>
                <w:sz w:val="20"/>
              </w:rPr>
              <w:t xml:space="preserve"> come SGD a norma dell’articolo 4, paragrafo 2, della direttiva 2014/49/UE, il nome del sistema di tutela istituzionale è identico al nome dell’SGD figurante nella riga 030.</w:t>
            </w:r>
          </w:p>
          <w:p w14:paraId="20D4A4BD" w14:textId="565C1598" w:rsidR="0057049E" w:rsidRPr="004B56A9"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4B56A9" w14:paraId="58ECD6EF" w14:textId="77777777" w:rsidTr="00DD2B90">
        <w:tc>
          <w:tcPr>
            <w:tcW w:w="1191" w:type="dxa"/>
            <w:tcBorders>
              <w:top w:val="single" w:sz="4" w:space="0" w:color="1A171C"/>
              <w:left w:val="nil"/>
              <w:bottom w:val="single" w:sz="4" w:space="0" w:color="1A171C"/>
              <w:right w:val="single" w:sz="4" w:space="0" w:color="1A171C"/>
            </w:tcBorders>
          </w:tcPr>
          <w:p w14:paraId="078C4E94" w14:textId="4AB7A3CF" w:rsidR="0057049E" w:rsidRPr="004B56A9"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14:paraId="22F8D180" w14:textId="42C9F59E" w:rsidR="0057049E" w:rsidRPr="004B56A9"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Tutela aggiuntiva in forza di un sistema istituito per </w:t>
            </w:r>
            <w:proofErr w:type="gramStart"/>
            <w:r w:rsidRPr="004B56A9">
              <w:rPr>
                <w:rFonts w:ascii="Times New Roman" w:hAnsi="Times New Roman"/>
                <w:b/>
                <w:color w:val="000000" w:themeColor="text1"/>
                <w:sz w:val="20"/>
              </w:rPr>
              <w:t>contratto</w:t>
            </w:r>
            <w:proofErr w:type="gramEnd"/>
          </w:p>
          <w:p w14:paraId="0457BB4B" w14:textId="72296ACB" w:rsidR="0057049E" w:rsidRPr="004B56A9"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1</w:t>
            </w:r>
            <w:proofErr w:type="gramEnd"/>
            <w:r w:rsidRPr="004B56A9">
              <w:rPr>
                <w:rFonts w:ascii="Times New Roman" w:hAnsi="Times New Roman"/>
                <w:color w:val="000000" w:themeColor="text1"/>
                <w:spacing w:val="-2"/>
                <w:w w:val="95"/>
                <w:sz w:val="20"/>
              </w:rPr>
              <w:t>, paragrafo 3, lettera a), della direttiva 2014/49/UE</w:t>
            </w:r>
          </w:p>
          <w:p w14:paraId="2CAF3765" w14:textId="58E081DE" w:rsidR="0057049E" w:rsidRPr="004B56A9" w:rsidRDefault="0057049E" w:rsidP="0055296A">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L’ammontare dei depositi coperti da un sistema istituito per contratto presso l’entità.</w:t>
            </w:r>
            <w:proofErr w:type="gramEnd"/>
          </w:p>
        </w:tc>
      </w:tr>
    </w:tbl>
    <w:p w14:paraId="411D60A3" w14:textId="77777777" w:rsidR="0057049E" w:rsidRPr="004B56A9" w:rsidRDefault="0057049E" w:rsidP="008F7980">
      <w:pPr>
        <w:rPr>
          <w:rFonts w:ascii="Times New Roman" w:hAnsi="Times New Roman" w:cs="Times New Roman"/>
          <w:b/>
          <w:color w:val="000000" w:themeColor="text1"/>
          <w:sz w:val="20"/>
          <w:szCs w:val="20"/>
          <w:u w:val="single"/>
        </w:rPr>
      </w:pPr>
    </w:p>
    <w:p w14:paraId="13DB152C" w14:textId="60358B87" w:rsidR="00E13CE3" w:rsidRPr="004B56A9" w:rsidRDefault="00E13CE3" w:rsidP="008854E4">
      <w:pPr>
        <w:pStyle w:val="Instructionsberschrift2"/>
        <w:numPr>
          <w:ilvl w:val="1"/>
          <w:numId w:val="7"/>
        </w:numPr>
        <w:ind w:left="357" w:hanging="357"/>
        <w:rPr>
          <w:rFonts w:ascii="Times New Roman" w:hAnsi="Times New Roman" w:cs="Times New Roman"/>
          <w:szCs w:val="20"/>
        </w:rPr>
      </w:pPr>
      <w:bookmarkStart w:id="34" w:name="_Toc492542327"/>
      <w:bookmarkStart w:id="35" w:name="_Toc509909045"/>
      <w:bookmarkStart w:id="36" w:name="_Toc525130392"/>
      <w:r w:rsidRPr="004B56A9">
        <w:rPr>
          <w:rFonts w:ascii="Times New Roman" w:hAnsi="Times New Roman"/>
        </w:rPr>
        <w:t>Funzioni essenziali e linee di business principali</w:t>
      </w:r>
      <w:bookmarkEnd w:id="34"/>
      <w:bookmarkEnd w:id="35"/>
      <w:bookmarkEnd w:id="36"/>
    </w:p>
    <w:p w14:paraId="5276121F" w14:textId="77777777" w:rsidR="00AA4026" w:rsidRPr="004B56A9" w:rsidRDefault="00AA4026" w:rsidP="00715DAB">
      <w:pPr>
        <w:pStyle w:val="Instructionsberschrift3"/>
      </w:pPr>
      <w:r w:rsidRPr="004B56A9">
        <w:t>Osservazioni di carattere generale</w:t>
      </w:r>
    </w:p>
    <w:p w14:paraId="6A17B8FF" w14:textId="3537124A" w:rsidR="001D72E4" w:rsidRPr="004B56A9" w:rsidRDefault="001D72E4"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I quattro modelli di questa sezione forniscono dati fondamentali e valutazioni qualitative dell’impatto, della sostituibilità e dell’importanza delle funzioni economiche che il gruppo sta fornendo, integrate dall’associazione di tali funzioni essenziali alle linee di business principali e alle entità giuridiche.</w:t>
      </w:r>
    </w:p>
    <w:p w14:paraId="6702B14A" w14:textId="61B5B500" w:rsidR="005B5989" w:rsidRPr="004B56A9" w:rsidRDefault="0001511A"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Più in particolare, i modelli sono dedicati ai temi seguenti.</w:t>
      </w:r>
    </w:p>
    <w:p w14:paraId="315E7F74" w14:textId="219393AB" w:rsidR="004D12A4" w:rsidRPr="004B56A9" w:rsidRDefault="0000307C"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Il modello Z 07.01 - Valutazione del carattere essenziale delle funzioni economiche (FUNC 1) individua, </w:t>
      </w:r>
      <w:proofErr w:type="gramStart"/>
      <w:r w:rsidRPr="004B56A9">
        <w:rPr>
          <w:rFonts w:ascii="Times New Roman" w:hAnsi="Times New Roman"/>
          <w:sz w:val="20"/>
        </w:rPr>
        <w:t>sulla base di</w:t>
      </w:r>
      <w:proofErr w:type="gramEnd"/>
      <w:r w:rsidRPr="004B56A9">
        <w:rPr>
          <w:rFonts w:ascii="Times New Roman" w:hAnsi="Times New Roman"/>
          <w:sz w:val="20"/>
        </w:rPr>
        <w:t xml:space="preserve"> indicatori quantitativi e qualitativi, le funzioni non essenziali e le funzioni essenziali svolte dal gruppo per ciascuno Stato membro in cui il gruppo opera.</w:t>
      </w:r>
    </w:p>
    <w:p w14:paraId="571D2B9E" w14:textId="69D2F9BC" w:rsidR="00DF4780" w:rsidRPr="004B56A9" w:rsidRDefault="000103DF"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lastRenderedPageBreak/>
        <w:t xml:space="preserve">Il modello Z 07.02 - Associazione delle funzioni essenziali alle entità giuridiche (FUNC 2) associa le funzioni essenziali individuate alle entità giuridiche e valuta per </w:t>
      </w:r>
      <w:proofErr w:type="gramStart"/>
      <w:r w:rsidRPr="004B56A9">
        <w:rPr>
          <w:rFonts w:ascii="Times New Roman" w:hAnsi="Times New Roman"/>
          <w:sz w:val="20"/>
        </w:rPr>
        <w:t xml:space="preserve">ciascuna </w:t>
      </w:r>
      <w:proofErr w:type="gramEnd"/>
      <w:r w:rsidRPr="004B56A9">
        <w:rPr>
          <w:rFonts w:ascii="Times New Roman" w:hAnsi="Times New Roman"/>
          <w:sz w:val="20"/>
        </w:rPr>
        <w:t>entità giuridica se è rilevante per l’esecuzione della funzione essenziale oppure no.</w:t>
      </w:r>
    </w:p>
    <w:p w14:paraId="0733488F" w14:textId="46C084A0" w:rsidR="00DF4780" w:rsidRPr="004B56A9" w:rsidRDefault="00F7117F"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Il modello Z 07.03 - Associazione delle linee di business principali alle entità giuridiche (FUNC 3) fornisce l’elenco completo delle linee di business principali e le associa alle entità giuridiche.</w:t>
      </w:r>
    </w:p>
    <w:p w14:paraId="68F5A3D8" w14:textId="1836E74B" w:rsidR="00DF4780" w:rsidRPr="004B56A9" w:rsidRDefault="00AD488F"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Il modello Z 07.04 - Associazione delle funzioni essenziali alle linee di business principali (FUNC 4) associa le funzioni essenziali individuate alle linee di business.</w:t>
      </w:r>
    </w:p>
    <w:p w14:paraId="23155DDE" w14:textId="41FDED5F" w:rsidR="003A344F" w:rsidRPr="004B56A9" w:rsidRDefault="006B4A6D"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Ai sensi dell’articolo </w:t>
      </w:r>
      <w:proofErr w:type="gramStart"/>
      <w:r w:rsidRPr="004B56A9">
        <w:rPr>
          <w:rFonts w:ascii="Times New Roman" w:hAnsi="Times New Roman"/>
          <w:sz w:val="20"/>
        </w:rPr>
        <w:t>2</w:t>
      </w:r>
      <w:proofErr w:type="gramEnd"/>
      <w:r w:rsidRPr="004B56A9">
        <w:rPr>
          <w:rFonts w:ascii="Times New Roman" w:hAnsi="Times New Roman"/>
          <w:sz w:val="20"/>
        </w:rPr>
        <w:t xml:space="preserve">, paragrafo 1, punto 35, della direttiva 2014/59/UE, per funzioni essenziali si intendono le attività, i servizi o le operazioni la cui interruzione porterebbe verosimilmente, in uno o più Stati membri, all’interruzione di servizi essenziali per l’economia reale o potrebbe compromettere la stabilità finanziaria a motivo della dimensione, della quota di mercato, delle interconnessioni esterne ed interne, della complessità o delle attività transfrontaliere di un ente o gruppo, con particolare riguardo alla sostituibilità di tali attività, servizi o operazioni. </w:t>
      </w:r>
    </w:p>
    <w:p w14:paraId="6999401E" w14:textId="4B06F154" w:rsidR="0056559D" w:rsidRPr="004B56A9" w:rsidRDefault="003A344F"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Ai sensi dell’articolo </w:t>
      </w:r>
      <w:proofErr w:type="gramStart"/>
      <w:r w:rsidRPr="004B56A9">
        <w:rPr>
          <w:rFonts w:ascii="Times New Roman" w:hAnsi="Times New Roman"/>
          <w:sz w:val="20"/>
        </w:rPr>
        <w:t>6</w:t>
      </w:r>
      <w:proofErr w:type="gramEnd"/>
      <w:r w:rsidRPr="004B56A9">
        <w:rPr>
          <w:rFonts w:ascii="Times New Roman" w:hAnsi="Times New Roman"/>
          <w:sz w:val="20"/>
        </w:rPr>
        <w:t>, paragrafo 1, del regolamento (UE) 2016/778 della Commissione</w:t>
      </w:r>
      <w:r w:rsidRPr="004B56A9">
        <w:rPr>
          <w:rFonts w:ascii="Times New Roman" w:hAnsi="Times New Roman"/>
          <w:vertAlign w:val="superscript"/>
        </w:rPr>
        <w:footnoteReference w:id="16"/>
      </w:r>
      <w:r w:rsidRPr="004B56A9">
        <w:rPr>
          <w:rFonts w:ascii="Times New Roman" w:hAnsi="Times New Roman"/>
          <w:sz w:val="20"/>
        </w:rPr>
        <w:t>, una funzione è considerata essenziale se soddisfa entrambe le seguenti condizioni:</w:t>
      </w:r>
    </w:p>
    <w:p w14:paraId="373DA374" w14:textId="77777777" w:rsidR="0056559D" w:rsidRPr="004B56A9"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proofErr w:type="gramStart"/>
      <w:r w:rsidRPr="004B56A9">
        <w:rPr>
          <w:rFonts w:ascii="Times New Roman" w:hAnsi="Times New Roman"/>
          <w:color w:val="000000" w:themeColor="text1"/>
          <w:sz w:val="20"/>
        </w:rPr>
        <w:t>la</w:t>
      </w:r>
      <w:proofErr w:type="gramEnd"/>
      <w:r w:rsidRPr="004B56A9">
        <w:rPr>
          <w:rFonts w:ascii="Times New Roman" w:hAnsi="Times New Roman"/>
          <w:color w:val="000000" w:themeColor="text1"/>
          <w:sz w:val="20"/>
        </w:rPr>
        <w:t xml:space="preserve"> funzione è assicurata da un ente a terzi non collegati all’ente o gruppo; e</w:t>
      </w:r>
    </w:p>
    <w:p w14:paraId="52B469D6" w14:textId="77777777" w:rsidR="0056559D" w:rsidRPr="004B56A9"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proofErr w:type="gramStart"/>
      <w:r w:rsidRPr="004B56A9">
        <w:rPr>
          <w:rFonts w:ascii="Times New Roman" w:hAnsi="Times New Roman"/>
          <w:color w:val="000000" w:themeColor="text1"/>
          <w:sz w:val="20"/>
        </w:rPr>
        <w:t>un’</w:t>
      </w:r>
      <w:proofErr w:type="gramEnd"/>
      <w:r w:rsidRPr="004B56A9">
        <w:rPr>
          <w:rFonts w:ascii="Times New Roman" w:hAnsi="Times New Roman"/>
          <w:color w:val="000000" w:themeColor="text1"/>
          <w:sz w:val="20"/>
        </w:rPr>
        <w:t>improvvisa interruzione probabilmente avrebbe un significativo impatto negativo sui terzi, provocherebbe un contagio o minerebbe la fiducia generale dei partecipanti al mercato in ragione della rilevanza sistemica di tale funzione per i terzi e della rilevanza sistemica dell’ente o del gruppo nello svolgimento di tale funzione.</w:t>
      </w:r>
    </w:p>
    <w:p w14:paraId="36B2E3AB" w14:textId="36F45666" w:rsidR="00291ADD" w:rsidRPr="004B56A9" w:rsidRDefault="00AC1C52"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Ai sensi dell’articolo </w:t>
      </w:r>
      <w:proofErr w:type="gramStart"/>
      <w:r w:rsidRPr="004B56A9">
        <w:rPr>
          <w:rFonts w:ascii="Times New Roman" w:hAnsi="Times New Roman"/>
          <w:sz w:val="20"/>
        </w:rPr>
        <w:t>2</w:t>
      </w:r>
      <w:proofErr w:type="gramEnd"/>
      <w:r w:rsidRPr="004B56A9">
        <w:rPr>
          <w:rFonts w:ascii="Times New Roman" w:hAnsi="Times New Roman"/>
          <w:sz w:val="20"/>
        </w:rPr>
        <w:t>, paragrafo 1, punto 36, della direttiva 2014/59/UE, per “linee di business principali” si intendono le linee di business e i servizi connessi che rappresentano fonti significative di entrate, utili o di valore di avviamento (</w:t>
      </w:r>
      <w:r w:rsidRPr="004B56A9">
        <w:rPr>
          <w:rFonts w:ascii="Times New Roman" w:hAnsi="Times New Roman"/>
          <w:i/>
          <w:sz w:val="20"/>
        </w:rPr>
        <w:t>franchise value</w:t>
      </w:r>
      <w:r w:rsidRPr="004B56A9">
        <w:rPr>
          <w:rFonts w:ascii="Times New Roman" w:hAnsi="Times New Roman"/>
          <w:sz w:val="20"/>
        </w:rPr>
        <w:t>) di un ente o di un gruppo di cui un ente fa parte.</w:t>
      </w:r>
    </w:p>
    <w:p w14:paraId="5107F9AE" w14:textId="4B2D3875" w:rsidR="007827E9" w:rsidRPr="004B56A9" w:rsidRDefault="007827E9"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Ai fini di questo modello, le funzioni economiche sono le </w:t>
      </w:r>
      <w:proofErr w:type="gramStart"/>
      <w:r w:rsidRPr="004B56A9">
        <w:rPr>
          <w:rFonts w:ascii="Times New Roman" w:hAnsi="Times New Roman"/>
          <w:sz w:val="20"/>
        </w:rPr>
        <w:t>funzioni</w:t>
      </w:r>
      <w:proofErr w:type="gramEnd"/>
      <w:r w:rsidRPr="004B56A9">
        <w:rPr>
          <w:rFonts w:ascii="Times New Roman" w:hAnsi="Times New Roman"/>
          <w:sz w:val="20"/>
        </w:rPr>
        <w:t xml:space="preserve"> elencate nella tabella riportata di seguito.</w:t>
      </w:r>
    </w:p>
    <w:p w14:paraId="02C7143E" w14:textId="573C60E9" w:rsidR="00881545" w:rsidRPr="004B56A9" w:rsidRDefault="00905475"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Per ciascuna categoria di funzioni economiche, può essere selezionata un’“altra” funzione economica se la </w:t>
      </w:r>
      <w:proofErr w:type="gramStart"/>
      <w:r w:rsidRPr="004B56A9">
        <w:rPr>
          <w:rFonts w:ascii="Times New Roman" w:hAnsi="Times New Roman"/>
          <w:sz w:val="20"/>
        </w:rPr>
        <w:t>funzione</w:t>
      </w:r>
      <w:proofErr w:type="gramEnd"/>
      <w:r w:rsidRPr="004B56A9">
        <w:rPr>
          <w:rFonts w:ascii="Times New Roman" w:hAnsi="Times New Roman"/>
          <w:sz w:val="20"/>
        </w:rPr>
        <w:t xml:space="preserve"> di cui trattasi non è rilevata dalle altre funzioni predefinite.</w:t>
      </w:r>
    </w:p>
    <w:p w14:paraId="5CE82188" w14:textId="70A1AD6A" w:rsidR="00AC1C52" w:rsidRPr="004B56A9" w:rsidRDefault="005E0691"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Le controparti di cui alle righe da 0010 a 0070 e dalle righe da 0080 a 0150 sono definite in modo identico ai settori della controparte di cui in FINREP, allegato V, parte </w:t>
      </w:r>
      <w:proofErr w:type="gramStart"/>
      <w:r w:rsidRPr="004B56A9">
        <w:rPr>
          <w:rFonts w:ascii="Times New Roman" w:hAnsi="Times New Roman"/>
          <w:sz w:val="20"/>
        </w:rPr>
        <w:t>1</w:t>
      </w:r>
      <w:proofErr w:type="gramEnd"/>
      <w:r w:rsidRPr="004B56A9">
        <w:rPr>
          <w:rFonts w:ascii="Times New Roman" w:hAnsi="Times New Roman"/>
          <w:sz w:val="20"/>
        </w:rPr>
        <w:t xml:space="preserve">, capitolo 6. Per “PMI” </w:t>
      </w:r>
      <w:proofErr w:type="gramStart"/>
      <w:r w:rsidRPr="004B56A9">
        <w:rPr>
          <w:rFonts w:ascii="Times New Roman" w:hAnsi="Times New Roman"/>
          <w:sz w:val="20"/>
        </w:rPr>
        <w:t xml:space="preserve">si </w:t>
      </w:r>
      <w:proofErr w:type="gramEnd"/>
      <w:r w:rsidRPr="004B56A9">
        <w:rPr>
          <w:rFonts w:ascii="Times New Roman" w:hAnsi="Times New Roman"/>
          <w:sz w:val="20"/>
        </w:rPr>
        <w:t>intendono le PMI come definite in FINREP, allegato V. Parte 1.5(i).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3D6ED042"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035FB119" w14:textId="0B3E46A1" w:rsidR="007827E9" w:rsidRPr="004B56A9"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0919CA34" w14:textId="20975A38" w:rsidR="007827E9" w:rsidRPr="004B56A9"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Funzione economica</w:t>
            </w:r>
          </w:p>
        </w:tc>
      </w:tr>
      <w:tr w:rsidR="00D22EB0" w:rsidRPr="004B56A9" w14:paraId="3903B1D8" w14:textId="77777777" w:rsidTr="00905475">
        <w:tc>
          <w:tcPr>
            <w:tcW w:w="9083" w:type="dxa"/>
            <w:gridSpan w:val="2"/>
            <w:tcBorders>
              <w:top w:val="single" w:sz="4" w:space="0" w:color="1A171C"/>
              <w:left w:val="nil"/>
              <w:bottom w:val="single" w:sz="4" w:space="0" w:color="1A171C"/>
            </w:tcBorders>
          </w:tcPr>
          <w:p w14:paraId="1696D6A1" w14:textId="77777777" w:rsidR="007827E9" w:rsidRPr="004B56A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Depositi</w:t>
            </w:r>
          </w:p>
          <w:p w14:paraId="4592F54F" w14:textId="75005718" w:rsidR="00905475" w:rsidRPr="004B56A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Per raccolta di depositi </w:t>
            </w:r>
            <w:proofErr w:type="gramStart"/>
            <w:r w:rsidRPr="004B56A9">
              <w:rPr>
                <w:rFonts w:ascii="Times New Roman" w:hAnsi="Times New Roman"/>
                <w:color w:val="000000" w:themeColor="text1"/>
                <w:spacing w:val="-2"/>
                <w:w w:val="95"/>
                <w:sz w:val="20"/>
              </w:rPr>
              <w:t xml:space="preserve">si </w:t>
            </w:r>
            <w:proofErr w:type="gramEnd"/>
            <w:r w:rsidRPr="004B56A9">
              <w:rPr>
                <w:rFonts w:ascii="Times New Roman" w:hAnsi="Times New Roman"/>
                <w:color w:val="000000" w:themeColor="text1"/>
                <w:spacing w:val="-2"/>
                <w:w w:val="95"/>
                <w:sz w:val="20"/>
              </w:rPr>
              <w:t xml:space="preserve">intende l’accettazione di depositi da intermediari non finanziari. Non comprende i prestiti ricevuti da altri intermediari finanziari, che sono trattati separatamente in “Finanziamento (funding) all’ingrosso”. </w:t>
            </w:r>
          </w:p>
          <w:p w14:paraId="33B4ABAA" w14:textId="31D9B2AA" w:rsidR="007827E9" w:rsidRPr="004B56A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 depositi comprendono: i) i conti correnti/depositi </w:t>
            </w:r>
            <w:proofErr w:type="gramStart"/>
            <w:r w:rsidRPr="004B56A9">
              <w:rPr>
                <w:rFonts w:ascii="Times New Roman" w:hAnsi="Times New Roman"/>
                <w:color w:val="000000" w:themeColor="text1"/>
                <w:spacing w:val="-2"/>
                <w:w w:val="95"/>
                <w:sz w:val="20"/>
              </w:rPr>
              <w:t>overnight</w:t>
            </w:r>
            <w:proofErr w:type="gramEnd"/>
            <w:r w:rsidRPr="004B56A9">
              <w:rPr>
                <w:rFonts w:ascii="Times New Roman" w:hAnsi="Times New Roman"/>
                <w:color w:val="000000" w:themeColor="text1"/>
                <w:spacing w:val="-2"/>
                <w:w w:val="95"/>
                <w:sz w:val="20"/>
              </w:rPr>
              <w:t>, ii) i depositi con durata prestabilita, e iii) i depositi rimborsabili con preavviso, ad esclusione dei pronti contro termine.</w:t>
            </w:r>
          </w:p>
          <w:p w14:paraId="0C872E30" w14:textId="7FA2E2DE" w:rsidR="007827E9" w:rsidRPr="004B56A9"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Riferimenti: FSB Guidance on Identification of Critical Functions and Critical Shared Services (2013), pag. 14 (Orientamenti FSB in materia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identificazione delle funzioni essenziali e dei servizi essenziali condivisi); allegato II, parte 2, punti 9.1, 9.2 e 9.3 del regolamento (UE) n. 1071/2013.</w:t>
            </w:r>
          </w:p>
        </w:tc>
      </w:tr>
      <w:tr w:rsidR="00D22EB0" w:rsidRPr="004B56A9" w14:paraId="4E1B5CA6" w14:textId="77777777" w:rsidTr="00E95D75">
        <w:tc>
          <w:tcPr>
            <w:tcW w:w="1191" w:type="dxa"/>
            <w:tcBorders>
              <w:top w:val="single" w:sz="4" w:space="0" w:color="1A171C"/>
              <w:left w:val="nil"/>
              <w:bottom w:val="single" w:sz="4" w:space="0" w:color="1A171C"/>
              <w:right w:val="single" w:sz="4" w:space="0" w:color="1A171C"/>
            </w:tcBorders>
          </w:tcPr>
          <w:p w14:paraId="5DCA6D1B" w14:textId="1D59D27B" w:rsidR="007827E9" w:rsidRPr="004B56A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1.1</w:t>
            </w:r>
          </w:p>
        </w:tc>
        <w:tc>
          <w:tcPr>
            <w:tcW w:w="7892" w:type="dxa"/>
            <w:tcBorders>
              <w:top w:val="single" w:sz="4" w:space="0" w:color="1A171C"/>
              <w:left w:val="single" w:sz="4" w:space="0" w:color="1A171C"/>
              <w:bottom w:val="single" w:sz="4" w:space="0" w:color="1A171C"/>
              <w:right w:val="nil"/>
            </w:tcBorders>
          </w:tcPr>
          <w:p w14:paraId="5C5BF037" w14:textId="3D3B8070" w:rsidR="007827E9" w:rsidRPr="004B56A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Famiglie</w:t>
            </w:r>
          </w:p>
        </w:tc>
      </w:tr>
      <w:tr w:rsidR="00D22EB0" w:rsidRPr="004B56A9" w14:paraId="77245268" w14:textId="77777777" w:rsidTr="00E95D75">
        <w:tc>
          <w:tcPr>
            <w:tcW w:w="1191" w:type="dxa"/>
            <w:tcBorders>
              <w:top w:val="single" w:sz="4" w:space="0" w:color="1A171C"/>
              <w:left w:val="nil"/>
              <w:bottom w:val="single" w:sz="4" w:space="0" w:color="1A171C"/>
              <w:right w:val="single" w:sz="4" w:space="0" w:color="1A171C"/>
            </w:tcBorders>
          </w:tcPr>
          <w:p w14:paraId="0ABE3103" w14:textId="19EC7D8C" w:rsidR="007827E9" w:rsidRPr="004B56A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14:paraId="24694FBA" w14:textId="7C9DFBCF" w:rsidR="007827E9" w:rsidRPr="004B56A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Società non finanziarie (PMI)</w:t>
            </w:r>
          </w:p>
        </w:tc>
      </w:tr>
      <w:tr w:rsidR="00D22EB0" w:rsidRPr="004B56A9" w14:paraId="18918C46" w14:textId="77777777" w:rsidTr="00E95D75">
        <w:tc>
          <w:tcPr>
            <w:tcW w:w="1191" w:type="dxa"/>
            <w:tcBorders>
              <w:top w:val="single" w:sz="4" w:space="0" w:color="1A171C"/>
              <w:left w:val="nil"/>
              <w:bottom w:val="single" w:sz="4" w:space="0" w:color="1A171C"/>
              <w:right w:val="single" w:sz="4" w:space="0" w:color="1A171C"/>
            </w:tcBorders>
          </w:tcPr>
          <w:p w14:paraId="477A56B1" w14:textId="20991491" w:rsidR="007827E9" w:rsidRPr="004B56A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14:paraId="6CB28B29" w14:textId="0572C80A" w:rsidR="007827E9" w:rsidRPr="004B56A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Società non finanziarie (non PMI)</w:t>
            </w:r>
          </w:p>
        </w:tc>
      </w:tr>
      <w:tr w:rsidR="00D22EB0" w:rsidRPr="004B56A9" w14:paraId="0A4AF746" w14:textId="77777777" w:rsidTr="00E95D75">
        <w:tc>
          <w:tcPr>
            <w:tcW w:w="1191" w:type="dxa"/>
            <w:tcBorders>
              <w:top w:val="single" w:sz="4" w:space="0" w:color="1A171C"/>
              <w:left w:val="nil"/>
              <w:bottom w:val="single" w:sz="4" w:space="0" w:color="1A171C"/>
              <w:right w:val="single" w:sz="4" w:space="0" w:color="1A171C"/>
            </w:tcBorders>
          </w:tcPr>
          <w:p w14:paraId="22BF0DF5" w14:textId="2BB6B4B3" w:rsidR="007827E9" w:rsidRPr="004B56A9"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14:paraId="77621EF8" w14:textId="2529ACE6" w:rsidR="007827E9" w:rsidRPr="004B56A9"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Amministrazioni pubbliche</w:t>
            </w:r>
          </w:p>
        </w:tc>
      </w:tr>
      <w:tr w:rsidR="00D22EB0" w:rsidRPr="004B56A9" w14:paraId="3AC11B7B" w14:textId="77777777" w:rsidTr="0018458C">
        <w:tc>
          <w:tcPr>
            <w:tcW w:w="1191" w:type="dxa"/>
            <w:tcBorders>
              <w:top w:val="single" w:sz="4" w:space="0" w:color="1A171C"/>
              <w:left w:val="nil"/>
              <w:bottom w:val="single" w:sz="4" w:space="0" w:color="1A171C"/>
              <w:right w:val="single" w:sz="4" w:space="0" w:color="1A171C"/>
            </w:tcBorders>
          </w:tcPr>
          <w:p w14:paraId="78FCF08C" w14:textId="12C38391" w:rsidR="008B292D" w:rsidRPr="004B56A9"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14:paraId="6534EEFC" w14:textId="4612185B" w:rsidR="007827E9" w:rsidRPr="004B56A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Altri settori / altre controparti (1), (2) e (3)</w:t>
            </w:r>
          </w:p>
        </w:tc>
      </w:tr>
      <w:tr w:rsidR="00D22EB0" w:rsidRPr="004B56A9" w14:paraId="2B9E6D99" w14:textId="77777777" w:rsidTr="0018458C">
        <w:tc>
          <w:tcPr>
            <w:tcW w:w="9083" w:type="dxa"/>
            <w:gridSpan w:val="2"/>
            <w:tcBorders>
              <w:top w:val="single" w:sz="4" w:space="0" w:color="1A171C"/>
              <w:left w:val="nil"/>
              <w:bottom w:val="single" w:sz="4" w:space="0" w:color="1A171C"/>
            </w:tcBorders>
          </w:tcPr>
          <w:p w14:paraId="24BC2D4E" w14:textId="77777777" w:rsidR="007827E9" w:rsidRPr="004B56A9" w:rsidRDefault="007827E9" w:rsidP="00106F72">
            <w:pPr>
              <w:pStyle w:val="TableParagraph"/>
              <w:spacing w:before="240"/>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Concessione di prestiti</w:t>
            </w:r>
          </w:p>
          <w:p w14:paraId="6222CE7E" w14:textId="4AF8C4FA" w:rsidR="007827E9" w:rsidRPr="004B56A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Per concessione di prestiti </w:t>
            </w:r>
            <w:proofErr w:type="gramStart"/>
            <w:r w:rsidRPr="004B56A9">
              <w:rPr>
                <w:rFonts w:ascii="Times New Roman" w:hAnsi="Times New Roman"/>
                <w:color w:val="000000" w:themeColor="text1"/>
                <w:spacing w:val="-2"/>
                <w:w w:val="95"/>
                <w:sz w:val="20"/>
              </w:rPr>
              <w:t xml:space="preserve">si </w:t>
            </w:r>
            <w:proofErr w:type="gramEnd"/>
            <w:r w:rsidRPr="004B56A9">
              <w:rPr>
                <w:rFonts w:ascii="Times New Roman" w:hAnsi="Times New Roman"/>
                <w:color w:val="000000" w:themeColor="text1"/>
                <w:spacing w:val="-2"/>
                <w:w w:val="95"/>
                <w:sz w:val="20"/>
              </w:rPr>
              <w:t xml:space="preserve">intende la fornitura di fondi a controparti non finanziarie, quali i clienti al dettaglio o le società. La concessione di prestiti alle controparti finanziarie rappresenta un’attività distinta che </w:t>
            </w:r>
            <w:proofErr w:type="gramStart"/>
            <w:r w:rsidRPr="004B56A9">
              <w:rPr>
                <w:rFonts w:ascii="Times New Roman" w:hAnsi="Times New Roman"/>
                <w:color w:val="000000" w:themeColor="text1"/>
                <w:spacing w:val="-2"/>
                <w:w w:val="95"/>
                <w:sz w:val="20"/>
              </w:rPr>
              <w:t>viene</w:t>
            </w:r>
            <w:proofErr w:type="gramEnd"/>
            <w:r w:rsidRPr="004B56A9">
              <w:rPr>
                <w:rFonts w:ascii="Times New Roman" w:hAnsi="Times New Roman"/>
                <w:color w:val="000000" w:themeColor="text1"/>
                <w:spacing w:val="-2"/>
                <w:w w:val="95"/>
                <w:sz w:val="20"/>
              </w:rPr>
              <w:t xml:space="preserve"> valutata in “Finanziamento (funding) all’ingrosso”. I prestiti comprendono gli strumenti di </w:t>
            </w:r>
            <w:proofErr w:type="gramStart"/>
            <w:r w:rsidRPr="004B56A9">
              <w:rPr>
                <w:rFonts w:ascii="Times New Roman" w:hAnsi="Times New Roman"/>
                <w:color w:val="000000" w:themeColor="text1"/>
                <w:spacing w:val="-2"/>
                <w:w w:val="95"/>
                <w:sz w:val="20"/>
              </w:rPr>
              <w:t>debito detenuti</w:t>
            </w:r>
            <w:proofErr w:type="gramEnd"/>
            <w:r w:rsidRPr="004B56A9">
              <w:rPr>
                <w:rFonts w:ascii="Times New Roman" w:hAnsi="Times New Roman"/>
                <w:color w:val="000000" w:themeColor="text1"/>
                <w:spacing w:val="-2"/>
                <w:w w:val="95"/>
                <w:sz w:val="20"/>
              </w:rPr>
              <w:t xml:space="preserve"> dagli enti, esclusi tuttavia gli strumenti di debito che sono titoli, indipendentemente dalla loro classificazione contabile (ad esempio posseduti fino a scadenza o disponibili per la vendita).</w:t>
            </w:r>
          </w:p>
          <w:p w14:paraId="67C5D58D" w14:textId="7E5E8469" w:rsidR="007827E9" w:rsidRPr="004B56A9" w:rsidRDefault="007827E9" w:rsidP="00106F72">
            <w:pPr>
              <w:pStyle w:val="TableParagraph"/>
              <w:spacing w:before="108" w:after="120"/>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Riferimenti: FSB Guidance on Identification of Critical Functions and Critical Shared Services (2013), pag. 17 (Orientamenti FSB in materia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identificazione delle funzioni essenziali e dei servizi essenziali condivisi); allegato II, parte 2, punto 2, del regolamento (UE) n. 1071/2013.</w:t>
            </w:r>
          </w:p>
        </w:tc>
      </w:tr>
      <w:tr w:rsidR="00D22EB0" w:rsidRPr="004B56A9" w14:paraId="493281D1" w14:textId="77777777" w:rsidTr="00E95D75">
        <w:tc>
          <w:tcPr>
            <w:tcW w:w="1191" w:type="dxa"/>
            <w:tcBorders>
              <w:top w:val="single" w:sz="4" w:space="0" w:color="1A171C"/>
              <w:left w:val="nil"/>
              <w:bottom w:val="single" w:sz="4" w:space="0" w:color="1A171C"/>
              <w:right w:val="single" w:sz="4" w:space="0" w:color="1A171C"/>
            </w:tcBorders>
          </w:tcPr>
          <w:p w14:paraId="77DF4538" w14:textId="4D1434D0"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14:paraId="3EA03D2E" w14:textId="34B98AF2" w:rsidR="00261F96" w:rsidRPr="004B56A9"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Famiglie – prestiti per l’acquisto di un’abitazione</w:t>
            </w:r>
          </w:p>
          <w:p w14:paraId="0CAFA3FB" w14:textId="23B1D407" w:rsidR="007827E9" w:rsidRPr="004B56A9"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Per prestiti per l’acquisto di un’abitazione </w:t>
            </w:r>
            <w:proofErr w:type="gramStart"/>
            <w:r w:rsidRPr="004B56A9">
              <w:rPr>
                <w:rFonts w:ascii="Times New Roman" w:hAnsi="Times New Roman"/>
                <w:color w:val="000000" w:themeColor="text1"/>
                <w:spacing w:val="-2"/>
                <w:w w:val="95"/>
                <w:sz w:val="20"/>
              </w:rPr>
              <w:t xml:space="preserve">si </w:t>
            </w:r>
            <w:proofErr w:type="gramEnd"/>
            <w:r w:rsidRPr="004B56A9">
              <w:rPr>
                <w:rFonts w:ascii="Times New Roman" w:hAnsi="Times New Roman"/>
                <w:color w:val="000000" w:themeColor="text1"/>
                <w:spacing w:val="-2"/>
                <w:w w:val="95"/>
                <w:sz w:val="20"/>
              </w:rPr>
              <w:t>intendono i prestiti concessi alle famiglie al fine di investire in abitazioni per uso proprio o da cedere in locazione, inclusi la costruzione e il rinnovamento.</w:t>
            </w:r>
          </w:p>
        </w:tc>
      </w:tr>
      <w:tr w:rsidR="00D22EB0" w:rsidRPr="004B56A9" w14:paraId="2946E1BD" w14:textId="77777777" w:rsidTr="00E95D75">
        <w:tc>
          <w:tcPr>
            <w:tcW w:w="1191" w:type="dxa"/>
            <w:tcBorders>
              <w:top w:val="single" w:sz="4" w:space="0" w:color="1A171C"/>
              <w:left w:val="nil"/>
              <w:bottom w:val="single" w:sz="4" w:space="0" w:color="1A171C"/>
              <w:right w:val="single" w:sz="4" w:space="0" w:color="1A171C"/>
            </w:tcBorders>
          </w:tcPr>
          <w:p w14:paraId="4062A30F" w14:textId="1B3AF3AB" w:rsidR="00261F96"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14:paraId="23164AF8" w14:textId="23C88E58" w:rsidR="00261F96" w:rsidRPr="004B56A9"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Famiglie – altri prestiti</w:t>
            </w:r>
          </w:p>
        </w:tc>
      </w:tr>
      <w:tr w:rsidR="00D22EB0" w:rsidRPr="004B56A9" w14:paraId="4E4AAEA7" w14:textId="77777777" w:rsidTr="00336AC0">
        <w:tc>
          <w:tcPr>
            <w:tcW w:w="1191" w:type="dxa"/>
            <w:tcBorders>
              <w:top w:val="single" w:sz="4" w:space="0" w:color="1A171C"/>
              <w:left w:val="nil"/>
              <w:bottom w:val="single" w:sz="4" w:space="0" w:color="1A171C"/>
              <w:right w:val="single" w:sz="4" w:space="0" w:color="1A171C"/>
            </w:tcBorders>
            <w:vAlign w:val="bottom"/>
          </w:tcPr>
          <w:p w14:paraId="57E83B9A" w14:textId="38CEF04F"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14:paraId="03437776" w14:textId="75E5D658" w:rsidR="00336AC0" w:rsidRPr="004B56A9"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Società non finanziarie - PMI</w:t>
            </w:r>
          </w:p>
        </w:tc>
      </w:tr>
      <w:tr w:rsidR="00D22EB0" w:rsidRPr="004B56A9" w14:paraId="28C4E11A" w14:textId="77777777" w:rsidTr="00336AC0">
        <w:tc>
          <w:tcPr>
            <w:tcW w:w="1191" w:type="dxa"/>
            <w:tcBorders>
              <w:top w:val="single" w:sz="4" w:space="0" w:color="1A171C"/>
              <w:left w:val="nil"/>
              <w:bottom w:val="single" w:sz="4" w:space="0" w:color="1A171C"/>
              <w:right w:val="single" w:sz="4" w:space="0" w:color="1A171C"/>
            </w:tcBorders>
            <w:vAlign w:val="bottom"/>
          </w:tcPr>
          <w:p w14:paraId="21AFA653" w14:textId="0D5CF165"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14:paraId="6A8C7080" w14:textId="41A57A18" w:rsidR="00336AC0" w:rsidRPr="004B56A9"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Società non finanziarie - non PMI</w:t>
            </w:r>
          </w:p>
        </w:tc>
      </w:tr>
      <w:tr w:rsidR="00D22EB0" w:rsidRPr="004B56A9" w14:paraId="3696E41D" w14:textId="77777777" w:rsidTr="00336AC0">
        <w:tc>
          <w:tcPr>
            <w:tcW w:w="1191" w:type="dxa"/>
            <w:tcBorders>
              <w:top w:val="single" w:sz="4" w:space="0" w:color="1A171C"/>
              <w:left w:val="nil"/>
              <w:bottom w:val="single" w:sz="4" w:space="0" w:color="1A171C"/>
              <w:right w:val="single" w:sz="4" w:space="0" w:color="1A171C"/>
            </w:tcBorders>
            <w:vAlign w:val="bottom"/>
          </w:tcPr>
          <w:p w14:paraId="7565E574" w14:textId="0449D2B9"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14:paraId="61207E37" w14:textId="1F25BB2E" w:rsidR="00336AC0" w:rsidRPr="004B56A9"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Amministrazioni pubbliche</w:t>
            </w:r>
          </w:p>
        </w:tc>
      </w:tr>
      <w:tr w:rsidR="00D22EB0" w:rsidRPr="004B56A9" w14:paraId="08F0059F" w14:textId="77777777" w:rsidTr="0018458C">
        <w:tc>
          <w:tcPr>
            <w:tcW w:w="1191" w:type="dxa"/>
            <w:tcBorders>
              <w:top w:val="single" w:sz="4" w:space="0" w:color="1A171C"/>
              <w:left w:val="nil"/>
              <w:bottom w:val="single" w:sz="4" w:space="0" w:color="1A171C"/>
              <w:right w:val="single" w:sz="4" w:space="0" w:color="1A171C"/>
            </w:tcBorders>
          </w:tcPr>
          <w:p w14:paraId="6B89DD9F" w14:textId="70FB2326" w:rsidR="007827E9" w:rsidRPr="004B56A9"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14:paraId="23081A92" w14:textId="2AD28557" w:rsidR="007827E9" w:rsidRPr="004B56A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Altri settori / altre controparti (1), (2) e (3)</w:t>
            </w:r>
          </w:p>
        </w:tc>
      </w:tr>
      <w:tr w:rsidR="00D22EB0" w:rsidRPr="004B56A9" w14:paraId="6CB26FD5" w14:textId="77777777" w:rsidTr="00955D42">
        <w:tc>
          <w:tcPr>
            <w:tcW w:w="9083" w:type="dxa"/>
            <w:gridSpan w:val="2"/>
            <w:tcBorders>
              <w:top w:val="single" w:sz="4" w:space="0" w:color="1A171C"/>
              <w:left w:val="nil"/>
              <w:bottom w:val="single" w:sz="4" w:space="0" w:color="1A171C"/>
            </w:tcBorders>
          </w:tcPr>
          <w:p w14:paraId="55E4B2A8" w14:textId="77777777" w:rsidR="007827E9" w:rsidRPr="004B56A9" w:rsidRDefault="007827E9" w:rsidP="00106F72">
            <w:pPr>
              <w:pStyle w:val="TableParagraph"/>
              <w:spacing w:before="240"/>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pagamento, cassa, regolamento, compensazione e custodia</w:t>
            </w:r>
          </w:p>
          <w:p w14:paraId="07B5C460" w14:textId="77777777" w:rsidR="00D71DD0" w:rsidRPr="004B56A9"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Riferimento: FSB Guidance on Identification of Critical Functions and Critical Shared Services (2013), pag.20 (Orientamenti FSB in materia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identificazione delle funzioni essenziali e dei servizi essenziali condivisi).</w:t>
            </w:r>
          </w:p>
          <w:p w14:paraId="41A6B61E" w14:textId="6C0144B5" w:rsidR="007827E9" w:rsidRPr="004B56A9"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funzioni economiche qui raggruppate consistono nella fornitura di servizi di pagamento, cassa, regolamento, compensazione e custodia da parte di un ente creditizio in veste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intermediario tra i propri clienti o di intermediario tra un cliente e una o più infrastrutture di mercato finanziario (FMI), oppure nella fornitura ad altre banche dell’accesso (indiretto) alle FMI. In conformità degli Orientamenti FSB in materia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identificazione delle funzioni essenziali e dei servizi essenziali condivisi, la funzione di pagamento, compensazione e regolamento è limitata ai servizi forniti dalle banche ai propri clienti. Questa categoria non comprende i servizi prestati dai fornitori (puri) di FMI. Ai fini del presente modello le infrastrutture di mercato finanziario comprendono i sistemi di pagamento, i sistemi di regolamento titoli, </w:t>
            </w:r>
            <w:proofErr w:type="gramStart"/>
            <w:r w:rsidRPr="004B56A9">
              <w:rPr>
                <w:rFonts w:ascii="Times New Roman" w:hAnsi="Times New Roman"/>
                <w:color w:val="000000" w:themeColor="text1"/>
                <w:spacing w:val="-2"/>
                <w:w w:val="95"/>
                <w:sz w:val="20"/>
              </w:rPr>
              <w:t>i depositari centrali</w:t>
            </w:r>
            <w:proofErr w:type="gramEnd"/>
            <w:r w:rsidRPr="004B56A9">
              <w:rPr>
                <w:rFonts w:ascii="Times New Roman" w:hAnsi="Times New Roman"/>
                <w:color w:val="000000" w:themeColor="text1"/>
                <w:spacing w:val="-2"/>
                <w:w w:val="95"/>
                <w:sz w:val="20"/>
              </w:rPr>
              <w:t xml:space="preserve"> di titoli e le controparti centrali (e non comprendono i repertori di dati sulle negoziazioni).</w:t>
            </w:r>
          </w:p>
          <w:p w14:paraId="3E557859" w14:textId="457C961A" w:rsidR="008762AF" w:rsidRPr="004B56A9" w:rsidRDefault="008762AF" w:rsidP="00106F7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“Servizi di pagamento”, “operazione di pagamento” e “sistema di pagamento” vanno intesi come definito, rispettivamente, all’articolo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punti 3, 5 e 7 della direttiva (UE) 2015/2366 relativa ai servizi di pagamento nel mercato interno</w:t>
            </w:r>
            <w:r w:rsidRPr="004B56A9">
              <w:rPr>
                <w:rStyle w:val="FootnoteReference"/>
                <w:rFonts w:ascii="Times New Roman" w:hAnsi="Times New Roman"/>
                <w:color w:val="000000" w:themeColor="text1"/>
                <w:spacing w:val="-2"/>
                <w:w w:val="95"/>
                <w:sz w:val="20"/>
              </w:rPr>
              <w:footnoteReference w:id="17"/>
            </w:r>
            <w:r w:rsidRPr="004B56A9">
              <w:rPr>
                <w:rFonts w:ascii="Times New Roman" w:hAnsi="Times New Roman"/>
                <w:color w:val="000000" w:themeColor="text1"/>
                <w:spacing w:val="-2"/>
                <w:w w:val="95"/>
                <w:sz w:val="20"/>
              </w:rPr>
              <w:t>.</w:t>
            </w:r>
          </w:p>
          <w:p w14:paraId="31AA48AA" w14:textId="090042B7" w:rsidR="007827E9" w:rsidRPr="004B56A9"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4B56A9" w14:paraId="487F2DB7" w14:textId="77777777" w:rsidTr="00E95D75">
        <w:tc>
          <w:tcPr>
            <w:tcW w:w="1191" w:type="dxa"/>
            <w:tcBorders>
              <w:top w:val="single" w:sz="4" w:space="0" w:color="1A171C"/>
              <w:left w:val="nil"/>
              <w:bottom w:val="single" w:sz="4" w:space="0" w:color="1A171C"/>
              <w:right w:val="single" w:sz="4" w:space="0" w:color="1A171C"/>
            </w:tcBorders>
          </w:tcPr>
          <w:p w14:paraId="7EF9F197" w14:textId="11E2D6C1"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14:paraId="61E53C09" w14:textId="77777777" w:rsidR="007827E9" w:rsidRPr="004B56A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pagamento alle IFM</w:t>
            </w:r>
          </w:p>
          <w:p w14:paraId="55B62A3C" w14:textId="541F5BA7" w:rsidR="007827E9" w:rsidRPr="004B56A9"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Questa riga comprende i servizi di pagamento offerti alle istituzioni finanziarie monetarie (IFM), con o senza il ricorso a sistemi di pagamento esterni. Sono compresi anche i (pagamenti </w:t>
            </w:r>
            <w:proofErr w:type="gramStart"/>
            <w:r w:rsidRPr="004B56A9">
              <w:rPr>
                <w:rFonts w:ascii="Times New Roman" w:hAnsi="Times New Roman"/>
                <w:color w:val="000000" w:themeColor="text1"/>
                <w:spacing w:val="-2"/>
                <w:w w:val="95"/>
                <w:sz w:val="20"/>
              </w:rPr>
              <w:t>relativi ai</w:t>
            </w:r>
            <w:proofErr w:type="gramEnd"/>
            <w:r w:rsidRPr="004B56A9">
              <w:rPr>
                <w:rFonts w:ascii="Times New Roman" w:hAnsi="Times New Roman"/>
                <w:color w:val="000000" w:themeColor="text1"/>
                <w:spacing w:val="-2"/>
                <w:w w:val="95"/>
                <w:sz w:val="20"/>
              </w:rPr>
              <w:t>) servizi bancari corrispondenti. Le IFM comprendono tutte le unità istituzionali incluse nei seguenti sottosettori: i) autorità bancarie centrali; ii) istituti di deposito, escluse le autorità bancarie centrali; iii</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xml:space="preserve"> fondi comuni monetari.</w:t>
            </w:r>
          </w:p>
        </w:tc>
      </w:tr>
      <w:tr w:rsidR="00D22EB0" w:rsidRPr="004B56A9" w14:paraId="4931CD8F" w14:textId="77777777" w:rsidTr="00E95D75">
        <w:tc>
          <w:tcPr>
            <w:tcW w:w="1191" w:type="dxa"/>
            <w:tcBorders>
              <w:top w:val="single" w:sz="4" w:space="0" w:color="1A171C"/>
              <w:left w:val="nil"/>
              <w:bottom w:val="single" w:sz="4" w:space="0" w:color="1A171C"/>
              <w:right w:val="single" w:sz="4" w:space="0" w:color="1A171C"/>
            </w:tcBorders>
          </w:tcPr>
          <w:p w14:paraId="3DD052DC" w14:textId="46555280"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14:paraId="4DFC0378" w14:textId="77777777" w:rsidR="007827E9" w:rsidRPr="004B56A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pagamento a non-IFM</w:t>
            </w:r>
          </w:p>
          <w:p w14:paraId="7C079025" w14:textId="3081A9A7"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 servizi di pagamento offerti ai clienti, con o senza il ricorso a sistemi di pagamento esterni</w:t>
            </w:r>
            <w:proofErr w:type="gramEnd"/>
            <w:r w:rsidRPr="004B56A9">
              <w:rPr>
                <w:rFonts w:ascii="Times New Roman" w:hAnsi="Times New Roman"/>
                <w:color w:val="000000" w:themeColor="text1"/>
                <w:spacing w:val="-2"/>
                <w:w w:val="95"/>
                <w:sz w:val="20"/>
              </w:rPr>
              <w:t>. Sono comprese esclusivamente le persone fisiche o giuridiche non appartenenti al settore delle IFM. Sono altresì esclusi dal settore “non-IFM” i prestatori di servizi di pagamento.</w:t>
            </w:r>
          </w:p>
        </w:tc>
      </w:tr>
      <w:tr w:rsidR="00D22EB0" w:rsidRPr="004B56A9" w14:paraId="36DC6509" w14:textId="77777777" w:rsidTr="00E95D75">
        <w:tc>
          <w:tcPr>
            <w:tcW w:w="1191" w:type="dxa"/>
            <w:tcBorders>
              <w:top w:val="single" w:sz="4" w:space="0" w:color="1A171C"/>
              <w:left w:val="nil"/>
              <w:bottom w:val="single" w:sz="4" w:space="0" w:color="1A171C"/>
              <w:right w:val="single" w:sz="4" w:space="0" w:color="1A171C"/>
            </w:tcBorders>
          </w:tcPr>
          <w:p w14:paraId="2F6B9DF8" w14:textId="524ACEAB"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14:paraId="745D35CA" w14:textId="77777777" w:rsidR="007827E9" w:rsidRPr="004B56A9" w:rsidRDefault="007827E9"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cassa</w:t>
            </w:r>
          </w:p>
          <w:p w14:paraId="4E97F69B" w14:textId="6902E751"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La fornitura di servizi di cassa ai clienti (privati e società, esclusivamente non-IFM)</w:t>
            </w:r>
            <w:proofErr w:type="gramEnd"/>
            <w:r w:rsidRPr="004B56A9">
              <w:rPr>
                <w:rFonts w:ascii="Times New Roman" w:hAnsi="Times New Roman"/>
                <w:color w:val="000000" w:themeColor="text1"/>
                <w:spacing w:val="-2"/>
                <w:w w:val="95"/>
                <w:sz w:val="20"/>
              </w:rPr>
              <w:t xml:space="preserve">. Questi servizi comprendono i prelievi ai distributori automatici di contante (ATM) e agli sportelli delle filiali ma non altri servizi di cassa (quali il trasporto di contante per la grande distribuzione). È incluso il prelievo di contante tramite assegni e agli sportelli delle filiali mediante l’utilizzo di formulari bancari (laddove le carte possono essere utilizzate come mezzo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identificazione).</w:t>
            </w:r>
          </w:p>
        </w:tc>
      </w:tr>
      <w:tr w:rsidR="00D22EB0" w:rsidRPr="004B56A9" w14:paraId="5FD09BFD" w14:textId="77777777" w:rsidTr="00E95D75">
        <w:tc>
          <w:tcPr>
            <w:tcW w:w="1191" w:type="dxa"/>
            <w:tcBorders>
              <w:top w:val="single" w:sz="4" w:space="0" w:color="1A171C"/>
              <w:left w:val="nil"/>
              <w:bottom w:val="single" w:sz="4" w:space="0" w:color="1A171C"/>
              <w:right w:val="single" w:sz="4" w:space="0" w:color="1A171C"/>
            </w:tcBorders>
          </w:tcPr>
          <w:p w14:paraId="3A741044" w14:textId="1AE74B9E"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14:paraId="05AF6547" w14:textId="77777777" w:rsidR="007827E9" w:rsidRPr="004B56A9" w:rsidRDefault="007827E9"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regolamento titoli</w:t>
            </w:r>
          </w:p>
          <w:p w14:paraId="11A0C5CA" w14:textId="51093353"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 servizi offerti ai clienti per la conferma, la compensazione e il regolamento delle operazioni in titoli, con o senza il ricorso a sistemi di regolamento titoli. Per “regolamento” </w:t>
            </w:r>
            <w:proofErr w:type="gramStart"/>
            <w:r w:rsidRPr="004B56A9">
              <w:rPr>
                <w:rFonts w:ascii="Times New Roman" w:hAnsi="Times New Roman"/>
                <w:color w:val="000000" w:themeColor="text1"/>
                <w:spacing w:val="-2"/>
                <w:w w:val="95"/>
                <w:sz w:val="20"/>
              </w:rPr>
              <w:t xml:space="preserve">si </w:t>
            </w:r>
            <w:proofErr w:type="gramEnd"/>
            <w:r w:rsidRPr="004B56A9">
              <w:rPr>
                <w:rFonts w:ascii="Times New Roman" w:hAnsi="Times New Roman"/>
                <w:color w:val="000000" w:themeColor="text1"/>
                <w:spacing w:val="-2"/>
                <w:w w:val="95"/>
                <w:sz w:val="20"/>
              </w:rPr>
              <w:t>intende il completamento di un’operazione su titoli, ove eseguita allo scopo di assolvere le obbligazioni delle parti dell’operazione mediante il trasferimento di contante o/o titoli.</w:t>
            </w:r>
          </w:p>
        </w:tc>
      </w:tr>
      <w:tr w:rsidR="00D22EB0" w:rsidRPr="004B56A9" w14:paraId="5B106699" w14:textId="77777777" w:rsidTr="00E95D75">
        <w:tc>
          <w:tcPr>
            <w:tcW w:w="1191" w:type="dxa"/>
            <w:tcBorders>
              <w:top w:val="single" w:sz="4" w:space="0" w:color="1A171C"/>
              <w:left w:val="nil"/>
              <w:bottom w:val="single" w:sz="4" w:space="0" w:color="1A171C"/>
              <w:right w:val="single" w:sz="4" w:space="0" w:color="1A171C"/>
            </w:tcBorders>
          </w:tcPr>
          <w:p w14:paraId="25F46AE7" w14:textId="364CA98A"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14:paraId="7E483147" w14:textId="77777777" w:rsidR="007827E9" w:rsidRPr="004B56A9" w:rsidRDefault="007827E9"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compensazione mediante CCP</w:t>
            </w:r>
          </w:p>
          <w:p w14:paraId="2CB5F1F7" w14:textId="456BBB9C"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 servizi di compensazione titoli e strumenti derivati forniti ai clienti. È compresa anche la fornitura dell’accesso indiretto a una controparte centrale (CCP).</w:t>
            </w:r>
          </w:p>
        </w:tc>
      </w:tr>
      <w:tr w:rsidR="00D22EB0" w:rsidRPr="004B56A9" w14:paraId="63679EF2" w14:textId="77777777" w:rsidTr="00E95D75">
        <w:tc>
          <w:tcPr>
            <w:tcW w:w="1191" w:type="dxa"/>
            <w:tcBorders>
              <w:top w:val="single" w:sz="4" w:space="0" w:color="1A171C"/>
              <w:left w:val="nil"/>
              <w:bottom w:val="single" w:sz="4" w:space="0" w:color="1A171C"/>
              <w:right w:val="single" w:sz="4" w:space="0" w:color="1A171C"/>
            </w:tcBorders>
          </w:tcPr>
          <w:p w14:paraId="12E29766" w14:textId="3610F55D"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14:paraId="25E361B1" w14:textId="77777777" w:rsidR="007827E9" w:rsidRPr="004B56A9" w:rsidRDefault="007827E9"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 di custodia</w:t>
            </w:r>
          </w:p>
          <w:p w14:paraId="19D6E04D" w14:textId="3A2C0294"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 custodia e l’amministrazione di strumenti finanziari per i clienti </w:t>
            </w:r>
            <w:proofErr w:type="gramStart"/>
            <w:r w:rsidRPr="004B56A9">
              <w:rPr>
                <w:rFonts w:ascii="Times New Roman" w:hAnsi="Times New Roman"/>
                <w:color w:val="000000" w:themeColor="text1"/>
                <w:spacing w:val="-2"/>
                <w:w w:val="95"/>
                <w:sz w:val="20"/>
              </w:rPr>
              <w:t>nonché</w:t>
            </w:r>
            <w:proofErr w:type="gramEnd"/>
            <w:r w:rsidRPr="004B56A9">
              <w:rPr>
                <w:rFonts w:ascii="Times New Roman" w:hAnsi="Times New Roman"/>
                <w:color w:val="000000" w:themeColor="text1"/>
                <w:spacing w:val="-2"/>
                <w:w w:val="95"/>
                <w:sz w:val="20"/>
              </w:rPr>
              <w:t xml:space="preserve"> i relativi servizi, come la gestione di contanti e garanzie reali.</w:t>
            </w:r>
          </w:p>
        </w:tc>
      </w:tr>
      <w:tr w:rsidR="00D22EB0" w:rsidRPr="004B56A9" w14:paraId="42C21B4B" w14:textId="77777777" w:rsidTr="00336AC0">
        <w:tc>
          <w:tcPr>
            <w:tcW w:w="1191" w:type="dxa"/>
            <w:tcBorders>
              <w:top w:val="single" w:sz="4" w:space="0" w:color="1A171C"/>
              <w:left w:val="nil"/>
              <w:bottom w:val="single" w:sz="4" w:space="0" w:color="1A171C"/>
              <w:right w:val="single" w:sz="4" w:space="0" w:color="1A171C"/>
            </w:tcBorders>
          </w:tcPr>
          <w:p w14:paraId="510D14FE" w14:textId="43A1CFA5"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14:paraId="7DEB30F5" w14:textId="0B3D9FCA"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Altri servizi / altre attività / altre funzioni (1), (2) e (3)</w:t>
            </w:r>
          </w:p>
        </w:tc>
      </w:tr>
      <w:tr w:rsidR="00D22EB0" w:rsidRPr="004B56A9" w14:paraId="7324BC03" w14:textId="77777777" w:rsidTr="00336AC0">
        <w:tc>
          <w:tcPr>
            <w:tcW w:w="9083" w:type="dxa"/>
            <w:gridSpan w:val="2"/>
            <w:tcBorders>
              <w:top w:val="single" w:sz="4" w:space="0" w:color="1A171C"/>
              <w:left w:val="nil"/>
              <w:bottom w:val="single" w:sz="4" w:space="0" w:color="1A171C"/>
            </w:tcBorders>
          </w:tcPr>
          <w:p w14:paraId="67085537" w14:textId="77777777" w:rsidR="007827E9" w:rsidRPr="004B56A9" w:rsidRDefault="007827E9"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Mercati dei capitali</w:t>
            </w:r>
          </w:p>
          <w:p w14:paraId="538A13C1" w14:textId="7F6FEC70" w:rsidR="007827E9" w:rsidRPr="004B56A9" w:rsidRDefault="007827E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 attività sui mercati dei capitali comprendono l’emissione e la negoziazione di titoli, i relativi servizi di consulenza e i servizi correlati, quali </w:t>
            </w:r>
            <w:proofErr w:type="gramStart"/>
            <w:r w:rsidRPr="004B56A9">
              <w:rPr>
                <w:rFonts w:ascii="Times New Roman" w:hAnsi="Times New Roman"/>
                <w:color w:val="000000" w:themeColor="text1"/>
                <w:spacing w:val="-2"/>
                <w:w w:val="95"/>
                <w:sz w:val="20"/>
              </w:rPr>
              <w:t>il</w:t>
            </w:r>
            <w:proofErr w:type="gramEnd"/>
            <w:r w:rsidRPr="004B56A9">
              <w:rPr>
                <w:rFonts w:ascii="Times New Roman" w:hAnsi="Times New Roman"/>
                <w:color w:val="000000" w:themeColor="text1"/>
                <w:spacing w:val="-2"/>
                <w:w w:val="95"/>
                <w:sz w:val="20"/>
              </w:rPr>
              <w:t xml:space="preserve"> </w:t>
            </w:r>
            <w:r w:rsidRPr="004B56A9">
              <w:rPr>
                <w:rFonts w:ascii="Times New Roman" w:hAnsi="Times New Roman"/>
                <w:i/>
                <w:color w:val="000000" w:themeColor="text1"/>
                <w:spacing w:val="-2"/>
                <w:w w:val="95"/>
                <w:sz w:val="20"/>
              </w:rPr>
              <w:t>prime brokerage</w:t>
            </w:r>
            <w:r w:rsidRPr="004B56A9">
              <w:rPr>
                <w:rFonts w:ascii="Times New Roman" w:hAnsi="Times New Roman"/>
                <w:color w:val="000000" w:themeColor="text1"/>
                <w:spacing w:val="-2"/>
                <w:w w:val="95"/>
                <w:sz w:val="20"/>
              </w:rPr>
              <w:t xml:space="preserve"> e il supporto agli scambi (</w:t>
            </w:r>
            <w:r w:rsidRPr="004B56A9">
              <w:rPr>
                <w:rFonts w:ascii="Times New Roman" w:hAnsi="Times New Roman"/>
                <w:i/>
                <w:color w:val="000000" w:themeColor="text1"/>
                <w:spacing w:val="-2"/>
                <w:w w:val="95"/>
                <w:sz w:val="20"/>
              </w:rPr>
              <w:t>market making</w:t>
            </w:r>
            <w:r w:rsidRPr="004B56A9">
              <w:rPr>
                <w:rFonts w:ascii="Times New Roman" w:hAnsi="Times New Roman"/>
                <w:color w:val="000000" w:themeColor="text1"/>
                <w:spacing w:val="-2"/>
                <w:w w:val="95"/>
                <w:sz w:val="20"/>
              </w:rPr>
              <w:t xml:space="preserve">). </w:t>
            </w:r>
          </w:p>
        </w:tc>
      </w:tr>
      <w:tr w:rsidR="00D22EB0" w:rsidRPr="004B56A9" w14:paraId="4791A5E4" w14:textId="77777777" w:rsidTr="00336AC0">
        <w:tc>
          <w:tcPr>
            <w:tcW w:w="1191" w:type="dxa"/>
            <w:tcBorders>
              <w:top w:val="single" w:sz="4" w:space="0" w:color="1A171C"/>
              <w:left w:val="nil"/>
              <w:bottom w:val="single" w:sz="4" w:space="0" w:color="1A171C"/>
              <w:right w:val="single" w:sz="4" w:space="0" w:color="1A171C"/>
            </w:tcBorders>
          </w:tcPr>
          <w:p w14:paraId="42115A48" w14:textId="1F8C2C1F" w:rsidR="00336AC0" w:rsidRPr="004B56A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14:paraId="57B23B94" w14:textId="77777777" w:rsidR="00336AC0" w:rsidRPr="004B56A9" w:rsidRDefault="00336AC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Derivati detenuti per negoziazione (OTC)</w:t>
            </w:r>
          </w:p>
          <w:p w14:paraId="6AD99616" w14:textId="77777777" w:rsidR="000C7CD3" w:rsidRPr="004B56A9" w:rsidRDefault="000C7CD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punti 5 e 7, del regolamento (UE) n. 648/2012</w:t>
            </w:r>
            <w:r w:rsidRPr="004B56A9">
              <w:rPr>
                <w:rStyle w:val="FootnoteReference"/>
                <w:rFonts w:ascii="Times New Roman" w:hAnsi="Times New Roman"/>
                <w:color w:val="000000" w:themeColor="text1"/>
                <w:spacing w:val="-2"/>
                <w:w w:val="95"/>
                <w:sz w:val="20"/>
              </w:rPr>
              <w:footnoteReference w:id="18"/>
            </w:r>
          </w:p>
          <w:p w14:paraId="385FB4C5" w14:textId="77777777" w:rsidR="000C7CD3" w:rsidRPr="004B56A9" w:rsidRDefault="000C7CD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Per derivato </w:t>
            </w:r>
            <w:proofErr w:type="gramStart"/>
            <w:r w:rsidRPr="004B56A9">
              <w:rPr>
                <w:rFonts w:ascii="Times New Roman" w:hAnsi="Times New Roman"/>
                <w:color w:val="000000" w:themeColor="text1"/>
                <w:spacing w:val="-2"/>
                <w:w w:val="95"/>
                <w:sz w:val="20"/>
              </w:rPr>
              <w:t>o</w:t>
            </w:r>
            <w:proofErr w:type="gramEnd"/>
            <w:r w:rsidRPr="004B56A9">
              <w:rPr>
                <w:rFonts w:ascii="Times New Roman" w:hAnsi="Times New Roman"/>
                <w:color w:val="000000" w:themeColor="text1"/>
                <w:spacing w:val="-2"/>
                <w:w w:val="95"/>
                <w:sz w:val="20"/>
              </w:rPr>
              <w:t xml:space="preserve"> contratto derivato si intende uno strumento finanziario di cui all’allegato I, sezione C, punti da 4 a 10, della direttiva 2014/65/UE</w:t>
            </w:r>
            <w:r w:rsidRPr="004B56A9">
              <w:rPr>
                <w:rStyle w:val="FootnoteReference"/>
                <w:rFonts w:ascii="Times New Roman" w:hAnsi="Times New Roman"/>
                <w:color w:val="000000" w:themeColor="text1"/>
                <w:spacing w:val="-2"/>
                <w:w w:val="95"/>
                <w:sz w:val="20"/>
              </w:rPr>
              <w:footnoteReference w:id="19"/>
            </w:r>
            <w:r w:rsidRPr="004B56A9">
              <w:rPr>
                <w:rFonts w:ascii="Times New Roman" w:hAnsi="Times New Roman"/>
                <w:color w:val="000000" w:themeColor="text1"/>
                <w:spacing w:val="-2"/>
                <w:w w:val="95"/>
                <w:sz w:val="20"/>
              </w:rPr>
              <w:t>, disciplinato sul piano attuativo dagli articoli 38 e 39 del regolamento (CE) n. 1287/2006.</w:t>
            </w:r>
          </w:p>
          <w:p w14:paraId="4AA6ADD3" w14:textId="77777777" w:rsidR="000C7CD3" w:rsidRPr="004B56A9" w:rsidRDefault="000C7CD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Per derivato OTC </w:t>
            </w:r>
            <w:proofErr w:type="gramStart"/>
            <w:r w:rsidRPr="004B56A9">
              <w:rPr>
                <w:rFonts w:ascii="Times New Roman" w:hAnsi="Times New Roman"/>
                <w:color w:val="000000" w:themeColor="text1"/>
                <w:spacing w:val="-2"/>
                <w:w w:val="95"/>
                <w:sz w:val="20"/>
              </w:rPr>
              <w:t>o</w:t>
            </w:r>
            <w:proofErr w:type="gramEnd"/>
            <w:r w:rsidRPr="004B56A9">
              <w:rPr>
                <w:rFonts w:ascii="Times New Roman" w:hAnsi="Times New Roman"/>
                <w:color w:val="000000" w:themeColor="text1"/>
                <w:spacing w:val="-2"/>
                <w:w w:val="95"/>
                <w:sz w:val="20"/>
              </w:rPr>
              <w:t xml:space="preserve"> contratto derivato OTC si intende un contratto derivato la cui esecuzione non ha luogo su un mercato regolamentato ai sensi dell’articolo 4, paragrafo 1, punto 21, della direttiva 2014/65/UE o su un mercato di un paese terzo considerato equivalente a un mercato regolamentato a norma dell’articolo 2 </w:t>
            </w:r>
            <w:r w:rsidRPr="004B56A9">
              <w:rPr>
                <w:rFonts w:ascii="Times New Roman" w:hAnsi="Times New Roman"/>
                <w:i/>
                <w:color w:val="000000" w:themeColor="text1"/>
                <w:spacing w:val="-2"/>
                <w:w w:val="95"/>
                <w:sz w:val="20"/>
              </w:rPr>
              <w:t>bis</w:t>
            </w:r>
            <w:r w:rsidRPr="004B56A9">
              <w:rPr>
                <w:rFonts w:ascii="Times New Roman" w:hAnsi="Times New Roman"/>
                <w:color w:val="000000" w:themeColor="text1"/>
                <w:spacing w:val="-2"/>
                <w:w w:val="95"/>
                <w:sz w:val="20"/>
              </w:rPr>
              <w:t xml:space="preserve"> del regolamento (UE) n. 648/2012.</w:t>
            </w:r>
          </w:p>
          <w:p w14:paraId="2EC14570" w14:textId="776763B2" w:rsidR="00336AC0" w:rsidRPr="004B56A9" w:rsidRDefault="000C7CD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da segnalare include esclusivamente i derivati negoziati sul mercato OTC.</w:t>
            </w:r>
          </w:p>
        </w:tc>
      </w:tr>
      <w:tr w:rsidR="00D22EB0" w:rsidRPr="004B56A9" w14:paraId="23A58C27" w14:textId="77777777" w:rsidTr="00336AC0">
        <w:tc>
          <w:tcPr>
            <w:tcW w:w="1191" w:type="dxa"/>
            <w:tcBorders>
              <w:top w:val="single" w:sz="4" w:space="0" w:color="1A171C"/>
              <w:left w:val="nil"/>
              <w:bottom w:val="single" w:sz="4" w:space="0" w:color="1A171C"/>
              <w:right w:val="single" w:sz="4" w:space="0" w:color="1A171C"/>
            </w:tcBorders>
          </w:tcPr>
          <w:p w14:paraId="10D44C77" w14:textId="5F85684B" w:rsidR="00336AC0" w:rsidRPr="004B56A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14:paraId="4AF25F54" w14:textId="77777777" w:rsidR="00336AC0" w:rsidRPr="004B56A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Derivati detenuti per negoziazione (non-OTC</w:t>
            </w:r>
            <w:proofErr w:type="gramStart"/>
            <w:r w:rsidRPr="004B56A9">
              <w:rPr>
                <w:rFonts w:ascii="Times New Roman" w:hAnsi="Times New Roman"/>
                <w:b/>
                <w:color w:val="000000" w:themeColor="text1"/>
                <w:sz w:val="20"/>
              </w:rPr>
              <w:t>)</w:t>
            </w:r>
            <w:proofErr w:type="gramEnd"/>
          </w:p>
          <w:p w14:paraId="3B8620CF" w14:textId="73FE4ED1" w:rsidR="00336AC0" w:rsidRPr="004B56A9"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Tutti i derivati detenuti per negoziazione, esclusi i </w:t>
            </w:r>
            <w:proofErr w:type="gramStart"/>
            <w:r w:rsidRPr="004B56A9">
              <w:rPr>
                <w:rFonts w:ascii="Times New Roman" w:hAnsi="Times New Roman"/>
                <w:color w:val="000000" w:themeColor="text1"/>
                <w:spacing w:val="-2"/>
                <w:w w:val="95"/>
                <w:sz w:val="20"/>
              </w:rPr>
              <w:t>derivati</w:t>
            </w:r>
            <w:proofErr w:type="gramEnd"/>
            <w:r w:rsidRPr="004B56A9">
              <w:rPr>
                <w:rFonts w:ascii="Times New Roman" w:hAnsi="Times New Roman"/>
                <w:color w:val="000000" w:themeColor="text1"/>
                <w:spacing w:val="-2"/>
                <w:w w:val="95"/>
                <w:sz w:val="20"/>
              </w:rPr>
              <w:t xml:space="preserve"> OTC detenuti per negoziazione.</w:t>
            </w:r>
          </w:p>
        </w:tc>
      </w:tr>
      <w:tr w:rsidR="00D22EB0" w:rsidRPr="004B56A9" w14:paraId="1F0E6873" w14:textId="77777777" w:rsidTr="00336AC0">
        <w:tc>
          <w:tcPr>
            <w:tcW w:w="1191" w:type="dxa"/>
            <w:tcBorders>
              <w:top w:val="single" w:sz="4" w:space="0" w:color="1A171C"/>
              <w:left w:val="nil"/>
              <w:bottom w:val="single" w:sz="4" w:space="0" w:color="1A171C"/>
              <w:right w:val="single" w:sz="4" w:space="0" w:color="1A171C"/>
            </w:tcBorders>
          </w:tcPr>
          <w:p w14:paraId="39B2FE68" w14:textId="1BFEE695" w:rsidR="00336AC0" w:rsidRPr="004B56A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14:paraId="19A23F2E" w14:textId="77777777" w:rsidR="00336AC0" w:rsidRPr="004B56A9" w:rsidRDefault="00336AC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Mercati secondari / negoziazione</w:t>
            </w:r>
          </w:p>
          <w:p w14:paraId="4229E157" w14:textId="77777777" w:rsidR="007F077B" w:rsidRPr="004B56A9" w:rsidRDefault="00336AC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mercato secondario è la sede in cui gli investitori acquistano e vendono titoli. Questa funzione si applica al portafoglio di negoziazione totale (strumenti di capitale, credito alle imprese, </w:t>
            </w:r>
            <w:proofErr w:type="gramStart"/>
            <w:r w:rsidRPr="004B56A9">
              <w:rPr>
                <w:rFonts w:ascii="Times New Roman" w:hAnsi="Times New Roman"/>
                <w:color w:val="000000" w:themeColor="text1"/>
                <w:spacing w:val="-2"/>
                <w:w w:val="95"/>
                <w:sz w:val="20"/>
              </w:rPr>
              <w:t>credito</w:t>
            </w:r>
            <w:proofErr w:type="gramEnd"/>
            <w:r w:rsidRPr="004B56A9">
              <w:rPr>
                <w:rFonts w:ascii="Times New Roman" w:hAnsi="Times New Roman"/>
                <w:color w:val="000000" w:themeColor="text1"/>
                <w:spacing w:val="-2"/>
                <w:w w:val="95"/>
                <w:sz w:val="20"/>
              </w:rPr>
              <w:t xml:space="preserve"> sovrano).</w:t>
            </w:r>
          </w:p>
          <w:p w14:paraId="0668CC10" w14:textId="18244465" w:rsidR="00E82CEB" w:rsidRPr="004B56A9" w:rsidRDefault="007F077B"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L’importo da segnalare comprende il valore dei titoli espresso come ammontare totale dei </w:t>
            </w:r>
            <w:proofErr w:type="gramStart"/>
            <w:r w:rsidRPr="004B56A9">
              <w:rPr>
                <w:rFonts w:ascii="Times New Roman" w:hAnsi="Times New Roman"/>
                <w:color w:val="000000" w:themeColor="text1"/>
                <w:spacing w:val="-2"/>
                <w:w w:val="95"/>
                <w:sz w:val="20"/>
              </w:rPr>
              <w:t>titoli</w:t>
            </w:r>
            <w:proofErr w:type="gramEnd"/>
            <w:r w:rsidRPr="004B56A9">
              <w:rPr>
                <w:rFonts w:ascii="Times New Roman" w:hAnsi="Times New Roman"/>
                <w:color w:val="000000" w:themeColor="text1"/>
                <w:spacing w:val="-2"/>
                <w:w w:val="95"/>
                <w:sz w:val="20"/>
              </w:rPr>
              <w:t xml:space="preserve"> detenuti per negoziazione. I titoli sono segnalati al fair value (valore equo) alla data di riferimento per le segnalazioni.</w:t>
            </w:r>
          </w:p>
          <w:p w14:paraId="22D6A1EB" w14:textId="397BFE57" w:rsidR="00336AC0" w:rsidRPr="004B56A9" w:rsidRDefault="00E82CEB"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L’importo non comprende i prestiti, i derivati e le attività non negoziabili (ad esempio i crediti).</w:t>
            </w:r>
          </w:p>
        </w:tc>
      </w:tr>
      <w:tr w:rsidR="00D22EB0" w:rsidRPr="004B56A9" w14:paraId="657E408F" w14:textId="77777777" w:rsidTr="00336AC0">
        <w:tc>
          <w:tcPr>
            <w:tcW w:w="1191" w:type="dxa"/>
            <w:tcBorders>
              <w:top w:val="single" w:sz="4" w:space="0" w:color="1A171C"/>
              <w:left w:val="nil"/>
              <w:bottom w:val="single" w:sz="4" w:space="0" w:color="1A171C"/>
              <w:right w:val="single" w:sz="4" w:space="0" w:color="1A171C"/>
            </w:tcBorders>
          </w:tcPr>
          <w:p w14:paraId="251FF266" w14:textId="1CE093BC" w:rsidR="00336AC0" w:rsidRPr="004B56A9"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14:paraId="41CC0850" w14:textId="77777777" w:rsidR="00336AC0" w:rsidRPr="004B56A9" w:rsidRDefault="00336AC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Mercati primari / sottoscrizione</w:t>
            </w:r>
          </w:p>
          <w:p w14:paraId="55A2E6D4" w14:textId="58EEC081" w:rsidR="00336AC0" w:rsidRPr="004B56A9" w:rsidRDefault="008C58BC"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 mercati primari sono la sede in cui nuovi titoli sono emessi in borsa da imprese, governi e altri gruppi per ottenere finanziamenti tramite titoli azionari o di debito (quali azioni ordinarie e privilegiate, obbligazioni societarie, </w:t>
            </w:r>
            <w:proofErr w:type="gramStart"/>
            <w:r w:rsidRPr="004B56A9">
              <w:rPr>
                <w:rFonts w:ascii="Times New Roman" w:hAnsi="Times New Roman"/>
                <w:color w:val="000000" w:themeColor="text1"/>
                <w:spacing w:val="-2"/>
                <w:w w:val="95"/>
                <w:sz w:val="20"/>
              </w:rPr>
              <w:t>obbligazioni</w:t>
            </w:r>
            <w:proofErr w:type="gramEnd"/>
            <w:r w:rsidRPr="004B56A9">
              <w:rPr>
                <w:rFonts w:ascii="Times New Roman" w:hAnsi="Times New Roman"/>
                <w:color w:val="000000" w:themeColor="text1"/>
                <w:spacing w:val="-2"/>
                <w:w w:val="95"/>
                <w:sz w:val="20"/>
              </w:rPr>
              <w:t>, effetti, titoli di Stato). I mercati primari sono facilitati dai gruppi di sottoscrizione.</w:t>
            </w:r>
          </w:p>
        </w:tc>
      </w:tr>
      <w:tr w:rsidR="00D22EB0" w:rsidRPr="004B56A9" w14:paraId="5C73765B" w14:textId="77777777" w:rsidTr="00336AC0">
        <w:tc>
          <w:tcPr>
            <w:tcW w:w="1191" w:type="dxa"/>
            <w:tcBorders>
              <w:top w:val="single" w:sz="4" w:space="0" w:color="1A171C"/>
              <w:left w:val="nil"/>
              <w:bottom w:val="single" w:sz="4" w:space="0" w:color="1A171C"/>
              <w:right w:val="single" w:sz="4" w:space="0" w:color="1A171C"/>
            </w:tcBorders>
          </w:tcPr>
          <w:p w14:paraId="03F2B94D" w14:textId="52DB2D19"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14:paraId="11BB608B" w14:textId="53BA98B9" w:rsidR="007827E9" w:rsidRPr="004B56A9"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Altri servizi / altre attività / altre funzioni (1), (2) e (3)</w:t>
            </w:r>
          </w:p>
        </w:tc>
      </w:tr>
      <w:tr w:rsidR="00D22EB0" w:rsidRPr="004B56A9" w14:paraId="6B95E40A" w14:textId="77777777" w:rsidTr="00336AC0">
        <w:tc>
          <w:tcPr>
            <w:tcW w:w="9083" w:type="dxa"/>
            <w:gridSpan w:val="2"/>
            <w:tcBorders>
              <w:top w:val="single" w:sz="4" w:space="0" w:color="1A171C"/>
              <w:left w:val="nil"/>
              <w:bottom w:val="single" w:sz="4" w:space="0" w:color="1A171C"/>
            </w:tcBorders>
          </w:tcPr>
          <w:p w14:paraId="207FDF2F" w14:textId="77777777" w:rsidR="007827E9" w:rsidRPr="004B56A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Finanziamento (funding) all’ingrosso</w:t>
            </w:r>
          </w:p>
          <w:p w14:paraId="6D40D770" w14:textId="24A9C04D" w:rsidR="007827E9" w:rsidRPr="004B56A9"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 xml:space="preserve">Le attività di assunzione e concessione di prestiti sui mercati all’ingrosso a e da controparti finanziarie (enti creditizi e altre società </w:t>
            </w:r>
            <w:proofErr w:type="gramEnd"/>
            <w:r w:rsidRPr="004B56A9">
              <w:rPr>
                <w:rFonts w:ascii="Times New Roman" w:hAnsi="Times New Roman"/>
                <w:color w:val="000000" w:themeColor="text1"/>
                <w:spacing w:val="-2"/>
                <w:w w:val="95"/>
                <w:sz w:val="20"/>
              </w:rPr>
              <w:t>finanziarie).</w:t>
            </w:r>
          </w:p>
        </w:tc>
      </w:tr>
      <w:tr w:rsidR="00D22EB0" w:rsidRPr="004B56A9" w14:paraId="3E227EDD" w14:textId="77777777" w:rsidTr="00E95D75">
        <w:tc>
          <w:tcPr>
            <w:tcW w:w="1191" w:type="dxa"/>
            <w:tcBorders>
              <w:top w:val="single" w:sz="4" w:space="0" w:color="1A171C"/>
              <w:left w:val="nil"/>
              <w:bottom w:val="single" w:sz="4" w:space="0" w:color="1A171C"/>
              <w:right w:val="single" w:sz="4" w:space="0" w:color="1A171C"/>
            </w:tcBorders>
          </w:tcPr>
          <w:p w14:paraId="10D7AAB8" w14:textId="05A36DAF"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14:paraId="6A741774" w14:textId="77777777" w:rsidR="00336AC0" w:rsidRPr="004B56A9" w:rsidRDefault="00336AC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Assunzione di prestiti</w:t>
            </w:r>
          </w:p>
          <w:p w14:paraId="3CBD1D86" w14:textId="393C3024" w:rsidR="00336AC0" w:rsidRPr="004B56A9" w:rsidRDefault="00336AC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L’assunzione di prestiti sui mercati all’ingrosso da controparti finanziarie (anche mediante contratti di vendita con patto di riacquisto, p</w:t>
            </w:r>
            <w:proofErr w:type="gramEnd"/>
            <w:r w:rsidRPr="004B56A9">
              <w:rPr>
                <w:rFonts w:ascii="Times New Roman" w:hAnsi="Times New Roman"/>
                <w:color w:val="000000" w:themeColor="text1"/>
                <w:spacing w:val="-2"/>
                <w:w w:val="95"/>
                <w:sz w:val="20"/>
              </w:rPr>
              <w:t>restiti interbancari, commercial paper, certificati di deposito, fondi comuni monetari, linee di credito, commercial paper garantiti da attività e depositi fiduciari).</w:t>
            </w:r>
          </w:p>
        </w:tc>
      </w:tr>
      <w:tr w:rsidR="00D22EB0" w:rsidRPr="004B56A9" w14:paraId="4E9DC50D" w14:textId="77777777" w:rsidTr="00E95D75">
        <w:tc>
          <w:tcPr>
            <w:tcW w:w="1191" w:type="dxa"/>
            <w:tcBorders>
              <w:top w:val="single" w:sz="4" w:space="0" w:color="1A171C"/>
              <w:left w:val="nil"/>
              <w:bottom w:val="single" w:sz="4" w:space="0" w:color="1A171C"/>
              <w:right w:val="single" w:sz="4" w:space="0" w:color="1A171C"/>
            </w:tcBorders>
          </w:tcPr>
          <w:p w14:paraId="5003F6A4" w14:textId="69B391E3"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14:paraId="3E62CE71" w14:textId="77777777" w:rsidR="00336AC0" w:rsidRPr="004B56A9" w:rsidRDefault="00336AC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Derivati (attività)</w:t>
            </w:r>
          </w:p>
          <w:p w14:paraId="4319C4C0" w14:textId="15C8AA6F" w:rsidR="00336AC0" w:rsidRPr="004B56A9" w:rsidRDefault="00336AC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Tutti i derivati con controparti finanziarie iscritti all’attivo del bilancio. A differenza di “Mercati dei capitali”, in “Finanziamento (funding) all’ingrosso” i derivati comprendono tutti i contratti derivati con controparti finanziarie (non solo quelli detenuti per la negoziazione).</w:t>
            </w:r>
          </w:p>
        </w:tc>
      </w:tr>
      <w:tr w:rsidR="00D22EB0" w:rsidRPr="004B56A9" w14:paraId="39DC2E6E" w14:textId="77777777" w:rsidTr="00E95D75">
        <w:tc>
          <w:tcPr>
            <w:tcW w:w="1191" w:type="dxa"/>
            <w:tcBorders>
              <w:top w:val="single" w:sz="4" w:space="0" w:color="1A171C"/>
              <w:left w:val="nil"/>
              <w:bottom w:val="single" w:sz="4" w:space="0" w:color="1A171C"/>
              <w:right w:val="single" w:sz="4" w:space="0" w:color="1A171C"/>
            </w:tcBorders>
          </w:tcPr>
          <w:p w14:paraId="3EA14577" w14:textId="28F09DF6"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14:paraId="5885E1FF" w14:textId="77777777" w:rsidR="00336AC0" w:rsidRPr="004B56A9" w:rsidRDefault="00336AC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Concessione di prestiti</w:t>
            </w:r>
          </w:p>
          <w:p w14:paraId="4BF2BA26" w14:textId="6DE29BA7" w:rsidR="00336AC0" w:rsidRPr="004B56A9" w:rsidRDefault="00336AC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La concessione di prestiti sui mercati all’ingrosso a controparti finanziarie (anche mediante prestiti a seguito di contratto di vendita con</w:t>
            </w:r>
            <w:proofErr w:type="gramEnd"/>
            <w:r w:rsidRPr="004B56A9">
              <w:rPr>
                <w:rFonts w:ascii="Times New Roman" w:hAnsi="Times New Roman"/>
                <w:color w:val="000000" w:themeColor="text1"/>
                <w:spacing w:val="-2"/>
                <w:w w:val="95"/>
                <w:sz w:val="20"/>
              </w:rPr>
              <w:t xml:space="preserve"> patto di riacquisto passivo, commercial paper, certificati di deposito, fondi comuni monetari, linee di credito, commercial paper garantiti da attività e depositi fiduciari).</w:t>
            </w:r>
          </w:p>
        </w:tc>
      </w:tr>
      <w:tr w:rsidR="00D22EB0" w:rsidRPr="004B56A9" w14:paraId="629411AD" w14:textId="77777777" w:rsidTr="00E95D75">
        <w:tc>
          <w:tcPr>
            <w:tcW w:w="1191" w:type="dxa"/>
            <w:tcBorders>
              <w:top w:val="single" w:sz="4" w:space="0" w:color="1A171C"/>
              <w:left w:val="nil"/>
              <w:bottom w:val="single" w:sz="4" w:space="0" w:color="1A171C"/>
              <w:right w:val="single" w:sz="4" w:space="0" w:color="1A171C"/>
            </w:tcBorders>
          </w:tcPr>
          <w:p w14:paraId="7BB6C079" w14:textId="31E8C0CF" w:rsidR="00336AC0"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14:paraId="3536DFE8" w14:textId="77777777" w:rsidR="00336AC0" w:rsidRPr="004B56A9"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Derivati (passività)</w:t>
            </w:r>
          </w:p>
          <w:p w14:paraId="2D02E190" w14:textId="6F909DF8" w:rsidR="00336AC0" w:rsidRPr="004B56A9" w:rsidRDefault="00336AC0" w:rsidP="00EF312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Tutti i derivati con controparti finanziarie is</w:t>
            </w:r>
            <w:r w:rsidR="00EF312C" w:rsidRPr="004B56A9">
              <w:rPr>
                <w:rFonts w:ascii="Times New Roman" w:hAnsi="Times New Roman"/>
                <w:color w:val="000000" w:themeColor="text1"/>
                <w:spacing w:val="-2"/>
                <w:w w:val="95"/>
                <w:sz w:val="20"/>
              </w:rPr>
              <w:t>critti al passivo del bilancio.</w:t>
            </w:r>
          </w:p>
        </w:tc>
      </w:tr>
      <w:tr w:rsidR="00D22EB0" w:rsidRPr="004B56A9" w14:paraId="0A564569" w14:textId="77777777" w:rsidTr="00E95D75">
        <w:tc>
          <w:tcPr>
            <w:tcW w:w="1191" w:type="dxa"/>
            <w:tcBorders>
              <w:top w:val="single" w:sz="4" w:space="0" w:color="1A171C"/>
              <w:left w:val="nil"/>
              <w:bottom w:val="single" w:sz="4" w:space="0" w:color="1A171C"/>
              <w:right w:val="single" w:sz="4" w:space="0" w:color="1A171C"/>
            </w:tcBorders>
          </w:tcPr>
          <w:p w14:paraId="3FF60906" w14:textId="493981E4" w:rsidR="007827E9" w:rsidRPr="004B56A9"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14:paraId="1DCA2BD3" w14:textId="3881C3A1" w:rsidR="007827E9" w:rsidRPr="004B56A9"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Altri tipi di prodotto (1), (2) e (3)</w:t>
            </w:r>
          </w:p>
          <w:p w14:paraId="5CC4F0C9" w14:textId="5A209295" w:rsidR="007827E9" w:rsidRPr="004B56A9"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Ogni funzione della funzione economica “Finanziamento (funding) all’ingrosso” non inclusa nelle voci precedenti.</w:t>
            </w:r>
            <w:proofErr w:type="gramEnd"/>
          </w:p>
        </w:tc>
      </w:tr>
    </w:tbl>
    <w:p w14:paraId="670ACE54" w14:textId="7B78867A" w:rsidR="00F06ABE" w:rsidRPr="004B56A9" w:rsidRDefault="00F7117F" w:rsidP="00AC1C52">
      <w:pPr>
        <w:pStyle w:val="Numberedtitlelevel3"/>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 xml:space="preserve">Z 07.01 - Valutazione del carattere essenziale delle funzioni economiche (FUNC 1): 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color w:val="000000" w:themeColor="text1"/>
          <w:sz w:val="20"/>
        </w:rPr>
        <w:t xml:space="preserve"> </w:t>
      </w:r>
      <w:r w:rsidRPr="004B56A9">
        <w:rPr>
          <w:rFonts w:ascii="Times New Roman" w:hAnsi="Times New Roman"/>
          <w:b w:val="0"/>
          <w:color w:val="000000" w:themeColor="text1"/>
          <w:sz w:val="20"/>
          <w:u w:val="single"/>
        </w:rPr>
        <w:t>posizioni specifiche</w:t>
      </w:r>
    </w:p>
    <w:p w14:paraId="5B042398" w14:textId="4410375B" w:rsidR="00336AC0" w:rsidRPr="004B56A9"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Questo modello deve essere compilato una sola volta per ciascuno Stato membro (indicato come “Paese”) in cui il gruppo opera.</w:t>
      </w:r>
    </w:p>
    <w:p w14:paraId="187D141D" w14:textId="088322E1" w:rsidR="00AE7D80" w:rsidRPr="004B56A9" w:rsidRDefault="00336AC0" w:rsidP="00B20A53">
      <w:pPr>
        <w:pStyle w:val="InstructionsText2"/>
        <w:numPr>
          <w:ilvl w:val="0"/>
          <w:numId w:val="29"/>
        </w:numPr>
        <w:spacing w:before="0" w:after="840"/>
        <w:ind w:left="714" w:hanging="357"/>
        <w:rPr>
          <w:rFonts w:ascii="Times New Roman" w:hAnsi="Times New Roman" w:cs="Times New Roman"/>
          <w:sz w:val="20"/>
          <w:szCs w:val="20"/>
        </w:rPr>
      </w:pPr>
      <w:r w:rsidRPr="004B56A9">
        <w:rPr>
          <w:rFonts w:ascii="Times New Roman" w:hAnsi="Times New Roman"/>
          <w:sz w:val="20"/>
        </w:rPr>
        <w:t xml:space="preserve">Contempla tutte le funzioni economiche - a prescindere dal fatto che rappresentino o non </w:t>
      </w:r>
      <w:proofErr w:type="gramStart"/>
      <w:r w:rsidRPr="004B56A9">
        <w:rPr>
          <w:rFonts w:ascii="Times New Roman" w:hAnsi="Times New Roman"/>
          <w:sz w:val="20"/>
        </w:rPr>
        <w:t>rappresentino</w:t>
      </w:r>
      <w:proofErr w:type="gramEnd"/>
      <w:r w:rsidRPr="004B56A9">
        <w:rPr>
          <w:rFonts w:ascii="Times New Roman" w:hAnsi="Times New Roman"/>
          <w:sz w:val="20"/>
        </w:rPr>
        <w:t xml:space="preserve"> una funzione essenziale - svolte nello Stato membro in questione da ogni entità del gruppo.</w:t>
      </w:r>
    </w:p>
    <w:p w14:paraId="524FA66D" w14:textId="77777777" w:rsidR="005244DF" w:rsidRPr="004B56A9"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3D9131E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557AD1E6" w14:textId="2E307034" w:rsidR="005244DF" w:rsidRPr="004B56A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Righe</w:t>
            </w:r>
          </w:p>
        </w:tc>
        <w:tc>
          <w:tcPr>
            <w:tcW w:w="7892" w:type="dxa"/>
            <w:tcBorders>
              <w:top w:val="single" w:sz="4" w:space="0" w:color="1A171C"/>
              <w:left w:val="single" w:sz="4" w:space="0" w:color="1A171C"/>
              <w:bottom w:val="single" w:sz="4" w:space="0" w:color="1A171C"/>
              <w:right w:val="nil"/>
            </w:tcBorders>
            <w:shd w:val="clear" w:color="auto" w:fill="E4E5E5"/>
          </w:tcPr>
          <w:p w14:paraId="63D355D8" w14:textId="77777777" w:rsidR="005244DF" w:rsidRPr="004B56A9"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5244DF" w:rsidRPr="004B56A9" w14:paraId="7C6CB239" w14:textId="77777777" w:rsidTr="00E95D75">
        <w:tc>
          <w:tcPr>
            <w:tcW w:w="1191" w:type="dxa"/>
            <w:tcBorders>
              <w:top w:val="single" w:sz="4" w:space="0" w:color="1A171C"/>
              <w:left w:val="nil"/>
              <w:bottom w:val="single" w:sz="4" w:space="0" w:color="1A171C"/>
              <w:right w:val="single" w:sz="4" w:space="0" w:color="1A171C"/>
            </w:tcBorders>
            <w:vAlign w:val="center"/>
          </w:tcPr>
          <w:p w14:paraId="063392F5" w14:textId="241868AC" w:rsidR="005244DF" w:rsidRPr="004B56A9"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14:paraId="03996B0B" w14:textId="13FACF00" w:rsidR="005244DF" w:rsidRPr="004B56A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Funzioni economiche</w:t>
            </w:r>
          </w:p>
          <w:p w14:paraId="2FAC34A7" w14:textId="2637CE91" w:rsidR="005244DF" w:rsidRPr="004B56A9"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Le funzioni economiche come sopra definite.</w:t>
            </w:r>
          </w:p>
        </w:tc>
      </w:tr>
    </w:tbl>
    <w:p w14:paraId="6CD46666" w14:textId="77777777" w:rsidR="0056559D" w:rsidRPr="004B56A9"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64312EFB"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563DAE2B" w14:textId="77777777" w:rsidR="005244DF" w:rsidRPr="004B56A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174F9C70" w14:textId="77777777" w:rsidR="005244DF" w:rsidRPr="004B56A9"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6AFF33FB" w14:textId="77777777" w:rsidTr="00E95D75">
        <w:tc>
          <w:tcPr>
            <w:tcW w:w="1191" w:type="dxa"/>
            <w:tcBorders>
              <w:top w:val="single" w:sz="4" w:space="0" w:color="1A171C"/>
              <w:left w:val="nil"/>
              <w:bottom w:val="single" w:sz="4" w:space="0" w:color="1A171C"/>
              <w:right w:val="single" w:sz="4" w:space="0" w:color="1A171C"/>
            </w:tcBorders>
            <w:vAlign w:val="center"/>
          </w:tcPr>
          <w:p w14:paraId="3C6A7051" w14:textId="0981C24A" w:rsidR="005244DF" w:rsidRPr="004B56A9"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14:paraId="5A63AF83" w14:textId="77777777" w:rsidR="005244DF" w:rsidRPr="004B56A9"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Descrizione della funzione economica</w:t>
            </w:r>
          </w:p>
          <w:p w14:paraId="3D51177F" w14:textId="144A123B" w:rsidR="005244DF" w:rsidRPr="004B56A9"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Laddove la funzione economica sia del tipo “Altro” (</w:t>
            </w:r>
            <w:proofErr w:type="gramStart"/>
            <w:r w:rsidRPr="004B56A9">
              <w:rPr>
                <w:rFonts w:ascii="Times New Roman" w:hAnsi="Times New Roman"/>
                <w:color w:val="000000" w:themeColor="text1"/>
                <w:spacing w:val="-2"/>
                <w:w w:val="95"/>
                <w:sz w:val="20"/>
              </w:rPr>
              <w:t>funzioni</w:t>
            </w:r>
            <w:proofErr w:type="gramEnd"/>
            <w:r w:rsidRPr="004B56A9">
              <w:rPr>
                <w:rFonts w:ascii="Times New Roman" w:hAnsi="Times New Roman"/>
                <w:color w:val="000000" w:themeColor="text1"/>
                <w:spacing w:val="-2"/>
                <w:w w:val="95"/>
                <w:sz w:val="20"/>
              </w:rPr>
              <w:t xml:space="preserve"> da 1.5 a 1.7, da 2.6 a 2.8, da 3.7 a 3.9, da 4.5 a 4.7, da 5.5 a 5.7), è fornita una descrizione della funzione. </w:t>
            </w:r>
          </w:p>
        </w:tc>
      </w:tr>
      <w:tr w:rsidR="00D22EB0" w:rsidRPr="004B56A9" w14:paraId="1D18B886" w14:textId="77777777" w:rsidTr="00E95D75">
        <w:tc>
          <w:tcPr>
            <w:tcW w:w="1191" w:type="dxa"/>
            <w:tcBorders>
              <w:top w:val="single" w:sz="4" w:space="0" w:color="1A171C"/>
              <w:left w:val="nil"/>
              <w:bottom w:val="single" w:sz="4" w:space="0" w:color="1A171C"/>
              <w:right w:val="single" w:sz="4" w:space="0" w:color="1A171C"/>
            </w:tcBorders>
            <w:vAlign w:val="center"/>
          </w:tcPr>
          <w:p w14:paraId="5B7A2403" w14:textId="2D0FC231" w:rsidR="005244DF" w:rsidRPr="004B56A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14:paraId="77C45C48" w14:textId="6D388568" w:rsidR="005244DF" w:rsidRPr="004B56A9" w:rsidRDefault="00EF312C" w:rsidP="00E95D7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Quota di mercato</w:t>
            </w:r>
          </w:p>
          <w:p w14:paraId="43152427" w14:textId="1586A712" w:rsidR="005244DF" w:rsidRPr="004B56A9"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La stima della quota di mercato dell’ente o del gruppo per la funzione economica nel rispettivo paese</w:t>
            </w:r>
            <w:proofErr w:type="gramEnd"/>
            <w:r w:rsidRPr="004B56A9">
              <w:rPr>
                <w:rFonts w:ascii="Times New Roman" w:hAnsi="Times New Roman"/>
                <w:color w:val="000000" w:themeColor="text1"/>
                <w:spacing w:val="-2"/>
                <w:w w:val="95"/>
                <w:sz w:val="20"/>
              </w:rPr>
              <w:t xml:space="preserve">. In percentuale del mercato totale in termini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importo monetario.</w:t>
            </w:r>
          </w:p>
        </w:tc>
      </w:tr>
      <w:tr w:rsidR="00D22EB0" w:rsidRPr="004B56A9" w14:paraId="09F5F5FD" w14:textId="77777777" w:rsidTr="00E95D75">
        <w:tc>
          <w:tcPr>
            <w:tcW w:w="1191" w:type="dxa"/>
            <w:tcBorders>
              <w:top w:val="single" w:sz="4" w:space="0" w:color="1A171C"/>
              <w:left w:val="nil"/>
              <w:bottom w:val="single" w:sz="4" w:space="0" w:color="1A171C"/>
              <w:right w:val="single" w:sz="4" w:space="0" w:color="1A171C"/>
            </w:tcBorders>
            <w:vAlign w:val="center"/>
          </w:tcPr>
          <w:p w14:paraId="586BA3AD" w14:textId="5D8C7EB3" w:rsidR="005244DF" w:rsidRPr="004B56A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14:paraId="34730A20" w14:textId="77777777" w:rsidR="005244DF" w:rsidRPr="004B56A9" w:rsidRDefault="005244DF"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Importo monetario</w:t>
            </w:r>
          </w:p>
          <w:p w14:paraId="216155EA" w14:textId="72C0CB1A" w:rsidR="005244DF" w:rsidRPr="004B56A9" w:rsidRDefault="00041D41"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contenuto di questa colonna dipende dalla funzione economica fornita:</w:t>
            </w:r>
          </w:p>
          <w:p w14:paraId="1092E2A4" w14:textId="467F176F" w:rsidR="005244DF" w:rsidRPr="004B56A9" w:rsidRDefault="005244DF" w:rsidP="00FB7D83">
            <w:pPr>
              <w:pStyle w:val="TableParagraph"/>
              <w:numPr>
                <w:ilvl w:val="0"/>
                <w:numId w:val="23"/>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Depositi</w:t>
            </w:r>
          </w:p>
          <w:p w14:paraId="6E0D7369" w14:textId="113B8E16"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valore contabile (compresi gli interessi maturati) dei depositi accettati.</w:t>
            </w:r>
          </w:p>
          <w:p w14:paraId="15116813" w14:textId="0800AC66"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Riferimenti: FINREP, allegati III e IV, modello F 08.01, e allegato V, parte 2.97.</w:t>
            </w:r>
            <w:proofErr w:type="gramEnd"/>
          </w:p>
          <w:p w14:paraId="3ED8B26C" w14:textId="77777777" w:rsidR="005244DF" w:rsidRPr="004B56A9" w:rsidRDefault="005244DF" w:rsidP="00FB7D83">
            <w:pPr>
              <w:pStyle w:val="TableParagraph"/>
              <w:numPr>
                <w:ilvl w:val="0"/>
                <w:numId w:val="23"/>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Concessione di prestiti</w:t>
            </w:r>
          </w:p>
          <w:p w14:paraId="1A41B46D" w14:textId="38938D15"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valore contabile lordo dei prestiti non deteriorati e deteriorati e degli anticipi (compresi gli interessi maturati). Lo stock di prestiti concessi è considerato indicatore dei </w:t>
            </w:r>
            <w:proofErr w:type="gramStart"/>
            <w:r w:rsidRPr="004B56A9">
              <w:rPr>
                <w:rFonts w:ascii="Times New Roman" w:hAnsi="Times New Roman"/>
                <w:color w:val="000000" w:themeColor="text1"/>
                <w:spacing w:val="-2"/>
                <w:w w:val="95"/>
                <w:sz w:val="20"/>
              </w:rPr>
              <w:t>prestiti</w:t>
            </w:r>
            <w:proofErr w:type="gramEnd"/>
            <w:r w:rsidRPr="004B56A9">
              <w:rPr>
                <w:rFonts w:ascii="Times New Roman" w:hAnsi="Times New Roman"/>
                <w:color w:val="000000" w:themeColor="text1"/>
                <w:spacing w:val="-2"/>
                <w:w w:val="95"/>
                <w:sz w:val="20"/>
              </w:rPr>
              <w:t xml:space="preserve"> futuri previsti. </w:t>
            </w:r>
          </w:p>
          <w:p w14:paraId="65B36F3F" w14:textId="360DD23E"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Riferimenti: FINREP, allegati III e IV, modello F 04.04.01, e allegato V. Parte </w:t>
            </w:r>
            <w:proofErr w:type="gramStart"/>
            <w:r w:rsidRPr="004B56A9">
              <w:rPr>
                <w:rFonts w:ascii="Times New Roman" w:hAnsi="Times New Roman"/>
                <w:color w:val="000000" w:themeColor="text1"/>
                <w:spacing w:val="-2"/>
                <w:w w:val="95"/>
                <w:sz w:val="20"/>
              </w:rPr>
              <w:t>1.34</w:t>
            </w:r>
            <w:proofErr w:type="gramEnd"/>
            <w:r w:rsidRPr="004B56A9">
              <w:rPr>
                <w:rFonts w:ascii="Times New Roman" w:hAnsi="Times New Roman"/>
                <w:color w:val="000000" w:themeColor="text1"/>
                <w:spacing w:val="-2"/>
                <w:w w:val="95"/>
                <w:sz w:val="20"/>
              </w:rPr>
              <w:t>(b).</w:t>
            </w:r>
          </w:p>
          <w:p w14:paraId="6563369E" w14:textId="77777777" w:rsidR="005244DF" w:rsidRPr="004B56A9" w:rsidRDefault="005244DF" w:rsidP="00FB7D83">
            <w:pPr>
              <w:pStyle w:val="TableParagraph"/>
              <w:numPr>
                <w:ilvl w:val="0"/>
                <w:numId w:val="23"/>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Servizi di pagamento, cassa, regolamento, compensazione e custodia</w:t>
            </w:r>
          </w:p>
          <w:p w14:paraId="73B5ACDA" w14:textId="08D8960B" w:rsidR="002C4834" w:rsidRPr="004B56A9" w:rsidRDefault="002C4834"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Come </w:t>
            </w:r>
            <w:proofErr w:type="gramStart"/>
            <w:r w:rsidRPr="004B56A9">
              <w:rPr>
                <w:rFonts w:ascii="Times New Roman" w:hAnsi="Times New Roman"/>
                <w:color w:val="000000" w:themeColor="text1"/>
                <w:spacing w:val="-2"/>
                <w:w w:val="95"/>
                <w:sz w:val="20"/>
              </w:rPr>
              <w:t>regola generale</w:t>
            </w:r>
            <w:proofErr w:type="gramEnd"/>
            <w:r w:rsidRPr="004B56A9">
              <w:rPr>
                <w:rFonts w:ascii="Times New Roman" w:hAnsi="Times New Roman"/>
                <w:color w:val="000000" w:themeColor="text1"/>
                <w:spacing w:val="-2"/>
                <w:w w:val="95"/>
                <w:sz w:val="20"/>
              </w:rPr>
              <w:t>, è segnalata la media delle operazioni giornaliere nell’arco dell’anno. Se tale dato non è disponibile, può essere segnalata la media su un periodo più breve (ad esempio alcuni mesi).</w:t>
            </w:r>
          </w:p>
          <w:p w14:paraId="7109D40A" w14:textId="4A1761B0" w:rsidR="002C4834" w:rsidRPr="004B56A9" w:rsidRDefault="002C4834"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In</w:t>
            </w:r>
            <w:proofErr w:type="gramEnd"/>
            <w:r w:rsidRPr="004B56A9">
              <w:rPr>
                <w:rFonts w:ascii="Times New Roman" w:hAnsi="Times New Roman"/>
                <w:color w:val="000000" w:themeColor="text1"/>
                <w:spacing w:val="-2"/>
                <w:w w:val="95"/>
                <w:sz w:val="20"/>
              </w:rPr>
              <w:t xml:space="preserve"> riferimento alle varie funzioni specifiche, si considerano i seguenti elementi: </w:t>
            </w:r>
          </w:p>
          <w:p w14:paraId="721177E1" w14:textId="63606E30"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servizi</w:t>
            </w:r>
            <w:proofErr w:type="gramEnd"/>
            <w:r w:rsidRPr="004B56A9">
              <w:rPr>
                <w:rFonts w:ascii="Times New Roman" w:hAnsi="Times New Roman"/>
                <w:color w:val="000000" w:themeColor="text1"/>
                <w:spacing w:val="-2"/>
                <w:w w:val="95"/>
                <w:sz w:val="20"/>
              </w:rPr>
              <w:t xml:space="preserve"> di pagamento (da 3.1 a 3.2): il valore delle operazioni inviate. </w:t>
            </w:r>
            <w:r w:rsidRPr="004B56A9">
              <w:rPr>
                <w:rFonts w:ascii="Times New Roman" w:eastAsia="Cambria" w:hAnsi="Times New Roman" w:cs="Times New Roman"/>
                <w:color w:val="000000" w:themeColor="text1"/>
                <w:spacing w:val="-2"/>
                <w:w w:val="95"/>
                <w:sz w:val="20"/>
                <w:szCs w:val="20"/>
              </w:rPr>
              <w:br/>
            </w:r>
            <w:r w:rsidRPr="004B56A9">
              <w:rPr>
                <w:rFonts w:ascii="Times New Roman" w:hAnsi="Times New Roman"/>
                <w:color w:val="000000" w:themeColor="text1"/>
                <w:spacing w:val="-2"/>
                <w:w w:val="95"/>
                <w:sz w:val="20"/>
              </w:rPr>
              <w:t xml:space="preserve">(Riferimenti: articolo </w:t>
            </w:r>
            <w:proofErr w:type="gramStart"/>
            <w:r w:rsidRPr="004B56A9">
              <w:rPr>
                <w:rFonts w:ascii="Times New Roman" w:hAnsi="Times New Roman"/>
                <w:color w:val="000000" w:themeColor="text1"/>
                <w:spacing w:val="-2"/>
                <w:w w:val="95"/>
                <w:sz w:val="20"/>
              </w:rPr>
              <w:t>4</w:t>
            </w:r>
            <w:proofErr w:type="gramEnd"/>
            <w:r w:rsidRPr="004B56A9">
              <w:rPr>
                <w:rFonts w:ascii="Times New Roman" w:hAnsi="Times New Roman"/>
                <w:color w:val="000000" w:themeColor="text1"/>
                <w:spacing w:val="-2"/>
                <w:w w:val="95"/>
                <w:sz w:val="20"/>
              </w:rPr>
              <w:t>, punto 5, della direttiva (UE) 2015/2366; BCE/2013/43);</w:t>
            </w:r>
          </w:p>
          <w:p w14:paraId="2330E395" w14:textId="081D5B18"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servizi di cassa (3.3): il valore delle operazioni ATM, quali definite in BCE/2013/43, tabella </w:t>
            </w:r>
            <w:proofErr w:type="gramStart"/>
            <w:r w:rsidRPr="004B56A9">
              <w:rPr>
                <w:rFonts w:ascii="Times New Roman" w:hAnsi="Times New Roman"/>
                <w:color w:val="000000" w:themeColor="text1"/>
                <w:spacing w:val="-2"/>
                <w:w w:val="95"/>
                <w:sz w:val="20"/>
              </w:rPr>
              <w:t>5</w:t>
            </w:r>
            <w:proofErr w:type="gramEnd"/>
            <w:r w:rsidRPr="004B56A9">
              <w:rPr>
                <w:rFonts w:ascii="Times New Roman" w:hAnsi="Times New Roman"/>
                <w:color w:val="000000" w:themeColor="text1"/>
                <w:spacing w:val="-2"/>
                <w:w w:val="95"/>
                <w:sz w:val="20"/>
              </w:rPr>
              <w:t>, lettera a), nonché i prelievi di contante allo sportello, quali definiti in BCE/2014/15, tabella 4;</w:t>
            </w:r>
          </w:p>
          <w:p w14:paraId="259793BD" w14:textId="77777777"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servizi</w:t>
            </w:r>
            <w:proofErr w:type="gramEnd"/>
            <w:r w:rsidRPr="004B56A9">
              <w:rPr>
                <w:rFonts w:ascii="Times New Roman" w:hAnsi="Times New Roman"/>
                <w:color w:val="000000" w:themeColor="text1"/>
                <w:spacing w:val="-2"/>
                <w:w w:val="95"/>
                <w:sz w:val="20"/>
              </w:rPr>
              <w:t xml:space="preserve"> di regolamento titoli (3.4): il valore dei trasferimenti di titoli eseguiti per conto dei clienti. Sono comprese le operazioni regolate con un sistema di regolamento titoli o regolate internamente dall’ente segnalante, </w:t>
            </w:r>
            <w:proofErr w:type="gramStart"/>
            <w:r w:rsidRPr="004B56A9">
              <w:rPr>
                <w:rFonts w:ascii="Times New Roman" w:hAnsi="Times New Roman"/>
                <w:color w:val="000000" w:themeColor="text1"/>
                <w:spacing w:val="-2"/>
                <w:w w:val="95"/>
                <w:sz w:val="20"/>
              </w:rPr>
              <w:t>nonché</w:t>
            </w:r>
            <w:proofErr w:type="gramEnd"/>
            <w:r w:rsidRPr="004B56A9">
              <w:rPr>
                <w:rFonts w:ascii="Times New Roman" w:hAnsi="Times New Roman"/>
                <w:color w:val="000000" w:themeColor="text1"/>
                <w:spacing w:val="-2"/>
                <w:w w:val="95"/>
                <w:sz w:val="20"/>
              </w:rPr>
              <w:t xml:space="preserve"> le operazioni “senza pagamento”;</w:t>
            </w:r>
          </w:p>
          <w:p w14:paraId="430B6D83" w14:textId="677B17C8"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servizi</w:t>
            </w:r>
            <w:proofErr w:type="gramEnd"/>
            <w:r w:rsidRPr="004B56A9">
              <w:rPr>
                <w:rFonts w:ascii="Times New Roman" w:hAnsi="Times New Roman"/>
                <w:color w:val="000000" w:themeColor="text1"/>
                <w:spacing w:val="-2"/>
                <w:w w:val="95"/>
                <w:sz w:val="20"/>
              </w:rPr>
              <w:t xml:space="preserve"> di compensazione mediante CCP (3.</w:t>
            </w:r>
            <w:r w:rsidR="00EF312C" w:rsidRPr="004B56A9">
              <w:rPr>
                <w:rFonts w:ascii="Times New Roman" w:hAnsi="Times New Roman"/>
                <w:color w:val="000000" w:themeColor="text1"/>
                <w:spacing w:val="-2"/>
                <w:w w:val="95"/>
                <w:sz w:val="20"/>
              </w:rPr>
              <w:t>5</w:t>
            </w:r>
            <w:r w:rsidRPr="004B56A9">
              <w:rPr>
                <w:rFonts w:ascii="Times New Roman" w:hAnsi="Times New Roman"/>
                <w:color w:val="000000" w:themeColor="text1"/>
                <w:spacing w:val="-2"/>
                <w:w w:val="95"/>
                <w:sz w:val="20"/>
              </w:rPr>
              <w:t>): le posizioni (esposizione) che la CCP di cui l’ente è membro si assume con l’ente per conto dei suoi clienti. Segnalare il valore giornaliero medio delle posizioni aperte relative all’attività per conto dei clienti presso la CCP. Se tale dato non è disponibile, possono essere segnalate medie su un periodo più breve (ad esempio alcuni mesi);</w:t>
            </w:r>
          </w:p>
          <w:p w14:paraId="2CDD25CF" w14:textId="1DDECE49" w:rsidR="005244DF" w:rsidRPr="004B56A9" w:rsidRDefault="005244DF" w:rsidP="00FB7D83">
            <w:pPr>
              <w:pStyle w:val="TableParagraph"/>
              <w:numPr>
                <w:ilvl w:val="0"/>
                <w:numId w:val="22"/>
              </w:numPr>
              <w:spacing w:before="108" w:after="240"/>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w:t>
            </w:r>
            <w:proofErr w:type="gramEnd"/>
            <w:r w:rsidRPr="004B56A9">
              <w:rPr>
                <w:rFonts w:ascii="Times New Roman" w:hAnsi="Times New Roman"/>
                <w:color w:val="000000" w:themeColor="text1"/>
                <w:spacing w:val="-2"/>
                <w:w w:val="95"/>
                <w:sz w:val="20"/>
              </w:rPr>
              <w:t>ervizi di custodia (3.</w:t>
            </w:r>
            <w:r w:rsidR="00EF312C" w:rsidRPr="004B56A9">
              <w:rPr>
                <w:rFonts w:ascii="Times New Roman" w:hAnsi="Times New Roman"/>
                <w:color w:val="000000" w:themeColor="text1"/>
                <w:spacing w:val="-2"/>
                <w:w w:val="95"/>
                <w:sz w:val="20"/>
              </w:rPr>
              <w:t>6</w:t>
            </w:r>
            <w:r w:rsidRPr="004B56A9">
              <w:rPr>
                <w:rFonts w:ascii="Times New Roman" w:hAnsi="Times New Roman"/>
                <w:color w:val="000000" w:themeColor="text1"/>
                <w:spacing w:val="-2"/>
                <w:w w:val="95"/>
                <w:sz w:val="20"/>
              </w:rPr>
              <w:t xml:space="preserve">): l’importo delle attività in custodia, calcolato utilizzando il fair value (valore equo). Se il fair value (valore equo) non è disponibile, si possono utilizzare altre basi di misurazione, tra cui il valore nominale. Laddove l’ente fornisce servizi a soggetti quali organismi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investimento collettivo o fondi pensionistici, le attività in questione possono essere esposte al valore al quale tali soggetti iscrivono queste attività nel proprio stato patrimoniale. Gli importi segnalati comprendono gli interessi maturati, se del caso. </w:t>
            </w:r>
            <w:r w:rsidRPr="004B56A9">
              <w:rPr>
                <w:rFonts w:ascii="Times New Roman" w:eastAsia="Cambria" w:hAnsi="Times New Roman" w:cs="Times New Roman"/>
                <w:color w:val="000000" w:themeColor="text1"/>
                <w:spacing w:val="-2"/>
                <w:w w:val="95"/>
                <w:sz w:val="20"/>
                <w:szCs w:val="20"/>
              </w:rPr>
              <w:br/>
            </w:r>
            <w:proofErr w:type="gramStart"/>
            <w:r w:rsidRPr="004B56A9">
              <w:rPr>
                <w:rFonts w:ascii="Times New Roman" w:hAnsi="Times New Roman"/>
                <w:color w:val="000000" w:themeColor="text1"/>
                <w:spacing w:val="-2"/>
                <w:w w:val="95"/>
                <w:sz w:val="20"/>
              </w:rPr>
              <w:lastRenderedPageBreak/>
              <w:t>(Riferimento</w:t>
            </w:r>
            <w:proofErr w:type="gramEnd"/>
            <w:r w:rsidRPr="004B56A9">
              <w:rPr>
                <w:rFonts w:ascii="Times New Roman" w:hAnsi="Times New Roman"/>
                <w:color w:val="000000" w:themeColor="text1"/>
                <w:spacing w:val="-2"/>
                <w:w w:val="95"/>
                <w:sz w:val="20"/>
              </w:rPr>
              <w:t>: FINREP, allegati III e IV, modello F 22.02, colonna 010).</w:t>
            </w:r>
          </w:p>
          <w:p w14:paraId="1495B21F" w14:textId="77777777" w:rsidR="005244DF" w:rsidRPr="004B56A9" w:rsidRDefault="005244DF" w:rsidP="00FB7D83">
            <w:pPr>
              <w:pStyle w:val="TableParagraph"/>
              <w:numPr>
                <w:ilvl w:val="0"/>
                <w:numId w:val="23"/>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Mercati dei capitali</w:t>
            </w:r>
          </w:p>
          <w:p w14:paraId="1DCD72D6" w14:textId="76A90730" w:rsidR="005839C6"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Importo nozionale - Segnalare solo per i derivati (</w:t>
            </w:r>
            <w:proofErr w:type="gramStart"/>
            <w:r w:rsidRPr="004B56A9">
              <w:rPr>
                <w:rFonts w:ascii="Times New Roman" w:hAnsi="Times New Roman"/>
                <w:color w:val="000000" w:themeColor="text1"/>
                <w:spacing w:val="-2"/>
                <w:w w:val="95"/>
                <w:sz w:val="20"/>
              </w:rPr>
              <w:t>4.1-4.2</w:t>
            </w:r>
            <w:proofErr w:type="gramEnd"/>
            <w:r w:rsidRPr="004B56A9">
              <w:rPr>
                <w:rFonts w:ascii="Times New Roman" w:hAnsi="Times New Roman"/>
                <w:color w:val="000000" w:themeColor="text1"/>
                <w:spacing w:val="-2"/>
                <w:w w:val="95"/>
                <w:sz w:val="20"/>
              </w:rPr>
              <w:t xml:space="preserve">): importo nominale lordo di tutte le operazioni concluse e non ancora regolate alla data di riferimento. </w:t>
            </w:r>
          </w:p>
          <w:p w14:paraId="7F33E16F" w14:textId="474E0A3C"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Riferimenti: FINREP, allegato </w:t>
            </w:r>
            <w:r w:rsidR="00EF312C" w:rsidRPr="004B56A9">
              <w:rPr>
                <w:rFonts w:ascii="Times New Roman" w:hAnsi="Times New Roman"/>
                <w:color w:val="000000" w:themeColor="text1"/>
                <w:spacing w:val="-2"/>
                <w:w w:val="95"/>
                <w:sz w:val="20"/>
              </w:rPr>
              <w:t xml:space="preserve">V. Parte </w:t>
            </w:r>
            <w:r w:rsidRPr="004B56A9">
              <w:rPr>
                <w:rFonts w:ascii="Times New Roman" w:hAnsi="Times New Roman"/>
                <w:color w:val="000000" w:themeColor="text1"/>
                <w:spacing w:val="-2"/>
                <w:w w:val="95"/>
                <w:sz w:val="20"/>
              </w:rPr>
              <w:t>2</w:t>
            </w:r>
            <w:r w:rsidR="00EF312C" w:rsidRPr="004B56A9">
              <w:rPr>
                <w:rFonts w:ascii="Times New Roman" w:hAnsi="Times New Roman"/>
                <w:color w:val="000000" w:themeColor="text1"/>
                <w:spacing w:val="-2"/>
                <w:w w:val="95"/>
                <w:sz w:val="20"/>
              </w:rPr>
              <w:t xml:space="preserve">.133 </w:t>
            </w:r>
            <w:r w:rsidRPr="004B56A9">
              <w:rPr>
                <w:rFonts w:ascii="Times New Roman" w:hAnsi="Times New Roman"/>
                <w:color w:val="000000" w:themeColor="text1"/>
                <w:spacing w:val="-2"/>
                <w:w w:val="95"/>
                <w:sz w:val="20"/>
              </w:rPr>
              <w:t>per la definizione; per i dati FINREP, allegati III, IV e V:</w:t>
            </w:r>
          </w:p>
          <w:p w14:paraId="045C4EE5" w14:textId="758B155D"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totale</w:t>
            </w:r>
            <w:proofErr w:type="gramEnd"/>
            <w:r w:rsidRPr="004B56A9">
              <w:rPr>
                <w:rFonts w:ascii="Times New Roman" w:hAnsi="Times New Roman"/>
                <w:color w:val="000000" w:themeColor="text1"/>
                <w:spacing w:val="-2"/>
                <w:w w:val="95"/>
                <w:sz w:val="20"/>
              </w:rPr>
              <w:t xml:space="preserve"> derivati (4.1-4.2): modello F 10.00, colonna 030, riga 290;</w:t>
            </w:r>
          </w:p>
          <w:p w14:paraId="644B6C80" w14:textId="5EEC1B58"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derivati</w:t>
            </w:r>
            <w:proofErr w:type="gramEnd"/>
            <w:r w:rsidRPr="004B56A9">
              <w:rPr>
                <w:rFonts w:ascii="Times New Roman" w:hAnsi="Times New Roman"/>
                <w:color w:val="000000" w:themeColor="text1"/>
                <w:spacing w:val="-2"/>
                <w:w w:val="95"/>
                <w:sz w:val="20"/>
              </w:rPr>
              <w:t xml:space="preserve"> OTC (4.1): modello F 10.00, colonna 030, righe 300+310+320;</w:t>
            </w:r>
          </w:p>
          <w:p w14:paraId="3C8E4504" w14:textId="2868C9AF"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attività</w:t>
            </w:r>
            <w:proofErr w:type="gramEnd"/>
            <w:r w:rsidRPr="004B56A9">
              <w:rPr>
                <w:rFonts w:ascii="Times New Roman" w:hAnsi="Times New Roman"/>
                <w:color w:val="000000" w:themeColor="text1"/>
                <w:spacing w:val="-2"/>
                <w:w w:val="95"/>
                <w:sz w:val="20"/>
              </w:rPr>
              <w:t xml:space="preserve"> sul mercato secondario (4.3): attività al valore contabile - il valore contabile da segnalare all’attivo dello stato patrimoniale, inclusi gli interessi maturati [FINREP: allegato V</w:t>
            </w:r>
            <w:r w:rsidR="00D71A1E" w:rsidRPr="004B56A9">
              <w:rPr>
                <w:rFonts w:ascii="Times New Roman" w:hAnsi="Times New Roman"/>
                <w:color w:val="000000" w:themeColor="text1"/>
                <w:spacing w:val="-2"/>
                <w:w w:val="95"/>
                <w:sz w:val="20"/>
              </w:rPr>
              <w:t>.</w:t>
            </w:r>
            <w:r w:rsidRPr="004B56A9">
              <w:rPr>
                <w:rFonts w:ascii="Times New Roman" w:hAnsi="Times New Roman"/>
                <w:color w:val="000000" w:themeColor="text1"/>
                <w:spacing w:val="-2"/>
                <w:w w:val="95"/>
                <w:sz w:val="20"/>
              </w:rPr>
              <w:t xml:space="preserve"> </w:t>
            </w:r>
            <w:r w:rsidR="00D71A1E" w:rsidRPr="004B56A9">
              <w:rPr>
                <w:rFonts w:ascii="Times New Roman" w:hAnsi="Times New Roman"/>
                <w:color w:val="000000" w:themeColor="text1"/>
                <w:spacing w:val="-2"/>
                <w:w w:val="95"/>
                <w:sz w:val="20"/>
              </w:rPr>
              <w:t>P</w:t>
            </w:r>
            <w:r w:rsidRPr="004B56A9">
              <w:rPr>
                <w:rFonts w:ascii="Times New Roman" w:hAnsi="Times New Roman"/>
                <w:color w:val="000000" w:themeColor="text1"/>
                <w:spacing w:val="-2"/>
                <w:w w:val="95"/>
                <w:sz w:val="20"/>
              </w:rPr>
              <w:t>arte 1.27] per gli strumenti rappresentativi di capitale e i titoli di debito [FINREP: allegato V</w:t>
            </w:r>
            <w:r w:rsidR="00D71A1E" w:rsidRPr="004B56A9">
              <w:rPr>
                <w:rFonts w:ascii="Times New Roman" w:hAnsi="Times New Roman"/>
                <w:color w:val="000000" w:themeColor="text1"/>
                <w:spacing w:val="-2"/>
                <w:w w:val="95"/>
                <w:sz w:val="20"/>
              </w:rPr>
              <w:t>.</w:t>
            </w:r>
            <w:r w:rsidRPr="004B56A9">
              <w:rPr>
                <w:rFonts w:ascii="Times New Roman" w:hAnsi="Times New Roman"/>
                <w:color w:val="000000" w:themeColor="text1"/>
                <w:spacing w:val="-2"/>
                <w:w w:val="95"/>
                <w:sz w:val="20"/>
              </w:rPr>
              <w:t xml:space="preserve"> </w:t>
            </w:r>
            <w:r w:rsidR="00D71A1E" w:rsidRPr="004B56A9">
              <w:rPr>
                <w:rFonts w:ascii="Times New Roman" w:hAnsi="Times New Roman"/>
                <w:color w:val="000000" w:themeColor="text1"/>
                <w:spacing w:val="-2"/>
                <w:w w:val="95"/>
                <w:sz w:val="20"/>
              </w:rPr>
              <w:t>P</w:t>
            </w:r>
            <w:r w:rsidRPr="004B56A9">
              <w:rPr>
                <w:rFonts w:ascii="Times New Roman" w:hAnsi="Times New Roman"/>
                <w:color w:val="000000" w:themeColor="text1"/>
                <w:spacing w:val="-2"/>
                <w:w w:val="95"/>
                <w:sz w:val="20"/>
              </w:rPr>
              <w:t>arte 1.31], classificati “posseduti per negoziazione” [FINREP: allegato V. Parte 1.</w:t>
            </w:r>
            <w:r w:rsidR="00D71A1E" w:rsidRPr="004B56A9">
              <w:rPr>
                <w:rFonts w:ascii="Times New Roman" w:hAnsi="Times New Roman"/>
                <w:color w:val="000000" w:themeColor="text1"/>
                <w:spacing w:val="-2"/>
                <w:w w:val="95"/>
                <w:sz w:val="20"/>
              </w:rPr>
              <w:t>1</w:t>
            </w:r>
            <w:r w:rsidRPr="004B56A9">
              <w:rPr>
                <w:rFonts w:ascii="Times New Roman" w:hAnsi="Times New Roman"/>
                <w:color w:val="000000" w:themeColor="text1"/>
                <w:spacing w:val="-2"/>
                <w:w w:val="95"/>
                <w:sz w:val="20"/>
              </w:rPr>
              <w:t>5(a)</w:t>
            </w:r>
            <w:r w:rsidR="00D71A1E" w:rsidRPr="004B56A9">
              <w:rPr>
                <w:rFonts w:ascii="Times New Roman" w:hAnsi="Times New Roman"/>
                <w:color w:val="000000" w:themeColor="text1"/>
                <w:spacing w:val="-2"/>
                <w:w w:val="95"/>
                <w:sz w:val="20"/>
              </w:rPr>
              <w:t xml:space="preserve"> e </w:t>
            </w:r>
            <w:r w:rsidRPr="004B56A9">
              <w:rPr>
                <w:rFonts w:ascii="Times New Roman" w:hAnsi="Times New Roman"/>
                <w:color w:val="000000" w:themeColor="text1"/>
                <w:spacing w:val="-2"/>
                <w:w w:val="95"/>
                <w:sz w:val="20"/>
              </w:rPr>
              <w:t>16(a)];</w:t>
            </w:r>
          </w:p>
          <w:p w14:paraId="38FA6E1D" w14:textId="618DAD82"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riferimento</w:t>
            </w:r>
            <w:proofErr w:type="gramEnd"/>
            <w:r w:rsidRPr="004B56A9">
              <w:rPr>
                <w:rFonts w:ascii="Times New Roman" w:hAnsi="Times New Roman"/>
                <w:color w:val="000000" w:themeColor="text1"/>
                <w:spacing w:val="-2"/>
                <w:w w:val="95"/>
                <w:sz w:val="20"/>
              </w:rPr>
              <w:t>: FINREP: allegato III, modello F 04.01, colonna 010, righe 010+060+120;</w:t>
            </w:r>
          </w:p>
          <w:p w14:paraId="7A5F2932" w14:textId="77777777"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mercati primari (4.4): ricavi da commissioni - commissioni e compensi ricevuti per la partecipazione alla creazione o all’emissione di titoli non creati né emessi dall’ente;</w:t>
            </w:r>
          </w:p>
          <w:p w14:paraId="2FBC5B20" w14:textId="658103C8"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riferimento</w:t>
            </w:r>
            <w:proofErr w:type="gramEnd"/>
            <w:r w:rsidRPr="004B56A9">
              <w:rPr>
                <w:rFonts w:ascii="Times New Roman" w:hAnsi="Times New Roman"/>
                <w:color w:val="000000" w:themeColor="text1"/>
                <w:spacing w:val="-2"/>
                <w:w w:val="95"/>
                <w:sz w:val="20"/>
              </w:rPr>
              <w:t>: FINREP: allegati III, IV, modello F 22.01, colonna 010, righe 030+180.</w:t>
            </w:r>
          </w:p>
          <w:p w14:paraId="7CFE5793" w14:textId="77777777" w:rsidR="005244DF" w:rsidRPr="004B56A9" w:rsidRDefault="005244DF" w:rsidP="00FB7D83">
            <w:pPr>
              <w:pStyle w:val="TableParagraph"/>
              <w:numPr>
                <w:ilvl w:val="0"/>
                <w:numId w:val="23"/>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Finanziamento (funding) all’ingrosso</w:t>
            </w:r>
          </w:p>
          <w:p w14:paraId="44729006" w14:textId="31B64AF6"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Utilizzare il valore contabile lordo</w:t>
            </w:r>
            <w:r w:rsidR="00D71A1E" w:rsidRPr="004B56A9">
              <w:rPr>
                <w:rFonts w:ascii="Times New Roman" w:hAnsi="Times New Roman"/>
                <w:color w:val="000000" w:themeColor="text1"/>
                <w:spacing w:val="-2"/>
                <w:w w:val="95"/>
                <w:sz w:val="20"/>
              </w:rPr>
              <w:t xml:space="preserve"> come definito in FINREP.</w:t>
            </w:r>
          </w:p>
          <w:p w14:paraId="7A0C0620" w14:textId="20E4ADC9"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 xml:space="preserve">Riferimenti: FINREP: allegato V. Parte </w:t>
            </w:r>
            <w:r w:rsidR="00D71A1E" w:rsidRPr="004B56A9">
              <w:rPr>
                <w:rFonts w:ascii="Times New Roman" w:hAnsi="Times New Roman"/>
                <w:color w:val="000000" w:themeColor="text1"/>
                <w:spacing w:val="-2"/>
                <w:w w:val="95"/>
                <w:sz w:val="20"/>
              </w:rPr>
              <w:t>1.34</w:t>
            </w:r>
            <w:r w:rsidRPr="004B56A9">
              <w:rPr>
                <w:rFonts w:ascii="Times New Roman" w:hAnsi="Times New Roman"/>
                <w:color w:val="000000" w:themeColor="text1"/>
                <w:spacing w:val="-2"/>
                <w:w w:val="95"/>
                <w:sz w:val="20"/>
              </w:rPr>
              <w:t>, FINREP: allegati III, IV, modelli:</w:t>
            </w:r>
            <w:proofErr w:type="gramEnd"/>
          </w:p>
          <w:p w14:paraId="3A53F28F" w14:textId="17F95774"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assunzione di prestiti (5.1): modello F 20.06, colonna 010, righe 100+110, tutti i paesi;</w:t>
            </w:r>
          </w:p>
          <w:p w14:paraId="418D383B" w14:textId="79A77395"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derivati (attività) (5.2): modello F 20.04, colonna 010, riga 010, tutti i paesi;</w:t>
            </w:r>
          </w:p>
          <w:p w14:paraId="61B318EE" w14:textId="4406B7CB"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concessione di prestiti (5.3): modello F 20.04, colonna 010, righe 170+180, tutti i paesi;</w:t>
            </w:r>
          </w:p>
          <w:p w14:paraId="2ED05913" w14:textId="4B258646"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derivati (passività) (5.4): modello F 20.06, colonna 010, riga 010, tutti i paesi.</w:t>
            </w:r>
          </w:p>
        </w:tc>
      </w:tr>
      <w:tr w:rsidR="00D22EB0" w:rsidRPr="004B56A9" w14:paraId="6E917E13" w14:textId="77777777" w:rsidTr="00E95D75">
        <w:tc>
          <w:tcPr>
            <w:tcW w:w="1191" w:type="dxa"/>
            <w:tcBorders>
              <w:top w:val="single" w:sz="4" w:space="0" w:color="1A171C"/>
              <w:left w:val="nil"/>
              <w:bottom w:val="single" w:sz="4" w:space="0" w:color="1A171C"/>
              <w:right w:val="single" w:sz="4" w:space="0" w:color="1A171C"/>
            </w:tcBorders>
            <w:vAlign w:val="center"/>
          </w:tcPr>
          <w:p w14:paraId="3BEA9459" w14:textId="72302E14" w:rsidR="005244DF" w:rsidRPr="004B56A9"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14:paraId="3149DEF8" w14:textId="27DBB0BD" w:rsidR="005244DF" w:rsidRPr="004B56A9" w:rsidRDefault="005244DF"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Indicatore numerico </w:t>
            </w:r>
          </w:p>
          <w:p w14:paraId="718DF343" w14:textId="77777777" w:rsidR="005839C6" w:rsidRPr="004B56A9" w:rsidRDefault="005839C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contenuto di questa colonna dipende dalla funzione economica fornita.</w:t>
            </w:r>
          </w:p>
          <w:p w14:paraId="4326B05D" w14:textId="77777777" w:rsidR="005244DF" w:rsidRPr="004B56A9" w:rsidRDefault="005244DF" w:rsidP="00FB7D83">
            <w:pPr>
              <w:pStyle w:val="TableParagraph"/>
              <w:numPr>
                <w:ilvl w:val="0"/>
                <w:numId w:val="24"/>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Depositi </w:t>
            </w:r>
          </w:p>
          <w:p w14:paraId="3E48B714" w14:textId="35885F3D"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numero totale dei clienti che hanno depositato i valori segnalati in importo monetario. Se un cliente utilizza più di un prodotto / conto di deposito, tale cliente è conteggiato solo una volta.</w:t>
            </w:r>
          </w:p>
          <w:p w14:paraId="6D5B34D4" w14:textId="77777777" w:rsidR="005244DF" w:rsidRPr="004B56A9" w:rsidRDefault="005244DF" w:rsidP="00FB7D83">
            <w:pPr>
              <w:pStyle w:val="TableParagraph"/>
              <w:numPr>
                <w:ilvl w:val="0"/>
                <w:numId w:val="24"/>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Concessione di prestiti</w:t>
            </w:r>
          </w:p>
          <w:p w14:paraId="5F069FC7" w14:textId="5209BB28"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numero totale di clienti. Se un cliente utilizza molteplici prodotti / conti creditizi, tale cliente è conteggiato solo una volta.</w:t>
            </w:r>
          </w:p>
          <w:p w14:paraId="6F20837D" w14:textId="77777777" w:rsidR="005244DF" w:rsidRPr="004B56A9" w:rsidRDefault="005244DF" w:rsidP="00FB7D83">
            <w:pPr>
              <w:pStyle w:val="TableParagraph"/>
              <w:numPr>
                <w:ilvl w:val="0"/>
                <w:numId w:val="24"/>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Servizi di pagamento, cassa, regolamento, compensazione e custodia</w:t>
            </w:r>
          </w:p>
          <w:p w14:paraId="7B3A0F5B" w14:textId="6AE4A09D" w:rsidR="002906FE" w:rsidRPr="004B56A9" w:rsidRDefault="002906FE"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Come </w:t>
            </w:r>
            <w:proofErr w:type="gramStart"/>
            <w:r w:rsidRPr="004B56A9">
              <w:rPr>
                <w:rFonts w:ascii="Times New Roman" w:hAnsi="Times New Roman"/>
                <w:color w:val="000000" w:themeColor="text1"/>
                <w:spacing w:val="-2"/>
                <w:w w:val="95"/>
                <w:sz w:val="20"/>
              </w:rPr>
              <w:t>regola generale</w:t>
            </w:r>
            <w:proofErr w:type="gramEnd"/>
            <w:r w:rsidRPr="004B56A9">
              <w:rPr>
                <w:rFonts w:ascii="Times New Roman" w:hAnsi="Times New Roman"/>
                <w:color w:val="000000" w:themeColor="text1"/>
                <w:spacing w:val="-2"/>
                <w:w w:val="95"/>
                <w:sz w:val="20"/>
              </w:rPr>
              <w:t xml:space="preserve">, sono segnalate la medie delle operazioni giornaliere nell’arco dell’anno. Se tali dati non sono disponibili, possono essere segnalate le medie su un periodo più breve (ad esempio alcuni mesi). </w:t>
            </w:r>
          </w:p>
          <w:p w14:paraId="4D613A09" w14:textId="6DB4F948" w:rsidR="005244DF" w:rsidRPr="004B56A9" w:rsidRDefault="002906FE"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In</w:t>
            </w:r>
            <w:proofErr w:type="gramEnd"/>
            <w:r w:rsidRPr="004B56A9">
              <w:rPr>
                <w:rFonts w:ascii="Times New Roman" w:hAnsi="Times New Roman"/>
                <w:color w:val="000000" w:themeColor="text1"/>
                <w:spacing w:val="-2"/>
                <w:w w:val="95"/>
                <w:sz w:val="20"/>
              </w:rPr>
              <w:t xml:space="preserve"> riferimento alle varie funzioni specifiche, si utilizzano i seguenti elementi:</w:t>
            </w:r>
          </w:p>
          <w:p w14:paraId="25FC4D34" w14:textId="11045CE5"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servizi</w:t>
            </w:r>
            <w:proofErr w:type="gramEnd"/>
            <w:r w:rsidRPr="004B56A9">
              <w:rPr>
                <w:rFonts w:ascii="Times New Roman" w:hAnsi="Times New Roman"/>
                <w:color w:val="000000" w:themeColor="text1"/>
                <w:spacing w:val="-2"/>
                <w:w w:val="95"/>
                <w:sz w:val="20"/>
              </w:rPr>
              <w:t xml:space="preserve"> di pagamento (3.1-3.2): il numero di operazioni effettuate; </w:t>
            </w:r>
          </w:p>
          <w:p w14:paraId="5B2A86E0" w14:textId="77777777"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riferimenti</w:t>
            </w:r>
            <w:proofErr w:type="gramEnd"/>
            <w:r w:rsidRPr="004B56A9">
              <w:rPr>
                <w:rFonts w:ascii="Times New Roman" w:hAnsi="Times New Roman"/>
                <w:color w:val="000000" w:themeColor="text1"/>
                <w:spacing w:val="-2"/>
                <w:w w:val="95"/>
                <w:sz w:val="20"/>
              </w:rPr>
              <w:t>: articolo 4, punto 5, della direttiva (UE) 2015/2366; BCE/2013/43;</w:t>
            </w:r>
          </w:p>
          <w:p w14:paraId="0985280E" w14:textId="76CC1101" w:rsidR="005244DF" w:rsidRPr="004B56A9" w:rsidRDefault="005244DF" w:rsidP="00FB7D83">
            <w:pPr>
              <w:pStyle w:val="TableParagraph"/>
              <w:numPr>
                <w:ilvl w:val="0"/>
                <w:numId w:val="22"/>
              </w:numPr>
              <w:spacing w:before="108"/>
              <w:ind w:left="726" w:hanging="35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servizi di cassa (3.3): il numero di operazioni ATM, quali definite in BCE/2013/43, tabella </w:t>
            </w:r>
            <w:proofErr w:type="gramStart"/>
            <w:r w:rsidRPr="004B56A9">
              <w:rPr>
                <w:rFonts w:ascii="Times New Roman" w:hAnsi="Times New Roman"/>
                <w:color w:val="000000" w:themeColor="text1"/>
                <w:spacing w:val="-2"/>
                <w:w w:val="95"/>
                <w:sz w:val="20"/>
              </w:rPr>
              <w:t>5</w:t>
            </w:r>
            <w:proofErr w:type="gramEnd"/>
            <w:r w:rsidRPr="004B56A9">
              <w:rPr>
                <w:rFonts w:ascii="Times New Roman" w:hAnsi="Times New Roman"/>
                <w:color w:val="000000" w:themeColor="text1"/>
                <w:spacing w:val="-2"/>
                <w:w w:val="95"/>
                <w:sz w:val="20"/>
              </w:rPr>
              <w:t>, lettera a), nonché i prelievi di contante allo sportello, quali definiti in BCE/2014/15, tabella 4;</w:t>
            </w:r>
          </w:p>
          <w:p w14:paraId="545E4B0B" w14:textId="49D8DE3F" w:rsidR="005244DF" w:rsidRPr="004B56A9" w:rsidRDefault="005244DF" w:rsidP="00FB7D83">
            <w:pPr>
              <w:pStyle w:val="TableParagraph"/>
              <w:numPr>
                <w:ilvl w:val="0"/>
                <w:numId w:val="22"/>
              </w:numPr>
              <w:spacing w:before="108" w:after="360"/>
              <w:ind w:left="726" w:hanging="35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servizi</w:t>
            </w:r>
            <w:proofErr w:type="gramEnd"/>
            <w:r w:rsidRPr="004B56A9">
              <w:rPr>
                <w:rFonts w:ascii="Times New Roman" w:hAnsi="Times New Roman"/>
                <w:color w:val="000000" w:themeColor="text1"/>
                <w:spacing w:val="-2"/>
                <w:w w:val="95"/>
                <w:sz w:val="20"/>
              </w:rPr>
              <w:t xml:space="preserve"> di regolamento titoli (3.4): il numero delle operazioni di trasferimento titoli eseguite per conto dei clienti. Sono comprese le operazioni regolate con un sistema di regolamento titoli o regolate internamente dall’ente o dal gruppo segnalante, </w:t>
            </w:r>
            <w:proofErr w:type="gramStart"/>
            <w:r w:rsidRPr="004B56A9">
              <w:rPr>
                <w:rFonts w:ascii="Times New Roman" w:hAnsi="Times New Roman"/>
                <w:color w:val="000000" w:themeColor="text1"/>
                <w:spacing w:val="-2"/>
                <w:w w:val="95"/>
                <w:sz w:val="20"/>
              </w:rPr>
              <w:t>nonché</w:t>
            </w:r>
            <w:proofErr w:type="gramEnd"/>
            <w:r w:rsidRPr="004B56A9">
              <w:rPr>
                <w:rFonts w:ascii="Times New Roman" w:hAnsi="Times New Roman"/>
                <w:color w:val="000000" w:themeColor="text1"/>
                <w:spacing w:val="-2"/>
                <w:w w:val="95"/>
                <w:sz w:val="20"/>
              </w:rPr>
              <w:t xml:space="preserve"> le operazioni “senza </w:t>
            </w:r>
            <w:r w:rsidRPr="004B56A9">
              <w:rPr>
                <w:rFonts w:ascii="Times New Roman" w:hAnsi="Times New Roman"/>
                <w:color w:val="000000" w:themeColor="text1"/>
                <w:spacing w:val="-2"/>
                <w:w w:val="95"/>
                <w:sz w:val="20"/>
              </w:rPr>
              <w:lastRenderedPageBreak/>
              <w:t>pagamento”.</w:t>
            </w:r>
          </w:p>
          <w:p w14:paraId="6AD4B9D2" w14:textId="77777777" w:rsidR="005244DF" w:rsidRPr="004B56A9" w:rsidRDefault="005244DF" w:rsidP="00FB7D83">
            <w:pPr>
              <w:pStyle w:val="TableParagraph"/>
              <w:numPr>
                <w:ilvl w:val="0"/>
                <w:numId w:val="24"/>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Mercati dei capitali</w:t>
            </w:r>
          </w:p>
          <w:p w14:paraId="7DE998A8" w14:textId="77777777"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numero delle controparti OPPURE delle operazioni. </w:t>
            </w:r>
            <w:proofErr w:type="gramStart"/>
            <w:r w:rsidRPr="004B56A9">
              <w:rPr>
                <w:rFonts w:ascii="Times New Roman" w:hAnsi="Times New Roman"/>
                <w:color w:val="000000" w:themeColor="text1"/>
                <w:spacing w:val="-2"/>
                <w:w w:val="95"/>
                <w:sz w:val="20"/>
              </w:rPr>
              <w:t>Per i derivati (4.1-4.2) e degli strumenti del mercato secondario (4.3), il numero totale delle controparti</w:t>
            </w:r>
            <w:proofErr w:type="gramEnd"/>
            <w:r w:rsidRPr="004B56A9">
              <w:rPr>
                <w:rFonts w:ascii="Times New Roman" w:hAnsi="Times New Roman"/>
                <w:color w:val="000000" w:themeColor="text1"/>
                <w:spacing w:val="-2"/>
                <w:w w:val="95"/>
                <w:sz w:val="20"/>
              </w:rPr>
              <w:t xml:space="preserve">. </w:t>
            </w:r>
            <w:proofErr w:type="gramStart"/>
            <w:r w:rsidRPr="004B56A9">
              <w:rPr>
                <w:rFonts w:ascii="Times New Roman" w:hAnsi="Times New Roman"/>
                <w:color w:val="000000" w:themeColor="text1"/>
                <w:spacing w:val="-2"/>
                <w:w w:val="95"/>
                <w:sz w:val="20"/>
              </w:rPr>
              <w:t>Per i mercati primari (4.4), il numero totale delle operazioni di sottoscrizione.</w:t>
            </w:r>
            <w:proofErr w:type="gramEnd"/>
          </w:p>
          <w:p w14:paraId="5DF1AD25" w14:textId="77777777" w:rsidR="005244DF" w:rsidRPr="004B56A9" w:rsidRDefault="005244DF" w:rsidP="00FB7D83">
            <w:pPr>
              <w:pStyle w:val="TableParagraph"/>
              <w:numPr>
                <w:ilvl w:val="0"/>
                <w:numId w:val="24"/>
              </w:numPr>
              <w:spacing w:before="108"/>
              <w:ind w:left="369" w:hanging="284"/>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Finanziamento (funding) all’ingrosso</w:t>
            </w:r>
          </w:p>
          <w:p w14:paraId="1B8C4075" w14:textId="77777777" w:rsidR="005244DF" w:rsidRPr="004B56A9" w:rsidRDefault="005244DF" w:rsidP="00FB7D83">
            <w:pPr>
              <w:pStyle w:val="TableParagraph"/>
              <w:spacing w:before="108"/>
              <w:ind w:left="369"/>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numero totale delle controparti. Se una controparte ha più di un conto e/o più di </w:t>
            </w:r>
            <w:proofErr w:type="gramStart"/>
            <w:r w:rsidRPr="004B56A9">
              <w:rPr>
                <w:rFonts w:ascii="Times New Roman" w:hAnsi="Times New Roman"/>
                <w:color w:val="000000" w:themeColor="text1"/>
                <w:spacing w:val="-2"/>
                <w:w w:val="95"/>
                <w:sz w:val="20"/>
              </w:rPr>
              <w:t xml:space="preserve">una </w:t>
            </w:r>
            <w:proofErr w:type="gramEnd"/>
            <w:r w:rsidRPr="004B56A9">
              <w:rPr>
                <w:rFonts w:ascii="Times New Roman" w:hAnsi="Times New Roman"/>
                <w:color w:val="000000" w:themeColor="text1"/>
                <w:spacing w:val="-2"/>
                <w:w w:val="95"/>
                <w:sz w:val="20"/>
              </w:rPr>
              <w:t>operazione, la controparte è conteggiata solo una volta.</w:t>
            </w:r>
          </w:p>
        </w:tc>
      </w:tr>
      <w:tr w:rsidR="00D22EB0" w:rsidRPr="004B56A9" w14:paraId="7BE161D4" w14:textId="77777777" w:rsidTr="00E95D75">
        <w:tc>
          <w:tcPr>
            <w:tcW w:w="1191" w:type="dxa"/>
            <w:tcBorders>
              <w:top w:val="single" w:sz="4" w:space="0" w:color="1A171C"/>
              <w:left w:val="nil"/>
              <w:bottom w:val="single" w:sz="4" w:space="0" w:color="1A171C"/>
              <w:right w:val="single" w:sz="4" w:space="0" w:color="1A171C"/>
            </w:tcBorders>
            <w:vAlign w:val="center"/>
          </w:tcPr>
          <w:p w14:paraId="5E9E9A3C" w14:textId="08CF9FB9" w:rsidR="005244DF" w:rsidRPr="004B56A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14:paraId="058FC8E4" w14:textId="0B4E57F9" w:rsidR="005244DF" w:rsidRPr="004B56A9" w:rsidRDefault="005244DF"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 xml:space="preserve">Impatto sul mercato </w:t>
            </w:r>
          </w:p>
          <w:p w14:paraId="781A852D" w14:textId="018E99FF" w:rsidR="005244DF" w:rsidRPr="004B56A9" w:rsidRDefault="005244DF"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L’impatto stimato di un’improvvisa interruzione della funzione sui terzi, sui mercati finanziari e sull’economia reale, tenendo conto della dimensione, della quota di mercato nel paese, delle interconnessioni esterne </w:t>
            </w:r>
            <w:proofErr w:type="gramStart"/>
            <w:r w:rsidRPr="004B56A9">
              <w:rPr>
                <w:rFonts w:ascii="Times New Roman" w:hAnsi="Times New Roman"/>
                <w:color w:val="000000" w:themeColor="text1"/>
                <w:spacing w:val="-2"/>
                <w:w w:val="95"/>
                <w:sz w:val="20"/>
              </w:rPr>
              <w:t>ed</w:t>
            </w:r>
            <w:proofErr w:type="gramEnd"/>
            <w:r w:rsidRPr="004B56A9">
              <w:rPr>
                <w:rFonts w:ascii="Times New Roman" w:hAnsi="Times New Roman"/>
                <w:color w:val="000000" w:themeColor="text1"/>
                <w:spacing w:val="-2"/>
                <w:w w:val="95"/>
                <w:sz w:val="20"/>
              </w:rPr>
              <w:t xml:space="preserve"> interne, della complessità e delle attività transfrontaliere dell’ente.</w:t>
            </w:r>
          </w:p>
          <w:p w14:paraId="334BD824" w14:textId="15142708" w:rsidR="00E95D75" w:rsidRPr="004B56A9" w:rsidRDefault="005244DF"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L’impatto è valutato qualitativamente come “alto (H</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“medio-alto (MH)”, “medio-basso (ML)” o “basso (L)”.</w:t>
            </w:r>
          </w:p>
          <w:p w14:paraId="2C7411F3" w14:textId="6733AB80" w:rsidR="005244DF" w:rsidRPr="004B56A9" w:rsidRDefault="005244DF"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Selezionare “H” se l’interruzione ha un impatto importante sul mercato nazionale; “MH” se l’impatto è </w:t>
            </w:r>
            <w:proofErr w:type="gramStart"/>
            <w:r w:rsidRPr="004B56A9">
              <w:rPr>
                <w:rFonts w:ascii="Times New Roman" w:hAnsi="Times New Roman"/>
                <w:color w:val="000000" w:themeColor="text1"/>
                <w:spacing w:val="-2"/>
                <w:w w:val="95"/>
                <w:sz w:val="20"/>
              </w:rPr>
              <w:t>significativo</w:t>
            </w:r>
            <w:proofErr w:type="gramEnd"/>
            <w:r w:rsidRPr="004B56A9">
              <w:rPr>
                <w:rFonts w:ascii="Times New Roman" w:hAnsi="Times New Roman"/>
                <w:color w:val="000000" w:themeColor="text1"/>
                <w:spacing w:val="-2"/>
                <w:w w:val="95"/>
                <w:sz w:val="20"/>
              </w:rPr>
              <w:t>; “ML” se l’impatto è rilevante, ma limitato; “L” se l’impatto è modesto.</w:t>
            </w:r>
          </w:p>
        </w:tc>
      </w:tr>
      <w:tr w:rsidR="00D22EB0" w:rsidRPr="004B56A9" w14:paraId="08CC54AB" w14:textId="77777777" w:rsidTr="00E95D75">
        <w:tc>
          <w:tcPr>
            <w:tcW w:w="1191" w:type="dxa"/>
            <w:tcBorders>
              <w:top w:val="single" w:sz="4" w:space="0" w:color="1A171C"/>
              <w:left w:val="nil"/>
              <w:bottom w:val="single" w:sz="4" w:space="0" w:color="1A171C"/>
              <w:right w:val="single" w:sz="4" w:space="0" w:color="1A171C"/>
            </w:tcBorders>
            <w:vAlign w:val="center"/>
          </w:tcPr>
          <w:p w14:paraId="1072F7F5" w14:textId="66F8D117" w:rsidR="005244DF" w:rsidRPr="004B56A9"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14:paraId="259F21BC" w14:textId="77777777" w:rsidR="005244DF" w:rsidRPr="004B56A9" w:rsidRDefault="005244DF"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Sostituibilità</w:t>
            </w:r>
          </w:p>
          <w:p w14:paraId="44474A41" w14:textId="2EFEDCB7" w:rsidR="00B60FA4" w:rsidRPr="004B56A9" w:rsidRDefault="00B60FA4" w:rsidP="00FB7D83">
            <w:pPr>
              <w:pStyle w:val="TableParagraph"/>
              <w:spacing w:before="108"/>
              <w:ind w:left="85"/>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 xml:space="preserve">Articolo </w:t>
            </w:r>
            <w:proofErr w:type="gramStart"/>
            <w:r w:rsidRPr="004B56A9">
              <w:rPr>
                <w:rFonts w:ascii="Times New Roman" w:hAnsi="Times New Roman"/>
                <w:color w:val="000000" w:themeColor="text1"/>
                <w:sz w:val="20"/>
              </w:rPr>
              <w:t>6</w:t>
            </w:r>
            <w:proofErr w:type="gramEnd"/>
            <w:r w:rsidRPr="004B56A9">
              <w:rPr>
                <w:rFonts w:ascii="Times New Roman" w:hAnsi="Times New Roman"/>
                <w:color w:val="000000" w:themeColor="text1"/>
                <w:sz w:val="20"/>
              </w:rPr>
              <w:t>, paragrafo 3, del regolamento delegato (UE) 2016/778.</w:t>
            </w:r>
          </w:p>
          <w:p w14:paraId="162F6BB1" w14:textId="73A305B3" w:rsidR="00081C27" w:rsidRPr="004B56A9" w:rsidRDefault="005244DF"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Una funzione è considerata sostituibile laddove possa essere sostituita in maniera accettabile ed entro un </w:t>
            </w:r>
            <w:proofErr w:type="gramStart"/>
            <w:r w:rsidRPr="004B56A9">
              <w:rPr>
                <w:rFonts w:ascii="Times New Roman" w:hAnsi="Times New Roman"/>
                <w:color w:val="000000" w:themeColor="text1"/>
                <w:spacing w:val="-2"/>
                <w:w w:val="95"/>
                <w:sz w:val="20"/>
              </w:rPr>
              <w:t>lasso di tempo</w:t>
            </w:r>
            <w:proofErr w:type="gramEnd"/>
            <w:r w:rsidRPr="004B56A9">
              <w:rPr>
                <w:rFonts w:ascii="Times New Roman" w:hAnsi="Times New Roman"/>
                <w:color w:val="000000" w:themeColor="text1"/>
                <w:spacing w:val="-2"/>
                <w:w w:val="95"/>
                <w:sz w:val="20"/>
              </w:rPr>
              <w:t xml:space="preserve"> ragionevole, evitando in tal modo problemi sistemici per l’economia reale e i mercati finanziari. </w:t>
            </w:r>
            <w:proofErr w:type="gramStart"/>
            <w:r w:rsidRPr="004B56A9">
              <w:rPr>
                <w:rFonts w:ascii="Times New Roman" w:hAnsi="Times New Roman"/>
                <w:color w:val="000000" w:themeColor="text1"/>
                <w:spacing w:val="-2"/>
                <w:w w:val="95"/>
                <w:sz w:val="20"/>
              </w:rPr>
              <w:t>Vengono</w:t>
            </w:r>
            <w:proofErr w:type="gramEnd"/>
            <w:r w:rsidRPr="004B56A9">
              <w:rPr>
                <w:rFonts w:ascii="Times New Roman" w:hAnsi="Times New Roman"/>
                <w:color w:val="000000" w:themeColor="text1"/>
                <w:spacing w:val="-2"/>
                <w:w w:val="95"/>
                <w:sz w:val="20"/>
              </w:rPr>
              <w:t xml:space="preserve"> tenuti in considerazione i criteri seguenti:</w:t>
            </w:r>
          </w:p>
          <w:p w14:paraId="0EA8AA29" w14:textId="77777777" w:rsidR="00081C27" w:rsidRPr="004B56A9" w:rsidRDefault="00081C27"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a) la struttura del mercato </w:t>
            </w:r>
            <w:proofErr w:type="gramStart"/>
            <w:r w:rsidRPr="004B56A9">
              <w:rPr>
                <w:rFonts w:ascii="Times New Roman" w:hAnsi="Times New Roman"/>
                <w:color w:val="000000" w:themeColor="text1"/>
                <w:spacing w:val="-2"/>
                <w:w w:val="95"/>
                <w:sz w:val="20"/>
              </w:rPr>
              <w:t>relativo a</w:t>
            </w:r>
            <w:proofErr w:type="gramEnd"/>
            <w:r w:rsidRPr="004B56A9">
              <w:rPr>
                <w:rFonts w:ascii="Times New Roman" w:hAnsi="Times New Roman"/>
                <w:color w:val="000000" w:themeColor="text1"/>
                <w:spacing w:val="-2"/>
                <w:w w:val="95"/>
                <w:sz w:val="20"/>
              </w:rPr>
              <w:t xml:space="preserve"> tale funzione e la disponibilità di fornitori alternativi; </w:t>
            </w:r>
          </w:p>
          <w:p w14:paraId="1DECBDEA" w14:textId="77777777" w:rsidR="00081C27" w:rsidRPr="004B56A9" w:rsidRDefault="00081C27"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b) la situazione di altri fornitori in termini di capacità, i requisiti per eseguire la funzione e le potenziali barriere all’ingresso o all’espansione; </w:t>
            </w:r>
          </w:p>
          <w:p w14:paraId="5EFD5D0F" w14:textId="77777777" w:rsidR="00081C27" w:rsidRPr="004B56A9" w:rsidRDefault="00081C27"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c) l’incentivo per altri fornitori </w:t>
            </w:r>
            <w:proofErr w:type="gramStart"/>
            <w:r w:rsidRPr="004B56A9">
              <w:rPr>
                <w:rFonts w:ascii="Times New Roman" w:hAnsi="Times New Roman"/>
                <w:color w:val="000000" w:themeColor="text1"/>
                <w:spacing w:val="-2"/>
                <w:w w:val="95"/>
                <w:sz w:val="20"/>
              </w:rPr>
              <w:t>ad</w:t>
            </w:r>
            <w:proofErr w:type="gramEnd"/>
            <w:r w:rsidRPr="004B56A9">
              <w:rPr>
                <w:rFonts w:ascii="Times New Roman" w:hAnsi="Times New Roman"/>
                <w:color w:val="000000" w:themeColor="text1"/>
                <w:spacing w:val="-2"/>
                <w:w w:val="95"/>
                <w:sz w:val="20"/>
              </w:rPr>
              <w:t xml:space="preserve"> eseguire tali attività; </w:t>
            </w:r>
          </w:p>
          <w:p w14:paraId="13D4A735" w14:textId="38E7E9EF" w:rsidR="00081C27" w:rsidRPr="004B56A9" w:rsidRDefault="00081C27"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d) il tempo richiesto per il passaggio degli utenti al nuovo fornitore di servizi e i costi di tale passaggio, il tempo necessario affinché altri concorrenti si facciano carico di tali funzioni e se detto periodo sia sufficiente a prevenire gravi interruzioni, </w:t>
            </w:r>
            <w:proofErr w:type="gramStart"/>
            <w:r w:rsidRPr="004B56A9">
              <w:rPr>
                <w:rFonts w:ascii="Times New Roman" w:hAnsi="Times New Roman"/>
                <w:color w:val="000000" w:themeColor="text1"/>
                <w:spacing w:val="-2"/>
                <w:w w:val="95"/>
                <w:sz w:val="20"/>
              </w:rPr>
              <w:t>a seconda del</w:t>
            </w:r>
            <w:proofErr w:type="gramEnd"/>
            <w:r w:rsidRPr="004B56A9">
              <w:rPr>
                <w:rFonts w:ascii="Times New Roman" w:hAnsi="Times New Roman"/>
                <w:color w:val="000000" w:themeColor="text1"/>
                <w:spacing w:val="-2"/>
                <w:w w:val="95"/>
                <w:sz w:val="20"/>
              </w:rPr>
              <w:t xml:space="preserve"> tipo di servizio.</w:t>
            </w:r>
          </w:p>
          <w:p w14:paraId="24D62EFA" w14:textId="77777777" w:rsidR="00E95D75" w:rsidRPr="004B56A9" w:rsidRDefault="00E95D7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 sostituibilità è valutata qualitativamente come “alta (H</w:t>
            </w:r>
            <w:proofErr w:type="gramStart"/>
            <w:r w:rsidRPr="004B56A9">
              <w:rPr>
                <w:rFonts w:ascii="Times New Roman" w:hAnsi="Times New Roman"/>
                <w:color w:val="000000" w:themeColor="text1"/>
                <w:spacing w:val="-2"/>
                <w:w w:val="95"/>
                <w:sz w:val="20"/>
              </w:rPr>
              <w:t>)</w:t>
            </w:r>
            <w:proofErr w:type="gramEnd"/>
            <w:r w:rsidRPr="004B56A9">
              <w:rPr>
                <w:rFonts w:ascii="Times New Roman" w:hAnsi="Times New Roman"/>
                <w:color w:val="000000" w:themeColor="text1"/>
                <w:spacing w:val="-2"/>
                <w:w w:val="95"/>
                <w:sz w:val="20"/>
              </w:rPr>
              <w:t>”, “medio-alta (MH)”, “medio-bassa (ML)” o “bassa (L)”.</w:t>
            </w:r>
          </w:p>
          <w:p w14:paraId="70DF446F" w14:textId="77777777" w:rsidR="00DB69A6" w:rsidRPr="004B56A9" w:rsidRDefault="00DB69A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Selezionare “H” se la funzione può essere agevolmente fornita da un’altra banca a condizioni comparabili entro un </w:t>
            </w:r>
            <w:proofErr w:type="gramStart"/>
            <w:r w:rsidRPr="004B56A9">
              <w:rPr>
                <w:rFonts w:ascii="Times New Roman" w:hAnsi="Times New Roman"/>
                <w:color w:val="000000" w:themeColor="text1"/>
                <w:spacing w:val="-2"/>
                <w:w w:val="95"/>
                <w:sz w:val="20"/>
              </w:rPr>
              <w:t>lasso di tempo</w:t>
            </w:r>
            <w:proofErr w:type="gramEnd"/>
            <w:r w:rsidRPr="004B56A9">
              <w:rPr>
                <w:rFonts w:ascii="Times New Roman" w:hAnsi="Times New Roman"/>
                <w:color w:val="000000" w:themeColor="text1"/>
                <w:spacing w:val="-2"/>
                <w:w w:val="95"/>
                <w:sz w:val="20"/>
              </w:rPr>
              <w:t xml:space="preserve"> ragionevole.</w:t>
            </w:r>
          </w:p>
          <w:p w14:paraId="405153FB" w14:textId="77777777" w:rsidR="00DB69A6" w:rsidRPr="004B56A9" w:rsidRDefault="00DB69A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 </w:t>
            </w:r>
            <w:proofErr w:type="gramStart"/>
            <w:r w:rsidRPr="004B56A9">
              <w:rPr>
                <w:rFonts w:ascii="Times New Roman" w:hAnsi="Times New Roman"/>
                <w:color w:val="000000" w:themeColor="text1"/>
                <w:spacing w:val="-2"/>
                <w:w w:val="95"/>
                <w:sz w:val="20"/>
              </w:rPr>
              <w:t>Selezionare “L” se la funzione non può essere sostituita agevolmente o rapidamente</w:t>
            </w:r>
            <w:proofErr w:type="gramEnd"/>
            <w:r w:rsidRPr="004B56A9">
              <w:rPr>
                <w:rFonts w:ascii="Times New Roman" w:hAnsi="Times New Roman"/>
                <w:color w:val="000000" w:themeColor="text1"/>
                <w:spacing w:val="-2"/>
                <w:w w:val="95"/>
                <w:sz w:val="20"/>
              </w:rPr>
              <w:t xml:space="preserve">. </w:t>
            </w:r>
          </w:p>
          <w:p w14:paraId="0B0F8F31" w14:textId="3EC1746A" w:rsidR="00DB69A6" w:rsidRPr="004B56A9" w:rsidRDefault="00DB69A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Selezionare “MH” e “ML” per i casi intermedi tenendo conto delle diverse dimensioni (ad esempio la quota di mercato, la concentrazione del mercato, i tempi di sostituzione</w:t>
            </w:r>
            <w:r w:rsidR="00D71A1E" w:rsidRPr="004B56A9">
              <w:rPr>
                <w:rFonts w:ascii="Times New Roman" w:hAnsi="Times New Roman"/>
                <w:color w:val="000000" w:themeColor="text1"/>
                <w:spacing w:val="-2"/>
                <w:w w:val="95"/>
                <w:sz w:val="20"/>
              </w:rPr>
              <w:t xml:space="preserve"> </w:t>
            </w:r>
            <w:proofErr w:type="gramStart"/>
            <w:r w:rsidR="00D71A1E" w:rsidRPr="004B56A9">
              <w:rPr>
                <w:rFonts w:ascii="Times New Roman" w:hAnsi="Times New Roman"/>
                <w:color w:val="000000" w:themeColor="text1"/>
                <w:spacing w:val="-2"/>
                <w:w w:val="95"/>
                <w:sz w:val="20"/>
              </w:rPr>
              <w:t>nonché</w:t>
            </w:r>
            <w:proofErr w:type="gramEnd"/>
            <w:r w:rsidRPr="004B56A9">
              <w:rPr>
                <w:rFonts w:ascii="Times New Roman" w:hAnsi="Times New Roman"/>
                <w:color w:val="000000" w:themeColor="text1"/>
                <w:spacing w:val="-2"/>
                <w:w w:val="95"/>
                <w:sz w:val="20"/>
              </w:rPr>
              <w:t xml:space="preserve"> gli ostacoli giuridici</w:t>
            </w:r>
            <w:r w:rsidR="00D71A1E" w:rsidRPr="004B56A9">
              <w:rPr>
                <w:rFonts w:ascii="Times New Roman" w:hAnsi="Times New Roman"/>
                <w:color w:val="000000" w:themeColor="text1"/>
                <w:spacing w:val="-2"/>
                <w:w w:val="95"/>
                <w:sz w:val="20"/>
              </w:rPr>
              <w:t xml:space="preserve"> all’ingresso o all’espansione e</w:t>
            </w:r>
            <w:r w:rsidRPr="004B56A9">
              <w:rPr>
                <w:rFonts w:ascii="Times New Roman" w:hAnsi="Times New Roman"/>
                <w:color w:val="000000" w:themeColor="text1"/>
                <w:spacing w:val="-2"/>
                <w:w w:val="95"/>
                <w:sz w:val="20"/>
              </w:rPr>
              <w:t xml:space="preserve"> i </w:t>
            </w:r>
            <w:r w:rsidR="00D71A1E" w:rsidRPr="004B56A9">
              <w:rPr>
                <w:rFonts w:ascii="Times New Roman" w:hAnsi="Times New Roman"/>
                <w:color w:val="000000" w:themeColor="text1"/>
                <w:spacing w:val="-2"/>
                <w:w w:val="95"/>
                <w:sz w:val="20"/>
              </w:rPr>
              <w:t xml:space="preserve">relativi </w:t>
            </w:r>
            <w:r w:rsidRPr="004B56A9">
              <w:rPr>
                <w:rFonts w:ascii="Times New Roman" w:hAnsi="Times New Roman"/>
                <w:color w:val="000000" w:themeColor="text1"/>
                <w:spacing w:val="-2"/>
                <w:w w:val="95"/>
                <w:sz w:val="20"/>
              </w:rPr>
              <w:t xml:space="preserve">requisiti operativi). </w:t>
            </w:r>
          </w:p>
          <w:p w14:paraId="6B0A64DD" w14:textId="3A05F0A4" w:rsidR="00E95D75" w:rsidRPr="004B56A9" w:rsidRDefault="00E95D7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4B56A9" w14:paraId="0CAB8D18" w14:textId="77777777" w:rsidTr="00E95D75">
        <w:tc>
          <w:tcPr>
            <w:tcW w:w="1191" w:type="dxa"/>
            <w:tcBorders>
              <w:top w:val="single" w:sz="4" w:space="0" w:color="1A171C"/>
              <w:left w:val="nil"/>
              <w:bottom w:val="single" w:sz="4" w:space="0" w:color="1A171C"/>
              <w:right w:val="single" w:sz="4" w:space="0" w:color="1A171C"/>
            </w:tcBorders>
            <w:vAlign w:val="center"/>
          </w:tcPr>
          <w:p w14:paraId="21D8EAA1" w14:textId="62D7599F" w:rsidR="005244DF" w:rsidRPr="004B56A9"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14:paraId="19ADF968" w14:textId="77777777" w:rsidR="005244DF" w:rsidRPr="004B56A9" w:rsidRDefault="005244DF"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Funzione essenziale</w:t>
            </w:r>
          </w:p>
          <w:p w14:paraId="66537E02" w14:textId="204B438A" w:rsidR="005244DF" w:rsidRPr="004B56A9" w:rsidRDefault="00014A9D"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In questa colonna deve essere segnalato se, tenuto conto dei dati quantitativi e degli indicatori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importanza figuranti in questo modello, la funzione economica è considerata essenziale nel mercato per il paese in questione.</w:t>
            </w:r>
          </w:p>
          <w:p w14:paraId="4245D93B" w14:textId="251DB297" w:rsidR="00E95D75" w:rsidRPr="004B56A9" w:rsidRDefault="00E95D7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Indicare “Sì” o “No”.</w:t>
            </w:r>
          </w:p>
        </w:tc>
      </w:tr>
    </w:tbl>
    <w:p w14:paraId="2B693730" w14:textId="23CBD856" w:rsidR="0056559D" w:rsidRPr="004B56A9" w:rsidRDefault="00F7117F" w:rsidP="00D05086">
      <w:pPr>
        <w:pStyle w:val="Numberedtitlelevel3"/>
        <w:rPr>
          <w:rFonts w:ascii="Times New Roman" w:hAnsi="Times New Roman" w:cs="Times New Roman"/>
          <w:color w:val="000000" w:themeColor="text1"/>
          <w:sz w:val="20"/>
          <w:szCs w:val="20"/>
          <w:u w:val="single"/>
        </w:rPr>
      </w:pPr>
      <w:r w:rsidRPr="004B56A9">
        <w:rPr>
          <w:rFonts w:ascii="Times New Roman" w:hAnsi="Times New Roman"/>
          <w:b w:val="0"/>
          <w:color w:val="000000" w:themeColor="text1"/>
          <w:sz w:val="20"/>
          <w:u w:val="single"/>
        </w:rPr>
        <w:t xml:space="preserve">Z 07.02 - Associazione delle funzioni essenziali alle entità giuridiche (FUNC 2): 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b w:val="0"/>
          <w:color w:val="000000" w:themeColor="text1"/>
          <w:sz w:val="20"/>
          <w:u w:val="single"/>
        </w:rPr>
        <w:t xml:space="preserve"> posizioni specifiche</w:t>
      </w:r>
    </w:p>
    <w:p w14:paraId="4C04D54C" w14:textId="63E64AB1" w:rsidR="00517C03" w:rsidRPr="004B56A9" w:rsidRDefault="005F4132"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lastRenderedPageBreak/>
        <w:t>Questo modello deve essere compilato per l’intero gruppo. Nel modello sono segnalate soltanto le funzioni essenziali indicate come tali in {Z 07.01;070} (per Stato membro).</w:t>
      </w:r>
    </w:p>
    <w:p w14:paraId="04D5A429" w14:textId="7CEC37E1" w:rsidR="00517C03" w:rsidRPr="004B56A9" w:rsidRDefault="00517C0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La combinazione dei valori segnalati nelle colonne 0010, 0020 e 0040 di questo modello costituisce una chiave primaria che dev’essere unica per ciascuna riga del modello.</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7877B5DF"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3CEA0EE1" w14:textId="77777777" w:rsidR="00517C03" w:rsidRPr="004B56A9"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7A49B37D" w14:textId="77777777" w:rsidR="00517C03" w:rsidRPr="004B56A9"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279227D5" w14:textId="77777777" w:rsidTr="00B7082E">
        <w:tc>
          <w:tcPr>
            <w:tcW w:w="1191" w:type="dxa"/>
            <w:tcBorders>
              <w:top w:val="single" w:sz="4" w:space="0" w:color="1A171C"/>
              <w:left w:val="nil"/>
              <w:bottom w:val="single" w:sz="4" w:space="0" w:color="1A171C"/>
              <w:right w:val="single" w:sz="4" w:space="0" w:color="1A171C"/>
            </w:tcBorders>
            <w:vAlign w:val="center"/>
          </w:tcPr>
          <w:p w14:paraId="6561C720" w14:textId="646E8BA0" w:rsidR="00517C03" w:rsidRPr="004B56A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14:paraId="6E5C4A72" w14:textId="252A702F" w:rsidR="00517C03" w:rsidRPr="004B56A9" w:rsidRDefault="00F234EC"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55C9536C" w14:textId="0F4E1E22" w:rsidR="00517C03" w:rsidRPr="004B56A9" w:rsidRDefault="00A7108C"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paese per il quale la funzione è essenziale, come segnalato in Z 07.01 (FUNC 1).</w:t>
            </w:r>
          </w:p>
        </w:tc>
      </w:tr>
      <w:tr w:rsidR="00D22EB0" w:rsidRPr="004B56A9" w14:paraId="338EC43A" w14:textId="77777777" w:rsidTr="00B7082E">
        <w:tc>
          <w:tcPr>
            <w:tcW w:w="1191" w:type="dxa"/>
            <w:tcBorders>
              <w:top w:val="single" w:sz="4" w:space="0" w:color="1A171C"/>
              <w:left w:val="nil"/>
              <w:bottom w:val="single" w:sz="4" w:space="0" w:color="1A171C"/>
              <w:right w:val="single" w:sz="4" w:space="0" w:color="1A171C"/>
            </w:tcBorders>
            <w:vAlign w:val="center"/>
          </w:tcPr>
          <w:p w14:paraId="25E7E466" w14:textId="732F905D" w:rsidR="00517C03" w:rsidRPr="004B56A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14:paraId="6F12EB80" w14:textId="23B6F3A6" w:rsidR="00517C03" w:rsidRPr="004B56A9" w:rsidRDefault="00517C03"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w:t>
            </w:r>
          </w:p>
          <w:p w14:paraId="4C31F4F2" w14:textId="1C8B9AE7" w:rsidR="00517C03" w:rsidRPr="004B56A9" w:rsidRDefault="00517C0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L’identificativo delle funzioni essenziali quali definite al punto 2.7.1.4 e di cui al modello Z 07.01 (FUNC 1).</w:t>
            </w:r>
          </w:p>
        </w:tc>
      </w:tr>
      <w:tr w:rsidR="00D22EB0" w:rsidRPr="004B56A9" w14:paraId="2FD6B211" w14:textId="77777777" w:rsidTr="00B7082E">
        <w:tc>
          <w:tcPr>
            <w:tcW w:w="1191" w:type="dxa"/>
            <w:tcBorders>
              <w:top w:val="single" w:sz="4" w:space="0" w:color="1A171C"/>
              <w:left w:val="nil"/>
              <w:bottom w:val="single" w:sz="4" w:space="0" w:color="1A171C"/>
              <w:right w:val="single" w:sz="4" w:space="0" w:color="1A171C"/>
            </w:tcBorders>
            <w:vAlign w:val="center"/>
          </w:tcPr>
          <w:p w14:paraId="5F0D2928" w14:textId="796181FE" w:rsidR="00517C03" w:rsidRPr="004B56A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14:paraId="4D498BD2" w14:textId="77777777" w:rsidR="00517C03" w:rsidRPr="004B56A9" w:rsidRDefault="00517C03"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01B8C3B4" w14:textId="65E2750C" w:rsidR="008E0D4B" w:rsidRPr="004B56A9" w:rsidRDefault="00517C0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nome dell’entità che svolge la funzione essenziale, come segnalato in Z 01.00 (ORG). </w:t>
            </w:r>
          </w:p>
          <w:p w14:paraId="16F0D2E1" w14:textId="21DBBFF2" w:rsidR="00517C03" w:rsidRPr="004B56A9" w:rsidRDefault="008E0D4B"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 </w:t>
            </w:r>
            <w:proofErr w:type="gramStart"/>
            <w:r w:rsidRPr="004B56A9">
              <w:rPr>
                <w:rFonts w:ascii="Times New Roman" w:hAnsi="Times New Roman"/>
                <w:color w:val="000000" w:themeColor="text1"/>
                <w:spacing w:val="-2"/>
                <w:w w:val="95"/>
                <w:sz w:val="20"/>
              </w:rPr>
              <w:t>esistono</w:t>
            </w:r>
            <w:proofErr w:type="gramEnd"/>
            <w:r w:rsidRPr="004B56A9">
              <w:rPr>
                <w:rFonts w:ascii="Times New Roman" w:hAnsi="Times New Roman"/>
                <w:color w:val="000000" w:themeColor="text1"/>
                <w:spacing w:val="-2"/>
                <w:w w:val="95"/>
                <w:sz w:val="20"/>
              </w:rPr>
              <w:t xml:space="preserve"> più entità che svolgono le stesse funzioni essenziali nello stesso paese, ciascuna entità è segnalata in una riga distinta.</w:t>
            </w:r>
          </w:p>
        </w:tc>
      </w:tr>
      <w:tr w:rsidR="00D22EB0" w:rsidRPr="004B56A9" w14:paraId="1BD3BA4E" w14:textId="77777777" w:rsidTr="00B7082E">
        <w:tc>
          <w:tcPr>
            <w:tcW w:w="1191" w:type="dxa"/>
            <w:tcBorders>
              <w:top w:val="single" w:sz="4" w:space="0" w:color="1A171C"/>
              <w:left w:val="nil"/>
              <w:bottom w:val="single" w:sz="4" w:space="0" w:color="1A171C"/>
              <w:right w:val="single" w:sz="4" w:space="0" w:color="1A171C"/>
            </w:tcBorders>
            <w:vAlign w:val="center"/>
          </w:tcPr>
          <w:p w14:paraId="231BC685" w14:textId="4950DEB7" w:rsidR="00517C03" w:rsidRPr="004B56A9"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14:paraId="0EFDC32E" w14:textId="77777777" w:rsidR="00517C03" w:rsidRPr="004B56A9" w:rsidRDefault="00517C03"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7B9B9C9A" w14:textId="147C558A" w:rsidR="00517C03" w:rsidRPr="004B56A9" w:rsidRDefault="00517C0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dell’entità che svolge la funzione essenziale, come segnalato in Z 01.00 - Struttura organizzativa (ORG).</w:t>
            </w:r>
          </w:p>
        </w:tc>
      </w:tr>
      <w:tr w:rsidR="00517C03" w:rsidRPr="004B56A9" w14:paraId="34DAFCCE"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34027D99" w14:textId="44221BFD" w:rsidR="00517C03" w:rsidRPr="004B56A9"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14:paraId="1E6F6C78" w14:textId="139EB65F" w:rsidR="00517C03" w:rsidRPr="004B56A9" w:rsidRDefault="00517C03"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Importo monetario</w:t>
            </w:r>
          </w:p>
          <w:p w14:paraId="5E992987" w14:textId="07F58A3A" w:rsidR="00517C03" w:rsidRPr="004B56A9" w:rsidRDefault="00C21D6D"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L’importo monetario che rappresenta il contributo dell’entità giuridica all’importo monetario descritto nella colonna 0030 del modello Z 07.01 (FUNC 1). </w:t>
            </w:r>
          </w:p>
        </w:tc>
      </w:tr>
    </w:tbl>
    <w:p w14:paraId="549E7590" w14:textId="77777777" w:rsidR="0056559D" w:rsidRPr="004B56A9" w:rsidRDefault="0056559D" w:rsidP="0056559D">
      <w:pPr>
        <w:rPr>
          <w:rFonts w:ascii="Times New Roman" w:hAnsi="Times New Roman" w:cs="Times New Roman"/>
          <w:color w:val="000000" w:themeColor="text1"/>
          <w:sz w:val="20"/>
          <w:szCs w:val="20"/>
        </w:rPr>
      </w:pPr>
    </w:p>
    <w:p w14:paraId="5E10EA0E" w14:textId="5197FC6F" w:rsidR="0056559D" w:rsidRPr="004B56A9" w:rsidRDefault="00F7117F" w:rsidP="007E02F8">
      <w:pPr>
        <w:pStyle w:val="Numberedtitlelevel3"/>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 xml:space="preserve">Z 07.03 - Associazione delle linee di business principali alle entità giuridiche (FUNC 3): 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b w:val="0"/>
          <w:color w:val="000000" w:themeColor="text1"/>
          <w:sz w:val="20"/>
          <w:u w:val="single"/>
        </w:rPr>
        <w:t xml:space="preserve"> posizioni specifiche</w:t>
      </w:r>
    </w:p>
    <w:p w14:paraId="1C5DBABB" w14:textId="228BB9F9" w:rsidR="008D7004" w:rsidRPr="004B56A9" w:rsidRDefault="00356129" w:rsidP="00E714C5">
      <w:pPr>
        <w:pStyle w:val="numberedparagraph"/>
        <w:rPr>
          <w:rFonts w:ascii="Times New Roman" w:hAnsi="Times New Roman" w:cs="Times New Roman"/>
          <w:sz w:val="20"/>
          <w:szCs w:val="20"/>
        </w:rPr>
      </w:pPr>
      <w:r w:rsidRPr="004B56A9">
        <w:rPr>
          <w:rFonts w:ascii="Times New Roman" w:hAnsi="Times New Roman"/>
          <w:sz w:val="20"/>
        </w:rPr>
        <w:t>La combinazione dei valori segnalati nelle colonne 0020 e 0040 di questo modello costituisce una chiave primaria che dev’essere unica per ciascuna riga del modello.</w:t>
      </w:r>
    </w:p>
    <w:p w14:paraId="723F473C" w14:textId="2B8271DB" w:rsidR="002D7C07" w:rsidRPr="004B56A9" w:rsidRDefault="002D7C07" w:rsidP="00E714C5">
      <w:pPr>
        <w:pStyle w:val="numberedparagraph"/>
        <w:rPr>
          <w:rFonts w:ascii="Times New Roman" w:hAnsi="Times New Roman" w:cs="Times New Roman"/>
          <w:sz w:val="20"/>
          <w:szCs w:val="20"/>
        </w:rPr>
      </w:pPr>
      <w:r w:rsidRPr="004B56A9">
        <w:rPr>
          <w:rFonts w:ascii="Times New Roman" w:hAnsi="Times New Roman"/>
          <w:sz w:val="20"/>
        </w:rPr>
        <w:t xml:space="preserve">Nel modello sono segnalate soltanto le entità rilevanti, individuate in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24BE3D38"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222F2BF8" w14:textId="77777777" w:rsidR="00356129" w:rsidRPr="004B56A9"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06B68FFB" w14:textId="77777777" w:rsidR="00356129" w:rsidRPr="004B56A9"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147A30F1" w14:textId="77777777" w:rsidTr="00772F88">
        <w:tc>
          <w:tcPr>
            <w:tcW w:w="1191" w:type="dxa"/>
            <w:tcBorders>
              <w:top w:val="single" w:sz="4" w:space="0" w:color="1A171C"/>
              <w:left w:val="nil"/>
              <w:bottom w:val="single" w:sz="4" w:space="0" w:color="1A171C"/>
              <w:right w:val="single" w:sz="4" w:space="0" w:color="1A171C"/>
            </w:tcBorders>
            <w:vAlign w:val="center"/>
          </w:tcPr>
          <w:p w14:paraId="313F4731" w14:textId="3EA5C09B" w:rsidR="00356129" w:rsidRPr="004B56A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14:paraId="69A770BD" w14:textId="77777777" w:rsidR="00356129" w:rsidRPr="004B56A9" w:rsidRDefault="00356129" w:rsidP="00106F72">
            <w:pPr>
              <w:pStyle w:val="TableParagraph"/>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Linea di business principale</w:t>
            </w:r>
          </w:p>
          <w:p w14:paraId="4768A476" w14:textId="45515001" w:rsidR="00356129" w:rsidRPr="004B56A9"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 linea di business principale ai sensi dell’articolo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punto 36, e dell’articolo 2, paragrafo 2, della direttiva 2014/59/UE.</w:t>
            </w:r>
          </w:p>
        </w:tc>
      </w:tr>
      <w:tr w:rsidR="00D22EB0" w:rsidRPr="004B56A9" w14:paraId="55F9206C" w14:textId="77777777" w:rsidTr="00772F88">
        <w:tc>
          <w:tcPr>
            <w:tcW w:w="1191" w:type="dxa"/>
            <w:tcBorders>
              <w:top w:val="single" w:sz="4" w:space="0" w:color="1A171C"/>
              <w:left w:val="nil"/>
              <w:bottom w:val="single" w:sz="4" w:space="0" w:color="1A171C"/>
              <w:right w:val="single" w:sz="4" w:space="0" w:color="1A171C"/>
            </w:tcBorders>
            <w:vAlign w:val="center"/>
          </w:tcPr>
          <w:p w14:paraId="1ADBA2C4" w14:textId="728B6633" w:rsidR="00356129" w:rsidRPr="004B56A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14:paraId="1F5CEB05" w14:textId="442D9522" w:rsidR="00356129" w:rsidRPr="004B56A9"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 della linea di business</w:t>
            </w:r>
          </w:p>
          <w:p w14:paraId="76FFFF7C" w14:textId="725EC6D8" w:rsidR="00356129" w:rsidRPr="004B56A9"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L’identificativo unico della linea di business, fornito dall’ente.</w:t>
            </w:r>
          </w:p>
        </w:tc>
      </w:tr>
      <w:tr w:rsidR="00D22EB0" w:rsidRPr="004B56A9" w14:paraId="7AADEE0A" w14:textId="77777777" w:rsidTr="00772F88">
        <w:tc>
          <w:tcPr>
            <w:tcW w:w="1191" w:type="dxa"/>
            <w:tcBorders>
              <w:top w:val="single" w:sz="4" w:space="0" w:color="1A171C"/>
              <w:left w:val="nil"/>
              <w:bottom w:val="single" w:sz="4" w:space="0" w:color="1A171C"/>
              <w:right w:val="single" w:sz="4" w:space="0" w:color="1A171C"/>
            </w:tcBorders>
            <w:vAlign w:val="center"/>
          </w:tcPr>
          <w:p w14:paraId="5A7DC840" w14:textId="31C7F551" w:rsidR="00D429E6" w:rsidRPr="004B56A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14:paraId="2678351D" w14:textId="77777777" w:rsidR="00D429E6" w:rsidRPr="004B56A9" w:rsidRDefault="00D429E6" w:rsidP="00106F72">
            <w:pPr>
              <w:pStyle w:val="TableParagraph"/>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Descrizione</w:t>
            </w:r>
          </w:p>
          <w:p w14:paraId="6C9A68A8" w14:textId="77777777" w:rsidR="00D429E6" w:rsidRPr="004B56A9"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 descrizione della linea di business principale.</w:t>
            </w:r>
          </w:p>
        </w:tc>
      </w:tr>
      <w:tr w:rsidR="00D22EB0" w:rsidRPr="004B56A9" w14:paraId="6AB76DC0" w14:textId="77777777" w:rsidTr="00772F88">
        <w:tc>
          <w:tcPr>
            <w:tcW w:w="1191" w:type="dxa"/>
            <w:tcBorders>
              <w:top w:val="single" w:sz="4" w:space="0" w:color="1A171C"/>
              <w:left w:val="nil"/>
              <w:bottom w:val="single" w:sz="4" w:space="0" w:color="1A171C"/>
              <w:right w:val="single" w:sz="4" w:space="0" w:color="1A171C"/>
            </w:tcBorders>
            <w:vAlign w:val="center"/>
          </w:tcPr>
          <w:p w14:paraId="689087CA" w14:textId="40DB9FA8" w:rsidR="00356129" w:rsidRPr="004B56A9"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14:paraId="7FA59FEE" w14:textId="77777777" w:rsidR="00356129" w:rsidRPr="004B56A9" w:rsidRDefault="00356129" w:rsidP="00106F72">
            <w:pPr>
              <w:pStyle w:val="TableParagraph"/>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77C96876" w14:textId="0DB5555E" w:rsidR="00D429E6" w:rsidRPr="004B56A9"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nome dell’entità, segnalato in Z 01.00 (ORG), che detiene o fa parte della linea di business principale.</w:t>
            </w:r>
          </w:p>
          <w:p w14:paraId="0BB64666" w14:textId="03A8F88D" w:rsidR="00356129" w:rsidRPr="004B56A9" w:rsidRDefault="00D429E6" w:rsidP="00106F72">
            <w:pPr>
              <w:pStyle w:val="TableParagraph"/>
              <w:spacing w:after="360"/>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Se </w:t>
            </w:r>
            <w:proofErr w:type="gramStart"/>
            <w:r w:rsidRPr="004B56A9">
              <w:rPr>
                <w:rFonts w:ascii="Times New Roman" w:hAnsi="Times New Roman"/>
                <w:color w:val="000000" w:themeColor="text1"/>
                <w:spacing w:val="-2"/>
                <w:w w:val="95"/>
                <w:sz w:val="20"/>
              </w:rPr>
              <w:t>esistono</w:t>
            </w:r>
            <w:proofErr w:type="gramEnd"/>
            <w:r w:rsidRPr="004B56A9">
              <w:rPr>
                <w:rFonts w:ascii="Times New Roman" w:hAnsi="Times New Roman"/>
                <w:color w:val="000000" w:themeColor="text1"/>
                <w:spacing w:val="-2"/>
                <w:w w:val="95"/>
                <w:sz w:val="20"/>
              </w:rPr>
              <w:t xml:space="preserve"> più entità che detengono o fanno parte della stessa linea di business principale, ciascuna entità è segnalata in una riga distinta.</w:t>
            </w:r>
          </w:p>
        </w:tc>
      </w:tr>
      <w:tr w:rsidR="00D22EB0" w:rsidRPr="004B56A9" w14:paraId="2A2846D4" w14:textId="77777777" w:rsidTr="00772F88">
        <w:tc>
          <w:tcPr>
            <w:tcW w:w="1191" w:type="dxa"/>
            <w:tcBorders>
              <w:top w:val="single" w:sz="4" w:space="0" w:color="1A171C"/>
              <w:left w:val="nil"/>
              <w:bottom w:val="single" w:sz="4" w:space="0" w:color="1A171C"/>
              <w:right w:val="single" w:sz="4" w:space="0" w:color="1A171C"/>
            </w:tcBorders>
            <w:vAlign w:val="center"/>
          </w:tcPr>
          <w:p w14:paraId="621D7737" w14:textId="31E994A2" w:rsidR="00356129" w:rsidRPr="004B56A9"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14:paraId="4CF98C2A" w14:textId="77777777" w:rsidR="00356129" w:rsidRPr="004B56A9"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
          <w:p w14:paraId="1F736CF9" w14:textId="7E8CA66D" w:rsidR="00356129" w:rsidRPr="004B56A9"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dell’entità che detiene o fa parte della linea di business principale, come segnalato in Z 01.00 (ORG).</w:t>
            </w:r>
          </w:p>
        </w:tc>
      </w:tr>
    </w:tbl>
    <w:p w14:paraId="525738EA" w14:textId="6913BB1B" w:rsidR="0056559D" w:rsidRPr="004B56A9" w:rsidRDefault="00F7117F" w:rsidP="00FB7D83">
      <w:pPr>
        <w:pStyle w:val="Instructionsberschrift3"/>
        <w:jc w:val="both"/>
      </w:pPr>
      <w:r w:rsidRPr="004B56A9">
        <w:t xml:space="preserve">Z 07.04 - Associazione delle funzioni essenziali alle linee di business principali (FUNC 4): Istruzioni </w:t>
      </w:r>
      <w:proofErr w:type="gramStart"/>
      <w:r w:rsidRPr="004B56A9">
        <w:t>relative a</w:t>
      </w:r>
      <w:proofErr w:type="gramEnd"/>
      <w:r w:rsidRPr="004B56A9">
        <w:t xml:space="preserve"> posizioni specifiche</w:t>
      </w:r>
    </w:p>
    <w:p w14:paraId="525047FC" w14:textId="23560047" w:rsidR="003D0643" w:rsidRPr="004B56A9" w:rsidRDefault="003D0643"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La combinazione dei valori segnalati nelle colonne 0010, 0020 e 0040 di questo modello costituisce una chiave primaria che dev’essere unica per ciascuna riga del modello.</w:t>
      </w:r>
    </w:p>
    <w:p w14:paraId="74D6ABA4" w14:textId="4B93B061" w:rsidR="00347A09" w:rsidRPr="004B56A9" w:rsidRDefault="00347A09"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Nel modello sono segnalate soltanto le funzioni essenziali, individuate in {Z 07.01;0070}. </w:t>
      </w:r>
    </w:p>
    <w:p w14:paraId="7BE256F8" w14:textId="77777777" w:rsidR="00E714C5" w:rsidRPr="004B56A9"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2428293E"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50FE66EB" w14:textId="77777777" w:rsidR="003D0643" w:rsidRPr="004B56A9"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4ABF3384" w14:textId="77777777" w:rsidR="003D0643" w:rsidRPr="004B56A9"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7C2C55A4" w14:textId="77777777" w:rsidTr="009A6FB8">
        <w:tc>
          <w:tcPr>
            <w:tcW w:w="1191" w:type="dxa"/>
            <w:tcBorders>
              <w:top w:val="single" w:sz="4" w:space="0" w:color="1A171C"/>
              <w:left w:val="nil"/>
              <w:bottom w:val="single" w:sz="4" w:space="0" w:color="1A171C"/>
              <w:right w:val="single" w:sz="4" w:space="0" w:color="1A171C"/>
            </w:tcBorders>
            <w:vAlign w:val="center"/>
          </w:tcPr>
          <w:p w14:paraId="33C304A5" w14:textId="3EE3A33A" w:rsidR="003D0643" w:rsidRPr="004B56A9"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14:paraId="391E2285" w14:textId="55B9256A" w:rsidR="003D0643" w:rsidRPr="004B56A9"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21EF80C9" w14:textId="4F3D1249" w:rsidR="003D0643" w:rsidRPr="004B56A9"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paese per il quale la funzione è essenziale, come segnalato in Z 07.01 (FUNC 1).</w:t>
            </w:r>
          </w:p>
        </w:tc>
      </w:tr>
      <w:tr w:rsidR="00D22EB0" w:rsidRPr="004B56A9" w14:paraId="7935D8F7" w14:textId="77777777" w:rsidTr="009A6FB8">
        <w:tc>
          <w:tcPr>
            <w:tcW w:w="1191" w:type="dxa"/>
            <w:tcBorders>
              <w:top w:val="single" w:sz="4" w:space="0" w:color="1A171C"/>
              <w:left w:val="nil"/>
              <w:bottom w:val="single" w:sz="4" w:space="0" w:color="1A171C"/>
              <w:right w:val="single" w:sz="4" w:space="0" w:color="1A171C"/>
            </w:tcBorders>
            <w:vAlign w:val="center"/>
          </w:tcPr>
          <w:p w14:paraId="09F6DB8E" w14:textId="48F31398" w:rsidR="003D0643" w:rsidRPr="004B56A9"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14:paraId="06DF82A9" w14:textId="77777777" w:rsidR="003D0643" w:rsidRPr="004B56A9"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 della funzione</w:t>
            </w:r>
          </w:p>
          <w:p w14:paraId="5E518A5C" w14:textId="0098B053" w:rsidR="003D0643" w:rsidRPr="004B56A9"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L’identificativo delle funzioni essenziali quali definite al punto 2.7.1.2 e di cui al modello Z 07.01 (FUNC 1).</w:t>
            </w:r>
          </w:p>
        </w:tc>
      </w:tr>
      <w:tr w:rsidR="00D22EB0" w:rsidRPr="004B56A9" w14:paraId="49B385E0" w14:textId="77777777" w:rsidTr="009A6FB8">
        <w:tc>
          <w:tcPr>
            <w:tcW w:w="1191" w:type="dxa"/>
            <w:tcBorders>
              <w:top w:val="single" w:sz="4" w:space="0" w:color="1A171C"/>
              <w:left w:val="nil"/>
              <w:bottom w:val="single" w:sz="4" w:space="0" w:color="1A171C"/>
              <w:right w:val="single" w:sz="4" w:space="0" w:color="1A171C"/>
            </w:tcBorders>
            <w:vAlign w:val="center"/>
          </w:tcPr>
          <w:p w14:paraId="1BC5164D" w14:textId="46C52FC6" w:rsidR="003D0643" w:rsidRPr="004B56A9"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14:paraId="38532A90" w14:textId="77777777" w:rsidR="003D0643" w:rsidRPr="004B56A9"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Linea di business principale</w:t>
            </w:r>
          </w:p>
          <w:p w14:paraId="72F55B11" w14:textId="3177207A" w:rsidR="003D0643" w:rsidRPr="004B56A9"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 linea di business principale ai sensi dell’articolo </w:t>
            </w:r>
            <w:proofErr w:type="gramStart"/>
            <w:r w:rsidRPr="004B56A9">
              <w:rPr>
                <w:rFonts w:ascii="Times New Roman" w:hAnsi="Times New Roman"/>
                <w:color w:val="000000" w:themeColor="text1"/>
                <w:spacing w:val="-2"/>
                <w:w w:val="95"/>
                <w:sz w:val="20"/>
              </w:rPr>
              <w:t>2</w:t>
            </w:r>
            <w:proofErr w:type="gramEnd"/>
            <w:r w:rsidRPr="004B56A9">
              <w:rPr>
                <w:rFonts w:ascii="Times New Roman" w:hAnsi="Times New Roman"/>
                <w:color w:val="000000" w:themeColor="text1"/>
                <w:spacing w:val="-2"/>
                <w:w w:val="95"/>
                <w:sz w:val="20"/>
              </w:rPr>
              <w:t>, paragrafo 1, punto 36, e dell’articolo 2, paragrafo 2, della direttiva 2014/59/UE, come segnalato nel modello Z 07.03 (FUNC 3).</w:t>
            </w:r>
          </w:p>
        </w:tc>
      </w:tr>
      <w:tr w:rsidR="00D22EB0" w:rsidRPr="004B56A9" w14:paraId="2AC725AE" w14:textId="77777777" w:rsidTr="009A6FB8">
        <w:tc>
          <w:tcPr>
            <w:tcW w:w="1191" w:type="dxa"/>
            <w:tcBorders>
              <w:top w:val="single" w:sz="4" w:space="0" w:color="1A171C"/>
              <w:left w:val="nil"/>
              <w:bottom w:val="single" w:sz="4" w:space="0" w:color="1A171C"/>
              <w:right w:val="single" w:sz="4" w:space="0" w:color="1A171C"/>
            </w:tcBorders>
            <w:vAlign w:val="center"/>
          </w:tcPr>
          <w:p w14:paraId="518346BA" w14:textId="35A65DA7" w:rsidR="003D0643" w:rsidRPr="004B56A9"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14:paraId="728CFB6B" w14:textId="1560E7E5" w:rsidR="003D0643" w:rsidRPr="004B56A9"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 della linea di business</w:t>
            </w:r>
          </w:p>
          <w:p w14:paraId="343D3280" w14:textId="3A6C6728" w:rsidR="003D0643" w:rsidRPr="004B56A9"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L’identificativo unico della linea di business, fornito dall’ente; identico all’ID segnalato nel modello Z 07.03 (FUNC 3).</w:t>
            </w:r>
            <w:proofErr w:type="gramEnd"/>
          </w:p>
        </w:tc>
      </w:tr>
    </w:tbl>
    <w:p w14:paraId="2F35227B" w14:textId="305642AE" w:rsidR="00E13CE3" w:rsidRPr="004B56A9" w:rsidRDefault="00F7117F" w:rsidP="008854E4">
      <w:pPr>
        <w:pStyle w:val="Instructionsberschrift2"/>
        <w:numPr>
          <w:ilvl w:val="1"/>
          <w:numId w:val="7"/>
        </w:numPr>
        <w:ind w:left="357" w:hanging="357"/>
        <w:rPr>
          <w:rFonts w:ascii="Times New Roman" w:hAnsi="Times New Roman" w:cs="Times New Roman"/>
          <w:szCs w:val="20"/>
        </w:rPr>
      </w:pPr>
      <w:bookmarkStart w:id="37" w:name="_Toc509909046"/>
      <w:bookmarkStart w:id="38" w:name="_Toc525130393"/>
      <w:r w:rsidRPr="004B56A9">
        <w:rPr>
          <w:rFonts w:ascii="Times New Roman" w:hAnsi="Times New Roman"/>
        </w:rPr>
        <w:t>Z 08.00 - Servizi essenziali (SERV)</w:t>
      </w:r>
      <w:bookmarkEnd w:id="37"/>
      <w:bookmarkEnd w:id="38"/>
    </w:p>
    <w:p w14:paraId="40B27ADD" w14:textId="646BFC2F" w:rsidR="00AA4026" w:rsidRPr="004B56A9" w:rsidRDefault="00AA4026" w:rsidP="00715DAB">
      <w:pPr>
        <w:pStyle w:val="Numberedtitlelevel3"/>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Istruzioni di carattere generale</w:t>
      </w:r>
    </w:p>
    <w:p w14:paraId="61744787" w14:textId="0578DD37" w:rsidR="008A0BEC" w:rsidRPr="004B56A9" w:rsidRDefault="008A0BEC"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Le informazioni da inserire in questo modello sono segnalate una sola volta per l’intero gruppo; i servizi essenziali ricevuti da ogni entità del gruppo sono elencati e associati alle funzioni essenziali fornite dal gruppo.</w:t>
      </w:r>
    </w:p>
    <w:p w14:paraId="347C1A3D" w14:textId="701A570D" w:rsidR="00625A0F" w:rsidRPr="004B56A9"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Per servizi essenziali </w:t>
      </w:r>
      <w:proofErr w:type="gramStart"/>
      <w:r w:rsidRPr="004B56A9">
        <w:rPr>
          <w:rFonts w:ascii="Times New Roman" w:hAnsi="Times New Roman"/>
          <w:sz w:val="20"/>
        </w:rPr>
        <w:t xml:space="preserve">si </w:t>
      </w:r>
      <w:proofErr w:type="gramEnd"/>
      <w:r w:rsidRPr="004B56A9">
        <w:rPr>
          <w:rFonts w:ascii="Times New Roman" w:hAnsi="Times New Roman"/>
          <w:sz w:val="20"/>
        </w:rPr>
        <w:t xml:space="preserve">intendono le operazioni, attività e servizi sottostanti effettuati per una unità operativa (servizi dedicati) o per più unità operative o entità giuridiche (servizi comuni) all’interno del gruppo che sono necessari per fornire una o più funzioni essenziali. I servizi essenziali possono essere forniti da entità all’interno del gruppo (servizio interno) oppure essere affidati a un fornitore esterno (servizio </w:t>
      </w:r>
      <w:proofErr w:type="gramStart"/>
      <w:r w:rsidRPr="004B56A9">
        <w:rPr>
          <w:rFonts w:ascii="Times New Roman" w:hAnsi="Times New Roman"/>
          <w:sz w:val="20"/>
        </w:rPr>
        <w:t>esterno</w:t>
      </w:r>
      <w:proofErr w:type="gramEnd"/>
      <w:r w:rsidRPr="004B56A9">
        <w:rPr>
          <w:rFonts w:ascii="Times New Roman" w:hAnsi="Times New Roman"/>
          <w:sz w:val="20"/>
        </w:rPr>
        <w:t>). Un servizio è considerato essenziale qualora la sua interruzione possa costituire un grave ostacolo all’esercizio delle funzioni essenziali o impedirlo totalmente, poiché trattasi di un servizio intrinsecamente legato alle funzioni essenziali che l’ente svolge per terzi.</w:t>
      </w:r>
    </w:p>
    <w:p w14:paraId="3D8A7E91" w14:textId="56CA1160" w:rsidR="0051360C" w:rsidRPr="004B56A9" w:rsidRDefault="0051360C"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I servizi che </w:t>
      </w:r>
      <w:proofErr w:type="gramStart"/>
      <w:r w:rsidRPr="004B56A9">
        <w:rPr>
          <w:rFonts w:ascii="Times New Roman" w:hAnsi="Times New Roman"/>
          <w:sz w:val="20"/>
        </w:rPr>
        <w:t>vengono</w:t>
      </w:r>
      <w:proofErr w:type="gramEnd"/>
      <w:r w:rsidRPr="004B56A9">
        <w:rPr>
          <w:rFonts w:ascii="Times New Roman" w:hAnsi="Times New Roman"/>
          <w:sz w:val="20"/>
        </w:rPr>
        <w:t xml:space="preserve"> svolti interamente all’interno di un’entità giuridica non sono segnalati in questo modello.</w:t>
      </w:r>
    </w:p>
    <w:p w14:paraId="203E98FF" w14:textId="311B4FC4" w:rsidR="009F4567" w:rsidRPr="004B56A9"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I servizi che non hanno un rilevante impatto sulle funzioni essenziali non sono segnalati in questo modello.</w:t>
      </w:r>
    </w:p>
    <w:p w14:paraId="369084AE" w14:textId="3EAD065D" w:rsidR="00276FFB" w:rsidRPr="004B56A9"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La combinazione dei valori segnalati nelle colonne 0010, 0030, 0050, 0070 e 0080 di questo modello costituisce una chiave primaria che dev’essere unica per ciascuna riga del modello. </w:t>
      </w:r>
    </w:p>
    <w:p w14:paraId="6A9B924E" w14:textId="77777777" w:rsidR="00F76194" w:rsidRPr="004B56A9" w:rsidRDefault="00F76194" w:rsidP="00715DAB">
      <w:pPr>
        <w:pStyle w:val="Numberedtitlelevel3"/>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lastRenderedPageBreak/>
        <w:t xml:space="preserve">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b w:val="0"/>
          <w:color w:val="000000" w:themeColor="text1"/>
          <w:sz w:val="20"/>
          <w:u w:val="single"/>
        </w:rPr>
        <w:t xml:space="preserve"> posizioni specifiche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006735FB"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784BE62F" w14:textId="77777777" w:rsidR="000713A0" w:rsidRPr="004B56A9"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12CA929C" w14:textId="77777777" w:rsidR="000713A0" w:rsidRPr="004B56A9"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04817E6B" w14:textId="77777777" w:rsidTr="00471773">
        <w:tc>
          <w:tcPr>
            <w:tcW w:w="1191" w:type="dxa"/>
            <w:tcBorders>
              <w:top w:val="single" w:sz="4" w:space="0" w:color="1A171C"/>
              <w:left w:val="nil"/>
              <w:bottom w:val="single" w:sz="4" w:space="0" w:color="1A171C"/>
              <w:right w:val="single" w:sz="4" w:space="0" w:color="1A171C"/>
            </w:tcBorders>
            <w:vAlign w:val="center"/>
          </w:tcPr>
          <w:p w14:paraId="0B7AD19F" w14:textId="4F17214A" w:rsidR="001D0D8C" w:rsidRPr="004B56A9"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14:paraId="02436C2E" w14:textId="77777777" w:rsidR="001D0D8C" w:rsidRPr="004B56A9" w:rsidRDefault="001D0D8C" w:rsidP="00FE54BA">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Identificativo</w:t>
            </w:r>
          </w:p>
          <w:p w14:paraId="01C88420" w14:textId="169BDC3F" w:rsidR="001D0D8C" w:rsidRPr="004B56A9"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4B56A9" w14:paraId="1757EC36" w14:textId="77777777" w:rsidTr="00471773">
        <w:tc>
          <w:tcPr>
            <w:tcW w:w="1191" w:type="dxa"/>
            <w:tcBorders>
              <w:top w:val="single" w:sz="4" w:space="0" w:color="1A171C"/>
              <w:left w:val="nil"/>
              <w:bottom w:val="single" w:sz="4" w:space="0" w:color="1A171C"/>
              <w:right w:val="single" w:sz="4" w:space="0" w:color="1A171C"/>
            </w:tcBorders>
            <w:vAlign w:val="center"/>
          </w:tcPr>
          <w:p w14:paraId="128E805B" w14:textId="4CCF99E4" w:rsidR="000713A0" w:rsidRPr="004B56A9" w:rsidRDefault="0047177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07BD0459"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Tipo di servizio</w:t>
            </w:r>
          </w:p>
          <w:p w14:paraId="0C6E7A99" w14:textId="46C8C1C5" w:rsidR="00AB3415" w:rsidRPr="004B56A9" w:rsidRDefault="00AB341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servizio è indicato scegliendo tra i tipi di seguito elencati.</w:t>
            </w:r>
          </w:p>
          <w:p w14:paraId="6E27CACA" w14:textId="430FF7EC" w:rsidR="000713A0" w:rsidRPr="004B56A9" w:rsidRDefault="00AB341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Ove possibile, segnalare la sottocategoria (numero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identificazione a due cifre). Laddove la sottocategoria non esista oppure nessuna sottocategoria descriva correttamente il servizio fornito dall’ente, è segnalata la categoria principale (numero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identificazione a una cifra). </w:t>
            </w:r>
          </w:p>
          <w:p w14:paraId="0EEB793F" w14:textId="771653E5" w:rsidR="00D619CB"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w:t>
            </w:r>
            <w:r w:rsidRPr="004B56A9">
              <w:tab/>
            </w:r>
            <w:r w:rsidRPr="004B56A9">
              <w:rPr>
                <w:rFonts w:ascii="Times New Roman" w:hAnsi="Times New Roman"/>
                <w:color w:val="000000" w:themeColor="text1"/>
                <w:spacing w:val="-2"/>
                <w:w w:val="95"/>
                <w:sz w:val="20"/>
              </w:rPr>
              <w:t>Sostegno in termini di risorse umane</w:t>
            </w:r>
          </w:p>
          <w:p w14:paraId="767C59A3" w14:textId="032F3509"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1.1</w:t>
            </w:r>
            <w:r w:rsidRPr="004B56A9">
              <w:tab/>
            </w:r>
            <w:proofErr w:type="gramStart"/>
            <w:r w:rsidRPr="004B56A9">
              <w:rPr>
                <w:rFonts w:ascii="Times New Roman" w:hAnsi="Times New Roman"/>
                <w:color w:val="000000" w:themeColor="text1"/>
                <w:spacing w:val="-2"/>
                <w:w w:val="95"/>
                <w:sz w:val="20"/>
              </w:rPr>
              <w:t xml:space="preserve">gestione del personale, fra cui la gestione dei contratti e delle retribuzioni </w:t>
            </w:r>
            <w:proofErr w:type="gramEnd"/>
          </w:p>
          <w:p w14:paraId="1B87B89B" w14:textId="3CB7DA58"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1.2</w:t>
            </w:r>
            <w:r w:rsidRPr="004B56A9">
              <w:tab/>
            </w:r>
            <w:proofErr w:type="gramStart"/>
            <w:r w:rsidRPr="004B56A9">
              <w:rPr>
                <w:rFonts w:ascii="Times New Roman" w:hAnsi="Times New Roman"/>
                <w:color w:val="000000" w:themeColor="text1"/>
                <w:spacing w:val="-2"/>
                <w:w w:val="95"/>
                <w:sz w:val="20"/>
              </w:rPr>
              <w:t>c</w:t>
            </w:r>
            <w:proofErr w:type="gramEnd"/>
            <w:r w:rsidRPr="004B56A9">
              <w:rPr>
                <w:rFonts w:ascii="Times New Roman" w:hAnsi="Times New Roman"/>
                <w:color w:val="000000" w:themeColor="text1"/>
                <w:spacing w:val="-2"/>
                <w:w w:val="95"/>
                <w:sz w:val="20"/>
              </w:rPr>
              <w:t>omunicazione interna</w:t>
            </w:r>
          </w:p>
          <w:p w14:paraId="40C1C57C" w14:textId="13996C3A"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w:t>
            </w:r>
            <w:r w:rsidRPr="004B56A9">
              <w:tab/>
            </w:r>
            <w:r w:rsidRPr="004B56A9">
              <w:rPr>
                <w:rFonts w:ascii="Times New Roman" w:hAnsi="Times New Roman"/>
                <w:color w:val="000000" w:themeColor="text1"/>
                <w:spacing w:val="-2"/>
                <w:w w:val="95"/>
                <w:sz w:val="20"/>
              </w:rPr>
              <w:t xml:space="preserve">Tecnologia dell’informazione </w:t>
            </w:r>
          </w:p>
          <w:p w14:paraId="64C20235" w14:textId="40F2C061"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2.1</w:t>
            </w:r>
            <w:r w:rsidRPr="004B56A9">
              <w:tab/>
            </w:r>
            <w:proofErr w:type="gramStart"/>
            <w:r w:rsidRPr="004B56A9">
              <w:rPr>
                <w:rFonts w:ascii="Times New Roman" w:hAnsi="Times New Roman"/>
                <w:color w:val="000000" w:themeColor="text1"/>
                <w:spacing w:val="-2"/>
                <w:w w:val="95"/>
                <w:sz w:val="20"/>
              </w:rPr>
              <w:t>h</w:t>
            </w:r>
            <w:proofErr w:type="gramEnd"/>
            <w:r w:rsidRPr="004B56A9">
              <w:rPr>
                <w:rFonts w:ascii="Times New Roman" w:hAnsi="Times New Roman"/>
                <w:color w:val="000000" w:themeColor="text1"/>
                <w:spacing w:val="-2"/>
                <w:w w:val="95"/>
                <w:sz w:val="20"/>
              </w:rPr>
              <w:t xml:space="preserve">ardware informatici e per la comunicazione </w:t>
            </w:r>
          </w:p>
          <w:p w14:paraId="01DB9522" w14:textId="021641B9"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2.2</w:t>
            </w:r>
            <w:r w:rsidRPr="004B56A9">
              <w:tab/>
            </w:r>
            <w:proofErr w:type="gramStart"/>
            <w:r w:rsidRPr="004B56A9">
              <w:rPr>
                <w:rFonts w:ascii="Times New Roman" w:hAnsi="Times New Roman"/>
                <w:color w:val="000000" w:themeColor="text1"/>
                <w:spacing w:val="-2"/>
                <w:w w:val="95"/>
                <w:sz w:val="20"/>
              </w:rPr>
              <w:t>a</w:t>
            </w:r>
            <w:proofErr w:type="gramEnd"/>
            <w:r w:rsidRPr="004B56A9">
              <w:rPr>
                <w:rFonts w:ascii="Times New Roman" w:hAnsi="Times New Roman"/>
                <w:color w:val="000000" w:themeColor="text1"/>
                <w:spacing w:val="-2"/>
                <w:w w:val="95"/>
                <w:sz w:val="20"/>
              </w:rPr>
              <w:t xml:space="preserve">rchiviazione ed elaborazione di dati </w:t>
            </w:r>
          </w:p>
          <w:p w14:paraId="5FF4DFB7" w14:textId="675DE6DD"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2.3</w:t>
            </w:r>
            <w:r w:rsidRPr="004B56A9">
              <w:tab/>
            </w:r>
            <w:proofErr w:type="gramStart"/>
            <w:r w:rsidRPr="004B56A9">
              <w:rPr>
                <w:rFonts w:ascii="Times New Roman" w:hAnsi="Times New Roman"/>
                <w:color w:val="000000" w:themeColor="text1"/>
                <w:spacing w:val="-2"/>
                <w:w w:val="95"/>
                <w:sz w:val="20"/>
              </w:rPr>
              <w:t>a</w:t>
            </w:r>
            <w:proofErr w:type="gramEnd"/>
            <w:r w:rsidRPr="004B56A9">
              <w:rPr>
                <w:rFonts w:ascii="Times New Roman" w:hAnsi="Times New Roman"/>
                <w:color w:val="000000" w:themeColor="text1"/>
                <w:spacing w:val="-2"/>
                <w:w w:val="95"/>
                <w:sz w:val="20"/>
              </w:rPr>
              <w:t xml:space="preserve">ltre infrastrutture informatiche, postazioni di lavoro, telecomunicazioni, server, centri di raccolta dati e servizi connessi </w:t>
            </w:r>
          </w:p>
          <w:p w14:paraId="50374952" w14:textId="7318C7DD"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2.4</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 xml:space="preserve">estione delle licenze di software e del software per applicazioni </w:t>
            </w:r>
          </w:p>
          <w:p w14:paraId="7404B776" w14:textId="7019DCE3"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2.5</w:t>
            </w:r>
            <w:r w:rsidRPr="004B56A9">
              <w:tab/>
            </w:r>
            <w:proofErr w:type="gramStart"/>
            <w:r w:rsidRPr="004B56A9">
              <w:rPr>
                <w:rFonts w:ascii="Times New Roman" w:hAnsi="Times New Roman"/>
                <w:color w:val="000000" w:themeColor="text1"/>
                <w:spacing w:val="-2"/>
                <w:w w:val="95"/>
                <w:sz w:val="20"/>
              </w:rPr>
              <w:t>a</w:t>
            </w:r>
            <w:proofErr w:type="gramEnd"/>
            <w:r w:rsidRPr="004B56A9">
              <w:rPr>
                <w:rFonts w:ascii="Times New Roman" w:hAnsi="Times New Roman"/>
                <w:color w:val="000000" w:themeColor="text1"/>
                <w:spacing w:val="-2"/>
                <w:w w:val="95"/>
                <w:sz w:val="20"/>
              </w:rPr>
              <w:t xml:space="preserve">ccesso a fornitori esterni, in particolare fornitori di dati e di infrastrutture </w:t>
            </w:r>
          </w:p>
          <w:p w14:paraId="73FF208D" w14:textId="30174AD9"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2.6</w:t>
            </w:r>
            <w:r w:rsidRPr="004B56A9">
              <w:tab/>
            </w:r>
            <w:proofErr w:type="gramStart"/>
            <w:r w:rsidRPr="004B56A9">
              <w:rPr>
                <w:rFonts w:ascii="Times New Roman" w:hAnsi="Times New Roman"/>
                <w:color w:val="000000" w:themeColor="text1"/>
                <w:spacing w:val="-2"/>
                <w:w w:val="95"/>
                <w:sz w:val="20"/>
              </w:rPr>
              <w:t>m</w:t>
            </w:r>
            <w:proofErr w:type="gramEnd"/>
            <w:r w:rsidRPr="004B56A9">
              <w:rPr>
                <w:rFonts w:ascii="Times New Roman" w:hAnsi="Times New Roman"/>
                <w:color w:val="000000" w:themeColor="text1"/>
                <w:spacing w:val="-2"/>
                <w:w w:val="95"/>
                <w:sz w:val="20"/>
              </w:rPr>
              <w:t xml:space="preserve">anutenzione delle applicazioni, compresa la manutenzione delle applicazioni informatiche e relativi flussi di dati </w:t>
            </w:r>
          </w:p>
          <w:p w14:paraId="1D90B6A3" w14:textId="0DBB9920"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2.7</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enerazione di relazioni, flussi di informazioni interne e banche dati</w:t>
            </w:r>
          </w:p>
          <w:p w14:paraId="53BB56F7" w14:textId="217ED0ED"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2.8</w:t>
            </w:r>
            <w:r w:rsidRPr="004B56A9">
              <w:tab/>
            </w:r>
            <w:proofErr w:type="gramStart"/>
            <w:r w:rsidRPr="004B56A9">
              <w:rPr>
                <w:rFonts w:ascii="Times New Roman" w:hAnsi="Times New Roman"/>
                <w:color w:val="000000" w:themeColor="text1"/>
                <w:spacing w:val="-2"/>
                <w:w w:val="95"/>
                <w:sz w:val="20"/>
              </w:rPr>
              <w:t>s</w:t>
            </w:r>
            <w:proofErr w:type="gramEnd"/>
            <w:r w:rsidRPr="004B56A9">
              <w:rPr>
                <w:rFonts w:ascii="Times New Roman" w:hAnsi="Times New Roman"/>
                <w:color w:val="000000" w:themeColor="text1"/>
                <w:spacing w:val="-2"/>
                <w:w w:val="95"/>
                <w:sz w:val="20"/>
              </w:rPr>
              <w:t>upporto utenti</w:t>
            </w:r>
          </w:p>
          <w:p w14:paraId="55043412" w14:textId="3250471B"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2.9</w:t>
            </w:r>
            <w:r w:rsidRPr="004B56A9">
              <w:tab/>
            </w:r>
            <w:proofErr w:type="gramStart"/>
            <w:r w:rsidRPr="004B56A9">
              <w:rPr>
                <w:rFonts w:ascii="Times New Roman" w:hAnsi="Times New Roman"/>
                <w:color w:val="000000" w:themeColor="text1"/>
                <w:spacing w:val="-2"/>
                <w:w w:val="95"/>
                <w:sz w:val="20"/>
              </w:rPr>
              <w:t>r</w:t>
            </w:r>
            <w:proofErr w:type="gramEnd"/>
            <w:r w:rsidRPr="004B56A9">
              <w:rPr>
                <w:rFonts w:ascii="Times New Roman" w:hAnsi="Times New Roman"/>
                <w:color w:val="000000" w:themeColor="text1"/>
                <w:spacing w:val="-2"/>
                <w:w w:val="95"/>
                <w:sz w:val="20"/>
              </w:rPr>
              <w:t>ipristino in caso di emergenza e di disastro</w:t>
            </w:r>
          </w:p>
          <w:p w14:paraId="1D4E776C" w14:textId="4488EE8B"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3.</w:t>
            </w:r>
            <w:r w:rsidRPr="004B56A9">
              <w:tab/>
            </w:r>
            <w:r w:rsidRPr="004B56A9">
              <w:rPr>
                <w:rFonts w:ascii="Times New Roman" w:hAnsi="Times New Roman"/>
                <w:color w:val="000000" w:themeColor="text1"/>
                <w:spacing w:val="-2"/>
                <w:w w:val="95"/>
                <w:sz w:val="20"/>
              </w:rPr>
              <w:t xml:space="preserve">Elaborazione delle operazioni, comprese le questioni giuridiche legate alle operazioni, in particolare in materia di </w:t>
            </w:r>
            <w:proofErr w:type="gramStart"/>
            <w:r w:rsidRPr="004B56A9">
              <w:rPr>
                <w:rFonts w:ascii="Times New Roman" w:hAnsi="Times New Roman"/>
                <w:color w:val="000000" w:themeColor="text1"/>
                <w:spacing w:val="-2"/>
                <w:w w:val="95"/>
                <w:sz w:val="20"/>
              </w:rPr>
              <w:t>antiriciclaggio</w:t>
            </w:r>
            <w:proofErr w:type="gramEnd"/>
          </w:p>
          <w:p w14:paraId="66483EC0" w14:textId="4060FFA2"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w:t>
            </w:r>
            <w:r w:rsidRPr="004B56A9">
              <w:tab/>
            </w:r>
            <w:r w:rsidRPr="004B56A9">
              <w:rPr>
                <w:rFonts w:ascii="Times New Roman" w:hAnsi="Times New Roman"/>
                <w:color w:val="000000" w:themeColor="text1"/>
                <w:spacing w:val="-2"/>
                <w:w w:val="95"/>
                <w:sz w:val="20"/>
              </w:rPr>
              <w:t xml:space="preserve">Fornitura o gestione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 xml:space="preserve">immobili e infrastrutture e infrastrutture collegate </w:t>
            </w:r>
          </w:p>
          <w:p w14:paraId="7C9C47C1" w14:textId="039C8748"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4.1</w:t>
            </w:r>
            <w:r w:rsidRPr="004B56A9">
              <w:tab/>
            </w:r>
            <w:proofErr w:type="gramStart"/>
            <w:r w:rsidRPr="004B56A9">
              <w:rPr>
                <w:rFonts w:ascii="Times New Roman" w:hAnsi="Times New Roman"/>
                <w:color w:val="000000" w:themeColor="text1"/>
                <w:spacing w:val="-2"/>
                <w:w w:val="95"/>
                <w:sz w:val="20"/>
              </w:rPr>
              <w:t>u</w:t>
            </w:r>
            <w:proofErr w:type="gramEnd"/>
            <w:r w:rsidRPr="004B56A9">
              <w:rPr>
                <w:rFonts w:ascii="Times New Roman" w:hAnsi="Times New Roman"/>
                <w:color w:val="000000" w:themeColor="text1"/>
                <w:spacing w:val="-2"/>
                <w:w w:val="95"/>
                <w:sz w:val="20"/>
              </w:rPr>
              <w:t xml:space="preserve">ffici e magazzini </w:t>
            </w:r>
          </w:p>
          <w:p w14:paraId="1279A88F" w14:textId="11AC08AB"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4.2</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estione di infrastrutture interne</w:t>
            </w:r>
          </w:p>
          <w:p w14:paraId="60442993" w14:textId="62A067A5"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4.3</w:t>
            </w:r>
            <w:r w:rsidRPr="004B56A9">
              <w:tab/>
            </w:r>
            <w:proofErr w:type="gramStart"/>
            <w:r w:rsidRPr="004B56A9">
              <w:rPr>
                <w:rFonts w:ascii="Times New Roman" w:hAnsi="Times New Roman"/>
                <w:color w:val="000000" w:themeColor="text1"/>
                <w:spacing w:val="-2"/>
                <w:w w:val="95"/>
                <w:sz w:val="20"/>
              </w:rPr>
              <w:t>s</w:t>
            </w:r>
            <w:proofErr w:type="gramEnd"/>
            <w:r w:rsidRPr="004B56A9">
              <w:rPr>
                <w:rFonts w:ascii="Times New Roman" w:hAnsi="Times New Roman"/>
                <w:color w:val="000000" w:themeColor="text1"/>
                <w:spacing w:val="-2"/>
                <w:w w:val="95"/>
                <w:sz w:val="20"/>
              </w:rPr>
              <w:t xml:space="preserve">icurezza e controllo degli accessi </w:t>
            </w:r>
          </w:p>
          <w:p w14:paraId="31FBCC03" w14:textId="2923F93A"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4.4</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estione del portafoglio immobiliare</w:t>
            </w:r>
          </w:p>
          <w:p w14:paraId="23CE603D" w14:textId="17D46B51"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4.5</w:t>
            </w:r>
            <w:r w:rsidRPr="004B56A9">
              <w:tab/>
            </w:r>
            <w:proofErr w:type="gramStart"/>
            <w:r w:rsidRPr="004B56A9">
              <w:rPr>
                <w:rFonts w:ascii="Times New Roman" w:hAnsi="Times New Roman"/>
                <w:color w:val="000000" w:themeColor="text1"/>
                <w:spacing w:val="-2"/>
                <w:w w:val="95"/>
                <w:sz w:val="20"/>
              </w:rPr>
              <w:t>a</w:t>
            </w:r>
            <w:proofErr w:type="gramEnd"/>
            <w:r w:rsidRPr="004B56A9">
              <w:rPr>
                <w:rFonts w:ascii="Times New Roman" w:hAnsi="Times New Roman"/>
                <w:color w:val="000000" w:themeColor="text1"/>
                <w:spacing w:val="-2"/>
                <w:w w:val="95"/>
                <w:sz w:val="20"/>
              </w:rPr>
              <w:t xml:space="preserve">ltro (specificare) </w:t>
            </w:r>
          </w:p>
          <w:p w14:paraId="3F4ED323" w14:textId="48AE6F27"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5.</w:t>
            </w:r>
            <w:r w:rsidRPr="004B56A9">
              <w:tab/>
            </w:r>
            <w:r w:rsidRPr="004B56A9">
              <w:rPr>
                <w:rFonts w:ascii="Times New Roman" w:hAnsi="Times New Roman"/>
                <w:color w:val="000000" w:themeColor="text1"/>
                <w:spacing w:val="-2"/>
                <w:w w:val="95"/>
                <w:sz w:val="20"/>
              </w:rPr>
              <w:t xml:space="preserve">Servizi giuridici e funzione di controllo della conformità </w:t>
            </w:r>
          </w:p>
          <w:p w14:paraId="4E06AA6C" w14:textId="784933ED"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5.1</w:t>
            </w:r>
            <w:r w:rsidRPr="004B56A9">
              <w:tab/>
            </w:r>
            <w:proofErr w:type="gramStart"/>
            <w:r w:rsidRPr="004B56A9">
              <w:rPr>
                <w:rFonts w:ascii="Times New Roman" w:hAnsi="Times New Roman"/>
                <w:color w:val="000000" w:themeColor="text1"/>
                <w:spacing w:val="-2"/>
                <w:w w:val="95"/>
                <w:sz w:val="20"/>
              </w:rPr>
              <w:t>a</w:t>
            </w:r>
            <w:proofErr w:type="gramEnd"/>
            <w:r w:rsidRPr="004B56A9">
              <w:rPr>
                <w:rFonts w:ascii="Times New Roman" w:hAnsi="Times New Roman"/>
                <w:color w:val="000000" w:themeColor="text1"/>
                <w:spacing w:val="-2"/>
                <w:w w:val="95"/>
                <w:sz w:val="20"/>
              </w:rPr>
              <w:t xml:space="preserve">ssistenza giuridica societaria </w:t>
            </w:r>
          </w:p>
          <w:p w14:paraId="70C4E0BA" w14:textId="42D36A0F"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5.2</w:t>
            </w:r>
            <w:r w:rsidRPr="004B56A9">
              <w:tab/>
            </w:r>
            <w:proofErr w:type="gramStart"/>
            <w:r w:rsidRPr="004B56A9">
              <w:rPr>
                <w:rFonts w:ascii="Times New Roman" w:hAnsi="Times New Roman"/>
                <w:color w:val="000000" w:themeColor="text1"/>
                <w:spacing w:val="-2"/>
                <w:w w:val="95"/>
                <w:sz w:val="20"/>
              </w:rPr>
              <w:t>s</w:t>
            </w:r>
            <w:proofErr w:type="gramEnd"/>
            <w:r w:rsidRPr="004B56A9">
              <w:rPr>
                <w:rFonts w:ascii="Times New Roman" w:hAnsi="Times New Roman"/>
                <w:color w:val="000000" w:themeColor="text1"/>
                <w:spacing w:val="-2"/>
                <w:w w:val="95"/>
                <w:sz w:val="20"/>
              </w:rPr>
              <w:t>ervizi giuridici aziendali e operativi</w:t>
            </w:r>
          </w:p>
          <w:p w14:paraId="4BEE2433" w14:textId="2D2F675E"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5.3</w:t>
            </w:r>
            <w:r w:rsidRPr="004B56A9">
              <w:tab/>
            </w:r>
            <w:proofErr w:type="gramStart"/>
            <w:r w:rsidRPr="004B56A9">
              <w:rPr>
                <w:rFonts w:ascii="Times New Roman" w:hAnsi="Times New Roman"/>
                <w:color w:val="000000" w:themeColor="text1"/>
                <w:spacing w:val="-2"/>
                <w:w w:val="95"/>
                <w:sz w:val="20"/>
              </w:rPr>
              <w:t>s</w:t>
            </w:r>
            <w:proofErr w:type="gramEnd"/>
            <w:r w:rsidRPr="004B56A9">
              <w:rPr>
                <w:rFonts w:ascii="Times New Roman" w:hAnsi="Times New Roman"/>
                <w:color w:val="000000" w:themeColor="text1"/>
                <w:spacing w:val="-2"/>
                <w:w w:val="95"/>
                <w:sz w:val="20"/>
              </w:rPr>
              <w:t>upporto per la conformità</w:t>
            </w:r>
          </w:p>
          <w:p w14:paraId="09EF9046" w14:textId="7A402B76"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6.</w:t>
            </w:r>
            <w:r w:rsidRPr="004B56A9">
              <w:tab/>
            </w:r>
            <w:r w:rsidRPr="004B56A9">
              <w:rPr>
                <w:rFonts w:ascii="Times New Roman" w:hAnsi="Times New Roman"/>
                <w:color w:val="000000" w:themeColor="text1"/>
                <w:spacing w:val="-2"/>
                <w:w w:val="95"/>
                <w:sz w:val="20"/>
              </w:rPr>
              <w:t xml:space="preserve">Servizi di tesoreria </w:t>
            </w:r>
          </w:p>
          <w:p w14:paraId="467E7571" w14:textId="7B3850C3"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6.1</w:t>
            </w:r>
            <w:r w:rsidRPr="004B56A9">
              <w:tab/>
            </w:r>
            <w:proofErr w:type="gramStart"/>
            <w:r w:rsidRPr="004B56A9">
              <w:rPr>
                <w:rFonts w:ascii="Times New Roman" w:hAnsi="Times New Roman"/>
                <w:color w:val="000000" w:themeColor="text1"/>
                <w:spacing w:val="-2"/>
                <w:w w:val="95"/>
                <w:sz w:val="20"/>
              </w:rPr>
              <w:t>c</w:t>
            </w:r>
            <w:proofErr w:type="gramEnd"/>
            <w:r w:rsidRPr="004B56A9">
              <w:rPr>
                <w:rFonts w:ascii="Times New Roman" w:hAnsi="Times New Roman"/>
                <w:color w:val="000000" w:themeColor="text1"/>
                <w:spacing w:val="-2"/>
                <w:w w:val="95"/>
                <w:sz w:val="20"/>
              </w:rPr>
              <w:t>oordinamento, amministrazione e gestione delle attività di tesoreria</w:t>
            </w:r>
          </w:p>
          <w:p w14:paraId="7C6C49BD" w14:textId="10E0ECF6"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6.2</w:t>
            </w:r>
            <w:r w:rsidRPr="004B56A9">
              <w:tab/>
            </w:r>
            <w:proofErr w:type="gramStart"/>
            <w:r w:rsidRPr="004B56A9">
              <w:rPr>
                <w:rFonts w:ascii="Times New Roman" w:hAnsi="Times New Roman"/>
                <w:color w:val="000000" w:themeColor="text1"/>
                <w:spacing w:val="-2"/>
                <w:w w:val="95"/>
                <w:sz w:val="20"/>
              </w:rPr>
              <w:t>c</w:t>
            </w:r>
            <w:proofErr w:type="gramEnd"/>
            <w:r w:rsidRPr="004B56A9">
              <w:rPr>
                <w:rFonts w:ascii="Times New Roman" w:hAnsi="Times New Roman"/>
                <w:color w:val="000000" w:themeColor="text1"/>
                <w:spacing w:val="-2"/>
                <w:w w:val="95"/>
                <w:sz w:val="20"/>
              </w:rPr>
              <w:t xml:space="preserve">oordinamento, amministrazione e gestione del rifinanziamento di entità, compresa la gestione delle garanzie </w:t>
            </w:r>
          </w:p>
          <w:p w14:paraId="6155C1C2" w14:textId="41A23113"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6.3</w:t>
            </w:r>
            <w:r w:rsidRPr="004B56A9">
              <w:tab/>
            </w:r>
            <w:proofErr w:type="gramStart"/>
            <w:r w:rsidRPr="004B56A9">
              <w:rPr>
                <w:rFonts w:ascii="Times New Roman" w:hAnsi="Times New Roman"/>
                <w:color w:val="000000" w:themeColor="text1"/>
                <w:spacing w:val="-2"/>
                <w:w w:val="95"/>
                <w:sz w:val="20"/>
              </w:rPr>
              <w:t>f</w:t>
            </w:r>
            <w:proofErr w:type="gramEnd"/>
            <w:r w:rsidRPr="004B56A9">
              <w:rPr>
                <w:rFonts w:ascii="Times New Roman" w:hAnsi="Times New Roman"/>
                <w:color w:val="000000" w:themeColor="text1"/>
                <w:spacing w:val="-2"/>
                <w:w w:val="95"/>
                <w:sz w:val="20"/>
              </w:rPr>
              <w:t xml:space="preserve">unzione di segnalazione, in particolare per quanto riguarda le quote di liquidità previste dalle norme in materia di vigilanza bancaria </w:t>
            </w:r>
          </w:p>
          <w:p w14:paraId="31F7111C" w14:textId="6D3B81E7"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6.4</w:t>
            </w:r>
            <w:r w:rsidRPr="004B56A9">
              <w:tab/>
            </w:r>
            <w:proofErr w:type="gramStart"/>
            <w:r w:rsidRPr="004B56A9">
              <w:rPr>
                <w:rFonts w:ascii="Times New Roman" w:hAnsi="Times New Roman"/>
                <w:color w:val="000000" w:themeColor="text1"/>
                <w:spacing w:val="-2"/>
                <w:w w:val="95"/>
                <w:sz w:val="20"/>
              </w:rPr>
              <w:t>c</w:t>
            </w:r>
            <w:proofErr w:type="gramEnd"/>
            <w:r w:rsidRPr="004B56A9">
              <w:rPr>
                <w:rFonts w:ascii="Times New Roman" w:hAnsi="Times New Roman"/>
                <w:color w:val="000000" w:themeColor="text1"/>
                <w:spacing w:val="-2"/>
                <w:w w:val="95"/>
                <w:sz w:val="20"/>
              </w:rPr>
              <w:t xml:space="preserve">oordinamento, amministrazione e gestione di programmi di finanziamento a medio lungo termine e di rifinanziamento delle entità del gruppo </w:t>
            </w:r>
          </w:p>
          <w:p w14:paraId="6E582CA5" w14:textId="62B96095"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6.5</w:t>
            </w:r>
            <w:r w:rsidRPr="004B56A9">
              <w:tab/>
            </w:r>
            <w:proofErr w:type="gramStart"/>
            <w:r w:rsidRPr="004B56A9">
              <w:rPr>
                <w:rFonts w:ascii="Times New Roman" w:hAnsi="Times New Roman"/>
                <w:color w:val="000000" w:themeColor="text1"/>
                <w:spacing w:val="-2"/>
                <w:w w:val="95"/>
                <w:sz w:val="20"/>
              </w:rPr>
              <w:t>c</w:t>
            </w:r>
            <w:proofErr w:type="gramEnd"/>
            <w:r w:rsidRPr="004B56A9">
              <w:rPr>
                <w:rFonts w:ascii="Times New Roman" w:hAnsi="Times New Roman"/>
                <w:color w:val="000000" w:themeColor="text1"/>
                <w:spacing w:val="-2"/>
                <w:w w:val="95"/>
                <w:sz w:val="20"/>
              </w:rPr>
              <w:t>oordinamento, amministrazione e gestione del rifinanziamento, in particolare le questioni a breve termine</w:t>
            </w:r>
          </w:p>
          <w:p w14:paraId="47B5AF1A" w14:textId="35DCDC1B"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7.</w:t>
            </w:r>
            <w:r w:rsidRPr="004B56A9">
              <w:tab/>
            </w:r>
            <w:r w:rsidRPr="004B56A9">
              <w:rPr>
                <w:rFonts w:ascii="Times New Roman" w:hAnsi="Times New Roman"/>
                <w:color w:val="000000" w:themeColor="text1"/>
                <w:spacing w:val="-2"/>
                <w:w w:val="95"/>
                <w:sz w:val="20"/>
              </w:rPr>
              <w:t>Gestione delle negoziazioni/del patrimonio</w:t>
            </w:r>
          </w:p>
          <w:p w14:paraId="200B4759" w14:textId="106163A9"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7.1</w:t>
            </w:r>
            <w:r w:rsidRPr="004B56A9">
              <w:tab/>
            </w:r>
            <w:proofErr w:type="gramStart"/>
            <w:r w:rsidRPr="004B56A9">
              <w:rPr>
                <w:rFonts w:ascii="Times New Roman" w:hAnsi="Times New Roman"/>
                <w:color w:val="000000" w:themeColor="text1"/>
                <w:spacing w:val="-2"/>
                <w:w w:val="95"/>
                <w:sz w:val="20"/>
              </w:rPr>
              <w:t>e</w:t>
            </w:r>
            <w:proofErr w:type="gramEnd"/>
            <w:r w:rsidRPr="004B56A9">
              <w:rPr>
                <w:rFonts w:ascii="Times New Roman" w:hAnsi="Times New Roman"/>
                <w:color w:val="000000" w:themeColor="text1"/>
                <w:spacing w:val="-2"/>
                <w:w w:val="95"/>
                <w:sz w:val="20"/>
              </w:rPr>
              <w:t>laborazione delle operazioni: rilevazione degli scambi, progettazione, realizzazione, servizio dei prodotti di negoziazione</w:t>
            </w:r>
          </w:p>
          <w:p w14:paraId="6BBCDF12" w14:textId="186D8E2D"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7.2</w:t>
            </w:r>
            <w:r w:rsidRPr="004B56A9">
              <w:tab/>
            </w:r>
            <w:proofErr w:type="gramStart"/>
            <w:r w:rsidRPr="004B56A9">
              <w:rPr>
                <w:rFonts w:ascii="Times New Roman" w:hAnsi="Times New Roman"/>
                <w:color w:val="000000" w:themeColor="text1"/>
                <w:spacing w:val="-2"/>
                <w:w w:val="95"/>
                <w:sz w:val="20"/>
              </w:rPr>
              <w:t>c</w:t>
            </w:r>
            <w:proofErr w:type="gramEnd"/>
            <w:r w:rsidRPr="004B56A9">
              <w:rPr>
                <w:rFonts w:ascii="Times New Roman" w:hAnsi="Times New Roman"/>
                <w:color w:val="000000" w:themeColor="text1"/>
                <w:spacing w:val="-2"/>
                <w:w w:val="95"/>
                <w:sz w:val="20"/>
              </w:rPr>
              <w:t>onferma, regolamento, pagamento</w:t>
            </w:r>
          </w:p>
          <w:p w14:paraId="47C6A927" w14:textId="6DCAC748"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7.3</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 xml:space="preserve">estione delle posizioni e delle controparti, per quanto riguarda la comunicazione di dati e i rapporti con le controparti </w:t>
            </w:r>
          </w:p>
          <w:p w14:paraId="2B542180" w14:textId="426CAE00"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7.4</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estione delle posizioni (rischio e riconciliazione)</w:t>
            </w:r>
          </w:p>
          <w:p w14:paraId="5595E74B" w14:textId="1108A212"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8.</w:t>
            </w:r>
            <w:r w:rsidRPr="004B56A9">
              <w:tab/>
            </w:r>
            <w:r w:rsidRPr="004B56A9">
              <w:rPr>
                <w:rFonts w:ascii="Times New Roman" w:hAnsi="Times New Roman"/>
                <w:color w:val="000000" w:themeColor="text1"/>
                <w:spacing w:val="-2"/>
                <w:w w:val="95"/>
                <w:sz w:val="20"/>
              </w:rPr>
              <w:t xml:space="preserve">Gestione e valutazione del rischio </w:t>
            </w:r>
          </w:p>
          <w:p w14:paraId="72D70022" w14:textId="7EBEDBB8"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8.1</w:t>
            </w:r>
            <w:r w:rsidRPr="004B56A9">
              <w:tab/>
            </w:r>
            <w:r w:rsidRPr="004B56A9">
              <w:rPr>
                <w:rFonts w:ascii="Times New Roman" w:hAnsi="Times New Roman"/>
                <w:color w:val="000000" w:themeColor="text1"/>
                <w:spacing w:val="-2"/>
                <w:w w:val="95"/>
                <w:sz w:val="20"/>
              </w:rPr>
              <w:t xml:space="preserve">Gestione del rischio centrale o </w:t>
            </w:r>
            <w:proofErr w:type="gramStart"/>
            <w:r w:rsidRPr="004B56A9">
              <w:rPr>
                <w:rFonts w:ascii="Times New Roman" w:hAnsi="Times New Roman"/>
                <w:color w:val="000000" w:themeColor="text1"/>
                <w:spacing w:val="-2"/>
                <w:w w:val="95"/>
                <w:sz w:val="20"/>
              </w:rPr>
              <w:t>in relazione alla</w:t>
            </w:r>
            <w:proofErr w:type="gramEnd"/>
            <w:r w:rsidRPr="004B56A9">
              <w:rPr>
                <w:rFonts w:ascii="Times New Roman" w:hAnsi="Times New Roman"/>
                <w:color w:val="000000" w:themeColor="text1"/>
                <w:spacing w:val="-2"/>
                <w:w w:val="95"/>
                <w:sz w:val="20"/>
              </w:rPr>
              <w:t xml:space="preserve"> linea di business o al tipo di rischio</w:t>
            </w:r>
          </w:p>
          <w:p w14:paraId="3D2D1B07" w14:textId="593E393E"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8.2</w:t>
            </w:r>
            <w:r w:rsidRPr="004B56A9">
              <w:tab/>
            </w:r>
            <w:proofErr w:type="gramStart"/>
            <w:r w:rsidRPr="004B56A9">
              <w:rPr>
                <w:rFonts w:ascii="Times New Roman" w:hAnsi="Times New Roman"/>
                <w:color w:val="000000" w:themeColor="text1"/>
                <w:spacing w:val="-2"/>
                <w:w w:val="95"/>
                <w:sz w:val="20"/>
              </w:rPr>
              <w:t>g</w:t>
            </w:r>
            <w:proofErr w:type="gramEnd"/>
            <w:r w:rsidRPr="004B56A9">
              <w:rPr>
                <w:rFonts w:ascii="Times New Roman" w:hAnsi="Times New Roman"/>
                <w:color w:val="000000" w:themeColor="text1"/>
                <w:spacing w:val="-2"/>
                <w:w w:val="95"/>
                <w:sz w:val="20"/>
              </w:rPr>
              <w:t>enerazione delle relazioni sui rischi</w:t>
            </w:r>
          </w:p>
          <w:p w14:paraId="0672ACFE" w14:textId="585CC1AE"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9.</w:t>
            </w:r>
            <w:r w:rsidRPr="004B56A9">
              <w:tab/>
            </w:r>
            <w:r w:rsidRPr="004B56A9">
              <w:rPr>
                <w:rFonts w:ascii="Times New Roman" w:hAnsi="Times New Roman"/>
                <w:color w:val="000000" w:themeColor="text1"/>
                <w:spacing w:val="-2"/>
                <w:w w:val="95"/>
                <w:sz w:val="20"/>
              </w:rPr>
              <w:t xml:space="preserve">Contabilità </w:t>
            </w:r>
          </w:p>
          <w:p w14:paraId="786350C1" w14:textId="1E6D11D5"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9.1</w:t>
            </w:r>
            <w:r w:rsidRPr="004B56A9">
              <w:tab/>
            </w:r>
            <w:proofErr w:type="gramStart"/>
            <w:r w:rsidRPr="004B56A9">
              <w:rPr>
                <w:rFonts w:ascii="Times New Roman" w:hAnsi="Times New Roman"/>
                <w:color w:val="000000" w:themeColor="text1"/>
                <w:spacing w:val="-2"/>
                <w:w w:val="95"/>
                <w:sz w:val="20"/>
              </w:rPr>
              <w:t>r</w:t>
            </w:r>
            <w:proofErr w:type="gramEnd"/>
            <w:r w:rsidRPr="004B56A9">
              <w:rPr>
                <w:rFonts w:ascii="Times New Roman" w:hAnsi="Times New Roman"/>
                <w:color w:val="000000" w:themeColor="text1"/>
                <w:spacing w:val="-2"/>
                <w:w w:val="95"/>
                <w:sz w:val="20"/>
              </w:rPr>
              <w:t>elazioni statutarie e regolamentari</w:t>
            </w:r>
          </w:p>
          <w:p w14:paraId="151DFD11" w14:textId="7B20A223"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9.2</w:t>
            </w:r>
            <w:r w:rsidRPr="004B56A9">
              <w:tab/>
            </w:r>
            <w:proofErr w:type="gramStart"/>
            <w:r w:rsidRPr="004B56A9">
              <w:rPr>
                <w:rFonts w:ascii="Times New Roman" w:hAnsi="Times New Roman"/>
                <w:color w:val="000000" w:themeColor="text1"/>
                <w:spacing w:val="-2"/>
                <w:w w:val="95"/>
                <w:sz w:val="20"/>
              </w:rPr>
              <w:t>v</w:t>
            </w:r>
            <w:proofErr w:type="gramEnd"/>
            <w:r w:rsidRPr="004B56A9">
              <w:rPr>
                <w:rFonts w:ascii="Times New Roman" w:hAnsi="Times New Roman"/>
                <w:color w:val="000000" w:themeColor="text1"/>
                <w:spacing w:val="-2"/>
                <w:w w:val="95"/>
                <w:sz w:val="20"/>
              </w:rPr>
              <w:t>alutazione, in particolare delle posizioni di mercato</w:t>
            </w:r>
          </w:p>
          <w:p w14:paraId="3A823FE1" w14:textId="2A082000" w:rsidR="000713A0" w:rsidRPr="004B56A9" w:rsidRDefault="00D619CB" w:rsidP="00FB7D83">
            <w:pPr>
              <w:pStyle w:val="TableParagraph"/>
              <w:spacing w:before="108"/>
              <w:ind w:left="907"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9.3</w:t>
            </w:r>
            <w:r w:rsidRPr="004B56A9">
              <w:tab/>
            </w:r>
            <w:proofErr w:type="gramStart"/>
            <w:r w:rsidRPr="004B56A9">
              <w:rPr>
                <w:rFonts w:ascii="Times New Roman" w:hAnsi="Times New Roman"/>
                <w:color w:val="000000" w:themeColor="text1"/>
                <w:spacing w:val="-2"/>
                <w:w w:val="95"/>
                <w:sz w:val="20"/>
              </w:rPr>
              <w:t>r</w:t>
            </w:r>
            <w:proofErr w:type="gramEnd"/>
            <w:r w:rsidRPr="004B56A9">
              <w:rPr>
                <w:rFonts w:ascii="Times New Roman" w:hAnsi="Times New Roman"/>
                <w:color w:val="000000" w:themeColor="text1"/>
                <w:spacing w:val="-2"/>
                <w:w w:val="95"/>
                <w:sz w:val="20"/>
              </w:rPr>
              <w:t>elazioni sulla gestione</w:t>
            </w:r>
          </w:p>
          <w:p w14:paraId="21DC3131" w14:textId="6412D276" w:rsidR="000713A0" w:rsidRPr="004B56A9" w:rsidRDefault="00D619CB" w:rsidP="00FB7D83">
            <w:pPr>
              <w:pStyle w:val="TableParagraph"/>
              <w:spacing w:before="108"/>
              <w:ind w:left="510" w:hanging="39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10.</w:t>
            </w:r>
            <w:r w:rsidRPr="004B56A9">
              <w:tab/>
            </w:r>
            <w:r w:rsidRPr="004B56A9">
              <w:rPr>
                <w:rFonts w:ascii="Times New Roman" w:hAnsi="Times New Roman"/>
                <w:color w:val="000000" w:themeColor="text1"/>
                <w:spacing w:val="-2"/>
                <w:w w:val="95"/>
                <w:sz w:val="20"/>
              </w:rPr>
              <w:t>Gestione della liquidità</w:t>
            </w:r>
          </w:p>
        </w:tc>
      </w:tr>
      <w:tr w:rsidR="00D22EB0" w:rsidRPr="004B56A9" w14:paraId="1C96D81B" w14:textId="77777777" w:rsidTr="00471773">
        <w:tc>
          <w:tcPr>
            <w:tcW w:w="1191" w:type="dxa"/>
            <w:tcBorders>
              <w:top w:val="single" w:sz="4" w:space="0" w:color="1A171C"/>
              <w:left w:val="nil"/>
              <w:bottom w:val="single" w:sz="4" w:space="0" w:color="1A171C"/>
              <w:right w:val="single" w:sz="4" w:space="0" w:color="1A171C"/>
            </w:tcBorders>
            <w:vAlign w:val="center"/>
          </w:tcPr>
          <w:p w14:paraId="590365DF" w14:textId="2D8BA60A"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7E889DB7"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Destinatario del servizio </w:t>
            </w:r>
          </w:p>
          <w:p w14:paraId="72680BBA" w14:textId="492682DA" w:rsidR="000713A0"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L’entità del gruppo che riceve da un’altra entità del gruppo o </w:t>
            </w:r>
            <w:proofErr w:type="gramStart"/>
            <w:r w:rsidRPr="004B56A9">
              <w:rPr>
                <w:rFonts w:ascii="Times New Roman" w:hAnsi="Times New Roman"/>
                <w:color w:val="000000" w:themeColor="text1"/>
                <w:spacing w:val="-2"/>
                <w:w w:val="95"/>
                <w:sz w:val="20"/>
              </w:rPr>
              <w:t>dal fornitore esterno segnalati</w:t>
            </w:r>
            <w:proofErr w:type="gramEnd"/>
            <w:r w:rsidRPr="004B56A9">
              <w:rPr>
                <w:rFonts w:ascii="Times New Roman" w:hAnsi="Times New Roman"/>
                <w:color w:val="000000" w:themeColor="text1"/>
                <w:spacing w:val="-2"/>
                <w:w w:val="95"/>
                <w:sz w:val="20"/>
              </w:rPr>
              <w:t xml:space="preserve"> nelle colonne 0040-0050 il servizio essenziale segnalato nella colonna 0010. </w:t>
            </w:r>
          </w:p>
        </w:tc>
      </w:tr>
      <w:tr w:rsidR="00D22EB0" w:rsidRPr="004B56A9" w14:paraId="7929F5D0" w14:textId="77777777" w:rsidTr="00471773">
        <w:tc>
          <w:tcPr>
            <w:tcW w:w="1191" w:type="dxa"/>
            <w:tcBorders>
              <w:top w:val="single" w:sz="4" w:space="0" w:color="1A171C"/>
              <w:left w:val="nil"/>
              <w:bottom w:val="single" w:sz="4" w:space="0" w:color="1A171C"/>
              <w:right w:val="single" w:sz="4" w:space="0" w:color="1A171C"/>
            </w:tcBorders>
            <w:vAlign w:val="center"/>
          </w:tcPr>
          <w:p w14:paraId="58880E0A" w14:textId="4A61C779"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6177404E"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Nome dell’entità </w:t>
            </w:r>
          </w:p>
          <w:p w14:paraId="768F7936" w14:textId="67CCB6A9"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Dev’essere diverso dal nome elencato nella colonna 0040. </w:t>
            </w:r>
          </w:p>
        </w:tc>
      </w:tr>
      <w:tr w:rsidR="00D22EB0" w:rsidRPr="004B56A9" w14:paraId="37FCCE1F" w14:textId="77777777" w:rsidTr="00471773">
        <w:tc>
          <w:tcPr>
            <w:tcW w:w="1191" w:type="dxa"/>
            <w:tcBorders>
              <w:top w:val="single" w:sz="4" w:space="0" w:color="1A171C"/>
              <w:left w:val="nil"/>
              <w:bottom w:val="single" w:sz="4" w:space="0" w:color="1A171C"/>
              <w:right w:val="single" w:sz="4" w:space="0" w:color="1A171C"/>
            </w:tcBorders>
            <w:vAlign w:val="center"/>
          </w:tcPr>
          <w:p w14:paraId="00301CEE" w14:textId="22F93462"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6606C8F7"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
          <w:p w14:paraId="2D588738" w14:textId="4DA31EB7"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L’identificativo unico dell’entità giuridica della colonna 0020 come segnalato nel modello Z 01.00 (ORG</w:t>
            </w:r>
            <w:proofErr w:type="gramStart"/>
            <w:r w:rsidRPr="004B56A9">
              <w:rPr>
                <w:rFonts w:ascii="Times New Roman" w:hAnsi="Times New Roman"/>
                <w:color w:val="000000" w:themeColor="text1"/>
                <w:spacing w:val="-2"/>
                <w:w w:val="95"/>
                <w:sz w:val="20"/>
              </w:rPr>
              <w:t>)</w:t>
            </w:r>
            <w:proofErr w:type="gramEnd"/>
          </w:p>
          <w:p w14:paraId="50D289C9" w14:textId="18331529"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Dev’essere diverso dall’identificativo segnalato nella colonna 0050.</w:t>
            </w:r>
          </w:p>
        </w:tc>
      </w:tr>
      <w:tr w:rsidR="00D22EB0" w:rsidRPr="004B56A9" w14:paraId="7E7FF580" w14:textId="77777777" w:rsidTr="00471773">
        <w:tc>
          <w:tcPr>
            <w:tcW w:w="1191" w:type="dxa"/>
            <w:tcBorders>
              <w:top w:val="single" w:sz="4" w:space="0" w:color="1A171C"/>
              <w:left w:val="nil"/>
              <w:bottom w:val="single" w:sz="4" w:space="0" w:color="1A171C"/>
              <w:right w:val="single" w:sz="4" w:space="0" w:color="1A171C"/>
            </w:tcBorders>
            <w:vAlign w:val="center"/>
          </w:tcPr>
          <w:p w14:paraId="7B6011E6" w14:textId="2699ADFC"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1926CBEA"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Fornitore del servizio </w:t>
            </w:r>
          </w:p>
          <w:p w14:paraId="2F9B93C0" w14:textId="68CBFE99" w:rsidR="000713A0"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L’entità giuridica (interna o esterna) che fornisce a un’entità del gruppo il servizio essenziale segnalato nella colonna 0010. </w:t>
            </w:r>
          </w:p>
        </w:tc>
      </w:tr>
      <w:tr w:rsidR="00D22EB0" w:rsidRPr="004B56A9" w14:paraId="28FE95EF" w14:textId="77777777" w:rsidTr="00471773">
        <w:tc>
          <w:tcPr>
            <w:tcW w:w="1191" w:type="dxa"/>
            <w:tcBorders>
              <w:top w:val="single" w:sz="4" w:space="0" w:color="1A171C"/>
              <w:left w:val="nil"/>
              <w:bottom w:val="single" w:sz="4" w:space="0" w:color="1A171C"/>
              <w:right w:val="single" w:sz="4" w:space="0" w:color="1A171C"/>
            </w:tcBorders>
            <w:vAlign w:val="center"/>
          </w:tcPr>
          <w:p w14:paraId="622120AF" w14:textId="7EA47E94" w:rsidR="000713A0" w:rsidRPr="004B56A9" w:rsidRDefault="0047177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56A136E7"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Nome dell’entità </w:t>
            </w:r>
          </w:p>
          <w:p w14:paraId="2BEFC8FE" w14:textId="1F07B90F"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Dev’essere diverso dal nome elencato nella colonna 0020. </w:t>
            </w:r>
          </w:p>
        </w:tc>
      </w:tr>
      <w:tr w:rsidR="00D22EB0" w:rsidRPr="004B56A9" w14:paraId="4433A81C" w14:textId="77777777" w:rsidTr="00471773">
        <w:tc>
          <w:tcPr>
            <w:tcW w:w="1191" w:type="dxa"/>
            <w:tcBorders>
              <w:top w:val="single" w:sz="4" w:space="0" w:color="1A171C"/>
              <w:left w:val="nil"/>
              <w:bottom w:val="single" w:sz="4" w:space="0" w:color="1A171C"/>
              <w:right w:val="single" w:sz="4" w:space="0" w:color="1A171C"/>
            </w:tcBorders>
            <w:vAlign w:val="center"/>
          </w:tcPr>
          <w:p w14:paraId="365F2BC4" w14:textId="2F655785"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29D8D08B"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
          <w:p w14:paraId="6510F242" w14:textId="5B67230C" w:rsidR="00741D62"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L’identificativo unico dell’entità giuridica della colonna 0020. Dev’essere diverso dall’identificativo riportato nella colonna 0030.</w:t>
            </w:r>
          </w:p>
          <w:p w14:paraId="467EF80D" w14:textId="423B8EF7" w:rsidR="00E02367"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Laddove il fornitore di servizi è un’entità del gruppo, il codice è identico a quello segnalato nel modello Z 01.00 (ORG). </w:t>
            </w:r>
          </w:p>
          <w:p w14:paraId="0DE47BBB" w14:textId="77777777" w:rsidR="00E02367" w:rsidRPr="004B56A9" w:rsidRDefault="000725C8"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Laddove il fornitore di servizi non è un’entità del gruppo, il codice di </w:t>
            </w:r>
            <w:proofErr w:type="gramStart"/>
            <w:r w:rsidRPr="004B56A9">
              <w:rPr>
                <w:rFonts w:ascii="Times New Roman" w:hAnsi="Times New Roman"/>
                <w:color w:val="000000" w:themeColor="text1"/>
                <w:spacing w:val="-2"/>
                <w:w w:val="95"/>
                <w:sz w:val="20"/>
              </w:rPr>
              <w:t>tale</w:t>
            </w:r>
            <w:proofErr w:type="gramEnd"/>
            <w:r w:rsidRPr="004B56A9">
              <w:rPr>
                <w:rFonts w:ascii="Times New Roman" w:hAnsi="Times New Roman"/>
                <w:color w:val="000000" w:themeColor="text1"/>
                <w:spacing w:val="-2"/>
                <w:w w:val="95"/>
                <w:sz w:val="20"/>
              </w:rPr>
              <w:t xml:space="preserve"> entità è:</w:t>
            </w:r>
          </w:p>
          <w:p w14:paraId="14C42ABB" w14:textId="2984C0EF" w:rsidR="00E02367" w:rsidRPr="004B56A9" w:rsidRDefault="00E02367" w:rsidP="00FB7D83">
            <w:pPr>
              <w:pStyle w:val="TableParagraph"/>
              <w:numPr>
                <w:ilvl w:val="0"/>
                <w:numId w:val="22"/>
              </w:numPr>
              <w:spacing w:before="108" w:after="360"/>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per</w:t>
            </w:r>
            <w:proofErr w:type="gramEnd"/>
            <w:r w:rsidRPr="004B56A9">
              <w:rPr>
                <w:rFonts w:ascii="Times New Roman" w:hAnsi="Times New Roman"/>
                <w:color w:val="000000" w:themeColor="text1"/>
                <w:spacing w:val="-2"/>
                <w:w w:val="95"/>
                <w:sz w:val="20"/>
              </w:rPr>
              <w:t xml:space="preserve"> gli enti, il codice LEI alfanumerico a 20 cifre;</w:t>
            </w:r>
          </w:p>
          <w:p w14:paraId="5BC1C6FF" w14:textId="3EF654AB" w:rsidR="000725C8" w:rsidRPr="004B56A9" w:rsidRDefault="00E02367" w:rsidP="00FB7D83">
            <w:pPr>
              <w:pStyle w:val="TableParagraph"/>
              <w:numPr>
                <w:ilvl w:val="0"/>
                <w:numId w:val="22"/>
              </w:numPr>
              <w:spacing w:before="108"/>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lastRenderedPageBreak/>
              <w:t>per</w:t>
            </w:r>
            <w:proofErr w:type="gramEnd"/>
            <w:r w:rsidRPr="004B56A9">
              <w:rPr>
                <w:rFonts w:ascii="Times New Roman" w:hAnsi="Times New Roman"/>
                <w:color w:val="000000" w:themeColor="text1"/>
                <w:spacing w:val="-2"/>
                <w:w w:val="95"/>
                <w:sz w:val="20"/>
              </w:rPr>
              <w:t xml:space="preserve"> le altre entità, il codice LEI alfanumerico a 20 cifre o, in sua mancanza, un codice di un sistema di codifica uniforme applicabile nell’Unione ovvero, in sua mancanza, un codice nazionale.</w:t>
            </w:r>
          </w:p>
          <w:p w14:paraId="7DC53D95" w14:textId="33FC0A8A" w:rsidR="000713A0" w:rsidRPr="004B56A9" w:rsidRDefault="000725C8"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è unico e utilizzato in modo coerente in tutti i modelli.</w:t>
            </w:r>
          </w:p>
          <w:p w14:paraId="7C1EC9E1" w14:textId="40A78ABE"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4B56A9" w14:paraId="693F45C9"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4166E581" w14:textId="74935FED"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2BA18141"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Appartenente al gruppo </w:t>
            </w:r>
          </w:p>
          <w:p w14:paraId="2FEDBBC0" w14:textId="0ED99042" w:rsidR="006C73FE"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“Sì” – se il servizio è fornito da un’entità del gruppo (“interna”</w:t>
            </w:r>
            <w:proofErr w:type="gramStart"/>
            <w:r w:rsidRPr="004B56A9">
              <w:rPr>
                <w:rFonts w:ascii="Times New Roman" w:hAnsi="Times New Roman"/>
                <w:color w:val="000000" w:themeColor="text1"/>
                <w:spacing w:val="-2"/>
                <w:w w:val="95"/>
                <w:sz w:val="20"/>
              </w:rPr>
              <w:t>)</w:t>
            </w:r>
            <w:proofErr w:type="gramEnd"/>
          </w:p>
          <w:p w14:paraId="237F6480" w14:textId="2F9070BA" w:rsidR="000713A0"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“No” – se il servizio è fornito da un’entità al di fuori del gruppo (“esterna”</w:t>
            </w:r>
            <w:proofErr w:type="gramStart"/>
            <w:r w:rsidRPr="004B56A9">
              <w:rPr>
                <w:rFonts w:ascii="Times New Roman" w:hAnsi="Times New Roman"/>
                <w:color w:val="000000" w:themeColor="text1"/>
                <w:spacing w:val="-2"/>
                <w:w w:val="95"/>
                <w:sz w:val="20"/>
              </w:rPr>
              <w:t>)</w:t>
            </w:r>
            <w:proofErr w:type="gramEnd"/>
          </w:p>
        </w:tc>
      </w:tr>
      <w:tr w:rsidR="00D22EB0" w:rsidRPr="004B56A9" w14:paraId="56481914" w14:textId="77777777" w:rsidTr="00471773">
        <w:tc>
          <w:tcPr>
            <w:tcW w:w="1191" w:type="dxa"/>
            <w:tcBorders>
              <w:top w:val="single" w:sz="4" w:space="0" w:color="1A171C"/>
              <w:left w:val="nil"/>
              <w:bottom w:val="single" w:sz="4" w:space="0" w:color="1A171C"/>
              <w:right w:val="single" w:sz="4" w:space="0" w:color="1A171C"/>
            </w:tcBorders>
            <w:vAlign w:val="center"/>
          </w:tcPr>
          <w:p w14:paraId="14072E4A" w14:textId="02D9D03E" w:rsidR="000713A0" w:rsidRPr="004B56A9" w:rsidRDefault="00471773"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14:paraId="58B93A52" w14:textId="18A1BF27" w:rsidR="000713A0" w:rsidRPr="004B56A9" w:rsidRDefault="006C73FE"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Funzione essenziale</w:t>
            </w:r>
          </w:p>
          <w:p w14:paraId="72879410" w14:textId="2DE17270" w:rsidR="000713A0" w:rsidRPr="004B56A9" w:rsidRDefault="000713A0"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 funzione essenziale la cui esecuzione </w:t>
            </w:r>
            <w:proofErr w:type="gramStart"/>
            <w:r w:rsidRPr="004B56A9">
              <w:rPr>
                <w:rFonts w:ascii="Times New Roman" w:hAnsi="Times New Roman"/>
                <w:color w:val="000000" w:themeColor="text1"/>
                <w:spacing w:val="-2"/>
                <w:w w:val="95"/>
                <w:sz w:val="20"/>
              </w:rPr>
              <w:t>verrebbe</w:t>
            </w:r>
            <w:proofErr w:type="gramEnd"/>
            <w:r w:rsidRPr="004B56A9">
              <w:rPr>
                <w:rFonts w:ascii="Times New Roman" w:hAnsi="Times New Roman"/>
                <w:color w:val="000000" w:themeColor="text1"/>
                <w:spacing w:val="-2"/>
                <w:w w:val="95"/>
                <w:sz w:val="20"/>
              </w:rPr>
              <w:t xml:space="preserve"> gravemente ostacolata o totalmente impedita in caso di interruzione del servizio essenziale. Si tratta di una delle funzioni valutate essenziali nel modello Z 07.01 (FUNC 1).</w:t>
            </w:r>
          </w:p>
        </w:tc>
      </w:tr>
      <w:tr w:rsidR="00D22EB0" w:rsidRPr="004B56A9" w14:paraId="2ED3D2CB" w14:textId="77777777" w:rsidTr="00471773">
        <w:tc>
          <w:tcPr>
            <w:tcW w:w="1191" w:type="dxa"/>
            <w:tcBorders>
              <w:top w:val="single" w:sz="4" w:space="0" w:color="1A171C"/>
              <w:left w:val="nil"/>
              <w:bottom w:val="single" w:sz="4" w:space="0" w:color="1A171C"/>
              <w:right w:val="single" w:sz="4" w:space="0" w:color="1A171C"/>
            </w:tcBorders>
            <w:vAlign w:val="center"/>
          </w:tcPr>
          <w:p w14:paraId="56DE2901" w14:textId="65CD2D84" w:rsidR="006C73FE" w:rsidRPr="004B56A9" w:rsidRDefault="00CB3D1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14:paraId="2DA4E5AD" w14:textId="45C4B94D" w:rsidR="006C73FE" w:rsidRPr="004B56A9" w:rsidRDefault="006D5CCF"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23D7F4B7" w14:textId="2DF21431" w:rsidR="006C73FE" w:rsidRPr="004B56A9" w:rsidRDefault="000F3337"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Lo Stato membro per il quale la funzione è essenziale, come segnalato in Z 07.01 (FUNC 1).</w:t>
            </w:r>
          </w:p>
        </w:tc>
      </w:tr>
      <w:tr w:rsidR="00D22EB0" w:rsidRPr="004B56A9" w14:paraId="20A7ED70" w14:textId="77777777" w:rsidTr="00471773">
        <w:tc>
          <w:tcPr>
            <w:tcW w:w="1191" w:type="dxa"/>
            <w:tcBorders>
              <w:top w:val="single" w:sz="4" w:space="0" w:color="1A171C"/>
              <w:left w:val="nil"/>
              <w:bottom w:val="single" w:sz="4" w:space="0" w:color="1A171C"/>
              <w:right w:val="single" w:sz="4" w:space="0" w:color="1A171C"/>
            </w:tcBorders>
            <w:vAlign w:val="center"/>
          </w:tcPr>
          <w:p w14:paraId="6EF19B49" w14:textId="1E59F30E" w:rsidR="006C73FE" w:rsidRPr="004B56A9" w:rsidRDefault="0095723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14:paraId="2769E419" w14:textId="21E5E522" w:rsidR="006C73FE" w:rsidRPr="004B56A9" w:rsidRDefault="006C73FE"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w:t>
            </w:r>
          </w:p>
          <w:p w14:paraId="45DF4006" w14:textId="3AFD6BC0" w:rsidR="006C73FE" w:rsidRPr="004B56A9" w:rsidRDefault="006C73FE"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L’identificativo delle funzioni essenziali quali definite al punto 2.7.1.4 e di cui al modello Z 07.01 (FUNC 1).</w:t>
            </w:r>
          </w:p>
        </w:tc>
      </w:tr>
      <w:tr w:rsidR="00D22EB0" w:rsidRPr="004B56A9" w14:paraId="3904ADEC" w14:textId="77777777" w:rsidTr="00471773">
        <w:tc>
          <w:tcPr>
            <w:tcW w:w="1191" w:type="dxa"/>
            <w:tcBorders>
              <w:top w:val="single" w:sz="4" w:space="0" w:color="1A171C"/>
              <w:left w:val="nil"/>
              <w:bottom w:val="single" w:sz="4" w:space="0" w:color="1A171C"/>
              <w:right w:val="single" w:sz="4" w:space="0" w:color="1A171C"/>
            </w:tcBorders>
            <w:vAlign w:val="center"/>
          </w:tcPr>
          <w:p w14:paraId="03EDDA89" w14:textId="42F95690" w:rsidR="000713A0" w:rsidRPr="004B56A9" w:rsidRDefault="00957235"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14:paraId="4AD6B1CF" w14:textId="08C8B6CA"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Temp</w:t>
            </w:r>
            <w:r w:rsidR="00590117" w:rsidRPr="004B56A9">
              <w:rPr>
                <w:rFonts w:ascii="Times New Roman" w:hAnsi="Times New Roman"/>
                <w:b/>
                <w:color w:val="000000" w:themeColor="text1"/>
                <w:sz w:val="20"/>
              </w:rPr>
              <w:t>o stimato per la sostituibilità</w:t>
            </w:r>
          </w:p>
          <w:p w14:paraId="0C8C8FE2" w14:textId="3F3AF5AA" w:rsidR="006C73FE"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tempo stimato necessario per sostituire un fornitore con un altro in misura comparabile in termini di oggetto, qualità e costi del serviz</w:t>
            </w:r>
            <w:proofErr w:type="gramEnd"/>
            <w:r w:rsidRPr="004B56A9">
              <w:rPr>
                <w:rFonts w:ascii="Times New Roman" w:hAnsi="Times New Roman"/>
                <w:color w:val="000000" w:themeColor="text1"/>
                <w:spacing w:val="-2"/>
                <w:w w:val="95"/>
                <w:sz w:val="20"/>
              </w:rPr>
              <w:t>io ricevuto.</w:t>
            </w:r>
          </w:p>
          <w:p w14:paraId="29703422" w14:textId="53EF532C" w:rsidR="000713A0" w:rsidRPr="004B56A9" w:rsidRDefault="006C73F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Segnalare uno dei seguenti valori:</w:t>
            </w:r>
          </w:p>
          <w:p w14:paraId="508CD657" w14:textId="16B1ED9D" w:rsidR="000713A0" w:rsidRPr="004B56A9" w:rsidRDefault="00590117"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w:t>
            </w:r>
            <w:r w:rsidR="000713A0" w:rsidRPr="004B56A9">
              <w:rPr>
                <w:rFonts w:ascii="Times New Roman" w:hAnsi="Times New Roman"/>
                <w:color w:val="000000" w:themeColor="text1"/>
                <w:spacing w:val="-2"/>
                <w:w w:val="95"/>
                <w:sz w:val="20"/>
              </w:rPr>
              <w:t xml:space="preserve">da </w:t>
            </w:r>
            <w:proofErr w:type="gramStart"/>
            <w:r w:rsidR="000713A0" w:rsidRPr="004B56A9">
              <w:rPr>
                <w:rFonts w:ascii="Times New Roman" w:hAnsi="Times New Roman"/>
                <w:color w:val="000000" w:themeColor="text1"/>
                <w:spacing w:val="-2"/>
                <w:w w:val="95"/>
                <w:sz w:val="20"/>
              </w:rPr>
              <w:t>1</w:t>
            </w:r>
            <w:proofErr w:type="gramEnd"/>
            <w:r w:rsidR="000713A0" w:rsidRPr="004B56A9">
              <w:rPr>
                <w:rFonts w:ascii="Times New Roman" w:hAnsi="Times New Roman"/>
                <w:color w:val="000000" w:themeColor="text1"/>
                <w:spacing w:val="-2"/>
                <w:w w:val="95"/>
                <w:sz w:val="20"/>
              </w:rPr>
              <w:t xml:space="preserve"> giorno a 1 settimana</w:t>
            </w:r>
            <w:r w:rsidRPr="004B56A9">
              <w:rPr>
                <w:rFonts w:ascii="Times New Roman" w:hAnsi="Times New Roman"/>
                <w:color w:val="000000" w:themeColor="text1"/>
                <w:spacing w:val="-2"/>
                <w:w w:val="95"/>
                <w:sz w:val="20"/>
              </w:rPr>
              <w:t>” laddove il tempo di sostituzione non supera una settimana;</w:t>
            </w:r>
          </w:p>
          <w:p w14:paraId="4607A737" w14:textId="42F5668B" w:rsidR="000713A0" w:rsidRPr="004B56A9" w:rsidRDefault="00590117"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w:t>
            </w:r>
            <w:r w:rsidR="000713A0" w:rsidRPr="004B56A9">
              <w:rPr>
                <w:rFonts w:ascii="Times New Roman" w:hAnsi="Times New Roman"/>
                <w:color w:val="000000" w:themeColor="text1"/>
                <w:spacing w:val="-2"/>
                <w:w w:val="95"/>
                <w:sz w:val="20"/>
              </w:rPr>
              <w:t xml:space="preserve">da </w:t>
            </w:r>
            <w:proofErr w:type="gramStart"/>
            <w:r w:rsidR="000713A0" w:rsidRPr="004B56A9">
              <w:rPr>
                <w:rFonts w:ascii="Times New Roman" w:hAnsi="Times New Roman"/>
                <w:color w:val="000000" w:themeColor="text1"/>
                <w:spacing w:val="-2"/>
                <w:w w:val="95"/>
                <w:sz w:val="20"/>
              </w:rPr>
              <w:t>1</w:t>
            </w:r>
            <w:proofErr w:type="gramEnd"/>
            <w:r w:rsidR="000713A0" w:rsidRPr="004B56A9">
              <w:rPr>
                <w:rFonts w:ascii="Times New Roman" w:hAnsi="Times New Roman"/>
                <w:color w:val="000000" w:themeColor="text1"/>
                <w:spacing w:val="-2"/>
                <w:w w:val="95"/>
                <w:sz w:val="20"/>
              </w:rPr>
              <w:t xml:space="preserve"> settimana a 1 mese</w:t>
            </w:r>
            <w:r w:rsidRPr="004B56A9">
              <w:rPr>
                <w:rFonts w:ascii="Times New Roman" w:hAnsi="Times New Roman"/>
                <w:color w:val="000000" w:themeColor="text1"/>
                <w:spacing w:val="-2"/>
                <w:w w:val="95"/>
                <w:sz w:val="20"/>
              </w:rPr>
              <w:t>” laddove il tempo di sostituzione supera una settimana ma non supera un mese;</w:t>
            </w:r>
          </w:p>
          <w:p w14:paraId="2EA6BA21" w14:textId="59B7F7E2" w:rsidR="000713A0" w:rsidRPr="004B56A9" w:rsidRDefault="00590117"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w:t>
            </w:r>
            <w:r w:rsidR="000713A0" w:rsidRPr="004B56A9">
              <w:rPr>
                <w:rFonts w:ascii="Times New Roman" w:hAnsi="Times New Roman"/>
                <w:color w:val="000000" w:themeColor="text1"/>
                <w:spacing w:val="-2"/>
                <w:w w:val="95"/>
                <w:sz w:val="20"/>
              </w:rPr>
              <w:t xml:space="preserve">da 1a </w:t>
            </w:r>
            <w:proofErr w:type="gramStart"/>
            <w:r w:rsidR="000713A0" w:rsidRPr="004B56A9">
              <w:rPr>
                <w:rFonts w:ascii="Times New Roman" w:hAnsi="Times New Roman"/>
                <w:color w:val="000000" w:themeColor="text1"/>
                <w:spacing w:val="-2"/>
                <w:w w:val="95"/>
                <w:sz w:val="20"/>
              </w:rPr>
              <w:t>6</w:t>
            </w:r>
            <w:proofErr w:type="gramEnd"/>
            <w:r w:rsidR="000713A0" w:rsidRPr="004B56A9">
              <w:rPr>
                <w:rFonts w:ascii="Times New Roman" w:hAnsi="Times New Roman"/>
                <w:color w:val="000000" w:themeColor="text1"/>
                <w:spacing w:val="-2"/>
                <w:w w:val="95"/>
                <w:sz w:val="20"/>
              </w:rPr>
              <w:t xml:space="preserve"> mesi</w:t>
            </w:r>
            <w:r w:rsidRPr="004B56A9">
              <w:rPr>
                <w:rFonts w:ascii="Times New Roman" w:hAnsi="Times New Roman"/>
                <w:color w:val="000000" w:themeColor="text1"/>
                <w:spacing w:val="-2"/>
                <w:w w:val="95"/>
                <w:sz w:val="20"/>
              </w:rPr>
              <w:t>” laddove il tempo di sostituzione supera un mese ma non supera 6 mesi;</w:t>
            </w:r>
          </w:p>
          <w:p w14:paraId="4D3F52F6" w14:textId="381A0828" w:rsidR="000713A0" w:rsidRPr="004B56A9" w:rsidRDefault="00590117"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w:t>
            </w:r>
            <w:r w:rsidR="000713A0" w:rsidRPr="004B56A9">
              <w:rPr>
                <w:rFonts w:ascii="Times New Roman" w:hAnsi="Times New Roman"/>
                <w:color w:val="000000" w:themeColor="text1"/>
                <w:spacing w:val="-2"/>
                <w:w w:val="95"/>
                <w:sz w:val="20"/>
              </w:rPr>
              <w:t xml:space="preserve">da </w:t>
            </w:r>
            <w:proofErr w:type="gramStart"/>
            <w:r w:rsidR="000713A0" w:rsidRPr="004B56A9">
              <w:rPr>
                <w:rFonts w:ascii="Times New Roman" w:hAnsi="Times New Roman"/>
                <w:color w:val="000000" w:themeColor="text1"/>
                <w:spacing w:val="-2"/>
                <w:w w:val="95"/>
                <w:sz w:val="20"/>
              </w:rPr>
              <w:t>6</w:t>
            </w:r>
            <w:proofErr w:type="gramEnd"/>
            <w:r w:rsidR="000713A0" w:rsidRPr="004B56A9">
              <w:rPr>
                <w:rFonts w:ascii="Times New Roman" w:hAnsi="Times New Roman"/>
                <w:color w:val="000000" w:themeColor="text1"/>
                <w:spacing w:val="-2"/>
                <w:w w:val="95"/>
                <w:sz w:val="20"/>
              </w:rPr>
              <w:t xml:space="preserve"> a 12 mesi</w:t>
            </w:r>
            <w:r w:rsidRPr="004B56A9">
              <w:rPr>
                <w:rFonts w:ascii="Times New Roman" w:hAnsi="Times New Roman"/>
                <w:color w:val="000000" w:themeColor="text1"/>
                <w:spacing w:val="-2"/>
                <w:w w:val="95"/>
                <w:sz w:val="20"/>
              </w:rPr>
              <w:t>” laddove il tempo di sostituzione supera 6 mesi ma non supera un anno;</w:t>
            </w:r>
          </w:p>
          <w:p w14:paraId="56E5629B" w14:textId="38A85447" w:rsidR="000713A0" w:rsidRPr="004B56A9" w:rsidRDefault="00590117"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w:t>
            </w:r>
            <w:r w:rsidR="000713A0" w:rsidRPr="004B56A9">
              <w:rPr>
                <w:rFonts w:ascii="Times New Roman" w:hAnsi="Times New Roman"/>
                <w:color w:val="000000" w:themeColor="text1"/>
                <w:spacing w:val="-2"/>
                <w:w w:val="95"/>
                <w:sz w:val="20"/>
              </w:rPr>
              <w:t xml:space="preserve">più di </w:t>
            </w:r>
            <w:proofErr w:type="gramStart"/>
            <w:r w:rsidR="000713A0" w:rsidRPr="004B56A9">
              <w:rPr>
                <w:rFonts w:ascii="Times New Roman" w:hAnsi="Times New Roman"/>
                <w:color w:val="000000" w:themeColor="text1"/>
                <w:spacing w:val="-2"/>
                <w:w w:val="95"/>
                <w:sz w:val="20"/>
              </w:rPr>
              <w:t>1</w:t>
            </w:r>
            <w:proofErr w:type="gramEnd"/>
            <w:r w:rsidR="000713A0" w:rsidRPr="004B56A9">
              <w:rPr>
                <w:rFonts w:ascii="Times New Roman" w:hAnsi="Times New Roman"/>
                <w:color w:val="000000" w:themeColor="text1"/>
                <w:spacing w:val="-2"/>
                <w:w w:val="95"/>
                <w:sz w:val="20"/>
              </w:rPr>
              <w:t xml:space="preserve"> anno</w:t>
            </w:r>
            <w:r w:rsidRPr="004B56A9">
              <w:rPr>
                <w:rFonts w:ascii="Times New Roman" w:hAnsi="Times New Roman"/>
                <w:color w:val="000000" w:themeColor="text1"/>
                <w:spacing w:val="-2"/>
                <w:w w:val="95"/>
                <w:sz w:val="20"/>
              </w:rPr>
              <w:t>” laddove il tempo di sostituzione supera un anno</w:t>
            </w:r>
          </w:p>
        </w:tc>
      </w:tr>
      <w:tr w:rsidR="00D22EB0" w:rsidRPr="004B56A9" w14:paraId="483B9646" w14:textId="77777777" w:rsidTr="00471773">
        <w:tc>
          <w:tcPr>
            <w:tcW w:w="1191" w:type="dxa"/>
            <w:tcBorders>
              <w:top w:val="single" w:sz="4" w:space="0" w:color="1A171C"/>
              <w:left w:val="nil"/>
              <w:bottom w:val="single" w:sz="4" w:space="0" w:color="1A171C"/>
              <w:right w:val="single" w:sz="4" w:space="0" w:color="1A171C"/>
            </w:tcBorders>
            <w:vAlign w:val="center"/>
          </w:tcPr>
          <w:p w14:paraId="1E1C992F" w14:textId="112EBFDE" w:rsidR="000713A0" w:rsidRPr="004B56A9" w:rsidRDefault="00CB3D1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14:paraId="413A4357"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Tempo stimato per l’accesso ai contratti</w:t>
            </w:r>
          </w:p>
          <w:p w14:paraId="73363858" w14:textId="523FD063" w:rsidR="000713A0" w:rsidRPr="004B56A9" w:rsidRDefault="001561A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tempo stimato necessario per recuperare le seguenti informazioni sul contratto che disciplina il servizio a seguito di una richiesta dell’autorità </w:t>
            </w:r>
            <w:proofErr w:type="gramStart"/>
            <w:r w:rsidRPr="004B56A9">
              <w:rPr>
                <w:rFonts w:ascii="Times New Roman" w:hAnsi="Times New Roman"/>
                <w:color w:val="000000" w:themeColor="text1"/>
                <w:spacing w:val="-2"/>
                <w:w w:val="95"/>
                <w:sz w:val="20"/>
              </w:rPr>
              <w:t>di</w:t>
            </w:r>
            <w:proofErr w:type="gramEnd"/>
            <w:r w:rsidRPr="004B56A9">
              <w:rPr>
                <w:rFonts w:ascii="Times New Roman" w:hAnsi="Times New Roman"/>
                <w:color w:val="000000" w:themeColor="text1"/>
                <w:spacing w:val="-2"/>
                <w:w w:val="95"/>
                <w:sz w:val="20"/>
              </w:rPr>
              <w:t xml:space="preserve"> risoluzione:</w:t>
            </w:r>
          </w:p>
          <w:p w14:paraId="021C7CB6"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durata</w:t>
            </w:r>
            <w:proofErr w:type="gramEnd"/>
            <w:r w:rsidRPr="004B56A9">
              <w:rPr>
                <w:rFonts w:ascii="Times New Roman" w:hAnsi="Times New Roman"/>
                <w:color w:val="000000" w:themeColor="text1"/>
                <w:spacing w:val="-2"/>
                <w:w w:val="95"/>
                <w:sz w:val="20"/>
              </w:rPr>
              <w:t xml:space="preserve"> del contratto</w:t>
            </w:r>
          </w:p>
          <w:p w14:paraId="19E90572"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parti</w:t>
            </w:r>
            <w:proofErr w:type="gramEnd"/>
            <w:r w:rsidRPr="004B56A9">
              <w:rPr>
                <w:rFonts w:ascii="Times New Roman" w:hAnsi="Times New Roman"/>
                <w:color w:val="000000" w:themeColor="text1"/>
                <w:spacing w:val="-2"/>
                <w:w w:val="95"/>
                <w:sz w:val="20"/>
              </w:rPr>
              <w:t xml:space="preserve"> del contratto (parte autrice e fornitore, referenti) e loro giurisdizione</w:t>
            </w:r>
          </w:p>
          <w:p w14:paraId="1B82AA27"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natura</w:t>
            </w:r>
            <w:proofErr w:type="gramEnd"/>
            <w:r w:rsidRPr="004B56A9">
              <w:rPr>
                <w:rFonts w:ascii="Times New Roman" w:hAnsi="Times New Roman"/>
                <w:color w:val="000000" w:themeColor="text1"/>
                <w:spacing w:val="-2"/>
                <w:w w:val="95"/>
                <w:sz w:val="20"/>
              </w:rPr>
              <w:t xml:space="preserve"> del servizio (breve descrizione della natura dell’operazione tra le parti, compresi i prezzi)</w:t>
            </w:r>
          </w:p>
          <w:p w14:paraId="7EC66C70"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w:t>
            </w:r>
            <w:proofErr w:type="gramEnd"/>
            <w:r w:rsidRPr="004B56A9">
              <w:rPr>
                <w:rFonts w:ascii="Times New Roman" w:hAnsi="Times New Roman"/>
                <w:color w:val="000000" w:themeColor="text1"/>
                <w:spacing w:val="-2"/>
                <w:w w:val="95"/>
                <w:sz w:val="20"/>
              </w:rPr>
              <w:t xml:space="preserve"> lo stesso servizio possa essere offerto da un qualsivoglia altro fornitore interno/esterno (con individuazione dei potenziali candidati)</w:t>
            </w:r>
          </w:p>
          <w:p w14:paraId="1D3AEF76"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giurisdizione</w:t>
            </w:r>
            <w:proofErr w:type="gramEnd"/>
            <w:r w:rsidRPr="004B56A9">
              <w:rPr>
                <w:rFonts w:ascii="Times New Roman" w:hAnsi="Times New Roman"/>
                <w:color w:val="000000" w:themeColor="text1"/>
                <w:spacing w:val="-2"/>
                <w:w w:val="95"/>
                <w:sz w:val="20"/>
              </w:rPr>
              <w:t xml:space="preserve"> del contratto</w:t>
            </w:r>
          </w:p>
          <w:p w14:paraId="7901558F"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servizio</w:t>
            </w:r>
            <w:proofErr w:type="gramEnd"/>
            <w:r w:rsidRPr="004B56A9">
              <w:rPr>
                <w:rFonts w:ascii="Times New Roman" w:hAnsi="Times New Roman"/>
                <w:color w:val="000000" w:themeColor="text1"/>
                <w:spacing w:val="-2"/>
                <w:w w:val="95"/>
                <w:sz w:val="20"/>
              </w:rPr>
              <w:t xml:space="preserve"> responsabile della gestione delle principali attività oggetto del contratto</w:t>
            </w:r>
          </w:p>
          <w:p w14:paraId="433C4B08"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principali</w:t>
            </w:r>
            <w:proofErr w:type="gramEnd"/>
            <w:r w:rsidRPr="004B56A9">
              <w:rPr>
                <w:rFonts w:ascii="Times New Roman" w:hAnsi="Times New Roman"/>
                <w:color w:val="000000" w:themeColor="text1"/>
                <w:spacing w:val="-2"/>
                <w:w w:val="95"/>
                <w:sz w:val="20"/>
              </w:rPr>
              <w:t xml:space="preserve"> penali previste dal contratto in caso di sospensione o ritardo dei pagamenti</w:t>
            </w:r>
          </w:p>
          <w:p w14:paraId="7B1743F3"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motivi</w:t>
            </w:r>
            <w:proofErr w:type="gramEnd"/>
            <w:r w:rsidRPr="004B56A9">
              <w:rPr>
                <w:rFonts w:ascii="Times New Roman" w:hAnsi="Times New Roman"/>
                <w:color w:val="000000" w:themeColor="text1"/>
                <w:spacing w:val="-2"/>
                <w:w w:val="95"/>
                <w:sz w:val="20"/>
              </w:rPr>
              <w:t xml:space="preserve"> di estinzione anticipata e relativa tempistica</w:t>
            </w:r>
          </w:p>
          <w:p w14:paraId="4696BD82"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sostegno</w:t>
            </w:r>
            <w:proofErr w:type="gramEnd"/>
            <w:r w:rsidRPr="004B56A9">
              <w:rPr>
                <w:rFonts w:ascii="Times New Roman" w:hAnsi="Times New Roman"/>
                <w:color w:val="000000" w:themeColor="text1"/>
                <w:spacing w:val="-2"/>
                <w:w w:val="95"/>
                <w:sz w:val="20"/>
              </w:rPr>
              <w:t xml:space="preserve"> operativo dopo l'estinzione</w:t>
            </w:r>
          </w:p>
          <w:p w14:paraId="1FF10436"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per</w:t>
            </w:r>
            <w:proofErr w:type="gramEnd"/>
            <w:r w:rsidRPr="004B56A9">
              <w:rPr>
                <w:rFonts w:ascii="Times New Roman" w:hAnsi="Times New Roman"/>
                <w:color w:val="000000" w:themeColor="text1"/>
                <w:spacing w:val="-2"/>
                <w:w w:val="95"/>
                <w:sz w:val="20"/>
              </w:rPr>
              <w:t xml:space="preserve"> quali funzioni essenziali e linee di business ha rilevanza</w:t>
            </w:r>
          </w:p>
          <w:p w14:paraId="7C3B593D" w14:textId="77C88864" w:rsidR="000713A0" w:rsidRPr="004B56A9" w:rsidRDefault="00597A9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Segnalare uno dei seguenti valori:</w:t>
            </w:r>
          </w:p>
          <w:p w14:paraId="7ED42AA1" w14:textId="7777777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1 giorno</w:t>
            </w:r>
          </w:p>
          <w:p w14:paraId="2C746DB5" w14:textId="6F9FEC16"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da</w:t>
            </w:r>
            <w:proofErr w:type="gramEnd"/>
            <w:r w:rsidRPr="004B56A9">
              <w:rPr>
                <w:rFonts w:ascii="Times New Roman" w:hAnsi="Times New Roman"/>
                <w:color w:val="000000" w:themeColor="text1"/>
                <w:spacing w:val="-2"/>
                <w:w w:val="95"/>
                <w:sz w:val="20"/>
              </w:rPr>
              <w:t xml:space="preserve"> 1 giorno a 1 settimana</w:t>
            </w:r>
          </w:p>
          <w:p w14:paraId="09A17EF7" w14:textId="15D5F085"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più</w:t>
            </w:r>
            <w:proofErr w:type="gramEnd"/>
            <w:r w:rsidRPr="004B56A9">
              <w:rPr>
                <w:rFonts w:ascii="Times New Roman" w:hAnsi="Times New Roman"/>
                <w:color w:val="000000" w:themeColor="text1"/>
                <w:spacing w:val="-2"/>
                <w:w w:val="95"/>
                <w:sz w:val="20"/>
              </w:rPr>
              <w:t xml:space="preserve"> di 1 settimana</w:t>
            </w:r>
          </w:p>
          <w:p w14:paraId="4A2D55A6" w14:textId="139084C7" w:rsidR="000713A0" w:rsidRPr="004B56A9" w:rsidRDefault="000713A0"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nessun</w:t>
            </w:r>
            <w:proofErr w:type="gramEnd"/>
            <w:r w:rsidRPr="004B56A9">
              <w:rPr>
                <w:rFonts w:ascii="Times New Roman" w:hAnsi="Times New Roman"/>
                <w:color w:val="000000" w:themeColor="text1"/>
                <w:spacing w:val="-2"/>
                <w:w w:val="95"/>
                <w:sz w:val="20"/>
              </w:rPr>
              <w:t xml:space="preserve"> contratto che disciplina il servizio</w:t>
            </w:r>
          </w:p>
        </w:tc>
      </w:tr>
      <w:tr w:rsidR="00D22EB0" w:rsidRPr="004B56A9" w14:paraId="6FE822D4" w14:textId="77777777" w:rsidTr="00471773">
        <w:tc>
          <w:tcPr>
            <w:tcW w:w="1191" w:type="dxa"/>
            <w:tcBorders>
              <w:top w:val="single" w:sz="4" w:space="0" w:color="1A171C"/>
              <w:left w:val="nil"/>
              <w:bottom w:val="single" w:sz="4" w:space="0" w:color="1A171C"/>
              <w:right w:val="single" w:sz="4" w:space="0" w:color="1A171C"/>
            </w:tcBorders>
            <w:vAlign w:val="center"/>
          </w:tcPr>
          <w:p w14:paraId="647E43DE" w14:textId="208A7DEC" w:rsidR="00DE58BD" w:rsidRPr="004B56A9" w:rsidRDefault="00CB3D1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14:paraId="39E7AF6D" w14:textId="77777777" w:rsidR="00DE58BD" w:rsidRPr="004B56A9" w:rsidRDefault="00DE58BD"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Diritto applicabile</w:t>
            </w:r>
          </w:p>
          <w:p w14:paraId="5AFE7C01" w14:textId="7A1F5D2D" w:rsidR="00DE58BD" w:rsidRPr="004B56A9" w:rsidRDefault="00B97C2E" w:rsidP="00FB7D83">
            <w:pPr>
              <w:pStyle w:val="TableParagraph"/>
              <w:spacing w:before="108"/>
              <w:ind w:left="85"/>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Il codice ISO del paese il cui diritto disciplina il contratto.</w:t>
            </w:r>
          </w:p>
        </w:tc>
      </w:tr>
      <w:tr w:rsidR="000713A0" w:rsidRPr="004B56A9" w14:paraId="02AA080F"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751436DF" w14:textId="1995109B" w:rsidR="000713A0" w:rsidRPr="004B56A9" w:rsidRDefault="00CB3D16"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14:paraId="4A3D72E2" w14:textId="77777777" w:rsidR="000713A0" w:rsidRPr="004B56A9" w:rsidRDefault="000713A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Contratto a prova di risoluzione </w:t>
            </w:r>
          </w:p>
          <w:p w14:paraId="7733A631" w14:textId="75C7FE10" w:rsidR="00AF19DE" w:rsidRPr="004B56A9" w:rsidRDefault="00AF19D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Rispecchia la valutazione della possibilità di proseguire e trasferire il contratto in caso di risoluzione. </w:t>
            </w:r>
          </w:p>
          <w:p w14:paraId="326D1414" w14:textId="1902B96C" w:rsidR="000713A0" w:rsidRPr="004B56A9" w:rsidRDefault="00AF19D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 valutazione tiene conto, tra l’altro, dei seguenti fattori:</w:t>
            </w:r>
          </w:p>
          <w:p w14:paraId="1DA82426" w14:textId="4E6FE21C" w:rsidR="000713A0" w:rsidRPr="004B56A9" w:rsidRDefault="009E310F"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eventuali</w:t>
            </w:r>
            <w:proofErr w:type="gramEnd"/>
            <w:r w:rsidRPr="004B56A9">
              <w:rPr>
                <w:rFonts w:ascii="Times New Roman" w:hAnsi="Times New Roman"/>
                <w:color w:val="000000" w:themeColor="text1"/>
                <w:spacing w:val="-2"/>
                <w:w w:val="95"/>
                <w:sz w:val="20"/>
              </w:rPr>
              <w:t xml:space="preserve"> clausole che conferiscano a una controparte la facoltà di estinguere il contratto solo a causa di risoluzione, misure di intervento precoce o scenari di inadempimento reciproco nonostante continuino a essere assolti obblighi sostanziali;</w:t>
            </w:r>
          </w:p>
          <w:p w14:paraId="567F9A53" w14:textId="6ADAA6A6" w:rsidR="000713A0" w:rsidRPr="004B56A9" w:rsidRDefault="009E310F"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eventuali</w:t>
            </w:r>
            <w:proofErr w:type="gramEnd"/>
            <w:r w:rsidRPr="004B56A9">
              <w:rPr>
                <w:rFonts w:ascii="Times New Roman" w:hAnsi="Times New Roman"/>
                <w:color w:val="000000" w:themeColor="text1"/>
                <w:spacing w:val="-2"/>
                <w:w w:val="95"/>
                <w:sz w:val="20"/>
              </w:rPr>
              <w:t xml:space="preserve"> clausole che conferiscano a una controparte la facoltà di cambiare le condizioni di servizio o la tariffazione solo a causa di risoluzione, scenari di intervento precoce o di inadempimento reciproco nonostante continuino a essere assolti obblighi sostanziali;</w:t>
            </w:r>
          </w:p>
          <w:p w14:paraId="38795830" w14:textId="6BFD3466" w:rsidR="000713A0" w:rsidRPr="004B56A9" w:rsidRDefault="00796C03" w:rsidP="00FB7D83">
            <w:pPr>
              <w:pStyle w:val="List1"/>
              <w:numPr>
                <w:ilvl w:val="0"/>
                <w:numId w:val="22"/>
              </w:numPr>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w:t>
            </w:r>
            <w:proofErr w:type="gramEnd"/>
            <w:r w:rsidRPr="004B56A9">
              <w:rPr>
                <w:rFonts w:ascii="Times New Roman" w:hAnsi="Times New Roman"/>
                <w:color w:val="000000" w:themeColor="text1"/>
                <w:spacing w:val="-2"/>
                <w:w w:val="95"/>
                <w:sz w:val="20"/>
              </w:rPr>
              <w:t xml:space="preserve"> riconoscimento, nel contratto, dei diritti di sospensione delle autorità di risoluzione.</w:t>
            </w:r>
          </w:p>
          <w:p w14:paraId="2309D625" w14:textId="3E7A7F71" w:rsidR="00AF19DE" w:rsidRPr="004B56A9" w:rsidRDefault="00AF19D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Segnalare uno dei seguenti valori:</w:t>
            </w:r>
          </w:p>
          <w:p w14:paraId="7D895E66" w14:textId="33809D74" w:rsidR="000713A0" w:rsidRPr="004B56A9" w:rsidRDefault="00AF19D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“Sì”: se il contratto è valutato a prova di </w:t>
            </w:r>
            <w:proofErr w:type="gramStart"/>
            <w:r w:rsidRPr="004B56A9">
              <w:rPr>
                <w:rFonts w:ascii="Times New Roman" w:hAnsi="Times New Roman"/>
                <w:color w:val="000000" w:themeColor="text1"/>
                <w:spacing w:val="-2"/>
                <w:w w:val="95"/>
                <w:sz w:val="20"/>
              </w:rPr>
              <w:t>risoluzione</w:t>
            </w:r>
            <w:proofErr w:type="gramEnd"/>
          </w:p>
          <w:p w14:paraId="19F76466" w14:textId="5F14FBD2" w:rsidR="000713A0" w:rsidRPr="004B56A9" w:rsidRDefault="00AF19D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“No”; se il contratto non è valutato a prova di </w:t>
            </w:r>
            <w:proofErr w:type="gramStart"/>
            <w:r w:rsidRPr="004B56A9">
              <w:rPr>
                <w:rFonts w:ascii="Times New Roman" w:hAnsi="Times New Roman"/>
                <w:color w:val="000000" w:themeColor="text1"/>
                <w:spacing w:val="-2"/>
                <w:w w:val="95"/>
                <w:sz w:val="20"/>
              </w:rPr>
              <w:t>risoluzione</w:t>
            </w:r>
            <w:proofErr w:type="gramEnd"/>
          </w:p>
          <w:p w14:paraId="238A108F" w14:textId="7D01022C" w:rsidR="000713A0" w:rsidRPr="004B56A9" w:rsidRDefault="00AF19DE"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“Non valutato” – se non è stata </w:t>
            </w:r>
            <w:proofErr w:type="gramStart"/>
            <w:r w:rsidRPr="004B56A9">
              <w:rPr>
                <w:rFonts w:ascii="Times New Roman" w:hAnsi="Times New Roman"/>
                <w:color w:val="000000" w:themeColor="text1"/>
                <w:spacing w:val="-2"/>
                <w:w w:val="95"/>
                <w:sz w:val="20"/>
              </w:rPr>
              <w:t>effettuata</w:t>
            </w:r>
            <w:proofErr w:type="gramEnd"/>
            <w:r w:rsidRPr="004B56A9">
              <w:rPr>
                <w:rFonts w:ascii="Times New Roman" w:hAnsi="Times New Roman"/>
                <w:color w:val="000000" w:themeColor="text1"/>
                <w:spacing w:val="-2"/>
                <w:w w:val="95"/>
                <w:sz w:val="20"/>
              </w:rPr>
              <w:t xml:space="preserve"> la valutazione</w:t>
            </w:r>
          </w:p>
        </w:tc>
      </w:tr>
    </w:tbl>
    <w:p w14:paraId="5E5533E0" w14:textId="77777777" w:rsidR="00276FFB" w:rsidRPr="004B56A9" w:rsidRDefault="00276FFB" w:rsidP="00FB7D83">
      <w:pPr>
        <w:jc w:val="both"/>
        <w:rPr>
          <w:rFonts w:ascii="Times New Roman" w:hAnsi="Times New Roman" w:cs="Times New Roman"/>
          <w:b/>
          <w:color w:val="000000" w:themeColor="text1"/>
          <w:sz w:val="20"/>
          <w:szCs w:val="20"/>
          <w:u w:val="single"/>
        </w:rPr>
      </w:pPr>
    </w:p>
    <w:p w14:paraId="05B400C1" w14:textId="00C940BF" w:rsidR="00E13CE3" w:rsidRPr="004B56A9" w:rsidRDefault="0066458F" w:rsidP="00FB7D83">
      <w:pPr>
        <w:pStyle w:val="Instructionsberschrift2"/>
        <w:numPr>
          <w:ilvl w:val="1"/>
          <w:numId w:val="7"/>
        </w:numPr>
        <w:ind w:left="357" w:hanging="357"/>
        <w:rPr>
          <w:rFonts w:ascii="Times New Roman" w:hAnsi="Times New Roman" w:cs="Times New Roman"/>
          <w:szCs w:val="20"/>
        </w:rPr>
      </w:pPr>
      <w:bookmarkStart w:id="39" w:name="_Toc492542329"/>
      <w:bookmarkStart w:id="40" w:name="_Toc509909047"/>
      <w:bookmarkStart w:id="41" w:name="_Toc525130394"/>
      <w:proofErr w:type="gramStart"/>
      <w:r w:rsidRPr="004B56A9">
        <w:rPr>
          <w:rFonts w:ascii="Times New Roman" w:hAnsi="Times New Roman"/>
          <w:color w:val="000000" w:themeColor="text1"/>
        </w:rPr>
        <w:t>Z 09.00 - Servizi delle FMI - Fornitori e utenti - Associazione alle funzioni essenziali</w:t>
      </w:r>
      <w:bookmarkEnd w:id="39"/>
      <w:bookmarkEnd w:id="40"/>
      <w:bookmarkEnd w:id="41"/>
      <w:proofErr w:type="gramEnd"/>
    </w:p>
    <w:p w14:paraId="055593DA" w14:textId="77777777" w:rsidR="00AA4026" w:rsidRPr="004B56A9" w:rsidRDefault="00AA4026" w:rsidP="00FB7D83">
      <w:pPr>
        <w:pStyle w:val="Numberedtitlelevel3"/>
        <w:jc w:val="both"/>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Osservazioni di carattere generale</w:t>
      </w:r>
    </w:p>
    <w:p w14:paraId="14CF0826" w14:textId="52DE9DF8" w:rsidR="008F717A" w:rsidRPr="004B56A9" w:rsidRDefault="008F717A" w:rsidP="00FB7D83">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Questo modello individua le attività, le funzioni o i servizi di compensazione, pagamento, regolamento e custodia titoli la cui interruzione può costituire un grave ostacolo all’esercizio di una o più funzioni essenziali o impedirlo totalmente.</w:t>
      </w:r>
    </w:p>
    <w:p w14:paraId="2D3BA663" w14:textId="73B0D0AF" w:rsidR="00120519" w:rsidRPr="004B56A9" w:rsidRDefault="00FE54EF" w:rsidP="00FB7D83">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Questo modello deve essere compilato una sola volta per l’intero ente o gruppo.</w:t>
      </w:r>
    </w:p>
    <w:p w14:paraId="0C32C19D" w14:textId="23C3D5FF" w:rsidR="000F273B" w:rsidRPr="004B56A9" w:rsidRDefault="00AA6491" w:rsidP="00FB7D83">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Sono individuate soltanto le infrastrutture di mercato finanziario la cui interruzione costituirebbe un grave ostacolo all’esercizio di una funzione essenziale o lo impedirebbe totalmente.</w:t>
      </w:r>
    </w:p>
    <w:p w14:paraId="7C37228E" w14:textId="33248E2D" w:rsidR="00E13CE3" w:rsidRPr="004B56A9" w:rsidRDefault="00772F88" w:rsidP="00FB7D83">
      <w:pPr>
        <w:pStyle w:val="Numberedtitlelevel3"/>
        <w:jc w:val="both"/>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 xml:space="preserve">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b w:val="0"/>
          <w:color w:val="000000" w:themeColor="text1"/>
          <w:sz w:val="20"/>
          <w:u w:val="single"/>
        </w:rPr>
        <w:t xml:space="preserve"> posizioni specifiche</w:t>
      </w:r>
    </w:p>
    <w:p w14:paraId="12B645BA" w14:textId="77777777" w:rsidR="00772F88" w:rsidRPr="004B56A9" w:rsidRDefault="00772F88" w:rsidP="00FB7D83">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6DA70E4E"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33260297" w14:textId="77777777" w:rsidR="00772F88" w:rsidRPr="004B56A9" w:rsidRDefault="00772F88"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543E1B38" w14:textId="77777777" w:rsidR="00772F88" w:rsidRPr="004B56A9" w:rsidRDefault="00772F88" w:rsidP="00FB7D83">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0634A1D3" w14:textId="77777777" w:rsidTr="003D7A16">
        <w:tc>
          <w:tcPr>
            <w:tcW w:w="1191" w:type="dxa"/>
            <w:tcBorders>
              <w:top w:val="single" w:sz="4" w:space="0" w:color="1A171C"/>
              <w:left w:val="nil"/>
              <w:bottom w:val="single" w:sz="4" w:space="0" w:color="1A171C"/>
              <w:right w:val="single" w:sz="4" w:space="0" w:color="1A171C"/>
            </w:tcBorders>
            <w:vAlign w:val="center"/>
          </w:tcPr>
          <w:p w14:paraId="5676B069" w14:textId="7C47D4C7" w:rsidR="00080110" w:rsidRPr="004B56A9" w:rsidRDefault="00672F82"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14:paraId="0FCFE378" w14:textId="77777777" w:rsidR="00080110" w:rsidRPr="004B56A9" w:rsidRDefault="00080110"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Utente</w:t>
            </w:r>
          </w:p>
          <w:p w14:paraId="225A8889" w14:textId="58D9E6D4" w:rsidR="00080110" w:rsidRPr="004B56A9" w:rsidRDefault="00080110" w:rsidP="00FB7D83">
            <w:pPr>
              <w:pStyle w:val="TableParagraph"/>
              <w:spacing w:before="108"/>
              <w:ind w:left="85"/>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L’entità del gruppo che utilizza servizi di pagamento, custodia, regolamento, compensazione o repertorio di dati sulle negoziazioni, come segnalato in Z 01.00 - Struttura organizzativa (ORG).</w:t>
            </w:r>
          </w:p>
        </w:tc>
      </w:tr>
      <w:tr w:rsidR="00D22EB0" w:rsidRPr="004B56A9" w14:paraId="4B51F8E7" w14:textId="77777777" w:rsidTr="003D7A16">
        <w:tc>
          <w:tcPr>
            <w:tcW w:w="1191" w:type="dxa"/>
            <w:tcBorders>
              <w:top w:val="single" w:sz="4" w:space="0" w:color="1A171C"/>
              <w:left w:val="nil"/>
              <w:bottom w:val="single" w:sz="4" w:space="0" w:color="1A171C"/>
              <w:right w:val="single" w:sz="4" w:space="0" w:color="1A171C"/>
            </w:tcBorders>
            <w:vAlign w:val="center"/>
          </w:tcPr>
          <w:p w14:paraId="13692900" w14:textId="1A97CA2F" w:rsidR="00772F88" w:rsidRPr="004B56A9" w:rsidRDefault="00BC1F79"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14:paraId="4176EB9B" w14:textId="655D4E43" w:rsidR="00772F88" w:rsidRPr="004B56A9" w:rsidRDefault="0044725C"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0A396C68" w14:textId="0E2DC708" w:rsidR="00772F88" w:rsidRPr="004B56A9" w:rsidRDefault="00772F88"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nome dell’entità che utilizza servizi di pagamento, custodia, regolamento, compensazione o repertorio di dati sulle negoziazioni, come segnalato in Z 01.00 - Struttura organizzativa (ORG). </w:t>
            </w:r>
          </w:p>
          <w:p w14:paraId="4456A703" w14:textId="057203AF" w:rsidR="00772F88" w:rsidRPr="004B56A9" w:rsidRDefault="00772F88"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Sono segnalate solo le entità individuate come fornitori di funzioni essenziali in Z 07.02. </w:t>
            </w:r>
          </w:p>
        </w:tc>
      </w:tr>
      <w:tr w:rsidR="00D22EB0" w:rsidRPr="004B56A9" w14:paraId="4FE475A2" w14:textId="77777777" w:rsidTr="003D7A16">
        <w:tc>
          <w:tcPr>
            <w:tcW w:w="1191" w:type="dxa"/>
            <w:tcBorders>
              <w:top w:val="single" w:sz="4" w:space="0" w:color="1A171C"/>
              <w:left w:val="nil"/>
              <w:bottom w:val="single" w:sz="4" w:space="0" w:color="1A171C"/>
              <w:right w:val="single" w:sz="4" w:space="0" w:color="1A171C"/>
            </w:tcBorders>
            <w:vAlign w:val="center"/>
          </w:tcPr>
          <w:p w14:paraId="7420883A" w14:textId="001F7201" w:rsidR="00772F88" w:rsidRPr="004B56A9" w:rsidRDefault="007E4562"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14:paraId="49C3E383" w14:textId="77777777" w:rsidR="00772F88" w:rsidRPr="004B56A9" w:rsidRDefault="00772F88"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1F16FC94" w14:textId="0D32D89F" w:rsidR="00772F88" w:rsidRPr="004B56A9" w:rsidRDefault="00772F88"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dell’entità che utilizza servizi di pagamento, custodia, regolamento, compensazione o repertorio di dati sulle negoziazioni, come segnalato in Z 01.00 - Struttura organizzativa (ORG). </w:t>
            </w:r>
          </w:p>
        </w:tc>
      </w:tr>
      <w:tr w:rsidR="00D22EB0" w:rsidRPr="004B56A9" w14:paraId="049221E5" w14:textId="77777777" w:rsidTr="003D7A16">
        <w:tc>
          <w:tcPr>
            <w:tcW w:w="1191" w:type="dxa"/>
            <w:tcBorders>
              <w:top w:val="single" w:sz="4" w:space="0" w:color="1A171C"/>
              <w:left w:val="nil"/>
              <w:bottom w:val="single" w:sz="4" w:space="0" w:color="1A171C"/>
              <w:right w:val="single" w:sz="4" w:space="0" w:color="1A171C"/>
            </w:tcBorders>
            <w:vAlign w:val="center"/>
          </w:tcPr>
          <w:p w14:paraId="6B7249C7" w14:textId="613F812F" w:rsidR="00772F88" w:rsidRPr="004B56A9" w:rsidRDefault="007E4562"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0030-0</w:t>
            </w:r>
            <w:r w:rsidR="00027DAE" w:rsidRPr="004B56A9">
              <w:rPr>
                <w:rFonts w:ascii="Times New Roman" w:hAnsi="Times New Roman"/>
                <w:color w:val="000000" w:themeColor="text1"/>
                <w:spacing w:val="-2"/>
                <w:w w:val="95"/>
                <w:sz w:val="20"/>
              </w:rPr>
              <w:t>0</w:t>
            </w:r>
            <w:r w:rsidRPr="004B56A9">
              <w:rPr>
                <w:rFonts w:ascii="Times New Roman" w:hAnsi="Times New Roman"/>
                <w:color w:val="000000" w:themeColor="text1"/>
                <w:spacing w:val="-2"/>
                <w:w w:val="95"/>
                <w:sz w:val="20"/>
              </w:rPr>
              <w:t>40</w:t>
            </w:r>
          </w:p>
        </w:tc>
        <w:tc>
          <w:tcPr>
            <w:tcW w:w="7892" w:type="dxa"/>
            <w:tcBorders>
              <w:top w:val="single" w:sz="4" w:space="0" w:color="1A171C"/>
              <w:left w:val="single" w:sz="4" w:space="0" w:color="1A171C"/>
              <w:bottom w:val="single" w:sz="4" w:space="0" w:color="1A171C"/>
              <w:right w:val="nil"/>
            </w:tcBorders>
            <w:vAlign w:val="center"/>
          </w:tcPr>
          <w:p w14:paraId="5048F87F" w14:textId="77777777" w:rsidR="00772F88" w:rsidRPr="004B56A9" w:rsidRDefault="00772F88"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Funzione essenziale</w:t>
            </w:r>
          </w:p>
          <w:p w14:paraId="1A853D6C" w14:textId="73C05514" w:rsidR="00DF7F9D" w:rsidRPr="004B56A9" w:rsidRDefault="00DF7F9D"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z w:val="20"/>
              </w:rPr>
              <w:t>La funzione essenziale svolta dall’entità, la cui esecuzione sarebbe ostacolata o impedita dall’interruzione dell’accesso al servizio di pagamento, custodia, regolamento, compensazione o repertorio di dati sulle negoziazioni.</w:t>
            </w:r>
          </w:p>
        </w:tc>
      </w:tr>
      <w:tr w:rsidR="00D22EB0" w:rsidRPr="004B56A9" w14:paraId="543D9A65" w14:textId="77777777" w:rsidTr="003D7A16">
        <w:tc>
          <w:tcPr>
            <w:tcW w:w="1191" w:type="dxa"/>
            <w:tcBorders>
              <w:top w:val="single" w:sz="4" w:space="0" w:color="1A171C"/>
              <w:left w:val="nil"/>
              <w:bottom w:val="single" w:sz="4" w:space="0" w:color="1A171C"/>
              <w:right w:val="single" w:sz="4" w:space="0" w:color="1A171C"/>
            </w:tcBorders>
            <w:vAlign w:val="center"/>
          </w:tcPr>
          <w:p w14:paraId="41D20A6A" w14:textId="08AEE59B" w:rsidR="0044725C" w:rsidRPr="004B56A9"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14:paraId="31E66205" w14:textId="0914AA30" w:rsidR="0044725C" w:rsidRPr="004B56A9"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6E4B27AA" w14:textId="271B7753" w:rsidR="0044725C" w:rsidRPr="004B56A9" w:rsidRDefault="000917F8" w:rsidP="000917F8">
            <w:pPr>
              <w:pStyle w:val="TableParagraph"/>
              <w:spacing w:before="108"/>
              <w:ind w:left="85"/>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Il paese per il quale la funzione è essenziale, come segnalato in Z 07.01 (FUNC 1).</w:t>
            </w:r>
          </w:p>
        </w:tc>
      </w:tr>
      <w:tr w:rsidR="00D22EB0" w:rsidRPr="004B56A9" w14:paraId="37305682" w14:textId="77777777" w:rsidTr="003D7A16">
        <w:tc>
          <w:tcPr>
            <w:tcW w:w="1191" w:type="dxa"/>
            <w:tcBorders>
              <w:top w:val="single" w:sz="4" w:space="0" w:color="1A171C"/>
              <w:left w:val="nil"/>
              <w:bottom w:val="single" w:sz="4" w:space="0" w:color="1A171C"/>
              <w:right w:val="single" w:sz="4" w:space="0" w:color="1A171C"/>
            </w:tcBorders>
            <w:vAlign w:val="center"/>
          </w:tcPr>
          <w:p w14:paraId="5A58F546" w14:textId="1210449B" w:rsidR="0044725C" w:rsidRPr="004B56A9"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14:paraId="21C65D71" w14:textId="09424B04" w:rsidR="0044725C" w:rsidRPr="004B56A9"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w:t>
            </w:r>
          </w:p>
          <w:p w14:paraId="51FB77D0" w14:textId="708CE776" w:rsidR="0044725C" w:rsidRPr="004B56A9"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L’identificativo delle funzioni essenziali quali definite al punto 2.7.1.4 e di cui al modello Z 07.01 (FUNC 1).</w:t>
            </w:r>
          </w:p>
        </w:tc>
      </w:tr>
      <w:tr w:rsidR="00D22EB0" w:rsidRPr="004B56A9" w14:paraId="6CC6FB32" w14:textId="77777777" w:rsidTr="003D7A16">
        <w:tc>
          <w:tcPr>
            <w:tcW w:w="1191" w:type="dxa"/>
            <w:tcBorders>
              <w:top w:val="single" w:sz="4" w:space="0" w:color="1A171C"/>
              <w:left w:val="nil"/>
              <w:bottom w:val="single" w:sz="4" w:space="0" w:color="1A171C"/>
              <w:right w:val="single" w:sz="4" w:space="0" w:color="1A171C"/>
            </w:tcBorders>
            <w:vAlign w:val="center"/>
          </w:tcPr>
          <w:p w14:paraId="6355C001" w14:textId="2154F735" w:rsidR="0044725C" w:rsidRPr="004B56A9"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14:paraId="38744775" w14:textId="582DB405" w:rsidR="0044725C" w:rsidRPr="004B56A9"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Infrastrutture di mercato finanziario (FMI)</w:t>
            </w:r>
          </w:p>
          <w:p w14:paraId="0E8FAED8" w14:textId="77777777" w:rsidR="001E7389" w:rsidRPr="004B56A9"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393352BC" w14:textId="009039CD" w:rsidR="001E7389" w:rsidRPr="004B56A9"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Riferimento: CPMI, </w:t>
            </w:r>
            <w:hyperlink r:id="rId10">
              <w:r w:rsidRPr="004B56A9">
                <w:rPr>
                  <w:rFonts w:ascii="Times New Roman" w:hAnsi="Times New Roman"/>
                  <w:color w:val="000000" w:themeColor="text1"/>
                  <w:spacing w:val="-2"/>
                  <w:w w:val="95"/>
                  <w:sz w:val="20"/>
                </w:rPr>
                <w:t>Principles for financial market infrastructures (Principi per le infrastrutture di mercato finanziario)</w:t>
              </w:r>
            </w:hyperlink>
            <w:r w:rsidRPr="004B56A9">
              <w:t>.</w:t>
            </w:r>
            <w:r w:rsidRPr="004B56A9">
              <w:rPr>
                <w:rFonts w:ascii="Times New Roman" w:hAnsi="Times New Roman"/>
                <w:color w:val="000000" w:themeColor="text1"/>
                <w:spacing w:val="-2"/>
                <w:w w:val="95"/>
                <w:sz w:val="20"/>
              </w:rPr>
              <w:t> </w:t>
            </w:r>
          </w:p>
          <w:p w14:paraId="6BB3D388" w14:textId="7BDC5900" w:rsidR="00E86927" w:rsidRPr="004B56A9" w:rsidRDefault="00E86927" w:rsidP="009D2C94">
            <w:pPr>
              <w:pStyle w:val="TableParagraph"/>
              <w:spacing w:before="108"/>
              <w:ind w:left="85"/>
              <w:jc w:val="both"/>
              <w:rPr>
                <w:rFonts w:ascii="Times New Roman" w:hAnsi="Times New Roman" w:cs="Times New Roman"/>
                <w:b/>
                <w:bCs/>
                <w:color w:val="000000" w:themeColor="text1"/>
                <w:sz w:val="20"/>
                <w:szCs w:val="20"/>
              </w:rPr>
            </w:pPr>
            <w:proofErr w:type="gramStart"/>
            <w:r w:rsidRPr="004B56A9">
              <w:rPr>
                <w:rFonts w:ascii="Times New Roman" w:hAnsi="Times New Roman"/>
                <w:color w:val="000000" w:themeColor="text1"/>
                <w:spacing w:val="-2"/>
                <w:w w:val="95"/>
                <w:sz w:val="20"/>
              </w:rPr>
              <w:t>Un sistema multilaterale tra gli enti finanziari partecipanti, compreso l’operatore del sistema, utilizzato ai fini della registrazione, del</w:t>
            </w:r>
            <w:proofErr w:type="gramEnd"/>
            <w:r w:rsidRPr="004B56A9">
              <w:rPr>
                <w:rFonts w:ascii="Times New Roman" w:hAnsi="Times New Roman"/>
                <w:color w:val="000000" w:themeColor="text1"/>
                <w:spacing w:val="-2"/>
                <w:w w:val="95"/>
                <w:sz w:val="20"/>
              </w:rPr>
              <w:t>la compensazione o del regolamento di pagamenti, titoli, derivati o altre operazioni finanziarie.</w:t>
            </w:r>
          </w:p>
        </w:tc>
      </w:tr>
      <w:tr w:rsidR="00D22EB0" w:rsidRPr="004B56A9" w14:paraId="067F6A6F" w14:textId="77777777" w:rsidTr="003D7A16">
        <w:tc>
          <w:tcPr>
            <w:tcW w:w="1191" w:type="dxa"/>
            <w:tcBorders>
              <w:top w:val="single" w:sz="4" w:space="0" w:color="1A171C"/>
              <w:left w:val="nil"/>
              <w:bottom w:val="single" w:sz="4" w:space="0" w:color="1A171C"/>
              <w:right w:val="single" w:sz="4" w:space="0" w:color="1A171C"/>
            </w:tcBorders>
            <w:vAlign w:val="center"/>
          </w:tcPr>
          <w:p w14:paraId="7FFBC846" w14:textId="0C8F8749" w:rsidR="00772F88" w:rsidRPr="004B56A9"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14:paraId="2FBD9372" w14:textId="77777777" w:rsidR="00772F88" w:rsidRPr="004B56A9" w:rsidRDefault="00772F88" w:rsidP="00FB7D83">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Tipo di sistema</w:t>
            </w:r>
          </w:p>
          <w:p w14:paraId="01A811A1" w14:textId="69451B0A" w:rsidR="00772F88" w:rsidRPr="004B56A9" w:rsidRDefault="0044725C" w:rsidP="00FB7D8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Segnalare uno dei seguenti valori:</w:t>
            </w:r>
          </w:p>
          <w:p w14:paraId="27B907A2" w14:textId="1B2B3909" w:rsidR="00772F88" w:rsidRPr="004B56A9" w:rsidRDefault="0044725C"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“PS”</w:t>
            </w:r>
            <w:r w:rsidRPr="004B56A9">
              <w:tab/>
            </w:r>
            <w:r w:rsidRPr="004B56A9">
              <w:rPr>
                <w:rFonts w:ascii="Times New Roman" w:hAnsi="Times New Roman"/>
                <w:color w:val="000000" w:themeColor="text1"/>
                <w:spacing w:val="-2"/>
                <w:w w:val="95"/>
                <w:sz w:val="20"/>
              </w:rPr>
              <w:t>Sistema di pagamento (Payment System)</w:t>
            </w:r>
          </w:p>
          <w:p w14:paraId="7170241F" w14:textId="77777777" w:rsidR="006132CF" w:rsidRPr="004B56A9" w:rsidRDefault="00B24772" w:rsidP="00FB7D83">
            <w:pPr>
              <w:pStyle w:val="TableParagraph"/>
              <w:spacing w:before="108"/>
              <w:ind w:left="652" w:hanging="567"/>
              <w:jc w:val="both"/>
              <w:rPr>
                <w:rFonts w:ascii="Times New Roman" w:hAnsi="Times New Roman" w:cs="Times New Roman"/>
                <w:color w:val="000000" w:themeColor="text1"/>
                <w:sz w:val="20"/>
                <w:szCs w:val="20"/>
              </w:rPr>
            </w:pPr>
            <w:r w:rsidRPr="004B56A9">
              <w:rPr>
                <w:rFonts w:ascii="Times New Roman" w:hAnsi="Times New Roman"/>
                <w:color w:val="000000" w:themeColor="text1"/>
                <w:sz w:val="20"/>
              </w:rPr>
              <w:t>“</w:t>
            </w:r>
            <w:proofErr w:type="gramStart"/>
            <w:r w:rsidRPr="004B56A9">
              <w:rPr>
                <w:rFonts w:ascii="Times New Roman" w:hAnsi="Times New Roman"/>
                <w:color w:val="000000" w:themeColor="text1"/>
                <w:sz w:val="20"/>
              </w:rPr>
              <w:t>(</w:t>
            </w:r>
            <w:proofErr w:type="gramEnd"/>
            <w:r w:rsidRPr="004B56A9">
              <w:rPr>
                <w:rFonts w:ascii="Times New Roman" w:hAnsi="Times New Roman"/>
                <w:color w:val="000000" w:themeColor="text1"/>
                <w:sz w:val="20"/>
              </w:rPr>
              <w:t>I) CSD” - Depositario centrale di titoli (internazionale) ((International) Central Securities Depository)), compresi i depositari che forniscono servizi di regolamento (internamente o esternalizzati)</w:t>
            </w:r>
          </w:p>
          <w:p w14:paraId="3E6F109A" w14:textId="690B4C04" w:rsidR="000C6E53" w:rsidRPr="004B56A9" w:rsidRDefault="00B24772"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 “SSS”</w:t>
            </w:r>
            <w:r w:rsidRPr="004B56A9">
              <w:tab/>
            </w:r>
            <w:r w:rsidRPr="004B56A9">
              <w:rPr>
                <w:rFonts w:ascii="Times New Roman" w:hAnsi="Times New Roman"/>
                <w:color w:val="000000" w:themeColor="text1"/>
                <w:spacing w:val="-2"/>
                <w:w w:val="95"/>
                <w:sz w:val="20"/>
              </w:rPr>
              <w:t xml:space="preserve">Sistema di regolamento titoli (Securities Settlement System) senza </w:t>
            </w:r>
            <w:proofErr w:type="gramStart"/>
            <w:r w:rsidRPr="004B56A9">
              <w:rPr>
                <w:rFonts w:ascii="Times New Roman" w:hAnsi="Times New Roman"/>
                <w:color w:val="000000" w:themeColor="text1"/>
                <w:spacing w:val="-2"/>
                <w:w w:val="95"/>
                <w:sz w:val="20"/>
              </w:rPr>
              <w:t>custodia</w:t>
            </w:r>
            <w:proofErr w:type="gramEnd"/>
          </w:p>
          <w:p w14:paraId="716F1283" w14:textId="77777777" w:rsidR="006B6EDC" w:rsidRPr="004B56A9" w:rsidRDefault="006B6EDC"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 xml:space="preserve">“CCP-titoli” controparte centrale per la compensazione di titoli (Central Counterparty for Securities Clearing) </w:t>
            </w:r>
            <w:proofErr w:type="gramEnd"/>
          </w:p>
          <w:p w14:paraId="2C61569F" w14:textId="30AB4862" w:rsidR="00772F88" w:rsidRPr="004B56A9" w:rsidRDefault="0044725C"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“CCP-derivati”</w:t>
            </w:r>
            <w:r w:rsidRPr="004B56A9">
              <w:tab/>
            </w:r>
            <w:proofErr w:type="gramStart"/>
            <w:r w:rsidRPr="004B56A9">
              <w:rPr>
                <w:rFonts w:ascii="Times New Roman" w:hAnsi="Times New Roman"/>
                <w:color w:val="000000" w:themeColor="text1"/>
                <w:spacing w:val="-2"/>
                <w:w w:val="95"/>
                <w:sz w:val="20"/>
              </w:rPr>
              <w:t>Controparte centrale per la compensazione di derivati (Central Counterparty for Derivatives Clearing)</w:t>
            </w:r>
            <w:proofErr w:type="gramEnd"/>
          </w:p>
          <w:p w14:paraId="2D44E5C2" w14:textId="17B32E33" w:rsidR="00772F88" w:rsidRPr="004B56A9" w:rsidRDefault="0044725C"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“TR”</w:t>
            </w:r>
            <w:r w:rsidRPr="004B56A9">
              <w:tab/>
            </w:r>
            <w:proofErr w:type="gramStart"/>
            <w:r w:rsidRPr="004B56A9">
              <w:rPr>
                <w:rFonts w:ascii="Times New Roman" w:hAnsi="Times New Roman"/>
                <w:color w:val="000000" w:themeColor="text1"/>
                <w:spacing w:val="-2"/>
                <w:w w:val="95"/>
                <w:sz w:val="20"/>
              </w:rPr>
              <w:t>Repertorio di dati sulle negoziazioni (Trade Repository)</w:t>
            </w:r>
            <w:proofErr w:type="gramEnd"/>
          </w:p>
          <w:p w14:paraId="472F0EB4" w14:textId="50001E56" w:rsidR="00772F88" w:rsidRPr="004B56A9" w:rsidRDefault="0044725C"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“Altro”</w:t>
            </w:r>
            <w:r w:rsidRPr="004B56A9">
              <w:tab/>
            </w:r>
            <w:r w:rsidRPr="004B56A9">
              <w:rPr>
                <w:rFonts w:ascii="Times New Roman" w:hAnsi="Times New Roman"/>
                <w:color w:val="000000" w:themeColor="text1"/>
                <w:spacing w:val="-2"/>
                <w:w w:val="95"/>
                <w:sz w:val="20"/>
              </w:rPr>
              <w:t xml:space="preserve">Quando il tipo di sistema dell’infrastruttura dei mercati finanziari non corrisponde a nessuno dei summenzionati tipi </w:t>
            </w:r>
            <w:proofErr w:type="gramStart"/>
            <w:r w:rsidRPr="004B56A9">
              <w:rPr>
                <w:rFonts w:ascii="Times New Roman" w:hAnsi="Times New Roman"/>
                <w:color w:val="000000" w:themeColor="text1"/>
                <w:spacing w:val="-2"/>
                <w:w w:val="95"/>
                <w:sz w:val="20"/>
              </w:rPr>
              <w:t>predefiniti</w:t>
            </w:r>
            <w:proofErr w:type="gramEnd"/>
          </w:p>
          <w:p w14:paraId="793F251B" w14:textId="1A19C8C8" w:rsidR="00772F88" w:rsidRPr="004B56A9" w:rsidRDefault="0044725C" w:rsidP="00FB7D83">
            <w:pPr>
              <w:pStyle w:val="TableParagraph"/>
              <w:spacing w:before="108"/>
              <w:ind w:left="652" w:hanging="567"/>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“NP”</w:t>
            </w:r>
            <w:r w:rsidRPr="004B56A9">
              <w:tab/>
            </w:r>
            <w:r w:rsidRPr="004B56A9">
              <w:rPr>
                <w:rFonts w:ascii="Times New Roman" w:hAnsi="Times New Roman"/>
                <w:color w:val="000000" w:themeColor="text1"/>
                <w:spacing w:val="-2"/>
                <w:w w:val="95"/>
                <w:sz w:val="20"/>
              </w:rPr>
              <w:t>Quando i servizi di pagamento, compensazione, regolamento o custodia sono forniti da un’entità che non è un’infrastruttura di mercato finanziario di cui sopra, bensì ad esempio una banca depositaria.</w:t>
            </w:r>
          </w:p>
        </w:tc>
      </w:tr>
      <w:tr w:rsidR="00D22EB0" w:rsidRPr="004B56A9" w14:paraId="7EEE3B04" w14:textId="77777777" w:rsidTr="003D7A16">
        <w:tc>
          <w:tcPr>
            <w:tcW w:w="1191" w:type="dxa"/>
            <w:tcBorders>
              <w:top w:val="single" w:sz="4" w:space="0" w:color="1A171C"/>
              <w:left w:val="nil"/>
              <w:bottom w:val="single" w:sz="4" w:space="0" w:color="1A171C"/>
              <w:right w:val="single" w:sz="4" w:space="0" w:color="1A171C"/>
            </w:tcBorders>
            <w:vAlign w:val="center"/>
          </w:tcPr>
          <w:p w14:paraId="137D4860" w14:textId="2B9CCD4E" w:rsidR="00772F88" w:rsidRPr="004B56A9"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14:paraId="7A038819" w14:textId="77777777" w:rsidR="00772F88" w:rsidRPr="004B56A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w:t>
            </w:r>
          </w:p>
          <w:p w14:paraId="4AB54449" w14:textId="2F2A80CE" w:rsidR="00772F88" w:rsidRPr="004B56A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 denominazione commerciale dell’infrastruttura di mercato finanziario.</w:t>
            </w:r>
          </w:p>
          <w:p w14:paraId="484E4D09" w14:textId="467858F9" w:rsidR="00772F88" w:rsidRPr="004B56A9"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Quando nella colonna 0050 è segnalato “NP”, questa </w:t>
            </w:r>
            <w:proofErr w:type="gramStart"/>
            <w:r w:rsidRPr="004B56A9">
              <w:rPr>
                <w:rFonts w:ascii="Times New Roman" w:hAnsi="Times New Roman"/>
                <w:color w:val="000000" w:themeColor="text1"/>
                <w:spacing w:val="-2"/>
                <w:w w:val="95"/>
                <w:sz w:val="20"/>
              </w:rPr>
              <w:t>colonna</w:t>
            </w:r>
            <w:proofErr w:type="gramEnd"/>
            <w:r w:rsidRPr="004B56A9">
              <w:rPr>
                <w:rFonts w:ascii="Times New Roman" w:hAnsi="Times New Roman"/>
                <w:color w:val="000000" w:themeColor="text1"/>
                <w:spacing w:val="-2"/>
                <w:w w:val="95"/>
                <w:sz w:val="20"/>
              </w:rPr>
              <w:t xml:space="preserve"> è lasciata vuota.</w:t>
            </w:r>
          </w:p>
        </w:tc>
      </w:tr>
      <w:tr w:rsidR="00D22EB0" w:rsidRPr="004B56A9" w14:paraId="0D3FF13C" w14:textId="77777777" w:rsidTr="003D7A16">
        <w:tc>
          <w:tcPr>
            <w:tcW w:w="1191" w:type="dxa"/>
            <w:tcBorders>
              <w:top w:val="single" w:sz="4" w:space="0" w:color="1A171C"/>
              <w:left w:val="nil"/>
              <w:bottom w:val="single" w:sz="4" w:space="0" w:color="1A171C"/>
              <w:right w:val="single" w:sz="4" w:space="0" w:color="1A171C"/>
            </w:tcBorders>
            <w:vAlign w:val="center"/>
          </w:tcPr>
          <w:p w14:paraId="34D8E42C" w14:textId="7FCE14ED" w:rsidR="00772F88" w:rsidRPr="004B56A9"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14:paraId="2E78BAB6" w14:textId="1171740C" w:rsidR="00772F88" w:rsidRPr="004B56A9"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roofErr w:type="gramStart"/>
            <w:r w:rsidRPr="004B56A9">
              <w:rPr>
                <w:rFonts w:ascii="Times New Roman" w:hAnsi="Times New Roman"/>
                <w:b/>
                <w:color w:val="000000" w:themeColor="text1"/>
                <w:sz w:val="20"/>
              </w:rPr>
              <w:t>dell’</w:t>
            </w:r>
            <w:proofErr w:type="gramEnd"/>
            <w:r w:rsidRPr="004B56A9">
              <w:rPr>
                <w:rFonts w:ascii="Times New Roman" w:hAnsi="Times New Roman"/>
                <w:b/>
                <w:color w:val="000000" w:themeColor="text1"/>
                <w:sz w:val="20"/>
              </w:rPr>
              <w:t>FMI</w:t>
            </w:r>
          </w:p>
          <w:p w14:paraId="283AB03D" w14:textId="29BF3924" w:rsidR="00A75FB6" w:rsidRPr="004B56A9" w:rsidRDefault="000F5772" w:rsidP="00A75FB6">
            <w:pPr>
              <w:pStyle w:val="TableParagraph"/>
              <w:spacing w:before="108"/>
              <w:ind w:left="85"/>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w w:val="95"/>
                <w:sz w:val="20"/>
              </w:rPr>
              <w:t xml:space="preserve">Il codice dell’infrastruttura di mercato finanziario. Se esiste,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w:t>
            </w:r>
            <w:proofErr w:type="gramStart"/>
            <w:r w:rsidRPr="004B56A9">
              <w:rPr>
                <w:rFonts w:ascii="Times New Roman" w:hAnsi="Times New Roman"/>
                <w:color w:val="000000" w:themeColor="text1"/>
                <w:spacing w:val="-2"/>
                <w:w w:val="95"/>
                <w:sz w:val="20"/>
              </w:rPr>
              <w:t>In mancanza del LEI, un codice di un sistema di codifica uniforme applicabile nell’Unione ovvero, in sua mancanza, un codice nazionale.</w:t>
            </w:r>
            <w:proofErr w:type="gramEnd"/>
          </w:p>
          <w:p w14:paraId="16DB66C4" w14:textId="2ED262D7" w:rsidR="000F5772" w:rsidRPr="004B56A9" w:rsidRDefault="000F5772" w:rsidP="00106F72">
            <w:pPr>
              <w:pStyle w:val="TableParagraph"/>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Quando nella colonna 0050 è segnalato “NP”, questa </w:t>
            </w:r>
            <w:proofErr w:type="gramStart"/>
            <w:r w:rsidRPr="004B56A9">
              <w:rPr>
                <w:rFonts w:ascii="Times New Roman" w:hAnsi="Times New Roman"/>
                <w:color w:val="000000" w:themeColor="text1"/>
                <w:spacing w:val="-2"/>
                <w:w w:val="95"/>
                <w:sz w:val="20"/>
              </w:rPr>
              <w:t>colonna</w:t>
            </w:r>
            <w:proofErr w:type="gramEnd"/>
            <w:r w:rsidRPr="004B56A9">
              <w:rPr>
                <w:rFonts w:ascii="Times New Roman" w:hAnsi="Times New Roman"/>
                <w:color w:val="000000" w:themeColor="text1"/>
                <w:spacing w:val="-2"/>
                <w:w w:val="95"/>
                <w:sz w:val="20"/>
              </w:rPr>
              <w:t xml:space="preserve"> è lasciata vuota.</w:t>
            </w:r>
          </w:p>
          <w:p w14:paraId="7FB63C9B" w14:textId="167CA45E" w:rsidR="00772F88" w:rsidRPr="004B56A9"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4B56A9" w14:paraId="59394FA5" w14:textId="77777777" w:rsidTr="003D7A16">
        <w:tc>
          <w:tcPr>
            <w:tcW w:w="1191" w:type="dxa"/>
            <w:tcBorders>
              <w:top w:val="single" w:sz="4" w:space="0" w:color="1A171C"/>
              <w:left w:val="nil"/>
              <w:bottom w:val="single" w:sz="4" w:space="0" w:color="1A171C"/>
              <w:right w:val="single" w:sz="4" w:space="0" w:color="1A171C"/>
            </w:tcBorders>
            <w:vAlign w:val="center"/>
          </w:tcPr>
          <w:p w14:paraId="27BD4A69" w14:textId="332C8AAE" w:rsidR="00772F88" w:rsidRPr="004B56A9"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14:paraId="5161D6E2" w14:textId="77777777" w:rsidR="00772F88" w:rsidRPr="004B56A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Modo di partecipazione</w:t>
            </w:r>
          </w:p>
          <w:p w14:paraId="317D8527" w14:textId="12793373" w:rsidR="00772F88" w:rsidRPr="004B56A9"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Segnalare uno dei seguenti valori:</w:t>
            </w:r>
          </w:p>
          <w:p w14:paraId="6C16E57A" w14:textId="2FE303E0" w:rsidR="00E01081" w:rsidRPr="004B56A9"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“Diretto”</w:t>
            </w:r>
            <w:r w:rsidRPr="004B56A9">
              <w:tab/>
            </w:r>
            <w:r w:rsidRPr="004B56A9">
              <w:rPr>
                <w:rFonts w:ascii="Times New Roman" w:hAnsi="Times New Roman"/>
                <w:color w:val="000000" w:themeColor="text1"/>
                <w:spacing w:val="-2"/>
                <w:w w:val="95"/>
                <w:sz w:val="20"/>
              </w:rPr>
              <w:t xml:space="preserve">in caso di adesione diretta o partecipazione </w:t>
            </w:r>
            <w:proofErr w:type="gramStart"/>
            <w:r w:rsidRPr="004B56A9">
              <w:rPr>
                <w:rFonts w:ascii="Times New Roman" w:hAnsi="Times New Roman"/>
                <w:color w:val="000000" w:themeColor="text1"/>
                <w:spacing w:val="-2"/>
                <w:w w:val="95"/>
                <w:sz w:val="20"/>
              </w:rPr>
              <w:t>diretta</w:t>
            </w:r>
            <w:proofErr w:type="gramEnd"/>
          </w:p>
          <w:p w14:paraId="32A07F4A" w14:textId="6ED25FD3" w:rsidR="00E01081" w:rsidRPr="004B56A9"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“Indiretto”</w:t>
            </w:r>
            <w:r w:rsidRPr="004B56A9">
              <w:tab/>
            </w:r>
            <w:proofErr w:type="gramStart"/>
            <w:r w:rsidRPr="004B56A9">
              <w:rPr>
                <w:rFonts w:ascii="Times New Roman" w:hAnsi="Times New Roman"/>
                <w:color w:val="000000" w:themeColor="text1"/>
                <w:spacing w:val="-2"/>
                <w:w w:val="95"/>
                <w:sz w:val="20"/>
              </w:rPr>
              <w:t>in caso di adesione indiretta o partecipazione indiretta</w:t>
            </w:r>
            <w:proofErr w:type="gramEnd"/>
          </w:p>
          <w:p w14:paraId="23DC65C7" w14:textId="52A89B1D" w:rsidR="00772F88" w:rsidRPr="004B56A9"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“NP”</w:t>
            </w:r>
            <w:r w:rsidRPr="004B56A9">
              <w:tab/>
            </w:r>
            <w:proofErr w:type="gramStart"/>
            <w:r w:rsidRPr="004B56A9">
              <w:rPr>
                <w:rFonts w:ascii="Times New Roman" w:hAnsi="Times New Roman"/>
                <w:color w:val="000000" w:themeColor="text1"/>
                <w:spacing w:val="-2"/>
                <w:w w:val="95"/>
                <w:sz w:val="20"/>
              </w:rPr>
              <w:t>q</w:t>
            </w:r>
            <w:proofErr w:type="gramEnd"/>
            <w:r w:rsidRPr="004B56A9">
              <w:rPr>
                <w:rFonts w:ascii="Times New Roman" w:hAnsi="Times New Roman"/>
                <w:color w:val="000000" w:themeColor="text1"/>
                <w:spacing w:val="-2"/>
                <w:w w:val="95"/>
                <w:sz w:val="20"/>
              </w:rPr>
              <w:t>uando nella colonna 0050 è segnalato “NP”.</w:t>
            </w:r>
          </w:p>
        </w:tc>
      </w:tr>
      <w:tr w:rsidR="00D22EB0" w:rsidRPr="004B56A9" w14:paraId="063919E5" w14:textId="77777777" w:rsidTr="003D7A16">
        <w:tc>
          <w:tcPr>
            <w:tcW w:w="1191" w:type="dxa"/>
            <w:tcBorders>
              <w:top w:val="single" w:sz="4" w:space="0" w:color="1A171C"/>
              <w:left w:val="nil"/>
              <w:bottom w:val="single" w:sz="4" w:space="0" w:color="1A171C"/>
              <w:right w:val="single" w:sz="4" w:space="0" w:color="1A171C"/>
            </w:tcBorders>
            <w:vAlign w:val="center"/>
          </w:tcPr>
          <w:p w14:paraId="183EA419" w14:textId="509BA711" w:rsidR="00772F88" w:rsidRPr="004B56A9"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14:paraId="4ADA05E6" w14:textId="77777777" w:rsidR="00772F88" w:rsidRPr="004B56A9" w:rsidRDefault="00772F88" w:rsidP="00AE450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Nome </w:t>
            </w:r>
          </w:p>
          <w:p w14:paraId="292112A9" w14:textId="6679C4B4" w:rsidR="00772F88" w:rsidRPr="004B56A9" w:rsidRDefault="00772F88"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Quando nella colonna 00</w:t>
            </w:r>
            <w:r w:rsidR="00027DAE" w:rsidRPr="004B56A9">
              <w:rPr>
                <w:rFonts w:ascii="Times New Roman" w:hAnsi="Times New Roman"/>
                <w:color w:val="000000" w:themeColor="text1"/>
                <w:spacing w:val="-2"/>
                <w:w w:val="95"/>
                <w:sz w:val="20"/>
              </w:rPr>
              <w:t>8</w:t>
            </w:r>
            <w:r w:rsidRPr="004B56A9">
              <w:rPr>
                <w:rFonts w:ascii="Times New Roman" w:hAnsi="Times New Roman"/>
                <w:color w:val="000000" w:themeColor="text1"/>
                <w:spacing w:val="-2"/>
                <w:w w:val="95"/>
                <w:sz w:val="20"/>
              </w:rPr>
              <w:t>0 è segnalato “Indiretto” o “NP”, la denominazione commerciale dell’intermediario.</w:t>
            </w:r>
          </w:p>
          <w:p w14:paraId="43D54223" w14:textId="7EF3B1A1" w:rsidR="00772F88" w:rsidRPr="004B56A9" w:rsidRDefault="00772F88"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Quando nella colonna 00</w:t>
            </w:r>
            <w:r w:rsidR="00027DAE" w:rsidRPr="004B56A9">
              <w:rPr>
                <w:rFonts w:ascii="Times New Roman" w:hAnsi="Times New Roman"/>
                <w:color w:val="000000" w:themeColor="text1"/>
                <w:spacing w:val="-2"/>
                <w:w w:val="95"/>
                <w:sz w:val="20"/>
              </w:rPr>
              <w:t>8</w:t>
            </w:r>
            <w:r w:rsidRPr="004B56A9">
              <w:rPr>
                <w:rFonts w:ascii="Times New Roman" w:hAnsi="Times New Roman"/>
                <w:color w:val="000000" w:themeColor="text1"/>
                <w:spacing w:val="-2"/>
                <w:w w:val="95"/>
                <w:sz w:val="20"/>
              </w:rPr>
              <w:t>0 è segnalato “Diretto”, indicare “NP” (non pertinente).</w:t>
            </w:r>
          </w:p>
          <w:p w14:paraId="75519467" w14:textId="0A754D24" w:rsidR="00E01081" w:rsidRPr="004B56A9" w:rsidRDefault="00772F88"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L’intermediario può essere parte del gruppo cui appartiene l’entità segnalante o un altro ente creditizio non collegato a tale gruppo. </w:t>
            </w:r>
          </w:p>
          <w:p w14:paraId="362A0CC8" w14:textId="43B205F9" w:rsidR="00772F88" w:rsidRPr="004B56A9" w:rsidRDefault="004B56A9"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Un intermediario può essere un’impresa che fornisce servizi di compensazione, pagamento, regolamento e/o custodia titoli ad altre imprese (soprattutto se nella colonna 0050 è segnalato</w:t>
            </w:r>
            <w:r>
              <w:rPr>
                <w:rFonts w:ascii="Times New Roman" w:hAnsi="Times New Roman"/>
                <w:color w:val="000000" w:themeColor="text1"/>
                <w:spacing w:val="-2"/>
                <w:w w:val="95"/>
                <w:sz w:val="20"/>
              </w:rPr>
              <w:t xml:space="preserve"> </w:t>
            </w:r>
            <w:r w:rsidRPr="004B56A9">
              <w:rPr>
                <w:rFonts w:ascii="Times New Roman" w:hAnsi="Times New Roman"/>
                <w:color w:val="000000" w:themeColor="text1"/>
                <w:spacing w:val="-2"/>
                <w:w w:val="95"/>
                <w:sz w:val="20"/>
              </w:rPr>
              <w:t>“NP”); può essere un membro diretto di una o più FMI e fornire accesso indiretto ai servizi offerti da tali infrastrutture (soprattutto se nella colonna 0080 è segnalato “Indiretto”).</w:t>
            </w:r>
          </w:p>
        </w:tc>
      </w:tr>
      <w:tr w:rsidR="00D22EB0" w:rsidRPr="004B56A9" w14:paraId="79AE2544" w14:textId="77777777" w:rsidTr="003D7A16">
        <w:tc>
          <w:tcPr>
            <w:tcW w:w="1191" w:type="dxa"/>
            <w:tcBorders>
              <w:top w:val="single" w:sz="4" w:space="0" w:color="1A171C"/>
              <w:left w:val="nil"/>
              <w:bottom w:val="single" w:sz="4" w:space="0" w:color="1A171C"/>
              <w:right w:val="single" w:sz="4" w:space="0" w:color="1A171C"/>
            </w:tcBorders>
            <w:vAlign w:val="center"/>
          </w:tcPr>
          <w:p w14:paraId="3AB3B473" w14:textId="0DCCC8C4" w:rsidR="00772F88" w:rsidRPr="004B56A9"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14:paraId="02C123E1" w14:textId="77777777" w:rsidR="00772F88" w:rsidRPr="004B56A9" w:rsidRDefault="00772F88" w:rsidP="00AE4501">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4682FFC6" w14:textId="0B172F3E" w:rsidR="003F3BD6" w:rsidRPr="004B56A9" w:rsidRDefault="003F3BD6" w:rsidP="00AE4501">
            <w:pPr>
              <w:pStyle w:val="TableParagraph"/>
              <w:spacing w:before="108"/>
              <w:ind w:left="85"/>
              <w:jc w:val="both"/>
              <w:rPr>
                <w:rFonts w:ascii="Times New Roman" w:hAnsi="Times New Roman" w:cs="Times New Roman"/>
                <w:color w:val="000000" w:themeColor="text1"/>
                <w:spacing w:val="-2"/>
                <w:sz w:val="20"/>
                <w:szCs w:val="20"/>
              </w:rPr>
            </w:pPr>
            <w:r w:rsidRPr="004B56A9">
              <w:rPr>
                <w:rFonts w:ascii="Times New Roman" w:hAnsi="Times New Roman"/>
                <w:color w:val="000000" w:themeColor="text1"/>
                <w:spacing w:val="-2"/>
                <w:w w:val="95"/>
                <w:sz w:val="20"/>
              </w:rPr>
              <w:t xml:space="preserve">Il codice dell’intermediario. Se esiste, si tratta del codice LEI alfanumerico a </w:t>
            </w:r>
            <w:proofErr w:type="gramStart"/>
            <w:r w:rsidRPr="004B56A9">
              <w:rPr>
                <w:rFonts w:ascii="Times New Roman" w:hAnsi="Times New Roman"/>
                <w:color w:val="000000" w:themeColor="text1"/>
                <w:spacing w:val="-2"/>
                <w:w w:val="95"/>
                <w:sz w:val="20"/>
              </w:rPr>
              <w:t>20</w:t>
            </w:r>
            <w:proofErr w:type="gramEnd"/>
            <w:r w:rsidRPr="004B56A9">
              <w:rPr>
                <w:rFonts w:ascii="Times New Roman" w:hAnsi="Times New Roman"/>
                <w:color w:val="000000" w:themeColor="text1"/>
                <w:spacing w:val="-2"/>
                <w:w w:val="95"/>
                <w:sz w:val="20"/>
              </w:rPr>
              <w:t xml:space="preserve"> cifre. </w:t>
            </w:r>
            <w:proofErr w:type="gramStart"/>
            <w:r w:rsidRPr="004B56A9">
              <w:rPr>
                <w:rFonts w:ascii="Times New Roman" w:hAnsi="Times New Roman"/>
                <w:color w:val="000000" w:themeColor="text1"/>
                <w:spacing w:val="-2"/>
                <w:w w:val="95"/>
                <w:sz w:val="20"/>
              </w:rPr>
              <w:t>In mancanza del LEI, un codice di un sistema di codifica uniforme applicabile nell’Unione ovvero, in sua mancanza, un codice nazionale.</w:t>
            </w:r>
            <w:proofErr w:type="gramEnd"/>
          </w:p>
          <w:p w14:paraId="64BC1938" w14:textId="390CB7B4" w:rsidR="006D1180" w:rsidRPr="004B56A9" w:rsidRDefault="006D1180" w:rsidP="00AE4501">
            <w:pPr>
              <w:pStyle w:val="TableParagraph"/>
              <w:spacing w:before="108"/>
              <w:jc w:val="both"/>
              <w:rPr>
                <w:rFonts w:ascii="Times New Roman" w:eastAsia="Cambria" w:hAnsi="Times New Roman" w:cs="Times New Roman"/>
                <w:color w:val="000000" w:themeColor="text1"/>
                <w:spacing w:val="-2"/>
                <w:w w:val="95"/>
                <w:sz w:val="20"/>
                <w:szCs w:val="20"/>
              </w:rPr>
            </w:pPr>
          </w:p>
          <w:p w14:paraId="1B1E6FA7" w14:textId="6D21A455" w:rsidR="00772F88" w:rsidRPr="004B56A9" w:rsidRDefault="006D1180" w:rsidP="00AE4501">
            <w:pPr>
              <w:pStyle w:val="CommentText"/>
              <w:jc w:val="both"/>
              <w:rPr>
                <w:rFonts w:ascii="Times New Roman" w:hAnsi="Times New Roman" w:cs="Times New Roman"/>
                <w:color w:val="000000" w:themeColor="text1"/>
              </w:rPr>
            </w:pPr>
            <w:r w:rsidRPr="004B56A9">
              <w:rPr>
                <w:rFonts w:ascii="Times New Roman" w:hAnsi="Times New Roman"/>
                <w:color w:val="000000" w:themeColor="text1"/>
                <w:spacing w:val="-2"/>
                <w:w w:val="95"/>
              </w:rPr>
              <w:t>Quando nella colonna 0090 è segnalato “Diretto”, indicare “NP” (non pertinente).</w:t>
            </w:r>
          </w:p>
        </w:tc>
      </w:tr>
      <w:tr w:rsidR="00D22EB0" w:rsidRPr="004B56A9" w14:paraId="005C6430" w14:textId="77777777" w:rsidTr="007644C5">
        <w:tc>
          <w:tcPr>
            <w:tcW w:w="1191" w:type="dxa"/>
            <w:tcBorders>
              <w:top w:val="single" w:sz="4" w:space="0" w:color="1A171C"/>
              <w:left w:val="nil"/>
              <w:bottom w:val="single" w:sz="4" w:space="0" w:color="1A171C"/>
              <w:right w:val="single" w:sz="4" w:space="0" w:color="1A171C"/>
            </w:tcBorders>
            <w:vAlign w:val="center"/>
          </w:tcPr>
          <w:p w14:paraId="523A65B6" w14:textId="057BD42A" w:rsidR="00BC1F79" w:rsidRPr="004B56A9"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14:paraId="255CC977" w14:textId="43E6F7B2" w:rsidR="00BC1F79" w:rsidRPr="004B56A9"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Descrizione del servizio</w:t>
            </w:r>
          </w:p>
          <w:p w14:paraId="4E43212C" w14:textId="5809EC97" w:rsidR="00BC1F79" w:rsidRPr="004B56A9"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La descrizione del servizio se il tipo di sistema segnalato nella colonna 050 è “Altro” o “NP”.</w:t>
            </w:r>
          </w:p>
        </w:tc>
      </w:tr>
      <w:tr w:rsidR="00D22EB0" w:rsidRPr="004B56A9" w14:paraId="7EA7601D" w14:textId="77777777" w:rsidTr="003D7A16">
        <w:tc>
          <w:tcPr>
            <w:tcW w:w="1191" w:type="dxa"/>
            <w:tcBorders>
              <w:top w:val="single" w:sz="4" w:space="0" w:color="1A171C"/>
              <w:left w:val="nil"/>
              <w:bottom w:val="single" w:sz="4" w:space="0" w:color="1A171C"/>
              <w:right w:val="single" w:sz="4" w:space="0" w:color="1A171C"/>
            </w:tcBorders>
            <w:vAlign w:val="center"/>
          </w:tcPr>
          <w:p w14:paraId="4620F384" w14:textId="6E1358FA" w:rsidR="00772F88" w:rsidRPr="004B56A9"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14:paraId="2775B8E7" w14:textId="5768423B" w:rsidR="00772F88" w:rsidRPr="004B56A9"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Diritto applicabile</w:t>
            </w:r>
          </w:p>
          <w:p w14:paraId="3143CF13" w14:textId="7C0B115C" w:rsidR="00772F88" w:rsidRPr="004B56A9"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L’identificativo ISO 3166-1 alpha-2 del paese il cui diritto disciplina l’accesso </w:t>
            </w:r>
            <w:proofErr w:type="gramStart"/>
            <w:r w:rsidRPr="004B56A9">
              <w:rPr>
                <w:rFonts w:ascii="Times New Roman" w:hAnsi="Times New Roman"/>
                <w:color w:val="000000" w:themeColor="text1"/>
                <w:spacing w:val="-2"/>
                <w:w w:val="95"/>
                <w:sz w:val="20"/>
              </w:rPr>
              <w:t>all’</w:t>
            </w:r>
            <w:proofErr w:type="gramEnd"/>
            <w:r w:rsidRPr="004B56A9">
              <w:rPr>
                <w:rFonts w:ascii="Times New Roman" w:hAnsi="Times New Roman"/>
                <w:color w:val="000000" w:themeColor="text1"/>
                <w:spacing w:val="-2"/>
                <w:w w:val="95"/>
                <w:sz w:val="20"/>
              </w:rPr>
              <w:t xml:space="preserve">FMI. </w:t>
            </w:r>
          </w:p>
          <w:p w14:paraId="792AEBDC" w14:textId="0E6CCC9B" w:rsidR="00772F88" w:rsidRPr="004B56A9" w:rsidRDefault="00772F88"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In caso di adesione diretta o partecipazione </w:t>
            </w:r>
            <w:proofErr w:type="gramStart"/>
            <w:r w:rsidRPr="004B56A9">
              <w:rPr>
                <w:rFonts w:ascii="Times New Roman" w:hAnsi="Times New Roman"/>
                <w:color w:val="000000" w:themeColor="text1"/>
                <w:spacing w:val="-2"/>
                <w:w w:val="95"/>
                <w:sz w:val="20"/>
              </w:rPr>
              <w:t>diretta</w:t>
            </w:r>
            <w:proofErr w:type="gramEnd"/>
            <w:r w:rsidRPr="004B56A9">
              <w:rPr>
                <w:rFonts w:ascii="Times New Roman" w:hAnsi="Times New Roman"/>
                <w:color w:val="000000" w:themeColor="text1"/>
                <w:spacing w:val="-2"/>
                <w:w w:val="95"/>
                <w:sz w:val="20"/>
              </w:rPr>
              <w:t xml:space="preserve"> deve essere segnalato il diritto applicabile al contratto tra l’</w:t>
            </w:r>
            <w:r w:rsidR="00027DAE" w:rsidRPr="004B56A9">
              <w:rPr>
                <w:rFonts w:ascii="Times New Roman" w:hAnsi="Times New Roman"/>
                <w:color w:val="000000" w:themeColor="text1"/>
                <w:spacing w:val="-2"/>
                <w:w w:val="95"/>
                <w:sz w:val="20"/>
              </w:rPr>
              <w:t>infrastruttura</w:t>
            </w:r>
            <w:r w:rsidRPr="004B56A9">
              <w:rPr>
                <w:rFonts w:ascii="Times New Roman" w:hAnsi="Times New Roman"/>
                <w:color w:val="000000" w:themeColor="text1"/>
                <w:spacing w:val="-2"/>
                <w:w w:val="95"/>
                <w:sz w:val="20"/>
              </w:rPr>
              <w:t xml:space="preserve"> di mercato finanziario e l’utente. In caso di adesione indiretta o partecipazione </w:t>
            </w:r>
            <w:proofErr w:type="gramStart"/>
            <w:r w:rsidRPr="004B56A9">
              <w:rPr>
                <w:rFonts w:ascii="Times New Roman" w:hAnsi="Times New Roman"/>
                <w:color w:val="000000" w:themeColor="text1"/>
                <w:spacing w:val="-2"/>
                <w:w w:val="95"/>
                <w:sz w:val="20"/>
              </w:rPr>
              <w:t>indiretta</w:t>
            </w:r>
            <w:proofErr w:type="gramEnd"/>
            <w:r w:rsidRPr="004B56A9">
              <w:rPr>
                <w:rFonts w:ascii="Times New Roman" w:hAnsi="Times New Roman"/>
                <w:color w:val="000000" w:themeColor="text1"/>
                <w:spacing w:val="-2"/>
                <w:w w:val="95"/>
                <w:sz w:val="20"/>
              </w:rPr>
              <w:t xml:space="preserve"> deve essere segnalato il diritto applicabile al contratto tra l’ente rappresentativo e l’utente. </w:t>
            </w:r>
          </w:p>
        </w:tc>
      </w:tr>
    </w:tbl>
    <w:p w14:paraId="0218CD6D" w14:textId="5C05A6D9" w:rsidR="00E13CE3" w:rsidRPr="004B56A9"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2" w:name="_Toc492542330"/>
      <w:bookmarkStart w:id="43" w:name="_Toc509909048"/>
      <w:bookmarkStart w:id="44" w:name="_Toc525130395"/>
      <w:r w:rsidRPr="004B56A9">
        <w:rPr>
          <w:rFonts w:ascii="Times New Roman" w:hAnsi="Times New Roman"/>
          <w:color w:val="000000" w:themeColor="text1"/>
        </w:rPr>
        <w:t>Sistemi informatici essenziali</w:t>
      </w:r>
      <w:bookmarkEnd w:id="42"/>
      <w:bookmarkEnd w:id="43"/>
      <w:bookmarkEnd w:id="44"/>
    </w:p>
    <w:p w14:paraId="2B6DA875" w14:textId="77777777" w:rsidR="00AA4026" w:rsidRPr="004B56A9" w:rsidRDefault="00AA4026" w:rsidP="006028B1">
      <w:pPr>
        <w:pStyle w:val="Numberedtitlelevel3"/>
        <w:rPr>
          <w:rFonts w:ascii="Times New Roman" w:hAnsi="Times New Roman" w:cs="Times New Roman"/>
          <w:b w:val="0"/>
          <w:color w:val="000000" w:themeColor="text1"/>
          <w:sz w:val="20"/>
          <w:szCs w:val="20"/>
          <w:u w:val="single"/>
        </w:rPr>
      </w:pPr>
      <w:bookmarkStart w:id="45" w:name="_Toc368311813"/>
      <w:bookmarkStart w:id="46" w:name="_Toc322687864"/>
      <w:bookmarkStart w:id="47" w:name="_Toc368311822"/>
      <w:r w:rsidRPr="004B56A9">
        <w:rPr>
          <w:rFonts w:ascii="Times New Roman" w:hAnsi="Times New Roman"/>
          <w:b w:val="0"/>
          <w:color w:val="000000" w:themeColor="text1"/>
          <w:sz w:val="20"/>
          <w:u w:val="single"/>
        </w:rPr>
        <w:t>Osservazioni di carattere generale</w:t>
      </w:r>
    </w:p>
    <w:p w14:paraId="08509A3E" w14:textId="4B4CDD6F" w:rsidR="004507BB" w:rsidRPr="004B56A9" w:rsidRDefault="004507BB"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Questa sezione consta dei seguenti modelli:</w:t>
      </w:r>
    </w:p>
    <w:p w14:paraId="0D92355B" w14:textId="5D34CA0F" w:rsidR="004507BB" w:rsidRPr="004B56A9" w:rsidRDefault="0018376A" w:rsidP="00715DAB">
      <w:pPr>
        <w:pStyle w:val="numberedparagraph"/>
        <w:numPr>
          <w:ilvl w:val="0"/>
          <w:numId w:val="38"/>
        </w:numPr>
        <w:rPr>
          <w:rFonts w:ascii="Times New Roman" w:hAnsi="Times New Roman" w:cs="Times New Roman"/>
          <w:sz w:val="20"/>
          <w:szCs w:val="20"/>
        </w:rPr>
      </w:pPr>
      <w:r w:rsidRPr="004B56A9">
        <w:rPr>
          <w:rFonts w:ascii="Times New Roman" w:hAnsi="Times New Roman"/>
          <w:sz w:val="20"/>
        </w:rPr>
        <w:t>Z 10.01 - Sistemi informatici essenziali (Informazioni di carattere generale) (CIS 1), che elenca tutti i sistemi informatici essenziali del gruppo;</w:t>
      </w:r>
    </w:p>
    <w:p w14:paraId="42C4E11A" w14:textId="0BFB2AC1" w:rsidR="004507BB" w:rsidRPr="004B56A9" w:rsidRDefault="0018376A" w:rsidP="00715DAB">
      <w:pPr>
        <w:pStyle w:val="numberedparagraph"/>
        <w:numPr>
          <w:ilvl w:val="0"/>
          <w:numId w:val="38"/>
        </w:numPr>
        <w:rPr>
          <w:rFonts w:ascii="Times New Roman" w:hAnsi="Times New Roman" w:cs="Times New Roman"/>
          <w:sz w:val="20"/>
          <w:szCs w:val="20"/>
        </w:rPr>
      </w:pPr>
      <w:r w:rsidRPr="004B56A9">
        <w:rPr>
          <w:rFonts w:ascii="Times New Roman" w:hAnsi="Times New Roman"/>
          <w:sz w:val="20"/>
        </w:rPr>
        <w:t>Z 10.02 - Classificazione dei sistemi informatici essenziali (CIS 2), che associa i sistemi informatici essenziali alle entità utenti del gruppo e alle funzioni essenziali.</w:t>
      </w:r>
    </w:p>
    <w:p w14:paraId="391AB6DA" w14:textId="77777777" w:rsidR="00277550" w:rsidRPr="004B56A9" w:rsidRDefault="00AD4B22" w:rsidP="00E714C5">
      <w:pPr>
        <w:pStyle w:val="numberedparagraph"/>
        <w:rPr>
          <w:rFonts w:ascii="Times New Roman" w:hAnsi="Times New Roman" w:cs="Times New Roman"/>
          <w:sz w:val="20"/>
          <w:szCs w:val="20"/>
        </w:rPr>
      </w:pPr>
      <w:r w:rsidRPr="004B56A9">
        <w:rPr>
          <w:rFonts w:ascii="Times New Roman" w:hAnsi="Times New Roman"/>
          <w:sz w:val="20"/>
        </w:rPr>
        <w:t xml:space="preserve">Per sistema informatico essenziale </w:t>
      </w:r>
      <w:proofErr w:type="gramStart"/>
      <w:r w:rsidRPr="004B56A9">
        <w:rPr>
          <w:rFonts w:ascii="Times New Roman" w:hAnsi="Times New Roman"/>
          <w:sz w:val="20"/>
        </w:rPr>
        <w:t xml:space="preserve">si </w:t>
      </w:r>
      <w:proofErr w:type="gramEnd"/>
      <w:r w:rsidRPr="004B56A9">
        <w:rPr>
          <w:rFonts w:ascii="Times New Roman" w:hAnsi="Times New Roman"/>
          <w:sz w:val="20"/>
        </w:rPr>
        <w:t>intende un’applicazione informatica o un software che supporta un servizio essenziale e la cui interruzione costituirebbe un grave ostacolo all’esercizio di una funzione essenziale o lo impedirebbe totalmente.</w:t>
      </w:r>
      <w:bookmarkEnd w:id="45"/>
      <w:bookmarkEnd w:id="46"/>
    </w:p>
    <w:p w14:paraId="5A2C9C3A" w14:textId="27DBDF85" w:rsidR="00ED08D2" w:rsidRPr="004B56A9" w:rsidRDefault="00262051" w:rsidP="00E714C5">
      <w:pPr>
        <w:pStyle w:val="numberedparagraph"/>
        <w:rPr>
          <w:rFonts w:ascii="Times New Roman" w:hAnsi="Times New Roman" w:cs="Times New Roman"/>
          <w:sz w:val="20"/>
          <w:szCs w:val="20"/>
        </w:rPr>
      </w:pPr>
      <w:r w:rsidRPr="004B56A9">
        <w:rPr>
          <w:rFonts w:ascii="Times New Roman" w:hAnsi="Times New Roman"/>
          <w:sz w:val="20"/>
        </w:rPr>
        <w:t>Questi modelli devono essere compilati per l’intero gruppo.</w:t>
      </w:r>
    </w:p>
    <w:p w14:paraId="5FFDCB23" w14:textId="56CFBC17" w:rsidR="00AD4B22" w:rsidRPr="004B56A9" w:rsidRDefault="00AD4B22" w:rsidP="00EA3B0A">
      <w:pPr>
        <w:pStyle w:val="Numberedtitlelevel3"/>
        <w:numPr>
          <w:ilvl w:val="0"/>
          <w:numId w:val="0"/>
        </w:numPr>
        <w:rPr>
          <w:rFonts w:ascii="Times New Roman" w:hAnsi="Times New Roman" w:cs="Times New Roman"/>
          <w:color w:val="000000" w:themeColor="text1"/>
          <w:sz w:val="20"/>
          <w:szCs w:val="20"/>
        </w:rPr>
      </w:pPr>
    </w:p>
    <w:p w14:paraId="7C725627" w14:textId="02F7B922" w:rsidR="00AA4026" w:rsidRPr="004B56A9" w:rsidRDefault="0018376A" w:rsidP="006028B1">
      <w:pPr>
        <w:pStyle w:val="Numberedtitlelevel3"/>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 xml:space="preserve">Z 10.01 - Sistemi informatici essenziali (Informazioni di carattere generale) (CIS 1): 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b w:val="0"/>
          <w:color w:val="000000" w:themeColor="text1"/>
          <w:sz w:val="20"/>
          <w:u w:val="single"/>
        </w:rPr>
        <w:t xml:space="preserve"> posizioni specifiche</w:t>
      </w:r>
    </w:p>
    <w:p w14:paraId="617F4D21" w14:textId="48C9035D" w:rsidR="000B75A6" w:rsidRPr="004B56A9" w:rsidRDefault="000B75A6"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Il valore segnalato nella colonna 0010 di questo modello costituisce una chiave primaria che dev’essere unica per ciascuna riga del modello. </w:t>
      </w:r>
    </w:p>
    <w:p w14:paraId="624D09DB" w14:textId="77777777" w:rsidR="000B75A6" w:rsidRPr="004B56A9"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16D187C9"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4BD2CA54" w14:textId="77777777" w:rsidR="00AD4B22" w:rsidRPr="004B56A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70A8CD1B" w14:textId="77777777" w:rsidR="00AD4B22" w:rsidRPr="004B56A9"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2546BB35" w14:textId="77777777" w:rsidTr="00311CA4">
        <w:tc>
          <w:tcPr>
            <w:tcW w:w="1191" w:type="dxa"/>
            <w:tcBorders>
              <w:top w:val="single" w:sz="4" w:space="0" w:color="1A171C"/>
              <w:left w:val="nil"/>
              <w:bottom w:val="single" w:sz="4" w:space="0" w:color="1A171C"/>
              <w:right w:val="single" w:sz="4" w:space="0" w:color="1A171C"/>
            </w:tcBorders>
          </w:tcPr>
          <w:p w14:paraId="1B89D92E" w14:textId="7EF20416" w:rsidR="00311CA4" w:rsidRPr="004B56A9"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0010 - 0</w:t>
            </w:r>
            <w:r w:rsidR="00027DAE" w:rsidRPr="004B56A9">
              <w:rPr>
                <w:rFonts w:ascii="Times New Roman" w:hAnsi="Times New Roman"/>
                <w:color w:val="000000" w:themeColor="text1"/>
                <w:spacing w:val="-2"/>
                <w:w w:val="95"/>
                <w:sz w:val="20"/>
              </w:rPr>
              <w:t>0</w:t>
            </w:r>
            <w:r w:rsidRPr="004B56A9">
              <w:rPr>
                <w:rFonts w:ascii="Times New Roman" w:hAnsi="Times New Roman"/>
                <w:color w:val="000000" w:themeColor="text1"/>
                <w:spacing w:val="-2"/>
                <w:w w:val="95"/>
                <w:sz w:val="20"/>
              </w:rPr>
              <w:t>40</w:t>
            </w:r>
          </w:p>
        </w:tc>
        <w:tc>
          <w:tcPr>
            <w:tcW w:w="7892" w:type="dxa"/>
            <w:tcBorders>
              <w:top w:val="single" w:sz="4" w:space="0" w:color="1A171C"/>
              <w:left w:val="single" w:sz="4" w:space="0" w:color="1A171C"/>
              <w:bottom w:val="single" w:sz="4" w:space="0" w:color="1A171C"/>
              <w:right w:val="nil"/>
            </w:tcBorders>
          </w:tcPr>
          <w:p w14:paraId="125D6DB7" w14:textId="77777777" w:rsidR="00311CA4" w:rsidRPr="004B56A9"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Sistema informatico essenziale</w:t>
            </w:r>
          </w:p>
        </w:tc>
      </w:tr>
      <w:tr w:rsidR="00D22EB0" w:rsidRPr="004B56A9" w14:paraId="7CD3F851" w14:textId="77777777" w:rsidTr="00311CA4">
        <w:tc>
          <w:tcPr>
            <w:tcW w:w="1191" w:type="dxa"/>
            <w:tcBorders>
              <w:top w:val="single" w:sz="4" w:space="0" w:color="1A171C"/>
              <w:left w:val="nil"/>
              <w:bottom w:val="single" w:sz="4" w:space="0" w:color="1A171C"/>
              <w:right w:val="single" w:sz="4" w:space="0" w:color="1A171C"/>
            </w:tcBorders>
          </w:tcPr>
          <w:p w14:paraId="7F52F0F9" w14:textId="7AB76CA3" w:rsidR="00AD4B22" w:rsidRPr="004B56A9"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14:paraId="2D497C06" w14:textId="1F1AA010" w:rsidR="00AD4B22" w:rsidRPr="004B56A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roofErr w:type="gramStart"/>
            <w:r w:rsidRPr="004B56A9">
              <w:rPr>
                <w:rFonts w:ascii="Times New Roman" w:hAnsi="Times New Roman"/>
                <w:b/>
                <w:color w:val="000000" w:themeColor="text1"/>
                <w:sz w:val="20"/>
              </w:rPr>
              <w:t xml:space="preserve">di </w:t>
            </w:r>
            <w:proofErr w:type="gramEnd"/>
            <w:r w:rsidRPr="004B56A9">
              <w:rPr>
                <w:rFonts w:ascii="Times New Roman" w:hAnsi="Times New Roman"/>
                <w:b/>
                <w:color w:val="000000" w:themeColor="text1"/>
                <w:sz w:val="20"/>
              </w:rPr>
              <w:t>identificazione del sistema</w:t>
            </w:r>
          </w:p>
          <w:p w14:paraId="3A116A49" w14:textId="41EAD442" w:rsidR="00AD4B22" w:rsidRPr="004B56A9"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identificazione del sistema è un acronimo stabilito dall’ente che identifica in modo univoco il sistema informatico essenziale.</w:t>
            </w:r>
          </w:p>
          <w:p w14:paraId="6D053BCC" w14:textId="4FE4E18B" w:rsidR="00881C3C" w:rsidRPr="004B56A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Si tratta di un identificatore di riga che deve essere </w:t>
            </w:r>
            <w:proofErr w:type="gramStart"/>
            <w:r w:rsidRPr="004B56A9">
              <w:rPr>
                <w:rFonts w:ascii="Times New Roman" w:hAnsi="Times New Roman"/>
                <w:color w:val="000000" w:themeColor="text1"/>
                <w:spacing w:val="-2"/>
                <w:w w:val="95"/>
                <w:sz w:val="20"/>
              </w:rPr>
              <w:t>unico</w:t>
            </w:r>
            <w:proofErr w:type="gramEnd"/>
            <w:r w:rsidRPr="004B56A9">
              <w:rPr>
                <w:rFonts w:ascii="Times New Roman" w:hAnsi="Times New Roman"/>
                <w:color w:val="000000" w:themeColor="text1"/>
                <w:spacing w:val="-2"/>
                <w:w w:val="95"/>
                <w:sz w:val="20"/>
              </w:rPr>
              <w:t xml:space="preserve"> per ciascuna riga del modello.</w:t>
            </w:r>
          </w:p>
        </w:tc>
      </w:tr>
      <w:tr w:rsidR="00D22EB0" w:rsidRPr="004B56A9" w14:paraId="708F16FB" w14:textId="77777777" w:rsidTr="00311CA4">
        <w:tc>
          <w:tcPr>
            <w:tcW w:w="1191" w:type="dxa"/>
            <w:tcBorders>
              <w:top w:val="single" w:sz="4" w:space="0" w:color="1A171C"/>
              <w:left w:val="nil"/>
              <w:bottom w:val="single" w:sz="4" w:space="0" w:color="1A171C"/>
              <w:right w:val="single" w:sz="4" w:space="0" w:color="1A171C"/>
            </w:tcBorders>
          </w:tcPr>
          <w:p w14:paraId="092A537B" w14:textId="00489F2A" w:rsidR="006D5055" w:rsidRPr="004B56A9"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14:paraId="2690FA1B" w14:textId="77777777" w:rsidR="006D5055" w:rsidRPr="004B56A9"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Denominazione del sistema</w:t>
            </w:r>
          </w:p>
          <w:p w14:paraId="37D13946" w14:textId="50539A72" w:rsidR="006D5055" w:rsidRPr="004B56A9" w:rsidRDefault="000679B1" w:rsidP="000679B1">
            <w:pPr>
              <w:pStyle w:val="TableParagraph"/>
              <w:spacing w:before="108"/>
              <w:ind w:left="85"/>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La denominazione commerciale o interna del sistema.</w:t>
            </w:r>
          </w:p>
        </w:tc>
      </w:tr>
      <w:tr w:rsidR="00D22EB0" w:rsidRPr="004B56A9" w14:paraId="363422F9" w14:textId="77777777" w:rsidTr="00311CA4">
        <w:tc>
          <w:tcPr>
            <w:tcW w:w="1191" w:type="dxa"/>
            <w:tcBorders>
              <w:top w:val="single" w:sz="4" w:space="0" w:color="1A171C"/>
              <w:left w:val="nil"/>
              <w:bottom w:val="single" w:sz="4" w:space="0" w:color="1A171C"/>
              <w:right w:val="single" w:sz="4" w:space="0" w:color="1A171C"/>
            </w:tcBorders>
          </w:tcPr>
          <w:p w14:paraId="7633F25F" w14:textId="30273100" w:rsidR="00AD4B22" w:rsidRPr="004B56A9" w:rsidRDefault="00AD4B22"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3</w:t>
            </w:r>
            <w:r w:rsidRPr="004B56A9">
              <w:rPr>
                <w:rFonts w:ascii="Times New Roman" w:hAnsi="Times New Roman"/>
                <w:color w:val="000000" w:themeColor="text1"/>
                <w:spacing w:val="-2"/>
                <w:w w:val="95"/>
                <w:sz w:val="20"/>
              </w:rPr>
              <w:t xml:space="preserve">0 </w:t>
            </w:r>
          </w:p>
        </w:tc>
        <w:tc>
          <w:tcPr>
            <w:tcW w:w="7892" w:type="dxa"/>
            <w:tcBorders>
              <w:top w:val="single" w:sz="4" w:space="0" w:color="1A171C"/>
              <w:left w:val="single" w:sz="4" w:space="0" w:color="1A171C"/>
              <w:bottom w:val="single" w:sz="4" w:space="0" w:color="1A171C"/>
              <w:right w:val="nil"/>
            </w:tcBorders>
          </w:tcPr>
          <w:p w14:paraId="04B4D7C5" w14:textId="77777777" w:rsidR="00AD4B22" w:rsidRPr="004B56A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Tipo di sistema</w:t>
            </w:r>
          </w:p>
          <w:p w14:paraId="28C64FC6" w14:textId="5FEAA503" w:rsidR="00AD4B22" w:rsidRPr="004B56A9"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Segnalare uno dei seguenti valori:</w:t>
            </w:r>
          </w:p>
          <w:p w14:paraId="5FD404DC" w14:textId="7B28E985" w:rsidR="00AD4B22" w:rsidRPr="004B56A9" w:rsidRDefault="00AD4B22" w:rsidP="00AE4501">
            <w:pPr>
              <w:pStyle w:val="List1"/>
              <w:numPr>
                <w:ilvl w:val="0"/>
                <w:numId w:val="22"/>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Software di supporto operativo specificamente sviluppato</w:t>
            </w:r>
          </w:p>
          <w:p w14:paraId="0D47741C" w14:textId="732CCB67" w:rsidR="00AD4B22" w:rsidRPr="004B56A9" w:rsidRDefault="00AD4B22" w:rsidP="00AE4501">
            <w:pPr>
              <w:pStyle w:val="TableParagraph"/>
              <w:spacing w:before="108"/>
              <w:ind w:left="442"/>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Applicazioni che sono state sviluppate secondo precise specifiche operative. Il software può essere stato sviluppato internamente o rivolgendosi a contraenti esterni, ma sempre a fini di supporto operativo.</w:t>
            </w:r>
          </w:p>
          <w:p w14:paraId="6AE0193C" w14:textId="2E06D72C" w:rsidR="00AD4B22" w:rsidRPr="004B56A9" w:rsidRDefault="00AD4B22" w:rsidP="00AE4501">
            <w:pPr>
              <w:pStyle w:val="List1"/>
              <w:numPr>
                <w:ilvl w:val="0"/>
                <w:numId w:val="22"/>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Software acquistato tale e quale</w:t>
            </w:r>
          </w:p>
          <w:p w14:paraId="49DBA85A" w14:textId="25E709FE" w:rsidR="00AD4B22" w:rsidRPr="004B56A9" w:rsidRDefault="00AD4B22" w:rsidP="00AE4501">
            <w:pPr>
              <w:pStyle w:val="TableParagraph"/>
              <w:spacing w:before="108"/>
              <w:ind w:left="442"/>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Applicazioni acquistate sul mercato, di norma vendute o date in licenza da un rivenditore, che non sono state modificate per adattarle alle specifiche esigenze operative dell’organizzazione. Sono incluse in questa categoria le applicazioni che presentano i normali meccanismi di configurazione.</w:t>
            </w:r>
          </w:p>
          <w:p w14:paraId="609060F4" w14:textId="59B51CDB" w:rsidR="00AD4B22" w:rsidRPr="004B56A9" w:rsidRDefault="00881C3C" w:rsidP="00AE4501">
            <w:pPr>
              <w:pStyle w:val="List1"/>
              <w:numPr>
                <w:ilvl w:val="0"/>
                <w:numId w:val="22"/>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Software acquistato con modifiche </w:t>
            </w:r>
            <w:proofErr w:type="gramStart"/>
            <w:r w:rsidRPr="004B56A9">
              <w:rPr>
                <w:rFonts w:ascii="Times New Roman" w:hAnsi="Times New Roman"/>
                <w:color w:val="000000" w:themeColor="text1"/>
                <w:spacing w:val="-2"/>
                <w:w w:val="95"/>
                <w:sz w:val="20"/>
              </w:rPr>
              <w:t>specifiche</w:t>
            </w:r>
            <w:proofErr w:type="gramEnd"/>
          </w:p>
          <w:p w14:paraId="7EFE813C" w14:textId="4C82AEA2" w:rsidR="00AD4B22" w:rsidRPr="004B56A9" w:rsidRDefault="00AD4B22" w:rsidP="00AE4501">
            <w:pPr>
              <w:pStyle w:val="TableParagraph"/>
              <w:spacing w:before="108"/>
              <w:ind w:left="442"/>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Applicazioni acquistate sul mercato, ma di cui il rivenditore (o il suo rappresentante) ha creato una versione specifica per quell’installazione particolare. Tale particolare versione è caratterizzata da variazioni del comportamento dell’applicazione, da nuovi elementi o dall’inserimento di plug-in non standard sviluppati secondo le esigenze operative dell’organizzazione.</w:t>
            </w:r>
          </w:p>
          <w:p w14:paraId="1393690E" w14:textId="4A660F2E" w:rsidR="00AD4B22" w:rsidRPr="004B56A9" w:rsidRDefault="00881C3C" w:rsidP="00AE4501">
            <w:pPr>
              <w:pStyle w:val="List1"/>
              <w:numPr>
                <w:ilvl w:val="0"/>
                <w:numId w:val="22"/>
              </w:numPr>
              <w:spacing w:before="108"/>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Applicazione/portale esterno</w:t>
            </w:r>
          </w:p>
          <w:p w14:paraId="41E62C09" w14:textId="7CF64A37" w:rsidR="00AD4B22" w:rsidRPr="004B56A9" w:rsidRDefault="00AD4B22" w:rsidP="00AE4501">
            <w:pPr>
              <w:pStyle w:val="TableParagraph"/>
              <w:spacing w:before="108"/>
              <w:ind w:left="442"/>
              <w:jc w:val="both"/>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Portali esterni o applicazioni forniti da terzi, di norma partner, per accedere ai servizi da questi offerti</w:t>
            </w:r>
            <w:proofErr w:type="gramEnd"/>
            <w:r w:rsidRPr="004B56A9">
              <w:rPr>
                <w:rFonts w:ascii="Times New Roman" w:hAnsi="Times New Roman"/>
                <w:color w:val="000000" w:themeColor="text1"/>
                <w:spacing w:val="-2"/>
                <w:w w:val="95"/>
                <w:sz w:val="20"/>
              </w:rPr>
              <w:t xml:space="preserve">. Di norma esulano dalla portata della gestione </w:t>
            </w:r>
            <w:proofErr w:type="gramStart"/>
            <w:r w:rsidRPr="004B56A9">
              <w:rPr>
                <w:rFonts w:ascii="Times New Roman" w:hAnsi="Times New Roman"/>
                <w:color w:val="000000" w:themeColor="text1"/>
                <w:spacing w:val="-2"/>
                <w:w w:val="95"/>
                <w:sz w:val="20"/>
              </w:rPr>
              <w:t>dei</w:t>
            </w:r>
            <w:proofErr w:type="gramEnd"/>
            <w:r w:rsidRPr="004B56A9">
              <w:rPr>
                <w:rFonts w:ascii="Times New Roman" w:hAnsi="Times New Roman"/>
                <w:color w:val="000000" w:themeColor="text1"/>
                <w:spacing w:val="-2"/>
                <w:w w:val="95"/>
                <w:sz w:val="20"/>
              </w:rPr>
              <w:t xml:space="preserve"> sistemi informatici dell’organizzazione, e sono installati, manutenuti e gestiti dal partner stesso. Tali applicazioni assumono spesso la forma di portali (accessibili tramite internet o reti private), e pur esulando dalla portata dei servizi di gestione </w:t>
            </w:r>
            <w:proofErr w:type="gramStart"/>
            <w:r w:rsidRPr="004B56A9">
              <w:rPr>
                <w:rFonts w:ascii="Times New Roman" w:hAnsi="Times New Roman"/>
                <w:color w:val="000000" w:themeColor="text1"/>
                <w:spacing w:val="-2"/>
                <w:w w:val="95"/>
                <w:sz w:val="20"/>
              </w:rPr>
              <w:t>dei</w:t>
            </w:r>
            <w:proofErr w:type="gramEnd"/>
            <w:r w:rsidRPr="004B56A9">
              <w:rPr>
                <w:rFonts w:ascii="Times New Roman" w:hAnsi="Times New Roman"/>
                <w:color w:val="000000" w:themeColor="text1"/>
                <w:spacing w:val="-2"/>
                <w:w w:val="95"/>
                <w:sz w:val="20"/>
              </w:rPr>
              <w:t xml:space="preserve"> sistemi informatici dell’organizzazione sono importanti (o essenziali) per alcune funzioni operative. </w:t>
            </w:r>
          </w:p>
        </w:tc>
      </w:tr>
      <w:tr w:rsidR="00D22EB0" w:rsidRPr="004B56A9" w14:paraId="14E6BA0B" w14:textId="77777777" w:rsidTr="00311CA4">
        <w:tc>
          <w:tcPr>
            <w:tcW w:w="1191" w:type="dxa"/>
            <w:tcBorders>
              <w:top w:val="single" w:sz="4" w:space="0" w:color="1A171C"/>
              <w:left w:val="nil"/>
              <w:bottom w:val="single" w:sz="4" w:space="0" w:color="1A171C"/>
              <w:right w:val="single" w:sz="4" w:space="0" w:color="1A171C"/>
            </w:tcBorders>
          </w:tcPr>
          <w:p w14:paraId="313621CA" w14:textId="70AD4122" w:rsidR="00AD4B22" w:rsidRPr="004B56A9" w:rsidRDefault="00AD4B22"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4</w:t>
            </w:r>
            <w:r w:rsidRPr="004B56A9">
              <w:rPr>
                <w:rFonts w:ascii="Times New Roman" w:hAnsi="Times New Roman"/>
                <w:color w:val="000000" w:themeColor="text1"/>
                <w:spacing w:val="-2"/>
                <w:w w:val="95"/>
                <w:sz w:val="20"/>
              </w:rPr>
              <w:t>0</w:t>
            </w:r>
          </w:p>
        </w:tc>
        <w:tc>
          <w:tcPr>
            <w:tcW w:w="7892" w:type="dxa"/>
            <w:tcBorders>
              <w:top w:val="single" w:sz="4" w:space="0" w:color="1A171C"/>
              <w:left w:val="single" w:sz="4" w:space="0" w:color="1A171C"/>
              <w:bottom w:val="single" w:sz="4" w:space="0" w:color="1A171C"/>
              <w:right w:val="nil"/>
            </w:tcBorders>
          </w:tcPr>
          <w:p w14:paraId="0ADC66AB" w14:textId="77777777" w:rsidR="00AD4B22" w:rsidRPr="004B56A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Descrizione</w:t>
            </w:r>
          </w:p>
          <w:p w14:paraId="04BAFF74" w14:textId="11DD5CA8" w:rsidR="00AD4B22" w:rsidRPr="004B56A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 descrizione dello scopo principale del sistema informatico nel </w:t>
            </w:r>
            <w:proofErr w:type="gramStart"/>
            <w:r w:rsidRPr="004B56A9">
              <w:rPr>
                <w:rFonts w:ascii="Times New Roman" w:hAnsi="Times New Roman"/>
                <w:color w:val="000000" w:themeColor="text1"/>
                <w:spacing w:val="-2"/>
                <w:w w:val="95"/>
                <w:sz w:val="20"/>
              </w:rPr>
              <w:t>contesto</w:t>
            </w:r>
            <w:proofErr w:type="gramEnd"/>
            <w:r w:rsidRPr="004B56A9">
              <w:rPr>
                <w:rFonts w:ascii="Times New Roman" w:hAnsi="Times New Roman"/>
                <w:color w:val="000000" w:themeColor="text1"/>
                <w:spacing w:val="-2"/>
                <w:w w:val="95"/>
                <w:sz w:val="20"/>
              </w:rPr>
              <w:t xml:space="preserve"> operativo. </w:t>
            </w:r>
          </w:p>
        </w:tc>
      </w:tr>
      <w:tr w:rsidR="00D22EB0" w:rsidRPr="004B56A9" w14:paraId="3E2FB409" w14:textId="77777777" w:rsidTr="00311CA4">
        <w:tc>
          <w:tcPr>
            <w:tcW w:w="1191" w:type="dxa"/>
            <w:tcBorders>
              <w:top w:val="single" w:sz="4" w:space="0" w:color="1A171C"/>
              <w:left w:val="nil"/>
              <w:bottom w:val="single" w:sz="4" w:space="0" w:color="1A171C"/>
              <w:right w:val="single" w:sz="4" w:space="0" w:color="1A171C"/>
            </w:tcBorders>
          </w:tcPr>
          <w:p w14:paraId="6D588114" w14:textId="084CACD1" w:rsidR="00AD4B22" w:rsidRPr="004B56A9" w:rsidRDefault="00AD4B22"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5</w:t>
            </w:r>
            <w:r w:rsidRPr="004B56A9">
              <w:rPr>
                <w:rFonts w:ascii="Times New Roman" w:hAnsi="Times New Roman"/>
                <w:color w:val="000000" w:themeColor="text1"/>
                <w:spacing w:val="-2"/>
                <w:w w:val="95"/>
                <w:sz w:val="20"/>
              </w:rPr>
              <w:t>0 - 00</w:t>
            </w:r>
            <w:r w:rsidR="00027DAE" w:rsidRPr="004B56A9">
              <w:rPr>
                <w:rFonts w:ascii="Times New Roman" w:hAnsi="Times New Roman"/>
                <w:color w:val="000000" w:themeColor="text1"/>
                <w:spacing w:val="-2"/>
                <w:w w:val="95"/>
                <w:sz w:val="20"/>
              </w:rPr>
              <w:t>6</w:t>
            </w:r>
            <w:r w:rsidRPr="004B56A9">
              <w:rPr>
                <w:rFonts w:ascii="Times New Roman" w:hAnsi="Times New Roman"/>
                <w:color w:val="000000" w:themeColor="text1"/>
                <w:spacing w:val="-2"/>
                <w:w w:val="95"/>
                <w:sz w:val="20"/>
              </w:rPr>
              <w:t>0</w:t>
            </w:r>
          </w:p>
        </w:tc>
        <w:tc>
          <w:tcPr>
            <w:tcW w:w="7892" w:type="dxa"/>
            <w:tcBorders>
              <w:top w:val="single" w:sz="4" w:space="0" w:color="1A171C"/>
              <w:left w:val="single" w:sz="4" w:space="0" w:color="1A171C"/>
              <w:bottom w:val="single" w:sz="4" w:space="0" w:color="1A171C"/>
              <w:right w:val="nil"/>
            </w:tcBorders>
          </w:tcPr>
          <w:p w14:paraId="775CCCF4" w14:textId="55B9D8D3" w:rsidR="00AD4B22" w:rsidRPr="004B56A9"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b/>
                <w:color w:val="000000" w:themeColor="text1"/>
                <w:sz w:val="20"/>
              </w:rPr>
              <w:t>Entità del gruppo responsabile del sistema</w:t>
            </w:r>
          </w:p>
        </w:tc>
      </w:tr>
      <w:tr w:rsidR="00D22EB0" w:rsidRPr="004B56A9" w14:paraId="6D23C5E1" w14:textId="77777777" w:rsidTr="00311CA4">
        <w:tc>
          <w:tcPr>
            <w:tcW w:w="1191" w:type="dxa"/>
            <w:tcBorders>
              <w:top w:val="single" w:sz="4" w:space="0" w:color="1A171C"/>
              <w:left w:val="nil"/>
              <w:bottom w:val="single" w:sz="4" w:space="0" w:color="1A171C"/>
              <w:right w:val="single" w:sz="4" w:space="0" w:color="1A171C"/>
            </w:tcBorders>
          </w:tcPr>
          <w:p w14:paraId="027B5935" w14:textId="741014B8" w:rsidR="00AD4B22" w:rsidRPr="004B56A9" w:rsidRDefault="00AD4B22"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5</w:t>
            </w:r>
            <w:r w:rsidRPr="004B56A9">
              <w:rPr>
                <w:rFonts w:ascii="Times New Roman" w:hAnsi="Times New Roman"/>
                <w:color w:val="000000" w:themeColor="text1"/>
                <w:spacing w:val="-2"/>
                <w:w w:val="95"/>
                <w:sz w:val="20"/>
              </w:rPr>
              <w:t>0</w:t>
            </w:r>
          </w:p>
        </w:tc>
        <w:tc>
          <w:tcPr>
            <w:tcW w:w="7892" w:type="dxa"/>
            <w:tcBorders>
              <w:top w:val="single" w:sz="4" w:space="0" w:color="1A171C"/>
              <w:left w:val="single" w:sz="4" w:space="0" w:color="1A171C"/>
              <w:bottom w:val="single" w:sz="4" w:space="0" w:color="1A171C"/>
              <w:right w:val="nil"/>
            </w:tcBorders>
          </w:tcPr>
          <w:p w14:paraId="43B2B2D2" w14:textId="77777777" w:rsidR="00AD4B22" w:rsidRPr="004B56A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3982ECB2" w14:textId="77777777" w:rsidR="00AD4B22" w:rsidRPr="004B56A9"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nome dell’entità giuridica responsabile del sistema all’interno del gruppo.</w:t>
            </w:r>
            <w:proofErr w:type="gramEnd"/>
          </w:p>
          <w:p w14:paraId="5119FDA0" w14:textId="36C6AA4F" w:rsidR="00AD4B22" w:rsidRPr="004B56A9" w:rsidRDefault="00AD4B22"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Si tratta dell’entità responsabile del complesso </w:t>
            </w:r>
            <w:proofErr w:type="gramStart"/>
            <w:r w:rsidRPr="004B56A9">
              <w:rPr>
                <w:rFonts w:ascii="Times New Roman" w:hAnsi="Times New Roman"/>
                <w:color w:val="000000" w:themeColor="text1"/>
                <w:spacing w:val="-2"/>
                <w:w w:val="95"/>
                <w:sz w:val="20"/>
              </w:rPr>
              <w:t>degli</w:t>
            </w:r>
            <w:proofErr w:type="gramEnd"/>
            <w:r w:rsidRPr="004B56A9">
              <w:rPr>
                <w:rFonts w:ascii="Times New Roman" w:hAnsi="Times New Roman"/>
                <w:color w:val="000000" w:themeColor="text1"/>
                <w:spacing w:val="-2"/>
                <w:w w:val="95"/>
                <w:sz w:val="20"/>
              </w:rPr>
              <w:t xml:space="preserve"> appalti, dello sviluppo, dell’integrazione, della modifica, del funzionamento, della manutenzione e del ritiro di un sistema informatico e che apporta un contributo fondamentale allo sviluppo delle specifiche di progettazione del sistema per garantire che le esigenze in materia di sicurezza e quelle operative degli utenti siano documentate, testate e attuate.</w:t>
            </w:r>
          </w:p>
        </w:tc>
      </w:tr>
      <w:tr w:rsidR="00AD4B22" w:rsidRPr="004B56A9" w14:paraId="3759ABD2" w14:textId="77777777" w:rsidTr="00311CA4">
        <w:tc>
          <w:tcPr>
            <w:tcW w:w="1191" w:type="dxa"/>
            <w:tcBorders>
              <w:top w:val="single" w:sz="4" w:space="0" w:color="1A171C"/>
              <w:left w:val="nil"/>
              <w:bottom w:val="single" w:sz="4" w:space="0" w:color="1A171C"/>
              <w:right w:val="single" w:sz="4" w:space="0" w:color="1A171C"/>
            </w:tcBorders>
          </w:tcPr>
          <w:p w14:paraId="327822BB" w14:textId="68C872AA" w:rsidR="00AD4B22" w:rsidRPr="004B56A9" w:rsidRDefault="00AD4B22"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6</w:t>
            </w:r>
            <w:r w:rsidRPr="004B56A9">
              <w:rPr>
                <w:rFonts w:ascii="Times New Roman" w:hAnsi="Times New Roman"/>
                <w:color w:val="000000" w:themeColor="text1"/>
                <w:spacing w:val="-2"/>
                <w:w w:val="95"/>
                <w:sz w:val="20"/>
              </w:rPr>
              <w:t>0</w:t>
            </w:r>
          </w:p>
        </w:tc>
        <w:tc>
          <w:tcPr>
            <w:tcW w:w="7892" w:type="dxa"/>
            <w:tcBorders>
              <w:top w:val="single" w:sz="4" w:space="0" w:color="1A171C"/>
              <w:left w:val="single" w:sz="4" w:space="0" w:color="1A171C"/>
              <w:bottom w:val="single" w:sz="4" w:space="0" w:color="1A171C"/>
              <w:right w:val="nil"/>
            </w:tcBorders>
          </w:tcPr>
          <w:p w14:paraId="1EEAFE80" w14:textId="77777777" w:rsidR="00AD4B22" w:rsidRPr="004B56A9"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45D92B29" w14:textId="1BFF6554" w:rsidR="00AD4B22" w:rsidRPr="004B56A9"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sidRPr="004B56A9">
              <w:rPr>
                <w:rFonts w:ascii="Times New Roman" w:hAnsi="Times New Roman"/>
                <w:color w:val="000000" w:themeColor="text1"/>
                <w:spacing w:val="-2"/>
                <w:w w:val="95"/>
                <w:sz w:val="20"/>
              </w:rPr>
              <w:t>Il codice dell’entità giuridica responsabile del sistema all’interno del gruppo, come segnalato in Z 01.00 - Struttura organizzativa (ORG).</w:t>
            </w:r>
            <w:proofErr w:type="gramEnd"/>
          </w:p>
        </w:tc>
      </w:tr>
    </w:tbl>
    <w:p w14:paraId="0A4BF387" w14:textId="77777777" w:rsidR="00AD4B22" w:rsidRPr="004B56A9" w:rsidRDefault="00AD4B22" w:rsidP="00AD4B22">
      <w:pPr>
        <w:pStyle w:val="body"/>
        <w:rPr>
          <w:rFonts w:ascii="Times New Roman" w:hAnsi="Times New Roman" w:cs="Times New Roman"/>
          <w:color w:val="000000" w:themeColor="text1"/>
          <w:sz w:val="20"/>
          <w:szCs w:val="20"/>
        </w:rPr>
      </w:pPr>
    </w:p>
    <w:bookmarkEnd w:id="47"/>
    <w:p w14:paraId="37F809CB" w14:textId="6400A05A" w:rsidR="007A4886" w:rsidRPr="004B56A9" w:rsidRDefault="0069056D" w:rsidP="006028B1">
      <w:pPr>
        <w:pStyle w:val="Numberedtitlelevel3"/>
        <w:rPr>
          <w:rFonts w:ascii="Times New Roman" w:hAnsi="Times New Roman" w:cs="Times New Roman"/>
          <w:b w:val="0"/>
          <w:color w:val="000000" w:themeColor="text1"/>
          <w:sz w:val="20"/>
          <w:szCs w:val="20"/>
          <w:u w:val="single"/>
        </w:rPr>
      </w:pPr>
      <w:r w:rsidRPr="004B56A9">
        <w:rPr>
          <w:rFonts w:ascii="Times New Roman" w:hAnsi="Times New Roman"/>
          <w:b w:val="0"/>
          <w:color w:val="000000" w:themeColor="text1"/>
          <w:sz w:val="20"/>
          <w:u w:val="single"/>
        </w:rPr>
        <w:t xml:space="preserve">Z 10-02 - Classificazione dei sistemi informatici (CIS 2): Istruzioni </w:t>
      </w:r>
      <w:proofErr w:type="gramStart"/>
      <w:r w:rsidRPr="004B56A9">
        <w:rPr>
          <w:rFonts w:ascii="Times New Roman" w:hAnsi="Times New Roman"/>
          <w:b w:val="0"/>
          <w:color w:val="000000" w:themeColor="text1"/>
          <w:sz w:val="20"/>
          <w:u w:val="single"/>
        </w:rPr>
        <w:t>relative a</w:t>
      </w:r>
      <w:proofErr w:type="gramEnd"/>
      <w:r w:rsidRPr="004B56A9">
        <w:rPr>
          <w:rFonts w:ascii="Times New Roman" w:hAnsi="Times New Roman"/>
          <w:b w:val="0"/>
          <w:color w:val="000000" w:themeColor="text1"/>
          <w:sz w:val="20"/>
          <w:u w:val="single"/>
        </w:rPr>
        <w:t xml:space="preserve"> posizioni specifiche</w:t>
      </w:r>
    </w:p>
    <w:p w14:paraId="2154D22E" w14:textId="75B4CCC8" w:rsidR="00720344" w:rsidRPr="004B56A9" w:rsidRDefault="00720344" w:rsidP="00715DAB">
      <w:pPr>
        <w:pStyle w:val="InstructionsText2"/>
        <w:numPr>
          <w:ilvl w:val="0"/>
          <w:numId w:val="29"/>
        </w:numPr>
        <w:spacing w:before="0"/>
        <w:ind w:left="714" w:hanging="357"/>
        <w:rPr>
          <w:rFonts w:ascii="Times New Roman" w:hAnsi="Times New Roman" w:cs="Times New Roman"/>
          <w:sz w:val="20"/>
          <w:szCs w:val="20"/>
        </w:rPr>
      </w:pPr>
      <w:r w:rsidRPr="004B56A9">
        <w:rPr>
          <w:rFonts w:ascii="Times New Roman" w:hAnsi="Times New Roman"/>
          <w:sz w:val="20"/>
        </w:rPr>
        <w:t xml:space="preserve">La combinazione dei valori segnalati nelle colonne 0010, 0030, 0040 e 0050 di questo modello costituisce una chiave primaria che dev’essere unica per ciascuna riga del modello. </w:t>
      </w:r>
    </w:p>
    <w:p w14:paraId="10078C07" w14:textId="77777777" w:rsidR="00720344" w:rsidRPr="004B56A9"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4B56A9" w14:paraId="121E88D6"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44586A62" w14:textId="77777777" w:rsidR="00881C3C" w:rsidRPr="004B56A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0EF618B5" w14:textId="77777777" w:rsidR="00881C3C" w:rsidRPr="004B56A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Istruzioni</w:t>
            </w:r>
          </w:p>
        </w:tc>
      </w:tr>
      <w:tr w:rsidR="00D22EB0" w:rsidRPr="004B56A9" w14:paraId="2233D19F" w14:textId="77777777" w:rsidTr="009D2C94">
        <w:tc>
          <w:tcPr>
            <w:tcW w:w="1191" w:type="dxa"/>
            <w:tcBorders>
              <w:top w:val="single" w:sz="4" w:space="0" w:color="1A171C"/>
              <w:left w:val="nil"/>
              <w:bottom w:val="single" w:sz="4" w:space="0" w:color="1A171C"/>
              <w:right w:val="single" w:sz="4" w:space="0" w:color="1A171C"/>
            </w:tcBorders>
          </w:tcPr>
          <w:p w14:paraId="38742C3F" w14:textId="6A99547E" w:rsidR="00881C3C" w:rsidRPr="004B56A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14:paraId="0130D016" w14:textId="77777777" w:rsidR="00881C3C" w:rsidRPr="004B56A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 xml:space="preserve">Codice </w:t>
            </w:r>
            <w:proofErr w:type="gramStart"/>
            <w:r w:rsidRPr="004B56A9">
              <w:rPr>
                <w:rFonts w:ascii="Times New Roman" w:hAnsi="Times New Roman"/>
                <w:b/>
                <w:color w:val="000000" w:themeColor="text1"/>
                <w:sz w:val="20"/>
              </w:rPr>
              <w:t xml:space="preserve">di </w:t>
            </w:r>
            <w:proofErr w:type="gramEnd"/>
            <w:r w:rsidRPr="004B56A9">
              <w:rPr>
                <w:rFonts w:ascii="Times New Roman" w:hAnsi="Times New Roman"/>
                <w:b/>
                <w:color w:val="000000" w:themeColor="text1"/>
                <w:sz w:val="20"/>
              </w:rPr>
              <w:t>identificazione del sistema</w:t>
            </w:r>
          </w:p>
          <w:p w14:paraId="6E0DCB0E" w14:textId="267A9FB7" w:rsidR="00881C3C" w:rsidRPr="004B56A9"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Il codice </w:t>
            </w:r>
            <w:proofErr w:type="gramStart"/>
            <w:r w:rsidRPr="004B56A9">
              <w:rPr>
                <w:rFonts w:ascii="Times New Roman" w:hAnsi="Times New Roman"/>
                <w:color w:val="000000" w:themeColor="text1"/>
                <w:spacing w:val="-2"/>
                <w:w w:val="95"/>
                <w:sz w:val="20"/>
              </w:rPr>
              <w:t xml:space="preserve">di </w:t>
            </w:r>
            <w:proofErr w:type="gramEnd"/>
            <w:r w:rsidRPr="004B56A9">
              <w:rPr>
                <w:rFonts w:ascii="Times New Roman" w:hAnsi="Times New Roman"/>
                <w:color w:val="000000" w:themeColor="text1"/>
                <w:spacing w:val="-2"/>
                <w:w w:val="95"/>
                <w:sz w:val="20"/>
              </w:rPr>
              <w:t>identificazione del sistema come segnalato nella colonna 010 del modello Z 10.01 (CIS 1).</w:t>
            </w:r>
          </w:p>
        </w:tc>
      </w:tr>
      <w:tr w:rsidR="00D22EB0" w:rsidRPr="004B56A9" w14:paraId="1EA9218D" w14:textId="77777777" w:rsidTr="009D2C94">
        <w:tc>
          <w:tcPr>
            <w:tcW w:w="1191" w:type="dxa"/>
            <w:tcBorders>
              <w:top w:val="single" w:sz="4" w:space="0" w:color="1A171C"/>
              <w:left w:val="nil"/>
              <w:bottom w:val="single" w:sz="4" w:space="0" w:color="1A171C"/>
              <w:right w:val="single" w:sz="4" w:space="0" w:color="1A171C"/>
            </w:tcBorders>
          </w:tcPr>
          <w:p w14:paraId="16E380EF" w14:textId="6D82ED7F" w:rsidR="00881C3C" w:rsidRPr="004B56A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14:paraId="60A597F0" w14:textId="77777777" w:rsidR="00881C3C" w:rsidRPr="004B56A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Entità del gruppo utente del sistema</w:t>
            </w:r>
          </w:p>
          <w:p w14:paraId="30D60C78" w14:textId="7F49EF2B" w:rsidR="00881C3C" w:rsidRPr="004B56A9"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L’entità che utilizza il sistema all’interno del gruppo (“utente”). Ove esistano più utenti, segnalare più righe per lo stesso sistema informatico. </w:t>
            </w:r>
          </w:p>
        </w:tc>
      </w:tr>
      <w:tr w:rsidR="00D22EB0" w:rsidRPr="004B56A9" w14:paraId="0957B98F" w14:textId="77777777" w:rsidTr="009D2C94">
        <w:tc>
          <w:tcPr>
            <w:tcW w:w="1191" w:type="dxa"/>
            <w:tcBorders>
              <w:top w:val="single" w:sz="4" w:space="0" w:color="1A171C"/>
              <w:left w:val="nil"/>
              <w:bottom w:val="single" w:sz="4" w:space="0" w:color="1A171C"/>
              <w:right w:val="single" w:sz="4" w:space="0" w:color="1A171C"/>
            </w:tcBorders>
          </w:tcPr>
          <w:p w14:paraId="52143087" w14:textId="21FB5CD8" w:rsidR="00881C3C" w:rsidRPr="004B56A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14:paraId="72E9F7E0" w14:textId="77777777" w:rsidR="00881C3C" w:rsidRPr="004B56A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Nome dell’entità</w:t>
            </w:r>
          </w:p>
          <w:p w14:paraId="6B968ACD" w14:textId="640060D6" w:rsidR="00881C3C" w:rsidRPr="004B56A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nome dell’entità utente come segnalato in Z 01.00 (ORG).</w:t>
            </w:r>
          </w:p>
        </w:tc>
      </w:tr>
      <w:tr w:rsidR="00D22EB0" w:rsidRPr="004B56A9" w14:paraId="2D32B344" w14:textId="77777777" w:rsidTr="009D2C94">
        <w:tc>
          <w:tcPr>
            <w:tcW w:w="1191" w:type="dxa"/>
            <w:tcBorders>
              <w:top w:val="single" w:sz="4" w:space="0" w:color="1A171C"/>
              <w:left w:val="nil"/>
              <w:bottom w:val="single" w:sz="4" w:space="0" w:color="1A171C"/>
              <w:right w:val="single" w:sz="4" w:space="0" w:color="1A171C"/>
            </w:tcBorders>
          </w:tcPr>
          <w:p w14:paraId="2E6F4C2D" w14:textId="13103FB2" w:rsidR="00881C3C" w:rsidRPr="004B56A9"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14:paraId="6A962C83" w14:textId="77777777" w:rsidR="00881C3C" w:rsidRPr="004B56A9"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Codice</w:t>
            </w:r>
          </w:p>
          <w:p w14:paraId="7ECA2D24" w14:textId="7D8FD9E4" w:rsidR="00881C3C" w:rsidRPr="004B56A9"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Il codice dell’entità utente come segnalato in Z 01.00 (ORG).</w:t>
            </w:r>
          </w:p>
        </w:tc>
      </w:tr>
      <w:tr w:rsidR="00D22EB0" w:rsidRPr="004B56A9" w14:paraId="64468266" w14:textId="77777777" w:rsidTr="009D2C94">
        <w:tc>
          <w:tcPr>
            <w:tcW w:w="1191" w:type="dxa"/>
            <w:tcBorders>
              <w:top w:val="single" w:sz="4" w:space="0" w:color="1A171C"/>
              <w:left w:val="nil"/>
              <w:bottom w:val="single" w:sz="4" w:space="0" w:color="1A171C"/>
              <w:right w:val="single" w:sz="4" w:space="0" w:color="1A171C"/>
            </w:tcBorders>
          </w:tcPr>
          <w:p w14:paraId="357A31D6" w14:textId="0DA13C0A" w:rsidR="00CD44BD" w:rsidRPr="004B56A9"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14:paraId="0411A2EC" w14:textId="77777777" w:rsidR="00CD44BD" w:rsidRPr="004B56A9"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Servizio essenziale</w:t>
            </w:r>
          </w:p>
          <w:p w14:paraId="2BD6A361" w14:textId="2A1D3F94" w:rsidR="009F7D69" w:rsidRPr="004B56A9" w:rsidRDefault="00CD44BD" w:rsidP="00027DAE">
            <w:pPr>
              <w:pStyle w:val="TableParagraph"/>
              <w:spacing w:before="108"/>
              <w:ind w:left="85"/>
              <w:jc w:val="both"/>
              <w:rPr>
                <w:rFonts w:ascii="Times New Roman" w:hAnsi="Times New Roman" w:cs="Times New Roman"/>
                <w:bCs/>
                <w:color w:val="000000" w:themeColor="text1"/>
                <w:sz w:val="20"/>
                <w:szCs w:val="20"/>
              </w:rPr>
            </w:pPr>
            <w:r w:rsidRPr="004B56A9">
              <w:rPr>
                <w:rFonts w:ascii="Times New Roman" w:hAnsi="Times New Roman"/>
                <w:color w:val="000000" w:themeColor="text1"/>
                <w:sz w:val="20"/>
              </w:rPr>
              <w:t>L’identificativo del servizio essenziale, come segnalato in Z 08.00 (colonna 0</w:t>
            </w:r>
            <w:r w:rsidR="00027DAE" w:rsidRPr="004B56A9">
              <w:rPr>
                <w:rFonts w:ascii="Times New Roman" w:hAnsi="Times New Roman"/>
                <w:color w:val="000000" w:themeColor="text1"/>
                <w:sz w:val="20"/>
              </w:rPr>
              <w:t>005</w:t>
            </w:r>
            <w:r w:rsidRPr="004B56A9">
              <w:rPr>
                <w:rFonts w:ascii="Times New Roman" w:hAnsi="Times New Roman"/>
                <w:color w:val="000000" w:themeColor="text1"/>
                <w:sz w:val="20"/>
              </w:rPr>
              <w:t>), che il sistema supporta. Il servizio essenziale può essere esso stesso un servizio informatico, oppure un altro tipo di servizio che il sistema informatico supporta (ad esempio, elaborazione delle operazioni).</w:t>
            </w:r>
          </w:p>
        </w:tc>
      </w:tr>
      <w:tr w:rsidR="00D22EB0" w:rsidRPr="004B56A9" w14:paraId="6549C9E8" w14:textId="77777777" w:rsidTr="009D2C94">
        <w:tc>
          <w:tcPr>
            <w:tcW w:w="1191" w:type="dxa"/>
            <w:tcBorders>
              <w:top w:val="single" w:sz="4" w:space="0" w:color="1A171C"/>
              <w:left w:val="nil"/>
              <w:bottom w:val="single" w:sz="4" w:space="0" w:color="1A171C"/>
              <w:right w:val="single" w:sz="4" w:space="0" w:color="1A171C"/>
            </w:tcBorders>
          </w:tcPr>
          <w:p w14:paraId="55DFEB42" w14:textId="375478BD" w:rsidR="00881C3C" w:rsidRPr="004B56A9" w:rsidRDefault="00881C3C"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5</w:t>
            </w:r>
            <w:r w:rsidRPr="004B56A9">
              <w:rPr>
                <w:rFonts w:ascii="Times New Roman" w:hAnsi="Times New Roman"/>
                <w:color w:val="000000" w:themeColor="text1"/>
                <w:spacing w:val="-2"/>
                <w:w w:val="95"/>
                <w:sz w:val="20"/>
              </w:rPr>
              <w:t>0-00</w:t>
            </w:r>
            <w:r w:rsidR="00027DAE" w:rsidRPr="004B56A9">
              <w:rPr>
                <w:rFonts w:ascii="Times New Roman" w:hAnsi="Times New Roman"/>
                <w:color w:val="000000" w:themeColor="text1"/>
                <w:spacing w:val="-2"/>
                <w:w w:val="95"/>
                <w:sz w:val="20"/>
              </w:rPr>
              <w:t>6</w:t>
            </w:r>
            <w:r w:rsidRPr="004B56A9">
              <w:rPr>
                <w:rFonts w:ascii="Times New Roman" w:hAnsi="Times New Roman"/>
                <w:color w:val="000000" w:themeColor="text1"/>
                <w:spacing w:val="-2"/>
                <w:w w:val="95"/>
                <w:sz w:val="20"/>
              </w:rPr>
              <w:t xml:space="preserve">0 </w:t>
            </w:r>
          </w:p>
        </w:tc>
        <w:tc>
          <w:tcPr>
            <w:tcW w:w="7892" w:type="dxa"/>
            <w:tcBorders>
              <w:top w:val="single" w:sz="4" w:space="0" w:color="1A171C"/>
              <w:left w:val="single" w:sz="4" w:space="0" w:color="1A171C"/>
              <w:bottom w:val="single" w:sz="4" w:space="0" w:color="1A171C"/>
              <w:right w:val="nil"/>
            </w:tcBorders>
          </w:tcPr>
          <w:p w14:paraId="243D4829" w14:textId="202702F6" w:rsidR="00881C3C" w:rsidRPr="004B56A9"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Funzione essenziale</w:t>
            </w:r>
          </w:p>
          <w:p w14:paraId="0A51201E" w14:textId="49AD7C8A" w:rsidR="00881C3C" w:rsidRPr="004B56A9" w:rsidRDefault="00881C3C" w:rsidP="00AE45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 xml:space="preserve">La funzione essenziale che </w:t>
            </w:r>
            <w:proofErr w:type="gramStart"/>
            <w:r w:rsidRPr="004B56A9">
              <w:rPr>
                <w:rFonts w:ascii="Times New Roman" w:hAnsi="Times New Roman"/>
                <w:color w:val="000000" w:themeColor="text1"/>
                <w:spacing w:val="-2"/>
                <w:w w:val="95"/>
                <w:sz w:val="20"/>
              </w:rPr>
              <w:t>verrebbe</w:t>
            </w:r>
            <w:proofErr w:type="gramEnd"/>
            <w:r w:rsidRPr="004B56A9">
              <w:rPr>
                <w:rFonts w:ascii="Times New Roman" w:hAnsi="Times New Roman"/>
                <w:color w:val="000000" w:themeColor="text1"/>
                <w:spacing w:val="-2"/>
                <w:w w:val="95"/>
                <w:sz w:val="20"/>
              </w:rPr>
              <w:t xml:space="preserve"> gravemente ostacolata o to</w:t>
            </w:r>
            <w:bookmarkStart w:id="48" w:name="_GoBack"/>
            <w:bookmarkEnd w:id="48"/>
            <w:r w:rsidRPr="004B56A9">
              <w:rPr>
                <w:rFonts w:ascii="Times New Roman" w:hAnsi="Times New Roman"/>
                <w:color w:val="000000" w:themeColor="text1"/>
                <w:spacing w:val="-2"/>
                <w:w w:val="95"/>
                <w:sz w:val="20"/>
              </w:rPr>
              <w:t>talmente impedita in caso di interruzione dei servizi supportati dal sistema informatico. Ove esistano più funzioni essenziali, segnalare più righe per lo stesso sistema informatico.</w:t>
            </w:r>
          </w:p>
        </w:tc>
      </w:tr>
      <w:tr w:rsidR="00D22EB0" w:rsidRPr="004B56A9" w14:paraId="1E7359E3" w14:textId="77777777" w:rsidTr="009D2C94">
        <w:tc>
          <w:tcPr>
            <w:tcW w:w="1191" w:type="dxa"/>
            <w:tcBorders>
              <w:top w:val="single" w:sz="4" w:space="0" w:color="1A171C"/>
              <w:left w:val="nil"/>
              <w:bottom w:val="single" w:sz="4" w:space="0" w:color="1A171C"/>
              <w:right w:val="single" w:sz="4" w:space="0" w:color="1A171C"/>
            </w:tcBorders>
            <w:vAlign w:val="center"/>
          </w:tcPr>
          <w:p w14:paraId="3DAD56E2" w14:textId="6A62015C" w:rsidR="00881C3C" w:rsidRPr="004B56A9" w:rsidRDefault="00881C3C"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5</w:t>
            </w:r>
            <w:r w:rsidRPr="004B56A9">
              <w:rPr>
                <w:rFonts w:ascii="Times New Roman" w:hAnsi="Times New Roman"/>
                <w:color w:val="000000" w:themeColor="text1"/>
                <w:spacing w:val="-2"/>
                <w:w w:val="95"/>
                <w:sz w:val="20"/>
              </w:rPr>
              <w:t>0</w:t>
            </w:r>
          </w:p>
        </w:tc>
        <w:tc>
          <w:tcPr>
            <w:tcW w:w="7892" w:type="dxa"/>
            <w:tcBorders>
              <w:top w:val="single" w:sz="4" w:space="0" w:color="1A171C"/>
              <w:left w:val="single" w:sz="4" w:space="0" w:color="1A171C"/>
              <w:bottom w:val="single" w:sz="4" w:space="0" w:color="1A171C"/>
              <w:right w:val="nil"/>
            </w:tcBorders>
            <w:vAlign w:val="center"/>
          </w:tcPr>
          <w:p w14:paraId="3DEAFFAF" w14:textId="12A6EC1A" w:rsidR="00881C3C" w:rsidRPr="004B56A9"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Paese</w:t>
            </w:r>
          </w:p>
          <w:p w14:paraId="7B5F9F68" w14:textId="5ECA541C" w:rsidR="00881C3C" w:rsidRPr="004B56A9" w:rsidRDefault="009D5DAF" w:rsidP="009D2C94">
            <w:pPr>
              <w:pStyle w:val="TableParagraph"/>
              <w:spacing w:before="108"/>
              <w:ind w:left="85"/>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Il paese per il quale la funzione è essenziale, come segnalato in Z 07.01 (FUNC 1).</w:t>
            </w:r>
          </w:p>
        </w:tc>
      </w:tr>
      <w:tr w:rsidR="00881C3C" w:rsidRPr="004B56A9" w14:paraId="75A3C10F" w14:textId="77777777" w:rsidTr="009D2C94">
        <w:tc>
          <w:tcPr>
            <w:tcW w:w="1191" w:type="dxa"/>
            <w:tcBorders>
              <w:top w:val="single" w:sz="4" w:space="0" w:color="1A171C"/>
              <w:left w:val="nil"/>
              <w:bottom w:val="single" w:sz="4" w:space="0" w:color="1A171C"/>
              <w:right w:val="single" w:sz="4" w:space="0" w:color="1A171C"/>
            </w:tcBorders>
            <w:vAlign w:val="center"/>
          </w:tcPr>
          <w:p w14:paraId="4A4C0BBE" w14:textId="0E151D6C" w:rsidR="00881C3C" w:rsidRPr="004B56A9" w:rsidRDefault="00881C3C" w:rsidP="00027DAE">
            <w:pPr>
              <w:pStyle w:val="TableParagraph"/>
              <w:spacing w:before="108"/>
              <w:ind w:left="85"/>
              <w:rPr>
                <w:rFonts w:ascii="Times New Roman" w:eastAsia="Cambria" w:hAnsi="Times New Roman" w:cs="Times New Roman"/>
                <w:color w:val="000000" w:themeColor="text1"/>
                <w:spacing w:val="-2"/>
                <w:w w:val="95"/>
                <w:sz w:val="20"/>
                <w:szCs w:val="20"/>
              </w:rPr>
            </w:pPr>
            <w:r w:rsidRPr="004B56A9">
              <w:rPr>
                <w:rFonts w:ascii="Times New Roman" w:hAnsi="Times New Roman"/>
                <w:color w:val="000000" w:themeColor="text1"/>
                <w:spacing w:val="-2"/>
                <w:w w:val="95"/>
                <w:sz w:val="20"/>
              </w:rPr>
              <w:t>00</w:t>
            </w:r>
            <w:r w:rsidR="00027DAE" w:rsidRPr="004B56A9">
              <w:rPr>
                <w:rFonts w:ascii="Times New Roman" w:hAnsi="Times New Roman"/>
                <w:color w:val="000000" w:themeColor="text1"/>
                <w:spacing w:val="-2"/>
                <w:w w:val="95"/>
                <w:sz w:val="20"/>
              </w:rPr>
              <w:t>6</w:t>
            </w:r>
            <w:r w:rsidRPr="004B56A9">
              <w:rPr>
                <w:rFonts w:ascii="Times New Roman" w:hAnsi="Times New Roman"/>
                <w:color w:val="000000" w:themeColor="text1"/>
                <w:spacing w:val="-2"/>
                <w:w w:val="95"/>
                <w:sz w:val="20"/>
              </w:rPr>
              <w:t>0</w:t>
            </w:r>
          </w:p>
        </w:tc>
        <w:tc>
          <w:tcPr>
            <w:tcW w:w="7892" w:type="dxa"/>
            <w:tcBorders>
              <w:top w:val="single" w:sz="4" w:space="0" w:color="1A171C"/>
              <w:left w:val="single" w:sz="4" w:space="0" w:color="1A171C"/>
              <w:bottom w:val="single" w:sz="4" w:space="0" w:color="1A171C"/>
              <w:right w:val="nil"/>
            </w:tcBorders>
            <w:vAlign w:val="center"/>
          </w:tcPr>
          <w:p w14:paraId="626B4D4A" w14:textId="13098FB7" w:rsidR="00881C3C" w:rsidRPr="004B56A9"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b/>
                <w:color w:val="000000" w:themeColor="text1"/>
                <w:sz w:val="20"/>
              </w:rPr>
              <w:t>ID</w:t>
            </w:r>
          </w:p>
          <w:p w14:paraId="498104D8" w14:textId="70DB1547" w:rsidR="00881C3C" w:rsidRPr="004B56A9"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4B56A9">
              <w:rPr>
                <w:rFonts w:ascii="Times New Roman" w:hAnsi="Times New Roman"/>
                <w:color w:val="000000" w:themeColor="text1"/>
                <w:spacing w:val="-2"/>
                <w:w w:val="95"/>
                <w:sz w:val="20"/>
              </w:rPr>
              <w:t>L’identificativo delle funzioni essenziali quali definite al punto 2.7.1.4 e di cui al modello Z 07.01 (FUNC 1).</w:t>
            </w:r>
          </w:p>
        </w:tc>
      </w:tr>
    </w:tbl>
    <w:p w14:paraId="6AA01242" w14:textId="77777777" w:rsidR="001E5EDF" w:rsidRPr="004B56A9" w:rsidRDefault="001E5EDF" w:rsidP="00322967">
      <w:pPr>
        <w:pStyle w:val="body"/>
        <w:rPr>
          <w:rFonts w:ascii="Times New Roman" w:hAnsi="Times New Roman" w:cs="Times New Roman"/>
          <w:color w:val="000000" w:themeColor="text1"/>
          <w:sz w:val="20"/>
          <w:szCs w:val="20"/>
        </w:rPr>
      </w:pPr>
    </w:p>
    <w:p w14:paraId="1F9ED30F" w14:textId="77777777" w:rsidR="004B56A9" w:rsidRPr="004B56A9" w:rsidRDefault="004B56A9">
      <w:pPr>
        <w:pStyle w:val="body"/>
        <w:rPr>
          <w:rFonts w:ascii="Times New Roman" w:hAnsi="Times New Roman" w:cs="Times New Roman"/>
          <w:color w:val="000000" w:themeColor="text1"/>
          <w:sz w:val="20"/>
          <w:szCs w:val="20"/>
        </w:rPr>
      </w:pPr>
    </w:p>
    <w:sectPr w:rsidR="004B56A9" w:rsidRPr="004B56A9">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9D282" w14:textId="77777777" w:rsidR="007D6859" w:rsidRDefault="007D6859" w:rsidP="001E5EDF">
      <w:r>
        <w:separator/>
      </w:r>
    </w:p>
  </w:endnote>
  <w:endnote w:type="continuationSeparator" w:id="0">
    <w:p w14:paraId="0F0273AD" w14:textId="77777777" w:rsidR="007D6859" w:rsidRDefault="007D6859"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14:paraId="662C80BC" w14:textId="798ECFC4" w:rsidR="007D6859" w:rsidRDefault="007D6859" w:rsidP="000E60D6">
        <w:pPr>
          <w:pStyle w:val="Footer"/>
          <w:jc w:val="center"/>
        </w:pPr>
        <w:r>
          <w:fldChar w:fldCharType="begin"/>
        </w:r>
        <w:r>
          <w:instrText xml:space="preserve"> PAGE   \* MERGEFORMAT </w:instrText>
        </w:r>
        <w:r>
          <w:fldChar w:fldCharType="separate"/>
        </w:r>
        <w:r w:rsidR="00AE4501">
          <w:rPr>
            <w:noProof/>
          </w:rPr>
          <w:t>42</w:t>
        </w:r>
        <w:r>
          <w:rPr>
            <w:noProof/>
          </w:rPr>
          <w:fldChar w:fldCharType="end"/>
        </w:r>
      </w:p>
    </w:sdtContent>
  </w:sdt>
  <w:p w14:paraId="7B1B939F" w14:textId="77777777" w:rsidR="007D6859" w:rsidRDefault="007D68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660A4" w14:textId="77777777" w:rsidR="007D6859" w:rsidRDefault="007D6859" w:rsidP="001E5EDF">
      <w:r>
        <w:separator/>
      </w:r>
    </w:p>
  </w:footnote>
  <w:footnote w:type="continuationSeparator" w:id="0">
    <w:p w14:paraId="1A85BDA6" w14:textId="77777777" w:rsidR="007D6859" w:rsidRDefault="007D6859" w:rsidP="001E5EDF">
      <w:r>
        <w:continuationSeparator/>
      </w:r>
    </w:p>
  </w:footnote>
  <w:footnote w:id="1">
    <w:p w14:paraId="654CB10A" w14:textId="79FD1780" w:rsidR="007D6859" w:rsidRPr="00FE7343" w:rsidRDefault="007D6859" w:rsidP="00D12404">
      <w:pPr>
        <w:pStyle w:val="FootnoteText"/>
      </w:pPr>
      <w:r w:rsidRPr="00FE7343">
        <w:rPr>
          <w:rStyle w:val="FootnoteReference"/>
          <w:rFonts w:ascii="Times New Roman" w:hAnsi="Times New Roman"/>
        </w:rPr>
        <w:footnoteRef/>
      </w:r>
      <w:r w:rsidRPr="00FE7343">
        <w:t xml:space="preserve"> Regolamento di esecuzione (UE) n. </w:t>
      </w:r>
      <w:r w:rsidRPr="00106F72">
        <w:t>680</w:t>
      </w:r>
      <w:r w:rsidRPr="00FE7343">
        <w:t>/</w:t>
      </w:r>
      <w:r w:rsidRPr="00106F72">
        <w:t>2014</w:t>
      </w:r>
      <w:r w:rsidRPr="00FE7343">
        <w:t xml:space="preserve"> della Commissione, del </w:t>
      </w:r>
      <w:r w:rsidRPr="00106F72">
        <w:t>16</w:t>
      </w:r>
      <w:r w:rsidRPr="00FE7343">
        <w:t xml:space="preserve"> aprile </w:t>
      </w:r>
      <w:r w:rsidRPr="00106F72">
        <w:t>2014</w:t>
      </w:r>
      <w:r w:rsidRPr="00FE7343">
        <w:t xml:space="preserve">, che stabilisce norme tecniche di attuazione per quanto riguarda le segnalazioni degli enti a fini di vigilanza conformemente al regolamento (UE) n. </w:t>
      </w:r>
      <w:r w:rsidRPr="00106F72">
        <w:t>575</w:t>
      </w:r>
      <w:r w:rsidRPr="00FE7343">
        <w:t>/</w:t>
      </w:r>
      <w:r w:rsidRPr="00106F72">
        <w:t>2013</w:t>
      </w:r>
      <w:r w:rsidRPr="00FE7343">
        <w:t xml:space="preserve"> del Parlamento europeo e del Consiglio (GU </w:t>
      </w:r>
      <w:proofErr w:type="gramStart"/>
      <w:r w:rsidRPr="00FE7343">
        <w:t>L</w:t>
      </w:r>
      <w:proofErr w:type="gramEnd"/>
      <w:r w:rsidRPr="00FE7343">
        <w:t xml:space="preserve"> </w:t>
      </w:r>
      <w:r w:rsidRPr="00106F72">
        <w:t>191</w:t>
      </w:r>
      <w:r w:rsidRPr="00FE7343">
        <w:t xml:space="preserve"> del </w:t>
      </w:r>
      <w:r w:rsidRPr="00106F72">
        <w:t>28</w:t>
      </w:r>
      <w:r w:rsidRPr="00FE7343">
        <w:t>.</w:t>
      </w:r>
      <w:r w:rsidRPr="00106F72">
        <w:t>6</w:t>
      </w:r>
      <w:r w:rsidRPr="00FE7343">
        <w:t>.</w:t>
      </w:r>
      <w:r w:rsidRPr="00106F72">
        <w:t>2014</w:t>
      </w:r>
      <w:r w:rsidRPr="00FE7343">
        <w:t xml:space="preserve">, pag. </w:t>
      </w:r>
      <w:r w:rsidRPr="00106F72">
        <w:t>1</w:t>
      </w:r>
      <w:r w:rsidRPr="00FE7343">
        <w:t>).</w:t>
      </w:r>
    </w:p>
  </w:footnote>
  <w:footnote w:id="2">
    <w:p w14:paraId="7B187E77" w14:textId="6A2CE5BF" w:rsidR="007D6859" w:rsidRPr="00FE7343" w:rsidRDefault="007D6859" w:rsidP="00D12404">
      <w:pPr>
        <w:pStyle w:val="FootnoteText"/>
      </w:pPr>
      <w:r w:rsidRPr="00FE7343">
        <w:rPr>
          <w:rStyle w:val="FootnoteReference"/>
          <w:rFonts w:ascii="Times New Roman" w:hAnsi="Times New Roman"/>
        </w:rPr>
        <w:footnoteRef/>
      </w:r>
      <w:r w:rsidRPr="00FE7343">
        <w:t xml:space="preserve"> Regolamento (CE) n. </w:t>
      </w:r>
      <w:r w:rsidRPr="00106F72">
        <w:t>1606</w:t>
      </w:r>
      <w:r w:rsidRPr="00FE7343">
        <w:t>/</w:t>
      </w:r>
      <w:r w:rsidRPr="00106F72">
        <w:t>2002</w:t>
      </w:r>
      <w:r w:rsidRPr="00FE7343">
        <w:t xml:space="preserve"> del Parlamento europeo e del Consiglio, del </w:t>
      </w:r>
      <w:r w:rsidRPr="00106F72">
        <w:t>19</w:t>
      </w:r>
      <w:r w:rsidRPr="00FE7343">
        <w:t xml:space="preserve"> luglio </w:t>
      </w:r>
      <w:r w:rsidRPr="00106F72">
        <w:t>2002</w:t>
      </w:r>
      <w:r w:rsidRPr="00FE7343">
        <w:t xml:space="preserve">, relativo all’applicazione di principi contabili internazionali (GU </w:t>
      </w:r>
      <w:proofErr w:type="gramStart"/>
      <w:r w:rsidRPr="00FE7343">
        <w:t>L</w:t>
      </w:r>
      <w:proofErr w:type="gramEnd"/>
      <w:r w:rsidRPr="00FE7343">
        <w:t xml:space="preserve"> </w:t>
      </w:r>
      <w:r w:rsidRPr="00106F72">
        <w:t>243</w:t>
      </w:r>
      <w:r w:rsidRPr="00FE7343">
        <w:t xml:space="preserve"> dell’</w:t>
      </w:r>
      <w:r w:rsidRPr="00106F72">
        <w:t>11</w:t>
      </w:r>
      <w:r w:rsidRPr="00FE7343">
        <w:t>.</w:t>
      </w:r>
      <w:r w:rsidRPr="00106F72">
        <w:t>9</w:t>
      </w:r>
      <w:r w:rsidRPr="00FE7343">
        <w:t>.</w:t>
      </w:r>
      <w:r w:rsidRPr="00106F72">
        <w:t>2002</w:t>
      </w:r>
      <w:r w:rsidRPr="00FE7343">
        <w:t xml:space="preserve">, pag. </w:t>
      </w:r>
      <w:r w:rsidRPr="00106F72">
        <w:t>1</w:t>
      </w:r>
      <w:r w:rsidRPr="00FE7343">
        <w:t>).</w:t>
      </w:r>
    </w:p>
  </w:footnote>
  <w:footnote w:id="3">
    <w:p w14:paraId="3057FAD4" w14:textId="031ECEB0" w:rsidR="007D6859" w:rsidRPr="00FE7343" w:rsidRDefault="007D6859" w:rsidP="00D12404">
      <w:pPr>
        <w:pStyle w:val="FootnoteText"/>
      </w:pPr>
      <w:r w:rsidRPr="00FE7343">
        <w:rPr>
          <w:rStyle w:val="FootnoteReference"/>
          <w:rFonts w:ascii="Times New Roman" w:hAnsi="Times New Roman"/>
        </w:rPr>
        <w:footnoteRef/>
      </w:r>
      <w:r w:rsidRPr="00FE7343">
        <w:t xml:space="preserve"> Regolamento (CE) n. </w:t>
      </w:r>
      <w:r w:rsidRPr="00106F72">
        <w:t>1606</w:t>
      </w:r>
      <w:r w:rsidRPr="00FE7343">
        <w:t>/</w:t>
      </w:r>
      <w:r w:rsidRPr="00106F72">
        <w:t>2002</w:t>
      </w:r>
      <w:r w:rsidRPr="00FE7343">
        <w:t xml:space="preserve"> del Parlamento europeo e del Consiglio, del </w:t>
      </w:r>
      <w:r w:rsidRPr="00106F72">
        <w:t>19</w:t>
      </w:r>
      <w:r w:rsidRPr="00FE7343">
        <w:t xml:space="preserve"> luglio </w:t>
      </w:r>
      <w:r w:rsidRPr="00106F72">
        <w:t>2002</w:t>
      </w:r>
      <w:r w:rsidRPr="00FE7343">
        <w:t xml:space="preserve">, relativo all’applicazione di principi contabili internazionali (GU </w:t>
      </w:r>
      <w:proofErr w:type="gramStart"/>
      <w:r w:rsidRPr="00FE7343">
        <w:t>L</w:t>
      </w:r>
      <w:proofErr w:type="gramEnd"/>
      <w:r w:rsidRPr="00FE7343">
        <w:t xml:space="preserve"> </w:t>
      </w:r>
      <w:r w:rsidRPr="00106F72">
        <w:t>243</w:t>
      </w:r>
      <w:r w:rsidRPr="00FE7343">
        <w:t xml:space="preserve"> dell’</w:t>
      </w:r>
      <w:r w:rsidRPr="00106F72">
        <w:t>11</w:t>
      </w:r>
      <w:r w:rsidRPr="00FE7343">
        <w:t>.</w:t>
      </w:r>
      <w:r w:rsidRPr="00106F72">
        <w:t>9</w:t>
      </w:r>
      <w:r w:rsidRPr="00FE7343">
        <w:t>.</w:t>
      </w:r>
      <w:r w:rsidRPr="00106F72">
        <w:t>2002</w:t>
      </w:r>
      <w:r w:rsidRPr="00FE7343">
        <w:t xml:space="preserve">, pag. </w:t>
      </w:r>
      <w:r w:rsidRPr="00106F72">
        <w:t>1</w:t>
      </w:r>
      <w:r w:rsidRPr="00FE7343">
        <w:t>).</w:t>
      </w:r>
    </w:p>
  </w:footnote>
  <w:footnote w:id="4">
    <w:p w14:paraId="5E1934DD" w14:textId="28E4D37E" w:rsidR="007D6859" w:rsidRPr="00FE7343" w:rsidRDefault="007D6859" w:rsidP="00D12404">
      <w:pPr>
        <w:pStyle w:val="FootnoteText"/>
      </w:pPr>
      <w:r w:rsidRPr="00FE7343">
        <w:rPr>
          <w:rStyle w:val="FootnoteReference"/>
          <w:rFonts w:ascii="Times New Roman" w:hAnsi="Times New Roman"/>
        </w:rPr>
        <w:footnoteRef/>
      </w:r>
      <w:r w:rsidRPr="00FE7343">
        <w:t xml:space="preserve"> Direttiva </w:t>
      </w:r>
      <w:r w:rsidRPr="00106F72">
        <w:t>86</w:t>
      </w:r>
      <w:r w:rsidRPr="00FE7343">
        <w:t>/</w:t>
      </w:r>
      <w:r w:rsidRPr="00106F72">
        <w:t>635</w:t>
      </w:r>
      <w:r w:rsidRPr="00FE7343">
        <w:t>/CEE del Consiglio, dell’</w:t>
      </w:r>
      <w:r w:rsidRPr="00106F72">
        <w:t>8</w:t>
      </w:r>
      <w:r w:rsidRPr="00FE7343">
        <w:t xml:space="preserve"> dicembre </w:t>
      </w:r>
      <w:r w:rsidRPr="00106F72">
        <w:t>1986</w:t>
      </w:r>
      <w:r w:rsidRPr="00FE7343">
        <w:t xml:space="preserve">, relativa ai conti annuali </w:t>
      </w:r>
      <w:proofErr w:type="gramStart"/>
      <w:r w:rsidRPr="00FE7343">
        <w:t>ed</w:t>
      </w:r>
      <w:proofErr w:type="gramEnd"/>
      <w:r w:rsidRPr="00FE7343">
        <w:t xml:space="preserve"> ai conti consolidati delle banche e degli altri istituti finanziari (GU L </w:t>
      </w:r>
      <w:r w:rsidRPr="00106F72">
        <w:t>372</w:t>
      </w:r>
      <w:r w:rsidRPr="00FE7343">
        <w:t xml:space="preserve"> del </w:t>
      </w:r>
      <w:r w:rsidRPr="00106F72">
        <w:t>31</w:t>
      </w:r>
      <w:r w:rsidRPr="00FE7343">
        <w:t>.</w:t>
      </w:r>
      <w:r w:rsidRPr="00106F72">
        <w:t>12</w:t>
      </w:r>
      <w:r w:rsidRPr="00FE7343">
        <w:t>.</w:t>
      </w:r>
      <w:r w:rsidRPr="00106F72">
        <w:t>1986</w:t>
      </w:r>
      <w:r w:rsidRPr="00FE7343">
        <w:t xml:space="preserve">, pag. </w:t>
      </w:r>
      <w:r w:rsidRPr="00106F72">
        <w:t>1</w:t>
      </w:r>
      <w:r w:rsidRPr="00FE7343">
        <w:t>).</w:t>
      </w:r>
    </w:p>
  </w:footnote>
  <w:footnote w:id="5">
    <w:p w14:paraId="128A31D3" w14:textId="4CDF1638" w:rsidR="007D6859" w:rsidRPr="0040423B" w:rsidRDefault="007D6859" w:rsidP="00D12404">
      <w:pPr>
        <w:pStyle w:val="FootnoteText"/>
      </w:pPr>
      <w:r w:rsidRPr="00FE7343">
        <w:rPr>
          <w:rStyle w:val="FootnoteReference"/>
          <w:rFonts w:ascii="Times New Roman" w:hAnsi="Times New Roman"/>
        </w:rPr>
        <w:footnoteRef/>
      </w:r>
      <w:r w:rsidRPr="00FE7343">
        <w:t xml:space="preserve"> Regolamento (UE) n. </w:t>
      </w:r>
      <w:r w:rsidRPr="00106F72">
        <w:t>575</w:t>
      </w:r>
      <w:r w:rsidRPr="00FE7343">
        <w:t>/</w:t>
      </w:r>
      <w:r w:rsidRPr="00106F72">
        <w:t>2013</w:t>
      </w:r>
      <w:r w:rsidRPr="00FE7343">
        <w:t xml:space="preserve"> del Parlamento europeo e del Consiglio, del </w:t>
      </w:r>
      <w:r w:rsidRPr="00106F72">
        <w:t>26</w:t>
      </w:r>
      <w:r w:rsidRPr="00FE7343">
        <w:t xml:space="preserve"> giugno </w:t>
      </w:r>
      <w:r w:rsidRPr="00106F72">
        <w:t>2013</w:t>
      </w:r>
      <w:r w:rsidRPr="00FE7343">
        <w:t xml:space="preserve">, relativo ai requisiti prudenziali per gli enti creditizi e le imprese </w:t>
      </w:r>
      <w:proofErr w:type="gramStart"/>
      <w:r w:rsidRPr="00FE7343">
        <w:t xml:space="preserve">di </w:t>
      </w:r>
      <w:proofErr w:type="gramEnd"/>
      <w:r w:rsidRPr="00FE7343">
        <w:t xml:space="preserve">investimento e che modifica il regolamento (UE) n. </w:t>
      </w:r>
      <w:r w:rsidRPr="00106F72">
        <w:t>648</w:t>
      </w:r>
      <w:r w:rsidRPr="00FE7343">
        <w:t>/</w:t>
      </w:r>
      <w:r w:rsidRPr="00106F72">
        <w:t>2012</w:t>
      </w:r>
      <w:r w:rsidRPr="00FE7343">
        <w:t xml:space="preserve"> (GU L </w:t>
      </w:r>
      <w:r w:rsidRPr="00106F72">
        <w:t>176</w:t>
      </w:r>
      <w:r w:rsidRPr="00FE7343">
        <w:t xml:space="preserve"> del </w:t>
      </w:r>
      <w:r w:rsidRPr="00106F72">
        <w:t>27</w:t>
      </w:r>
      <w:r w:rsidRPr="00FE7343">
        <w:t>.</w:t>
      </w:r>
      <w:r w:rsidRPr="00106F72">
        <w:t>6</w:t>
      </w:r>
      <w:r w:rsidRPr="00FE7343">
        <w:t>.</w:t>
      </w:r>
      <w:r w:rsidRPr="00106F72">
        <w:t>2013</w:t>
      </w:r>
      <w:r w:rsidRPr="00FE7343">
        <w:t xml:space="preserve">, pag. </w:t>
      </w:r>
      <w:r w:rsidRPr="00106F72">
        <w:t>1</w:t>
      </w:r>
      <w:r w:rsidRPr="00FE7343">
        <w:t>).</w:t>
      </w:r>
    </w:p>
  </w:footnote>
  <w:footnote w:id="6">
    <w:p w14:paraId="773C05F5" w14:textId="10537225" w:rsidR="007D6859" w:rsidRPr="00633ADF" w:rsidRDefault="007D6859" w:rsidP="00D12404">
      <w:pPr>
        <w:pStyle w:val="FootnoteText"/>
      </w:pPr>
      <w:r>
        <w:rPr>
          <w:rStyle w:val="FootnoteReference"/>
        </w:rPr>
        <w:footnoteRef/>
      </w:r>
      <w:r>
        <w:t xml:space="preserve"> Direttiva </w:t>
      </w:r>
      <w:r w:rsidRPr="00106F72">
        <w:t>2013</w:t>
      </w:r>
      <w:r>
        <w:t>/</w:t>
      </w:r>
      <w:r w:rsidRPr="00106F72">
        <w:t>36</w:t>
      </w:r>
      <w:r>
        <w:t xml:space="preserve">/UE del Parlamento europeo e del Consiglio, del </w:t>
      </w:r>
      <w:r w:rsidRPr="00106F72">
        <w:t>26</w:t>
      </w:r>
      <w:r>
        <w:t xml:space="preserve"> giugno </w:t>
      </w:r>
      <w:r w:rsidRPr="00106F72">
        <w:t>2013</w:t>
      </w:r>
      <w:r>
        <w:t xml:space="preserve">, </w:t>
      </w:r>
      <w:r w:rsidRPr="00373D04">
        <w:t xml:space="preserve">sull'accesso all'attività degli enti creditizi e sulla vigilanza prudenziale sugli enti creditizi e sulle imprese </w:t>
      </w:r>
      <w:proofErr w:type="gramStart"/>
      <w:r w:rsidRPr="00373D04">
        <w:t xml:space="preserve">di </w:t>
      </w:r>
      <w:proofErr w:type="gramEnd"/>
      <w:r w:rsidRPr="00373D04">
        <w:t xml:space="preserve">investimento, che modifica la direttiva </w:t>
      </w:r>
      <w:r w:rsidRPr="00106F72">
        <w:t>2002</w:t>
      </w:r>
      <w:r w:rsidRPr="00373D04">
        <w:t>/</w:t>
      </w:r>
      <w:r w:rsidRPr="00106F72">
        <w:t>87</w:t>
      </w:r>
      <w:r w:rsidRPr="00373D04">
        <w:t xml:space="preserve">/CE e abroga le direttive </w:t>
      </w:r>
      <w:r w:rsidRPr="00106F72">
        <w:t>2006</w:t>
      </w:r>
      <w:r w:rsidRPr="00373D04">
        <w:t>/</w:t>
      </w:r>
      <w:r w:rsidRPr="00106F72">
        <w:t>48</w:t>
      </w:r>
      <w:r w:rsidRPr="00373D04">
        <w:t xml:space="preserve">/CE e </w:t>
      </w:r>
      <w:r w:rsidRPr="00106F72">
        <w:t>2006</w:t>
      </w:r>
      <w:r w:rsidRPr="00373D04">
        <w:t>/</w:t>
      </w:r>
      <w:r w:rsidRPr="00106F72">
        <w:t>49</w:t>
      </w:r>
      <w:r w:rsidRPr="00373D04">
        <w:t>/CE</w:t>
      </w:r>
      <w:r>
        <w:t xml:space="preserve"> (GU L </w:t>
      </w:r>
      <w:r w:rsidRPr="00106F72">
        <w:t>176</w:t>
      </w:r>
      <w:r>
        <w:t xml:space="preserve"> del </w:t>
      </w:r>
      <w:r w:rsidRPr="00106F72">
        <w:t>27</w:t>
      </w:r>
      <w:r>
        <w:t>.</w:t>
      </w:r>
      <w:r w:rsidRPr="00106F72">
        <w:t>6</w:t>
      </w:r>
      <w:r>
        <w:t>.</w:t>
      </w:r>
      <w:r w:rsidRPr="00106F72">
        <w:t>2013</w:t>
      </w:r>
      <w:r>
        <w:t xml:space="preserve">, pag. </w:t>
      </w:r>
      <w:r w:rsidRPr="00106F72">
        <w:t>338</w:t>
      </w:r>
      <w:r>
        <w:t>).</w:t>
      </w:r>
    </w:p>
  </w:footnote>
  <w:footnote w:id="7">
    <w:p w14:paraId="4ED61848" w14:textId="5F3545AB" w:rsidR="007D6859" w:rsidRPr="00CF3EBF" w:rsidRDefault="007D6859" w:rsidP="00D12404">
      <w:pPr>
        <w:pStyle w:val="FootnoteText"/>
      </w:pPr>
      <w:r>
        <w:rPr>
          <w:rStyle w:val="FootnoteReference"/>
        </w:rPr>
        <w:footnoteRef/>
      </w:r>
      <w:r>
        <w:t xml:space="preserve"> Direttiva </w:t>
      </w:r>
      <w:r w:rsidRPr="00106F72">
        <w:t>2009</w:t>
      </w:r>
      <w:r>
        <w:t>/</w:t>
      </w:r>
      <w:r w:rsidRPr="00106F72">
        <w:t>138</w:t>
      </w:r>
      <w:r>
        <w:t xml:space="preserve">/CE del Parlamento europeo e del Consiglio, del </w:t>
      </w:r>
      <w:r w:rsidRPr="00106F72">
        <w:t>25</w:t>
      </w:r>
      <w:r>
        <w:t xml:space="preserve"> novembre </w:t>
      </w:r>
      <w:r w:rsidRPr="00106F72">
        <w:t>2009</w:t>
      </w:r>
      <w:r>
        <w:t xml:space="preserve">, in materia di accesso ed esercizio delle attività di assicurazione e di riassicurazione (solvibilità II) (Testo rilevante ai fini del SEE) (GU </w:t>
      </w:r>
      <w:proofErr w:type="gramStart"/>
      <w:r>
        <w:t>L</w:t>
      </w:r>
      <w:proofErr w:type="gramEnd"/>
      <w:r>
        <w:t> </w:t>
      </w:r>
      <w:r w:rsidRPr="00106F72">
        <w:t>335</w:t>
      </w:r>
      <w:r>
        <w:t xml:space="preserve"> del </w:t>
      </w:r>
      <w:r w:rsidRPr="00106F72">
        <w:t>17</w:t>
      </w:r>
      <w:r>
        <w:t>.</w:t>
      </w:r>
      <w:r w:rsidRPr="00106F72">
        <w:t>12</w:t>
      </w:r>
      <w:r>
        <w:t>.</w:t>
      </w:r>
      <w:r w:rsidRPr="00106F72">
        <w:t>2009</w:t>
      </w:r>
      <w:r>
        <w:t xml:space="preserve">, pag. </w:t>
      </w:r>
      <w:r w:rsidRPr="00106F72">
        <w:t>1</w:t>
      </w:r>
      <w:r>
        <w:t>).</w:t>
      </w:r>
    </w:p>
  </w:footnote>
  <w:footnote w:id="8">
    <w:p w14:paraId="72852A00" w14:textId="77777777" w:rsidR="007D6859" w:rsidRPr="00D12404" w:rsidRDefault="007D6859" w:rsidP="00D12404">
      <w:pPr>
        <w:pStyle w:val="FootnoteText"/>
      </w:pPr>
      <w:r w:rsidRPr="00D12404">
        <w:rPr>
          <w:rStyle w:val="FootnoteReference"/>
          <w:rFonts w:ascii="Times New Roman" w:hAnsi="Times New Roman"/>
        </w:rPr>
        <w:footnoteRef/>
      </w:r>
      <w:r w:rsidRPr="00D12404">
        <w:t xml:space="preserve"> Raccomandazione della Commissione, del </w:t>
      </w:r>
      <w:r w:rsidRPr="00106F72">
        <w:t>6</w:t>
      </w:r>
      <w:r w:rsidRPr="00D12404">
        <w:t xml:space="preserve"> maggio </w:t>
      </w:r>
      <w:r w:rsidRPr="00106F72">
        <w:t>2003</w:t>
      </w:r>
      <w:r w:rsidRPr="00D12404">
        <w:t>, relativa alla definizione delle microimprese, piccole e medie imprese [notificata con il numero C</w:t>
      </w:r>
      <w:proofErr w:type="gramStart"/>
      <w:r w:rsidRPr="00D12404">
        <w:t>(</w:t>
      </w:r>
      <w:proofErr w:type="gramEnd"/>
      <w:r w:rsidRPr="00106F72">
        <w:t>2003</w:t>
      </w:r>
      <w:r w:rsidRPr="00D12404">
        <w:t xml:space="preserve">) </w:t>
      </w:r>
      <w:r w:rsidRPr="00106F72">
        <w:t>1422</w:t>
      </w:r>
      <w:r w:rsidRPr="00D12404">
        <w:t xml:space="preserve">] (GU L </w:t>
      </w:r>
      <w:r w:rsidRPr="00106F72">
        <w:t>124</w:t>
      </w:r>
      <w:r w:rsidRPr="00D12404">
        <w:t xml:space="preserve"> del </w:t>
      </w:r>
      <w:r w:rsidRPr="00106F72">
        <w:t>20</w:t>
      </w:r>
      <w:r w:rsidRPr="00D12404">
        <w:t>.</w:t>
      </w:r>
      <w:r w:rsidRPr="00106F72">
        <w:t>5</w:t>
      </w:r>
      <w:r w:rsidRPr="00D12404">
        <w:t>.</w:t>
      </w:r>
      <w:r w:rsidRPr="00106F72">
        <w:t>2003</w:t>
      </w:r>
      <w:r w:rsidRPr="00D12404">
        <w:t xml:space="preserve">, pag. </w:t>
      </w:r>
      <w:r w:rsidRPr="00106F72">
        <w:t>36</w:t>
      </w:r>
      <w:r w:rsidRPr="00D12404">
        <w:t>).</w:t>
      </w:r>
    </w:p>
  </w:footnote>
  <w:footnote w:id="9">
    <w:p w14:paraId="2A5C2796" w14:textId="6AE43CBC" w:rsidR="007D6859" w:rsidRPr="0040423B" w:rsidRDefault="007D6859" w:rsidP="00D12404">
      <w:pPr>
        <w:pStyle w:val="FootnoteText"/>
      </w:pPr>
      <w:r w:rsidRPr="00D12404">
        <w:rPr>
          <w:rStyle w:val="FootnoteReference"/>
          <w:rFonts w:ascii="Times New Roman" w:hAnsi="Times New Roman"/>
        </w:rPr>
        <w:footnoteRef/>
      </w:r>
      <w:r w:rsidRPr="00D12404">
        <w:t xml:space="preserve"> Regolamento (UE) n. </w:t>
      </w:r>
      <w:r w:rsidRPr="00106F72">
        <w:t>1071</w:t>
      </w:r>
      <w:r w:rsidRPr="00D12404">
        <w:t>/</w:t>
      </w:r>
      <w:r w:rsidRPr="00106F72">
        <w:t>2013</w:t>
      </w:r>
      <w:r w:rsidRPr="00D12404">
        <w:t xml:space="preserve"> della Banca centrale europea relativo al bilancio del settore delle istituzioni finanziarie monetarie (GU </w:t>
      </w:r>
      <w:proofErr w:type="gramStart"/>
      <w:r w:rsidRPr="00D12404">
        <w:t>L</w:t>
      </w:r>
      <w:proofErr w:type="gramEnd"/>
      <w:r w:rsidRPr="00D12404">
        <w:t xml:space="preserve"> </w:t>
      </w:r>
      <w:r w:rsidRPr="00106F72">
        <w:t>297</w:t>
      </w:r>
      <w:r w:rsidRPr="00D12404">
        <w:t xml:space="preserve"> del </w:t>
      </w:r>
      <w:r w:rsidRPr="00106F72">
        <w:t>7</w:t>
      </w:r>
      <w:r w:rsidRPr="00D12404">
        <w:t>.</w:t>
      </w:r>
      <w:r w:rsidRPr="00106F72">
        <w:t>11</w:t>
      </w:r>
      <w:r w:rsidRPr="00D12404">
        <w:t>.</w:t>
      </w:r>
      <w:r w:rsidRPr="00106F72">
        <w:t>2013</w:t>
      </w:r>
      <w:r w:rsidRPr="00D12404">
        <w:t xml:space="preserve">, pag. </w:t>
      </w:r>
      <w:r w:rsidRPr="00106F72">
        <w:t>1</w:t>
      </w:r>
      <w:r w:rsidRPr="00D12404">
        <w:t>).</w:t>
      </w:r>
    </w:p>
  </w:footnote>
  <w:footnote w:id="10">
    <w:p w14:paraId="48206BC3" w14:textId="744E07F1" w:rsidR="007D6859" w:rsidRPr="00D12404" w:rsidRDefault="007D6859" w:rsidP="00D12404">
      <w:pPr>
        <w:pStyle w:val="FootnoteText"/>
      </w:pPr>
      <w:r w:rsidRPr="00D12404">
        <w:rPr>
          <w:rStyle w:val="FootnoteReference"/>
          <w:rFonts w:ascii="Times New Roman" w:hAnsi="Times New Roman"/>
        </w:rPr>
        <w:footnoteRef/>
      </w:r>
      <w:r w:rsidRPr="00D12404">
        <w:t xml:space="preserve"> Direttiva </w:t>
      </w:r>
      <w:r w:rsidRPr="00106F72">
        <w:t>2014</w:t>
      </w:r>
      <w:r w:rsidRPr="00D12404">
        <w:t>/</w:t>
      </w:r>
      <w:r w:rsidRPr="00106F72">
        <w:t>59</w:t>
      </w:r>
      <w:r w:rsidRPr="00D12404">
        <w:t xml:space="preserve">/UE del Parlamento europeo e del Consiglio, del </w:t>
      </w:r>
      <w:r w:rsidRPr="00106F72">
        <w:t>15</w:t>
      </w:r>
      <w:r w:rsidRPr="00D12404">
        <w:t xml:space="preserve"> maggio </w:t>
      </w:r>
      <w:r w:rsidRPr="00106F72">
        <w:t>2014</w:t>
      </w:r>
      <w:r w:rsidRPr="00D12404">
        <w:t xml:space="preserve">, che istituisce un quadro di risanamento e risoluzione degli enti creditizi e delle imprese </w:t>
      </w:r>
      <w:proofErr w:type="gramStart"/>
      <w:r w:rsidRPr="00D12404">
        <w:t xml:space="preserve">di </w:t>
      </w:r>
      <w:proofErr w:type="gramEnd"/>
      <w:r w:rsidRPr="00D12404">
        <w:t xml:space="preserve">investimento e che modifica la direttiva </w:t>
      </w:r>
      <w:r w:rsidRPr="00106F72">
        <w:t>82</w:t>
      </w:r>
      <w:r w:rsidRPr="00D12404">
        <w:t>/</w:t>
      </w:r>
      <w:r w:rsidRPr="00106F72">
        <w:t>891</w:t>
      </w:r>
      <w:r w:rsidRPr="00D12404">
        <w:t xml:space="preserve">/CEE del Consiglio, e le direttive </w:t>
      </w:r>
      <w:r w:rsidRPr="00106F72">
        <w:t>2001</w:t>
      </w:r>
      <w:r w:rsidRPr="00D12404">
        <w:t>/</w:t>
      </w:r>
      <w:r w:rsidRPr="00106F72">
        <w:t>24</w:t>
      </w:r>
      <w:r w:rsidRPr="00D12404">
        <w:t xml:space="preserve">/CE, </w:t>
      </w:r>
      <w:r w:rsidRPr="00106F72">
        <w:t>2002</w:t>
      </w:r>
      <w:r w:rsidRPr="00D12404">
        <w:t>/</w:t>
      </w:r>
      <w:r w:rsidRPr="00106F72">
        <w:t>47</w:t>
      </w:r>
      <w:r w:rsidRPr="00D12404">
        <w:t xml:space="preserve">/CE, </w:t>
      </w:r>
      <w:r w:rsidRPr="00106F72">
        <w:t>2004</w:t>
      </w:r>
      <w:r w:rsidRPr="00D12404">
        <w:t>/</w:t>
      </w:r>
      <w:r w:rsidRPr="00106F72">
        <w:t>25</w:t>
      </w:r>
      <w:r w:rsidRPr="00D12404">
        <w:t xml:space="preserve">/CE, </w:t>
      </w:r>
      <w:r w:rsidRPr="00106F72">
        <w:t>2005</w:t>
      </w:r>
      <w:r w:rsidRPr="00D12404">
        <w:t>/</w:t>
      </w:r>
      <w:r w:rsidRPr="00106F72">
        <w:t>56</w:t>
      </w:r>
      <w:r w:rsidRPr="00D12404">
        <w:t xml:space="preserve">/CE, </w:t>
      </w:r>
      <w:r w:rsidRPr="00106F72">
        <w:t>2007</w:t>
      </w:r>
      <w:r w:rsidRPr="00D12404">
        <w:t>/</w:t>
      </w:r>
      <w:r w:rsidRPr="00106F72">
        <w:t>36</w:t>
      </w:r>
      <w:r w:rsidRPr="00D12404">
        <w:t xml:space="preserve">/CE, </w:t>
      </w:r>
      <w:r w:rsidRPr="00106F72">
        <w:t>2011</w:t>
      </w:r>
      <w:r w:rsidRPr="00D12404">
        <w:t>/</w:t>
      </w:r>
      <w:r w:rsidRPr="00106F72">
        <w:t>35</w:t>
      </w:r>
      <w:r w:rsidRPr="00D12404">
        <w:t xml:space="preserve">/UE, </w:t>
      </w:r>
      <w:r w:rsidRPr="00106F72">
        <w:t>2012</w:t>
      </w:r>
      <w:r w:rsidRPr="00D12404">
        <w:t>/</w:t>
      </w:r>
      <w:r w:rsidRPr="00106F72">
        <w:t>30</w:t>
      </w:r>
      <w:r w:rsidRPr="00D12404">
        <w:t xml:space="preserve">/UE e </w:t>
      </w:r>
      <w:r w:rsidRPr="00106F72">
        <w:t>2013</w:t>
      </w:r>
      <w:r w:rsidRPr="00D12404">
        <w:t>/</w:t>
      </w:r>
      <w:r w:rsidRPr="00106F72">
        <w:t>36</w:t>
      </w:r>
      <w:r w:rsidRPr="00D12404">
        <w:t xml:space="preserve">/UE e i regolamenti (UE) n. </w:t>
      </w:r>
      <w:r w:rsidRPr="00106F72">
        <w:t>1093</w:t>
      </w:r>
      <w:r w:rsidRPr="00D12404">
        <w:t>/</w:t>
      </w:r>
      <w:r w:rsidRPr="00106F72">
        <w:t>2010</w:t>
      </w:r>
      <w:r w:rsidRPr="00D12404">
        <w:t xml:space="preserve"> e (UE) n. </w:t>
      </w:r>
      <w:r w:rsidRPr="00106F72">
        <w:t>648</w:t>
      </w:r>
      <w:r w:rsidRPr="00D12404">
        <w:t>/</w:t>
      </w:r>
      <w:r w:rsidRPr="00106F72">
        <w:t>2012</w:t>
      </w:r>
      <w:r w:rsidRPr="00D12404">
        <w:t xml:space="preserve">, del Parlamento europeo e del Consiglio (GU L </w:t>
      </w:r>
      <w:r w:rsidRPr="00106F72">
        <w:t>173</w:t>
      </w:r>
      <w:r w:rsidRPr="00D12404">
        <w:t xml:space="preserve"> del </w:t>
      </w:r>
      <w:r w:rsidRPr="00106F72">
        <w:t>12</w:t>
      </w:r>
      <w:r w:rsidRPr="00D12404">
        <w:t>.</w:t>
      </w:r>
      <w:r w:rsidRPr="00106F72">
        <w:t>6</w:t>
      </w:r>
      <w:r w:rsidRPr="00D12404">
        <w:t>.</w:t>
      </w:r>
      <w:r w:rsidRPr="00106F72">
        <w:t>2014</w:t>
      </w:r>
      <w:r w:rsidRPr="00D12404">
        <w:t xml:space="preserve">, pag. </w:t>
      </w:r>
      <w:r w:rsidRPr="00106F72">
        <w:t>190</w:t>
      </w:r>
      <w:r w:rsidRPr="00D12404">
        <w:t>).</w:t>
      </w:r>
    </w:p>
  </w:footnote>
  <w:footnote w:id="11">
    <w:p w14:paraId="1E1BFEBD" w14:textId="2FC81E84" w:rsidR="007D6859" w:rsidRPr="001D3665" w:rsidRDefault="007D6859" w:rsidP="00D12404">
      <w:pPr>
        <w:pStyle w:val="FootnoteText"/>
      </w:pPr>
      <w:r w:rsidRPr="00D12404">
        <w:rPr>
          <w:rStyle w:val="FootnoteReference"/>
          <w:rFonts w:ascii="Times New Roman" w:hAnsi="Times New Roman"/>
        </w:rPr>
        <w:footnoteRef/>
      </w:r>
      <w:r w:rsidRPr="00D12404">
        <w:t xml:space="preserve"> Direttiva </w:t>
      </w:r>
      <w:r w:rsidRPr="00106F72">
        <w:t>2014</w:t>
      </w:r>
      <w:r w:rsidRPr="00D12404">
        <w:t>/</w:t>
      </w:r>
      <w:r w:rsidRPr="00106F72">
        <w:t>49</w:t>
      </w:r>
      <w:r w:rsidRPr="00D12404">
        <w:t xml:space="preserve">/UE del Parlamento europeo e del Consiglio, del </w:t>
      </w:r>
      <w:r w:rsidRPr="00106F72">
        <w:t>16</w:t>
      </w:r>
      <w:r w:rsidRPr="00D12404">
        <w:t xml:space="preserve"> aprile </w:t>
      </w:r>
      <w:r w:rsidRPr="00106F72">
        <w:t>2014</w:t>
      </w:r>
      <w:r w:rsidRPr="00D12404">
        <w:t xml:space="preserve">, relativa ai sistemi di garanzia dei depositi (GU </w:t>
      </w:r>
      <w:proofErr w:type="gramStart"/>
      <w:r w:rsidRPr="00D12404">
        <w:t>L</w:t>
      </w:r>
      <w:proofErr w:type="gramEnd"/>
      <w:r w:rsidRPr="00D12404">
        <w:t xml:space="preserve"> </w:t>
      </w:r>
      <w:r w:rsidRPr="00106F72">
        <w:t>173</w:t>
      </w:r>
      <w:r w:rsidRPr="00D12404">
        <w:t xml:space="preserve"> del </w:t>
      </w:r>
      <w:r w:rsidRPr="00106F72">
        <w:t>12</w:t>
      </w:r>
      <w:r w:rsidRPr="00D12404">
        <w:t>.</w:t>
      </w:r>
      <w:r w:rsidRPr="00106F72">
        <w:t>6</w:t>
      </w:r>
      <w:r w:rsidRPr="00D12404">
        <w:t>.</w:t>
      </w:r>
      <w:r w:rsidRPr="00106F72">
        <w:t>2014</w:t>
      </w:r>
      <w:r w:rsidRPr="00D12404">
        <w:t>, pag. </w:t>
      </w:r>
      <w:r w:rsidRPr="00106F72">
        <w:t>149</w:t>
      </w:r>
      <w:r w:rsidRPr="00D12404">
        <w:t>).</w:t>
      </w:r>
    </w:p>
  </w:footnote>
  <w:footnote w:id="12">
    <w:p w14:paraId="4A5ADCDE" w14:textId="329A5F79" w:rsidR="007D6859" w:rsidRPr="00D12404" w:rsidRDefault="007D6859" w:rsidP="00D12404">
      <w:pPr>
        <w:pStyle w:val="FootnoteText"/>
      </w:pPr>
      <w:r w:rsidRPr="00D12404">
        <w:rPr>
          <w:rStyle w:val="FootnoteReference"/>
          <w:rFonts w:ascii="Times New Roman" w:hAnsi="Times New Roman"/>
        </w:rPr>
        <w:footnoteRef/>
      </w:r>
      <w:r w:rsidRPr="00D12404">
        <w:t xml:space="preserve"> Direttiva </w:t>
      </w:r>
      <w:r w:rsidRPr="00106F72">
        <w:t>2009</w:t>
      </w:r>
      <w:r w:rsidRPr="00D12404">
        <w:t>/</w:t>
      </w:r>
      <w:r w:rsidRPr="00106F72">
        <w:t>65</w:t>
      </w:r>
      <w:r w:rsidRPr="00D12404">
        <w:t xml:space="preserve">/CE del Parlamento europeo e del Consiglio, del </w:t>
      </w:r>
      <w:r w:rsidRPr="00106F72">
        <w:t>13</w:t>
      </w:r>
      <w:r w:rsidRPr="00D12404">
        <w:t xml:space="preserve"> luglio </w:t>
      </w:r>
      <w:r w:rsidRPr="00106F72">
        <w:t>2009</w:t>
      </w:r>
      <w:r w:rsidRPr="00D12404">
        <w:t xml:space="preserve">, concernente il coordinamento delle disposizioni legislative, regolamentari e amministrative in materia di taluni organismi d’investimento collettivo in valori mobiliari (OICVM) (GU </w:t>
      </w:r>
      <w:proofErr w:type="gramStart"/>
      <w:r w:rsidRPr="00D12404">
        <w:t>L</w:t>
      </w:r>
      <w:proofErr w:type="gramEnd"/>
      <w:r w:rsidRPr="00D12404">
        <w:t xml:space="preserve"> </w:t>
      </w:r>
      <w:r w:rsidRPr="00106F72">
        <w:t>302</w:t>
      </w:r>
      <w:r w:rsidRPr="00D12404">
        <w:t xml:space="preserve"> del </w:t>
      </w:r>
      <w:r w:rsidRPr="00106F72">
        <w:t>17</w:t>
      </w:r>
      <w:r w:rsidRPr="00D12404">
        <w:t>.</w:t>
      </w:r>
      <w:r w:rsidRPr="00106F72">
        <w:t>11</w:t>
      </w:r>
      <w:r w:rsidRPr="00D12404">
        <w:t>.</w:t>
      </w:r>
      <w:r w:rsidRPr="00106F72">
        <w:t>2009</w:t>
      </w:r>
      <w:r w:rsidRPr="00D12404">
        <w:t xml:space="preserve">, pag. </w:t>
      </w:r>
      <w:r w:rsidRPr="00106F72">
        <w:t>32</w:t>
      </w:r>
      <w:r w:rsidRPr="00D12404">
        <w:t>).</w:t>
      </w:r>
    </w:p>
  </w:footnote>
  <w:footnote w:id="13">
    <w:p w14:paraId="244DF15D" w14:textId="77777777" w:rsidR="007D6859" w:rsidRPr="00D12404" w:rsidRDefault="007D6859" w:rsidP="00D12404">
      <w:pPr>
        <w:pStyle w:val="FootnoteText"/>
      </w:pPr>
      <w:r w:rsidRPr="00D12404">
        <w:rPr>
          <w:rStyle w:val="FootnoteReference"/>
          <w:rFonts w:ascii="Times New Roman" w:hAnsi="Times New Roman"/>
        </w:rPr>
        <w:footnoteRef/>
      </w:r>
      <w:r w:rsidRPr="00D12404">
        <w:t xml:space="preserve"> Direttiva </w:t>
      </w:r>
      <w:r w:rsidRPr="00106F72">
        <w:t>2011</w:t>
      </w:r>
      <w:r w:rsidRPr="00D12404">
        <w:t>/</w:t>
      </w:r>
      <w:r w:rsidRPr="00106F72">
        <w:t>61</w:t>
      </w:r>
      <w:r w:rsidRPr="00D12404">
        <w:t>/UE del Parlamento europeo e del Consiglio, dell’</w:t>
      </w:r>
      <w:r w:rsidRPr="00106F72">
        <w:t>8</w:t>
      </w:r>
      <w:r w:rsidRPr="00D12404">
        <w:t xml:space="preserve"> giugno </w:t>
      </w:r>
      <w:r w:rsidRPr="00106F72">
        <w:t>2011</w:t>
      </w:r>
      <w:r w:rsidRPr="00D12404">
        <w:t xml:space="preserve">, sui gestori di fondi </w:t>
      </w:r>
      <w:proofErr w:type="gramStart"/>
      <w:r w:rsidRPr="00D12404">
        <w:t xml:space="preserve">di </w:t>
      </w:r>
      <w:proofErr w:type="gramEnd"/>
      <w:r w:rsidRPr="00D12404">
        <w:t xml:space="preserve">investimento alternativi, che modifica le direttive </w:t>
      </w:r>
      <w:r w:rsidRPr="00106F72">
        <w:t>2003</w:t>
      </w:r>
      <w:r w:rsidRPr="00D12404">
        <w:t>/</w:t>
      </w:r>
      <w:r w:rsidRPr="00106F72">
        <w:t>41</w:t>
      </w:r>
      <w:r w:rsidRPr="00D12404">
        <w:t xml:space="preserve">/CE e </w:t>
      </w:r>
      <w:r w:rsidRPr="00106F72">
        <w:t>2009</w:t>
      </w:r>
      <w:r w:rsidRPr="00D12404">
        <w:t>/</w:t>
      </w:r>
      <w:r w:rsidRPr="00106F72">
        <w:t>65</w:t>
      </w:r>
      <w:r w:rsidRPr="00D12404">
        <w:t>/CE e i regolamenti (CE) n. </w:t>
      </w:r>
      <w:r w:rsidRPr="00106F72">
        <w:t>1060</w:t>
      </w:r>
      <w:r w:rsidRPr="00D12404">
        <w:t>/</w:t>
      </w:r>
      <w:r w:rsidRPr="00106F72">
        <w:t>2009</w:t>
      </w:r>
      <w:r w:rsidRPr="00D12404">
        <w:t xml:space="preserve"> e (UE) n. </w:t>
      </w:r>
      <w:r w:rsidRPr="00106F72">
        <w:t>1095</w:t>
      </w:r>
      <w:r w:rsidRPr="00D12404">
        <w:t>/</w:t>
      </w:r>
      <w:r w:rsidRPr="00106F72">
        <w:t>2010</w:t>
      </w:r>
      <w:r w:rsidRPr="00D12404">
        <w:t xml:space="preserve"> (GU L </w:t>
      </w:r>
      <w:r w:rsidRPr="00106F72">
        <w:t>174</w:t>
      </w:r>
      <w:r w:rsidRPr="00D12404">
        <w:t xml:space="preserve"> dell’</w:t>
      </w:r>
      <w:r w:rsidRPr="00106F72">
        <w:t>1</w:t>
      </w:r>
      <w:r w:rsidRPr="00D12404">
        <w:t>.</w:t>
      </w:r>
      <w:r w:rsidRPr="00106F72">
        <w:t>7</w:t>
      </w:r>
      <w:r w:rsidRPr="00D12404">
        <w:t>.</w:t>
      </w:r>
      <w:r w:rsidRPr="00106F72">
        <w:t>2011</w:t>
      </w:r>
      <w:r w:rsidRPr="00D12404">
        <w:t xml:space="preserve">, pag. </w:t>
      </w:r>
      <w:r w:rsidRPr="00106F72">
        <w:t>1</w:t>
      </w:r>
      <w:r w:rsidRPr="00D12404">
        <w:t>).</w:t>
      </w:r>
    </w:p>
  </w:footnote>
  <w:footnote w:id="14">
    <w:p w14:paraId="42E406F4" w14:textId="7B7CAA71" w:rsidR="007D6859" w:rsidRPr="004002B3" w:rsidRDefault="007D6859" w:rsidP="00D12404">
      <w:pPr>
        <w:pStyle w:val="FootnoteText"/>
      </w:pPr>
      <w:r w:rsidRPr="00D12404">
        <w:rPr>
          <w:rStyle w:val="FootnoteReference"/>
          <w:rFonts w:ascii="Times New Roman" w:hAnsi="Times New Roman"/>
        </w:rPr>
        <w:footnoteRef/>
      </w:r>
      <w:r w:rsidRPr="00D12404">
        <w:t xml:space="preserve"> Direttiva </w:t>
      </w:r>
      <w:r w:rsidRPr="00106F72">
        <w:t>98</w:t>
      </w:r>
      <w:r w:rsidRPr="00D12404">
        <w:t>/</w:t>
      </w:r>
      <w:r w:rsidRPr="00106F72">
        <w:t>26</w:t>
      </w:r>
      <w:r w:rsidRPr="00D12404">
        <w:t xml:space="preserve">/CE del Parlamento europeo e del Consiglio, del </w:t>
      </w:r>
      <w:r w:rsidRPr="00106F72">
        <w:t>19</w:t>
      </w:r>
      <w:r w:rsidRPr="00D12404">
        <w:t xml:space="preserve"> maggio </w:t>
      </w:r>
      <w:r w:rsidRPr="00106F72">
        <w:t>1998</w:t>
      </w:r>
      <w:r w:rsidRPr="00D12404">
        <w:t xml:space="preserve">, concernente il carattere definitivo del regolamento nei sistemi di pagamento e nei sistemi di regolamento titoli (GU </w:t>
      </w:r>
      <w:proofErr w:type="gramStart"/>
      <w:r w:rsidRPr="00D12404">
        <w:t>L</w:t>
      </w:r>
      <w:proofErr w:type="gramEnd"/>
      <w:r w:rsidRPr="00D12404">
        <w:t xml:space="preserve"> </w:t>
      </w:r>
      <w:r w:rsidRPr="00106F72">
        <w:t>166</w:t>
      </w:r>
      <w:r w:rsidRPr="00D12404">
        <w:t xml:space="preserve"> dell’</w:t>
      </w:r>
      <w:r w:rsidRPr="00106F72">
        <w:t>11</w:t>
      </w:r>
      <w:r w:rsidRPr="00D12404">
        <w:t>.</w:t>
      </w:r>
      <w:r w:rsidRPr="00106F72">
        <w:t>6</w:t>
      </w:r>
      <w:r w:rsidRPr="00D12404">
        <w:t>.</w:t>
      </w:r>
      <w:r w:rsidRPr="00106F72">
        <w:t>1998</w:t>
      </w:r>
      <w:r w:rsidRPr="00D12404">
        <w:t xml:space="preserve">, pag. </w:t>
      </w:r>
      <w:r w:rsidRPr="00106F72">
        <w:t>45</w:t>
      </w:r>
      <w:r w:rsidRPr="00D12404">
        <w:t>).</w:t>
      </w:r>
    </w:p>
  </w:footnote>
  <w:footnote w:id="15">
    <w:p w14:paraId="5F636EB2" w14:textId="21108932" w:rsidR="007D6859" w:rsidRPr="00D12404" w:rsidRDefault="007D6859" w:rsidP="00D12404">
      <w:pPr>
        <w:pStyle w:val="FootnoteText"/>
      </w:pPr>
      <w:r w:rsidRPr="00D12404">
        <w:rPr>
          <w:rStyle w:val="FootnoteReference"/>
          <w:rFonts w:ascii="Times New Roman" w:hAnsi="Times New Roman"/>
        </w:rPr>
        <w:footnoteRef/>
      </w:r>
      <w:r w:rsidRPr="00D12404">
        <w:t xml:space="preserve"> Regolamento delegato (UE) </w:t>
      </w:r>
      <w:r w:rsidRPr="00106F72">
        <w:t>2016</w:t>
      </w:r>
      <w:r w:rsidRPr="00D12404">
        <w:t>/</w:t>
      </w:r>
      <w:r w:rsidRPr="00106F72">
        <w:t>1401</w:t>
      </w:r>
      <w:r w:rsidRPr="00D12404">
        <w:t xml:space="preserve"> della Commissione, del </w:t>
      </w:r>
      <w:r w:rsidRPr="00106F72">
        <w:t>23</w:t>
      </w:r>
      <w:r w:rsidRPr="00D12404">
        <w:t xml:space="preserve"> maggio </w:t>
      </w:r>
      <w:r w:rsidRPr="00106F72">
        <w:t>2016</w:t>
      </w:r>
      <w:r w:rsidRPr="00D12404">
        <w:t xml:space="preserve">, che integra la direttiva </w:t>
      </w:r>
      <w:r w:rsidRPr="00106F72">
        <w:t>2014</w:t>
      </w:r>
      <w:r w:rsidRPr="00D12404">
        <w:t>/</w:t>
      </w:r>
      <w:r w:rsidRPr="00106F72">
        <w:t>59</w:t>
      </w:r>
      <w:r w:rsidRPr="00D12404">
        <w:t xml:space="preserve">/UE del Parlamento europeo e del Consiglio che istituisce un quadro di risanamento e risoluzione degli enti creditizi e delle imprese </w:t>
      </w:r>
      <w:proofErr w:type="gramStart"/>
      <w:r w:rsidRPr="00D12404">
        <w:t xml:space="preserve">di </w:t>
      </w:r>
      <w:proofErr w:type="gramEnd"/>
      <w:r w:rsidRPr="00D12404">
        <w:t xml:space="preserve">investimento per quanto riguarda le norme tecniche di regolamentazione sulle metodologie e i principi applicabili alla valutazione del valore delle passività risultanti da derivati (GU L </w:t>
      </w:r>
      <w:r w:rsidRPr="00106F72">
        <w:t>228</w:t>
      </w:r>
      <w:r w:rsidRPr="00D12404">
        <w:t xml:space="preserve"> del </w:t>
      </w:r>
      <w:r w:rsidRPr="00106F72">
        <w:t>23</w:t>
      </w:r>
      <w:r w:rsidRPr="00D12404">
        <w:t>.</w:t>
      </w:r>
      <w:r w:rsidRPr="00106F72">
        <w:t>8</w:t>
      </w:r>
      <w:r w:rsidRPr="00D12404">
        <w:t>.</w:t>
      </w:r>
      <w:r w:rsidRPr="00106F72">
        <w:t>2016</w:t>
      </w:r>
      <w:r w:rsidRPr="00D12404">
        <w:t xml:space="preserve">, pag. </w:t>
      </w:r>
      <w:r w:rsidRPr="00106F72">
        <w:t>7</w:t>
      </w:r>
      <w:r w:rsidRPr="00D12404">
        <w:t>).</w:t>
      </w:r>
    </w:p>
  </w:footnote>
  <w:footnote w:id="16">
    <w:p w14:paraId="2F3F823A" w14:textId="77777777" w:rsidR="007D6859" w:rsidRPr="0040423B" w:rsidRDefault="007D6859" w:rsidP="00D12404">
      <w:pPr>
        <w:pStyle w:val="FootnoteText"/>
      </w:pPr>
      <w:r>
        <w:rPr>
          <w:rStyle w:val="FootnoteReference"/>
        </w:rPr>
        <w:footnoteRef/>
      </w:r>
      <w:r>
        <w:t xml:space="preserve"> Regolamento delegato (UE) </w:t>
      </w:r>
      <w:r w:rsidRPr="00106F72">
        <w:t>2016</w:t>
      </w:r>
      <w:r>
        <w:t>/</w:t>
      </w:r>
      <w:r w:rsidRPr="00106F72">
        <w:t>778</w:t>
      </w:r>
      <w:r>
        <w:t xml:space="preserve"> della Commissione, del </w:t>
      </w:r>
      <w:r w:rsidRPr="00106F72">
        <w:t>2</w:t>
      </w:r>
      <w:r>
        <w:t xml:space="preserve"> febbraio </w:t>
      </w:r>
      <w:r w:rsidRPr="00106F72">
        <w:t>2016</w:t>
      </w:r>
      <w:r>
        <w:t xml:space="preserve">, che integra la direttiva </w:t>
      </w:r>
      <w:r w:rsidRPr="00106F72">
        <w:t>2014</w:t>
      </w:r>
      <w:r>
        <w:t>/</w:t>
      </w:r>
      <w:r w:rsidRPr="00106F72">
        <w:t>59</w:t>
      </w:r>
      <w:r>
        <w:t xml:space="preserve">/UE del Parlamento europeo e del Consiglio per quanto riguarda le circostanze e le </w:t>
      </w:r>
      <w:proofErr w:type="gramStart"/>
      <w:r>
        <w:t>modalità</w:t>
      </w:r>
      <w:proofErr w:type="gramEnd"/>
      <w:r>
        <w:t xml:space="preserve"> secondo le quali il pagamento dei contributi straordinari ex post può essere parzialmente o integralmente rinviato, e i criteri per l’individuazione delle attività, dei servizi e delle operazioni per quanto concerne le funzioni essenziali e per l’individuazione delle linee di business e dei servizi connessi per quanto attiene alle linee di business principali (GU L </w:t>
      </w:r>
      <w:r w:rsidRPr="00106F72">
        <w:t>131</w:t>
      </w:r>
      <w:r>
        <w:t xml:space="preserve"> del </w:t>
      </w:r>
      <w:r w:rsidRPr="00106F72">
        <w:t>20</w:t>
      </w:r>
      <w:r>
        <w:t>.</w:t>
      </w:r>
      <w:r w:rsidRPr="00106F72">
        <w:t>5</w:t>
      </w:r>
      <w:r>
        <w:t>.</w:t>
      </w:r>
      <w:r w:rsidRPr="00106F72">
        <w:t>2016</w:t>
      </w:r>
      <w:r>
        <w:t xml:space="preserve">, pag. </w:t>
      </w:r>
      <w:r w:rsidRPr="00106F72">
        <w:t>41</w:t>
      </w:r>
      <w:r>
        <w:t>).</w:t>
      </w:r>
    </w:p>
  </w:footnote>
  <w:footnote w:id="17">
    <w:p w14:paraId="307020C9" w14:textId="77777777" w:rsidR="007D6859" w:rsidRPr="0040423B" w:rsidRDefault="007D6859" w:rsidP="00D12404">
      <w:pPr>
        <w:pStyle w:val="FootnoteText"/>
      </w:pPr>
      <w:r>
        <w:rPr>
          <w:rStyle w:val="FootnoteReference"/>
        </w:rPr>
        <w:footnoteRef/>
      </w:r>
      <w:r>
        <w:t xml:space="preserve"> Direttiva (UE) </w:t>
      </w:r>
      <w:r w:rsidRPr="00106F72">
        <w:t>2015</w:t>
      </w:r>
      <w:r>
        <w:t>/</w:t>
      </w:r>
      <w:r w:rsidRPr="00106F72">
        <w:t>2366</w:t>
      </w:r>
      <w:r>
        <w:t xml:space="preserve"> del Parlamento europeo e del Consiglio, del </w:t>
      </w:r>
      <w:r w:rsidRPr="00106F72">
        <w:t>25</w:t>
      </w:r>
      <w:r>
        <w:t xml:space="preserve"> novembre </w:t>
      </w:r>
      <w:r w:rsidRPr="00106F72">
        <w:t>2015</w:t>
      </w:r>
      <w:r>
        <w:t xml:space="preserve">, relativa ai servizi di pagamento nel mercato interno, che modifica le direttive </w:t>
      </w:r>
      <w:r w:rsidRPr="00106F72">
        <w:t>2002</w:t>
      </w:r>
      <w:r>
        <w:t>/</w:t>
      </w:r>
      <w:r w:rsidRPr="00106F72">
        <w:t>65</w:t>
      </w:r>
      <w:r>
        <w:t xml:space="preserve">/CE, </w:t>
      </w:r>
      <w:r w:rsidRPr="00106F72">
        <w:t>2009</w:t>
      </w:r>
      <w:r>
        <w:t>/</w:t>
      </w:r>
      <w:r w:rsidRPr="00106F72">
        <w:t>110</w:t>
      </w:r>
      <w:r>
        <w:t xml:space="preserve">/CE e </w:t>
      </w:r>
      <w:r w:rsidRPr="00106F72">
        <w:t>2013</w:t>
      </w:r>
      <w:r>
        <w:t>/</w:t>
      </w:r>
      <w:r w:rsidRPr="00106F72">
        <w:t>36</w:t>
      </w:r>
      <w:r>
        <w:t xml:space="preserve">/UE e il regolamento (UE) n. </w:t>
      </w:r>
      <w:r w:rsidRPr="00106F72">
        <w:t>1093</w:t>
      </w:r>
      <w:r>
        <w:t>/</w:t>
      </w:r>
      <w:r w:rsidRPr="00106F72">
        <w:t>2010</w:t>
      </w:r>
      <w:r>
        <w:t xml:space="preserve">, e abroga la direttiva </w:t>
      </w:r>
      <w:r w:rsidRPr="00106F72">
        <w:t>2007</w:t>
      </w:r>
      <w:r>
        <w:t>/</w:t>
      </w:r>
      <w:r w:rsidRPr="00106F72">
        <w:t>64</w:t>
      </w:r>
      <w:r>
        <w:t xml:space="preserve">/CE (GU </w:t>
      </w:r>
      <w:proofErr w:type="gramStart"/>
      <w:r>
        <w:t>L</w:t>
      </w:r>
      <w:proofErr w:type="gramEnd"/>
      <w:r>
        <w:t xml:space="preserve"> </w:t>
      </w:r>
      <w:r w:rsidRPr="00106F72">
        <w:t>337</w:t>
      </w:r>
      <w:r>
        <w:t xml:space="preserve"> del </w:t>
      </w:r>
      <w:r w:rsidRPr="00106F72">
        <w:t>23</w:t>
      </w:r>
      <w:r>
        <w:t>.</w:t>
      </w:r>
      <w:r w:rsidRPr="00106F72">
        <w:t>12</w:t>
      </w:r>
      <w:r>
        <w:t>.</w:t>
      </w:r>
      <w:r w:rsidRPr="00106F72">
        <w:t>2015</w:t>
      </w:r>
      <w:r>
        <w:t xml:space="preserve">, pag. </w:t>
      </w:r>
      <w:r w:rsidRPr="00106F72">
        <w:t>35</w:t>
      </w:r>
      <w:r>
        <w:t>).</w:t>
      </w:r>
    </w:p>
  </w:footnote>
  <w:footnote w:id="18">
    <w:p w14:paraId="5468A105" w14:textId="77777777" w:rsidR="007D6859" w:rsidRPr="0040423B" w:rsidRDefault="007D6859" w:rsidP="00D12404">
      <w:pPr>
        <w:pStyle w:val="FootnoteText"/>
      </w:pPr>
      <w:r>
        <w:rPr>
          <w:rStyle w:val="FootnoteReference"/>
        </w:rPr>
        <w:footnoteRef/>
      </w:r>
      <w:r>
        <w:t xml:space="preserve"> Regolamento (UE) n. </w:t>
      </w:r>
      <w:r w:rsidRPr="00106F72">
        <w:t>648</w:t>
      </w:r>
      <w:r>
        <w:t>/</w:t>
      </w:r>
      <w:r w:rsidRPr="00106F72">
        <w:t>2012</w:t>
      </w:r>
      <w:r>
        <w:t xml:space="preserve"> del Parlamento europeo e del Consiglio, del </w:t>
      </w:r>
      <w:r w:rsidRPr="00106F72">
        <w:t>4</w:t>
      </w:r>
      <w:r>
        <w:t xml:space="preserve"> luglio </w:t>
      </w:r>
      <w:r w:rsidRPr="00106F72">
        <w:t>2012</w:t>
      </w:r>
      <w:r>
        <w:t xml:space="preserve">, sugli strumenti derivati OTC, le controparti centrali e i repertori di dati sulle negoziazioni (GU </w:t>
      </w:r>
      <w:proofErr w:type="gramStart"/>
      <w:r>
        <w:t>L</w:t>
      </w:r>
      <w:proofErr w:type="gramEnd"/>
      <w:r>
        <w:t xml:space="preserve"> </w:t>
      </w:r>
      <w:r w:rsidRPr="00106F72">
        <w:t>201</w:t>
      </w:r>
      <w:r>
        <w:t xml:space="preserve"> del </w:t>
      </w:r>
      <w:r w:rsidRPr="00106F72">
        <w:t>27</w:t>
      </w:r>
      <w:r>
        <w:t>.</w:t>
      </w:r>
      <w:r w:rsidRPr="00106F72">
        <w:t>7</w:t>
      </w:r>
      <w:r>
        <w:t>.</w:t>
      </w:r>
      <w:r w:rsidRPr="00106F72">
        <w:t>2012</w:t>
      </w:r>
      <w:r>
        <w:t xml:space="preserve">, pag. </w:t>
      </w:r>
      <w:r w:rsidRPr="00106F72">
        <w:t>1</w:t>
      </w:r>
      <w:r>
        <w:t>).</w:t>
      </w:r>
    </w:p>
  </w:footnote>
  <w:footnote w:id="19">
    <w:p w14:paraId="4CF6124F" w14:textId="77777777" w:rsidR="007D6859" w:rsidRPr="0040423B" w:rsidRDefault="007D6859" w:rsidP="00D12404">
      <w:pPr>
        <w:pStyle w:val="FootnoteText"/>
      </w:pPr>
      <w:r>
        <w:rPr>
          <w:rStyle w:val="FootnoteReference"/>
        </w:rPr>
        <w:footnoteRef/>
      </w:r>
      <w:r>
        <w:t xml:space="preserve"> Direttiva </w:t>
      </w:r>
      <w:r w:rsidRPr="00106F72">
        <w:t>2014</w:t>
      </w:r>
      <w:r>
        <w:t>/</w:t>
      </w:r>
      <w:r w:rsidRPr="00106F72">
        <w:t>65</w:t>
      </w:r>
      <w:r>
        <w:t xml:space="preserve">/UE del Parlamento europeo e del Consiglio, del </w:t>
      </w:r>
      <w:r w:rsidRPr="00106F72">
        <w:t>15</w:t>
      </w:r>
      <w:r>
        <w:t xml:space="preserve"> maggio </w:t>
      </w:r>
      <w:r w:rsidRPr="00106F72">
        <w:t>2014</w:t>
      </w:r>
      <w:r>
        <w:t xml:space="preserve">, relativa ai mercati degli strumenti finanziari e che modifica la direttiva </w:t>
      </w:r>
      <w:r w:rsidRPr="00106F72">
        <w:t>2002</w:t>
      </w:r>
      <w:r>
        <w:t>/</w:t>
      </w:r>
      <w:r w:rsidRPr="00106F72">
        <w:t>92</w:t>
      </w:r>
      <w:r>
        <w:t xml:space="preserve">/CE e la direttiva </w:t>
      </w:r>
      <w:r w:rsidRPr="00106F72">
        <w:t>2011</w:t>
      </w:r>
      <w:r>
        <w:t>/</w:t>
      </w:r>
      <w:r w:rsidRPr="00106F72">
        <w:t>61</w:t>
      </w:r>
      <w:r>
        <w:t xml:space="preserve">/UE (GU </w:t>
      </w:r>
      <w:proofErr w:type="gramStart"/>
      <w:r>
        <w:t>L</w:t>
      </w:r>
      <w:proofErr w:type="gramEnd"/>
      <w:r>
        <w:t xml:space="preserve"> </w:t>
      </w:r>
      <w:r w:rsidRPr="00106F72">
        <w:t>173</w:t>
      </w:r>
      <w:r>
        <w:t xml:space="preserve"> del </w:t>
      </w:r>
      <w:r w:rsidRPr="00106F72">
        <w:t>12</w:t>
      </w:r>
      <w:r>
        <w:t>.</w:t>
      </w:r>
      <w:r w:rsidRPr="00106F72">
        <w:t>6</w:t>
      </w:r>
      <w:r>
        <w:t>.</w:t>
      </w:r>
      <w:r w:rsidRPr="00106F72">
        <w:t>2014</w:t>
      </w:r>
      <w:r>
        <w:t xml:space="preserve">, pag. </w:t>
      </w:r>
      <w:r w:rsidRPr="00106F72">
        <w:t>349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10067" w14:textId="77777777" w:rsidR="007D6859" w:rsidRPr="000E60D6" w:rsidRDefault="007D6859" w:rsidP="000E60D6">
    <w:pPr>
      <w:pStyle w:val="Header"/>
      <w:jc w:val="center"/>
      <w:rPr>
        <w:rFonts w:ascii="Times New Roman" w:hAnsi="Times New Roman" w:cs="Times New Roman"/>
      </w:rPr>
    </w:pPr>
    <w:r>
      <w:rPr>
        <w:rFonts w:ascii="Times New Roman" w:hAnsi="Times New Roman"/>
      </w:rPr>
      <w:t>IT</w:t>
    </w:r>
  </w:p>
  <w:p w14:paraId="43C44301" w14:textId="6BE979CD" w:rsidR="007D6859" w:rsidRPr="000E60D6" w:rsidRDefault="007D6859" w:rsidP="000E60D6">
    <w:pPr>
      <w:pStyle w:val="Header"/>
      <w:jc w:val="center"/>
      <w:rPr>
        <w:rFonts w:ascii="Times New Roman" w:hAnsi="Times New Roman" w:cs="Times New Roman"/>
      </w:rPr>
    </w:pPr>
    <w:r>
      <w:rPr>
        <w:rFonts w:ascii="Times New Roman" w:hAnsi="Times New Roman"/>
      </w:rPr>
      <w:t>ALLEGATO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7265"/>
    <w:rsid w:val="00027873"/>
    <w:rsid w:val="00027DAE"/>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6F72"/>
    <w:rsid w:val="00107E7E"/>
    <w:rsid w:val="00110C6B"/>
    <w:rsid w:val="0011184A"/>
    <w:rsid w:val="00111CB0"/>
    <w:rsid w:val="00112240"/>
    <w:rsid w:val="00112699"/>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86F"/>
    <w:rsid w:val="00356BB0"/>
    <w:rsid w:val="003579E0"/>
    <w:rsid w:val="00360997"/>
    <w:rsid w:val="00361308"/>
    <w:rsid w:val="0036168C"/>
    <w:rsid w:val="003616B7"/>
    <w:rsid w:val="0036208B"/>
    <w:rsid w:val="0036322A"/>
    <w:rsid w:val="00363639"/>
    <w:rsid w:val="00363970"/>
    <w:rsid w:val="003645BE"/>
    <w:rsid w:val="00365D47"/>
    <w:rsid w:val="00367C1E"/>
    <w:rsid w:val="00371993"/>
    <w:rsid w:val="00373330"/>
    <w:rsid w:val="00373D04"/>
    <w:rsid w:val="00374C61"/>
    <w:rsid w:val="00377E0E"/>
    <w:rsid w:val="003813F1"/>
    <w:rsid w:val="0038298A"/>
    <w:rsid w:val="00382A94"/>
    <w:rsid w:val="00383729"/>
    <w:rsid w:val="003848DE"/>
    <w:rsid w:val="00384C42"/>
    <w:rsid w:val="00385C06"/>
    <w:rsid w:val="00390E48"/>
    <w:rsid w:val="0039173B"/>
    <w:rsid w:val="00391B8F"/>
    <w:rsid w:val="0039339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620"/>
    <w:rsid w:val="003C40E7"/>
    <w:rsid w:val="003C475B"/>
    <w:rsid w:val="003C7F9F"/>
    <w:rsid w:val="003D0402"/>
    <w:rsid w:val="003D0643"/>
    <w:rsid w:val="003D0B39"/>
    <w:rsid w:val="003D16AE"/>
    <w:rsid w:val="003D1BCE"/>
    <w:rsid w:val="003D1C11"/>
    <w:rsid w:val="003D1CFF"/>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60"/>
    <w:rsid w:val="00402855"/>
    <w:rsid w:val="00402CBF"/>
    <w:rsid w:val="004035FD"/>
    <w:rsid w:val="0040423B"/>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34C7"/>
    <w:rsid w:val="004636BB"/>
    <w:rsid w:val="004642E8"/>
    <w:rsid w:val="004657F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32"/>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6A9"/>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4BC0"/>
    <w:rsid w:val="00545176"/>
    <w:rsid w:val="00550510"/>
    <w:rsid w:val="00550790"/>
    <w:rsid w:val="00550D93"/>
    <w:rsid w:val="00551EE7"/>
    <w:rsid w:val="0055296A"/>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7286"/>
    <w:rsid w:val="00567632"/>
    <w:rsid w:val="00567CDF"/>
    <w:rsid w:val="0057049E"/>
    <w:rsid w:val="0057191D"/>
    <w:rsid w:val="005721B4"/>
    <w:rsid w:val="00573846"/>
    <w:rsid w:val="00573EA9"/>
    <w:rsid w:val="005756C5"/>
    <w:rsid w:val="005758BD"/>
    <w:rsid w:val="00580D3F"/>
    <w:rsid w:val="00581C3E"/>
    <w:rsid w:val="005838AA"/>
    <w:rsid w:val="005839C6"/>
    <w:rsid w:val="00583BFA"/>
    <w:rsid w:val="00583FB1"/>
    <w:rsid w:val="00584E96"/>
    <w:rsid w:val="00585511"/>
    <w:rsid w:val="005856EA"/>
    <w:rsid w:val="00585A96"/>
    <w:rsid w:val="005860F7"/>
    <w:rsid w:val="00586758"/>
    <w:rsid w:val="005872B3"/>
    <w:rsid w:val="00590117"/>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75F"/>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0DBC"/>
    <w:rsid w:val="0066119E"/>
    <w:rsid w:val="006619B6"/>
    <w:rsid w:val="0066227D"/>
    <w:rsid w:val="006625E4"/>
    <w:rsid w:val="00662C7E"/>
    <w:rsid w:val="00663253"/>
    <w:rsid w:val="00663987"/>
    <w:rsid w:val="0066458F"/>
    <w:rsid w:val="00664CA9"/>
    <w:rsid w:val="006659FF"/>
    <w:rsid w:val="006666FB"/>
    <w:rsid w:val="0066675F"/>
    <w:rsid w:val="00667E04"/>
    <w:rsid w:val="00670F1B"/>
    <w:rsid w:val="006716B0"/>
    <w:rsid w:val="00672D24"/>
    <w:rsid w:val="00672F82"/>
    <w:rsid w:val="00673113"/>
    <w:rsid w:val="00673A26"/>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8A5"/>
    <w:rsid w:val="006B1A24"/>
    <w:rsid w:val="006B3727"/>
    <w:rsid w:val="006B3A8A"/>
    <w:rsid w:val="006B40F0"/>
    <w:rsid w:val="006B4A6D"/>
    <w:rsid w:val="006B4B56"/>
    <w:rsid w:val="006B5C5C"/>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320F"/>
    <w:rsid w:val="00713231"/>
    <w:rsid w:val="00713F40"/>
    <w:rsid w:val="0071430A"/>
    <w:rsid w:val="00714C7D"/>
    <w:rsid w:val="0071563A"/>
    <w:rsid w:val="00715DAB"/>
    <w:rsid w:val="007166F7"/>
    <w:rsid w:val="0071735F"/>
    <w:rsid w:val="0071795F"/>
    <w:rsid w:val="00717ECF"/>
    <w:rsid w:val="00720344"/>
    <w:rsid w:val="0072357C"/>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859"/>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5EB0"/>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D56"/>
    <w:rsid w:val="008A4668"/>
    <w:rsid w:val="008A54AC"/>
    <w:rsid w:val="008A57C4"/>
    <w:rsid w:val="008A6429"/>
    <w:rsid w:val="008A6949"/>
    <w:rsid w:val="008A77ED"/>
    <w:rsid w:val="008B0787"/>
    <w:rsid w:val="008B12FC"/>
    <w:rsid w:val="008B17E0"/>
    <w:rsid w:val="008B1E5A"/>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682"/>
    <w:rsid w:val="008E0D4B"/>
    <w:rsid w:val="008E0F59"/>
    <w:rsid w:val="008E1824"/>
    <w:rsid w:val="008E18A2"/>
    <w:rsid w:val="008E5FE4"/>
    <w:rsid w:val="008E668D"/>
    <w:rsid w:val="008E6C30"/>
    <w:rsid w:val="008F14EB"/>
    <w:rsid w:val="008F25FE"/>
    <w:rsid w:val="008F5C17"/>
    <w:rsid w:val="008F6984"/>
    <w:rsid w:val="008F717A"/>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68C2"/>
    <w:rsid w:val="00947C1F"/>
    <w:rsid w:val="00950034"/>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87A"/>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403"/>
    <w:rsid w:val="00A23A19"/>
    <w:rsid w:val="00A25CF7"/>
    <w:rsid w:val="00A26A4B"/>
    <w:rsid w:val="00A26CB9"/>
    <w:rsid w:val="00A325DF"/>
    <w:rsid w:val="00A337E4"/>
    <w:rsid w:val="00A339C9"/>
    <w:rsid w:val="00A344C8"/>
    <w:rsid w:val="00A4015F"/>
    <w:rsid w:val="00A40402"/>
    <w:rsid w:val="00A4272E"/>
    <w:rsid w:val="00A43992"/>
    <w:rsid w:val="00A457A0"/>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3415"/>
    <w:rsid w:val="00AB4520"/>
    <w:rsid w:val="00AB4CE0"/>
    <w:rsid w:val="00AB6215"/>
    <w:rsid w:val="00AB651E"/>
    <w:rsid w:val="00AB6E8F"/>
    <w:rsid w:val="00AB7063"/>
    <w:rsid w:val="00AB7A03"/>
    <w:rsid w:val="00AC091E"/>
    <w:rsid w:val="00AC133D"/>
    <w:rsid w:val="00AC167D"/>
    <w:rsid w:val="00AC1C52"/>
    <w:rsid w:val="00AC1D86"/>
    <w:rsid w:val="00AC27FE"/>
    <w:rsid w:val="00AC3B85"/>
    <w:rsid w:val="00AC3F87"/>
    <w:rsid w:val="00AC43E5"/>
    <w:rsid w:val="00AC457E"/>
    <w:rsid w:val="00AC56F9"/>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501"/>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76B2"/>
    <w:rsid w:val="00B17783"/>
    <w:rsid w:val="00B20A53"/>
    <w:rsid w:val="00B2448B"/>
    <w:rsid w:val="00B24772"/>
    <w:rsid w:val="00B24A26"/>
    <w:rsid w:val="00B27F8F"/>
    <w:rsid w:val="00B30644"/>
    <w:rsid w:val="00B30AA1"/>
    <w:rsid w:val="00B31255"/>
    <w:rsid w:val="00B31E9D"/>
    <w:rsid w:val="00B3219D"/>
    <w:rsid w:val="00B323A0"/>
    <w:rsid w:val="00B33453"/>
    <w:rsid w:val="00B343C7"/>
    <w:rsid w:val="00B346EA"/>
    <w:rsid w:val="00B3492C"/>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4490"/>
    <w:rsid w:val="00B64655"/>
    <w:rsid w:val="00B64811"/>
    <w:rsid w:val="00B64E62"/>
    <w:rsid w:val="00B65144"/>
    <w:rsid w:val="00B65D63"/>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256A"/>
    <w:rsid w:val="00CC2F8B"/>
    <w:rsid w:val="00CC3819"/>
    <w:rsid w:val="00CC4B70"/>
    <w:rsid w:val="00CC6BBF"/>
    <w:rsid w:val="00CC77E8"/>
    <w:rsid w:val="00CD076A"/>
    <w:rsid w:val="00CD0E89"/>
    <w:rsid w:val="00CD179A"/>
    <w:rsid w:val="00CD1CAE"/>
    <w:rsid w:val="00CD44BD"/>
    <w:rsid w:val="00CD4A89"/>
    <w:rsid w:val="00CD531E"/>
    <w:rsid w:val="00CD5979"/>
    <w:rsid w:val="00CD657D"/>
    <w:rsid w:val="00CE027B"/>
    <w:rsid w:val="00CE39E4"/>
    <w:rsid w:val="00CE42BD"/>
    <w:rsid w:val="00CE4F57"/>
    <w:rsid w:val="00CE5186"/>
    <w:rsid w:val="00CE59D2"/>
    <w:rsid w:val="00CE76B4"/>
    <w:rsid w:val="00CE7C8B"/>
    <w:rsid w:val="00CF154C"/>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404"/>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088F"/>
    <w:rsid w:val="00D4147E"/>
    <w:rsid w:val="00D41626"/>
    <w:rsid w:val="00D429E6"/>
    <w:rsid w:val="00D444D0"/>
    <w:rsid w:val="00D44790"/>
    <w:rsid w:val="00D447A0"/>
    <w:rsid w:val="00D501DF"/>
    <w:rsid w:val="00D51F3C"/>
    <w:rsid w:val="00D52306"/>
    <w:rsid w:val="00D52EC8"/>
    <w:rsid w:val="00D53BF4"/>
    <w:rsid w:val="00D53E83"/>
    <w:rsid w:val="00D54A43"/>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A1E"/>
    <w:rsid w:val="00D71DD0"/>
    <w:rsid w:val="00D72424"/>
    <w:rsid w:val="00D730D2"/>
    <w:rsid w:val="00D7345B"/>
    <w:rsid w:val="00D7497D"/>
    <w:rsid w:val="00D757A9"/>
    <w:rsid w:val="00D75AA9"/>
    <w:rsid w:val="00D76315"/>
    <w:rsid w:val="00D802D7"/>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BBA"/>
    <w:rsid w:val="00E21A62"/>
    <w:rsid w:val="00E21DEE"/>
    <w:rsid w:val="00E22020"/>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3EE4"/>
    <w:rsid w:val="00EE46C0"/>
    <w:rsid w:val="00EE6BAF"/>
    <w:rsid w:val="00EF01C1"/>
    <w:rsid w:val="00EF0325"/>
    <w:rsid w:val="00EF312C"/>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90B"/>
    <w:rsid w:val="00F83BED"/>
    <w:rsid w:val="00F8408F"/>
    <w:rsid w:val="00F843F0"/>
    <w:rsid w:val="00F85278"/>
    <w:rsid w:val="00F86BB3"/>
    <w:rsid w:val="00F86D7C"/>
    <w:rsid w:val="00F87F49"/>
    <w:rsid w:val="00F903D2"/>
    <w:rsid w:val="00F90C15"/>
    <w:rsid w:val="00F94ADC"/>
    <w:rsid w:val="00F94C09"/>
    <w:rsid w:val="00F9503B"/>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4BC"/>
    <w:rsid w:val="00FB31E9"/>
    <w:rsid w:val="00FB3362"/>
    <w:rsid w:val="00FB390B"/>
    <w:rsid w:val="00FB465C"/>
    <w:rsid w:val="00FB516C"/>
    <w:rsid w:val="00FB60B9"/>
    <w:rsid w:val="00FB61BA"/>
    <w:rsid w:val="00FB6C98"/>
    <w:rsid w:val="00FB7D83"/>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343"/>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C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it-I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it-I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it-I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it-I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it-I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it-I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it-I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it-I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it-IT"/>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it-I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it-IT"/>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D12404"/>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D12404"/>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styleId="LightShading">
    <w:name w:val="Light Shading"/>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it-I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it-I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it-I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it-I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it-IT"/>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it-I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it-IT" w:eastAsia="it-IT"/>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it-IT"/>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it-I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it-I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it-I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it-I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it-I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it-I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it-I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it-I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it-I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it-IT"/>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it-I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it-IT"/>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D12404"/>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D12404"/>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styleId="LightShading">
    <w:name w:val="Light Shading"/>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it-I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it-I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it-I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it-I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it-IT"/>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it-I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it-IT" w:eastAsia="it-IT"/>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it-IT"/>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64F6-BA58-416C-BF56-8C057ADE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42</Pages>
  <Words>16089</Words>
  <Characters>94448</Characters>
  <Application>Microsoft Office Word</Application>
  <DocSecurity>0</DocSecurity>
  <Lines>1888</Lines>
  <Paragraphs>757</Paragraphs>
  <ScaleCrop>false</ScaleCrop>
  <HeadingPairs>
    <vt:vector size="2" baseType="variant">
      <vt:variant>
        <vt:lpstr>Title</vt:lpstr>
      </vt:variant>
      <vt:variant>
        <vt:i4>1</vt:i4>
      </vt:variant>
    </vt:vector>
  </HeadingPairs>
  <TitlesOfParts>
    <vt:vector size="1" baseType="lpstr">
      <vt:lpstr/>
    </vt:vector>
  </TitlesOfParts>
  <Company>EBA</Company>
  <LinksUpToDate>false</LinksUpToDate>
  <CharactersWithSpaces>109780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Charles Canonne</dc:creator>
  <cp:lastModifiedBy>DI MATERA Mariflora (DGT)</cp:lastModifiedBy>
  <cp:revision>26</cp:revision>
  <cp:lastPrinted>2017-10-06T17:28:00Z</cp:lastPrinted>
  <dcterms:created xsi:type="dcterms:W3CDTF">2018-07-09T09:43:00Z</dcterms:created>
  <dcterms:modified xsi:type="dcterms:W3CDTF">2018-09-20T14:31:00Z</dcterms:modified>
</cp:coreProperties>
</file>