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rPr>
        <w:t>II priedas. Nurodymai</w:t>
      </w:r>
    </w:p>
    <w:p w:rsidR="001E5EDF" w:rsidRPr="00D92B3C" w:rsidRDefault="001E5EDF" w:rsidP="001E5EDF">
      <w:pPr>
        <w:rPr>
          <w:rFonts w:ascii="Times New Roman" w:hAnsi="Times New Roman" w:cs="Times New Roman"/>
          <w:b/>
          <w:color w:val="000000" w:themeColor="text1"/>
          <w:sz w:val="20"/>
          <w:szCs w:val="20"/>
        </w:rPr>
      </w:pPr>
    </w:p>
    <w:p w:rsidR="001E5EDF" w:rsidRPr="00D92B3C" w:rsidRDefault="001E5EDF" w:rsidP="00385C06">
      <w:pPr>
        <w:rPr>
          <w:rFonts w:ascii="Times New Roman" w:hAnsi="Times New Roman" w:cs="Times New Roman"/>
          <w:b/>
          <w:color w:val="000000" w:themeColor="text1"/>
          <w:sz w:val="20"/>
          <w:szCs w:val="20"/>
        </w:rPr>
      </w:pPr>
    </w:p>
    <w:p w:rsidR="00833A9D" w:rsidRDefault="001D258F">
      <w:pPr>
        <w:pStyle w:val="TOC2"/>
        <w:rPr>
          <w:lang w:bidi="kn-IN"/>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525225550" w:history="1">
        <w:r w:rsidR="00833A9D" w:rsidRPr="00F45CA7">
          <w:rPr>
            <w:rStyle w:val="Hyperlink"/>
            <w:rFonts w:ascii="Times New Roman" w:hAnsi="Times New Roman" w:cs="Times New Roman"/>
          </w:rPr>
          <w:t>I.</w:t>
        </w:r>
        <w:r w:rsidR="00833A9D">
          <w:rPr>
            <w:lang w:bidi="kn-IN"/>
          </w:rPr>
          <w:tab/>
        </w:r>
        <w:r w:rsidR="00833A9D" w:rsidRPr="00F45CA7">
          <w:rPr>
            <w:rStyle w:val="Hyperlink"/>
            <w:rFonts w:ascii="Times New Roman" w:hAnsi="Times New Roman"/>
          </w:rPr>
          <w:t>Bendrieji nurodymai</w:t>
        </w:r>
        <w:r w:rsidR="00833A9D">
          <w:rPr>
            <w:webHidden/>
          </w:rPr>
          <w:tab/>
        </w:r>
        <w:r w:rsidR="00833A9D">
          <w:rPr>
            <w:webHidden/>
          </w:rPr>
          <w:fldChar w:fldCharType="begin"/>
        </w:r>
        <w:r w:rsidR="00833A9D">
          <w:rPr>
            <w:webHidden/>
          </w:rPr>
          <w:instrText xml:space="preserve"> PAGEREF _Toc525225550 \h </w:instrText>
        </w:r>
        <w:r w:rsidR="00833A9D">
          <w:rPr>
            <w:webHidden/>
          </w:rPr>
        </w:r>
        <w:r w:rsidR="00833A9D">
          <w:rPr>
            <w:webHidden/>
          </w:rPr>
          <w:fldChar w:fldCharType="separate"/>
        </w:r>
        <w:r w:rsidR="006D2200">
          <w:rPr>
            <w:webHidden/>
          </w:rPr>
          <w:t>2</w:t>
        </w:r>
        <w:r w:rsidR="00833A9D">
          <w:rPr>
            <w:webHidden/>
          </w:rPr>
          <w:fldChar w:fldCharType="end"/>
        </w:r>
      </w:hyperlink>
    </w:p>
    <w:p w:rsidR="00833A9D" w:rsidRDefault="006D2200">
      <w:pPr>
        <w:pStyle w:val="TOC2"/>
        <w:rPr>
          <w:lang w:bidi="kn-IN"/>
        </w:rPr>
      </w:pPr>
      <w:hyperlink w:anchor="_Toc525225551" w:history="1">
        <w:r w:rsidR="00833A9D" w:rsidRPr="00F45CA7">
          <w:rPr>
            <w:rStyle w:val="Hyperlink"/>
            <w:rFonts w:ascii="Times New Roman" w:hAnsi="Times New Roman" w:cs="Times New Roman"/>
          </w:rPr>
          <w:t>I.1</w:t>
        </w:r>
        <w:r w:rsidR="00833A9D">
          <w:rPr>
            <w:lang w:bidi="kn-IN"/>
          </w:rPr>
          <w:tab/>
        </w:r>
        <w:r w:rsidR="00833A9D" w:rsidRPr="00F45CA7">
          <w:rPr>
            <w:rStyle w:val="Hyperlink"/>
            <w:rFonts w:ascii="Times New Roman" w:hAnsi="Times New Roman"/>
          </w:rPr>
          <w:t>Struktūra</w:t>
        </w:r>
        <w:r w:rsidR="00833A9D">
          <w:rPr>
            <w:webHidden/>
          </w:rPr>
          <w:tab/>
        </w:r>
        <w:r w:rsidR="00833A9D">
          <w:rPr>
            <w:webHidden/>
          </w:rPr>
          <w:fldChar w:fldCharType="begin"/>
        </w:r>
        <w:r w:rsidR="00833A9D">
          <w:rPr>
            <w:webHidden/>
          </w:rPr>
          <w:instrText xml:space="preserve"> PAGEREF _Toc525225551 \h </w:instrText>
        </w:r>
        <w:r w:rsidR="00833A9D">
          <w:rPr>
            <w:webHidden/>
          </w:rPr>
        </w:r>
        <w:r w:rsidR="00833A9D">
          <w:rPr>
            <w:webHidden/>
          </w:rPr>
          <w:fldChar w:fldCharType="separate"/>
        </w:r>
        <w:r>
          <w:rPr>
            <w:webHidden/>
          </w:rPr>
          <w:t>2</w:t>
        </w:r>
        <w:r w:rsidR="00833A9D">
          <w:rPr>
            <w:webHidden/>
          </w:rPr>
          <w:fldChar w:fldCharType="end"/>
        </w:r>
      </w:hyperlink>
    </w:p>
    <w:p w:rsidR="00833A9D" w:rsidRDefault="006D2200">
      <w:pPr>
        <w:pStyle w:val="TOC2"/>
        <w:rPr>
          <w:lang w:bidi="kn-IN"/>
        </w:rPr>
      </w:pPr>
      <w:hyperlink w:anchor="_Toc525225552" w:history="1">
        <w:r w:rsidR="00833A9D" w:rsidRPr="00F45CA7">
          <w:rPr>
            <w:rStyle w:val="Hyperlink"/>
            <w:rFonts w:ascii="Times New Roman" w:hAnsi="Times New Roman" w:cs="Times New Roman"/>
          </w:rPr>
          <w:t>I.2</w:t>
        </w:r>
        <w:r w:rsidR="00833A9D">
          <w:rPr>
            <w:lang w:bidi="kn-IN"/>
          </w:rPr>
          <w:tab/>
        </w:r>
        <w:r w:rsidR="00833A9D" w:rsidRPr="00F45CA7">
          <w:rPr>
            <w:rStyle w:val="Hyperlink"/>
            <w:rFonts w:ascii="Times New Roman" w:hAnsi="Times New Roman"/>
          </w:rPr>
          <w:t>Nuorodos</w:t>
        </w:r>
        <w:r w:rsidR="00833A9D">
          <w:rPr>
            <w:webHidden/>
          </w:rPr>
          <w:tab/>
        </w:r>
        <w:r w:rsidR="00833A9D">
          <w:rPr>
            <w:webHidden/>
          </w:rPr>
          <w:fldChar w:fldCharType="begin"/>
        </w:r>
        <w:r w:rsidR="00833A9D">
          <w:rPr>
            <w:webHidden/>
          </w:rPr>
          <w:instrText xml:space="preserve"> PAGEREF _Toc525225552 \h </w:instrText>
        </w:r>
        <w:r w:rsidR="00833A9D">
          <w:rPr>
            <w:webHidden/>
          </w:rPr>
        </w:r>
        <w:r w:rsidR="00833A9D">
          <w:rPr>
            <w:webHidden/>
          </w:rPr>
          <w:fldChar w:fldCharType="separate"/>
        </w:r>
        <w:r>
          <w:rPr>
            <w:webHidden/>
          </w:rPr>
          <w:t>2</w:t>
        </w:r>
        <w:r w:rsidR="00833A9D">
          <w:rPr>
            <w:webHidden/>
          </w:rPr>
          <w:fldChar w:fldCharType="end"/>
        </w:r>
      </w:hyperlink>
    </w:p>
    <w:p w:rsidR="00833A9D" w:rsidRDefault="006D2200">
      <w:pPr>
        <w:pStyle w:val="TOC2"/>
        <w:rPr>
          <w:lang w:bidi="kn-IN"/>
        </w:rPr>
      </w:pPr>
      <w:hyperlink w:anchor="_Toc525225553" w:history="1">
        <w:r w:rsidR="00833A9D" w:rsidRPr="00F45CA7">
          <w:rPr>
            <w:rStyle w:val="Hyperlink"/>
            <w:rFonts w:ascii="Times New Roman" w:hAnsi="Times New Roman" w:cs="Times New Roman"/>
          </w:rPr>
          <w:t>I.3</w:t>
        </w:r>
        <w:r w:rsidR="00833A9D">
          <w:rPr>
            <w:lang w:bidi="kn-IN"/>
          </w:rPr>
          <w:tab/>
        </w:r>
        <w:r w:rsidR="00833A9D" w:rsidRPr="00F45CA7">
          <w:rPr>
            <w:rStyle w:val="Hyperlink"/>
            <w:rFonts w:ascii="Times New Roman" w:hAnsi="Times New Roman"/>
          </w:rPr>
          <w:t>Apskaitos standartai</w:t>
        </w:r>
        <w:r w:rsidR="00833A9D">
          <w:rPr>
            <w:webHidden/>
          </w:rPr>
          <w:tab/>
        </w:r>
        <w:r w:rsidR="00833A9D">
          <w:rPr>
            <w:webHidden/>
          </w:rPr>
          <w:fldChar w:fldCharType="begin"/>
        </w:r>
        <w:r w:rsidR="00833A9D">
          <w:rPr>
            <w:webHidden/>
          </w:rPr>
          <w:instrText xml:space="preserve"> PAGEREF _Toc525225553 \h </w:instrText>
        </w:r>
        <w:r w:rsidR="00833A9D">
          <w:rPr>
            <w:webHidden/>
          </w:rPr>
        </w:r>
        <w:r w:rsidR="00833A9D">
          <w:rPr>
            <w:webHidden/>
          </w:rPr>
          <w:fldChar w:fldCharType="separate"/>
        </w:r>
        <w:r>
          <w:rPr>
            <w:webHidden/>
          </w:rPr>
          <w:t>3</w:t>
        </w:r>
        <w:r w:rsidR="00833A9D">
          <w:rPr>
            <w:webHidden/>
          </w:rPr>
          <w:fldChar w:fldCharType="end"/>
        </w:r>
      </w:hyperlink>
    </w:p>
    <w:p w:rsidR="00833A9D" w:rsidRDefault="006D2200">
      <w:pPr>
        <w:pStyle w:val="TOC2"/>
        <w:rPr>
          <w:lang w:bidi="kn-IN"/>
        </w:rPr>
      </w:pPr>
      <w:hyperlink w:anchor="_Toc525225554" w:history="1">
        <w:r w:rsidR="00833A9D" w:rsidRPr="00F45CA7">
          <w:rPr>
            <w:rStyle w:val="Hyperlink"/>
            <w:rFonts w:ascii="Times New Roman" w:hAnsi="Times New Roman" w:cs="Times New Roman"/>
          </w:rPr>
          <w:t>I.4</w:t>
        </w:r>
        <w:r w:rsidR="00833A9D">
          <w:rPr>
            <w:lang w:bidi="kn-IN"/>
          </w:rPr>
          <w:tab/>
        </w:r>
        <w:r w:rsidR="00833A9D" w:rsidRPr="00F45CA7">
          <w:rPr>
            <w:rStyle w:val="Hyperlink"/>
            <w:rFonts w:ascii="Times New Roman" w:hAnsi="Times New Roman"/>
          </w:rPr>
          <w:t>Konsolidavimo apimtis</w:t>
        </w:r>
        <w:r w:rsidR="00833A9D">
          <w:rPr>
            <w:webHidden/>
          </w:rPr>
          <w:tab/>
        </w:r>
        <w:r w:rsidR="00833A9D">
          <w:rPr>
            <w:webHidden/>
          </w:rPr>
          <w:fldChar w:fldCharType="begin"/>
        </w:r>
        <w:r w:rsidR="00833A9D">
          <w:rPr>
            <w:webHidden/>
          </w:rPr>
          <w:instrText xml:space="preserve"> PAGEREF _Toc525225554 \h </w:instrText>
        </w:r>
        <w:r w:rsidR="00833A9D">
          <w:rPr>
            <w:webHidden/>
          </w:rPr>
        </w:r>
        <w:r w:rsidR="00833A9D">
          <w:rPr>
            <w:webHidden/>
          </w:rPr>
          <w:fldChar w:fldCharType="separate"/>
        </w:r>
        <w:r>
          <w:rPr>
            <w:webHidden/>
          </w:rPr>
          <w:t>3</w:t>
        </w:r>
        <w:r w:rsidR="00833A9D">
          <w:rPr>
            <w:webHidden/>
          </w:rPr>
          <w:fldChar w:fldCharType="end"/>
        </w:r>
      </w:hyperlink>
    </w:p>
    <w:p w:rsidR="00833A9D" w:rsidRDefault="006D2200">
      <w:pPr>
        <w:pStyle w:val="TOC2"/>
        <w:rPr>
          <w:lang w:bidi="kn-IN"/>
        </w:rPr>
      </w:pPr>
      <w:hyperlink w:anchor="_Toc525225555" w:history="1">
        <w:r w:rsidR="00833A9D" w:rsidRPr="00F45CA7">
          <w:rPr>
            <w:rStyle w:val="Hyperlink"/>
            <w:rFonts w:ascii="Times New Roman" w:hAnsi="Times New Roman" w:cs="Times New Roman"/>
          </w:rPr>
          <w:t>I.5</w:t>
        </w:r>
        <w:r w:rsidR="00833A9D">
          <w:rPr>
            <w:lang w:bidi="kn-IN"/>
          </w:rPr>
          <w:tab/>
        </w:r>
        <w:r w:rsidR="00833A9D" w:rsidRPr="00F45CA7">
          <w:rPr>
            <w:rStyle w:val="Hyperlink"/>
            <w:rFonts w:ascii="Times New Roman" w:hAnsi="Times New Roman"/>
          </w:rPr>
          <w:t>Numeravimo ir su kitais aspektais susijusi tvarka</w:t>
        </w:r>
        <w:r w:rsidR="00833A9D">
          <w:rPr>
            <w:webHidden/>
          </w:rPr>
          <w:tab/>
        </w:r>
        <w:r w:rsidR="00833A9D">
          <w:rPr>
            <w:webHidden/>
          </w:rPr>
          <w:fldChar w:fldCharType="begin"/>
        </w:r>
        <w:r w:rsidR="00833A9D">
          <w:rPr>
            <w:webHidden/>
          </w:rPr>
          <w:instrText xml:space="preserve"> PAGEREF _Toc525225555 \h </w:instrText>
        </w:r>
        <w:r w:rsidR="00833A9D">
          <w:rPr>
            <w:webHidden/>
          </w:rPr>
        </w:r>
        <w:r w:rsidR="00833A9D">
          <w:rPr>
            <w:webHidden/>
          </w:rPr>
          <w:fldChar w:fldCharType="separate"/>
        </w:r>
        <w:r>
          <w:rPr>
            <w:webHidden/>
          </w:rPr>
          <w:t>4</w:t>
        </w:r>
        <w:r w:rsidR="00833A9D">
          <w:rPr>
            <w:webHidden/>
          </w:rPr>
          <w:fldChar w:fldCharType="end"/>
        </w:r>
      </w:hyperlink>
    </w:p>
    <w:p w:rsidR="00833A9D" w:rsidRDefault="006D2200">
      <w:pPr>
        <w:pStyle w:val="TOC2"/>
        <w:rPr>
          <w:lang w:bidi="kn-IN"/>
        </w:rPr>
      </w:pPr>
      <w:hyperlink w:anchor="_Toc525225556" w:history="1">
        <w:r w:rsidR="00833A9D" w:rsidRPr="00F45CA7">
          <w:rPr>
            <w:rStyle w:val="Hyperlink"/>
            <w:rFonts w:ascii="Times New Roman" w:hAnsi="Times New Roman" w:cs="Times New Roman"/>
          </w:rPr>
          <w:t>II.</w:t>
        </w:r>
        <w:r w:rsidR="00833A9D">
          <w:rPr>
            <w:lang w:bidi="kn-IN"/>
          </w:rPr>
          <w:tab/>
        </w:r>
        <w:r w:rsidR="00833A9D" w:rsidRPr="00F45CA7">
          <w:rPr>
            <w:rStyle w:val="Hyperlink"/>
            <w:rFonts w:ascii="Times New Roman" w:hAnsi="Times New Roman"/>
          </w:rPr>
          <w:t>Su šablonu susiję nurodymai</w:t>
        </w:r>
        <w:r w:rsidR="00833A9D">
          <w:rPr>
            <w:webHidden/>
          </w:rPr>
          <w:tab/>
        </w:r>
        <w:r w:rsidR="00833A9D">
          <w:rPr>
            <w:webHidden/>
          </w:rPr>
          <w:fldChar w:fldCharType="begin"/>
        </w:r>
        <w:r w:rsidR="00833A9D">
          <w:rPr>
            <w:webHidden/>
          </w:rPr>
          <w:instrText xml:space="preserve"> PAGEREF _Toc525225556 \h </w:instrText>
        </w:r>
        <w:r w:rsidR="00833A9D">
          <w:rPr>
            <w:webHidden/>
          </w:rPr>
        </w:r>
        <w:r w:rsidR="00833A9D">
          <w:rPr>
            <w:webHidden/>
          </w:rPr>
          <w:fldChar w:fldCharType="separate"/>
        </w:r>
        <w:r>
          <w:rPr>
            <w:webHidden/>
          </w:rPr>
          <w:t>4</w:t>
        </w:r>
        <w:r w:rsidR="00833A9D">
          <w:rPr>
            <w:webHidden/>
          </w:rPr>
          <w:fldChar w:fldCharType="end"/>
        </w:r>
      </w:hyperlink>
    </w:p>
    <w:p w:rsidR="00833A9D" w:rsidRDefault="006D2200">
      <w:pPr>
        <w:pStyle w:val="TOC2"/>
        <w:rPr>
          <w:lang w:bidi="kn-IN"/>
        </w:rPr>
      </w:pPr>
      <w:hyperlink w:anchor="_Toc525225557" w:history="1">
        <w:r w:rsidR="00833A9D" w:rsidRPr="00F45CA7">
          <w:rPr>
            <w:rStyle w:val="Hyperlink"/>
            <w:rFonts w:ascii="Times New Roman" w:hAnsi="Times New Roman" w:cs="Times New Roman"/>
          </w:rPr>
          <w:t>II.1</w:t>
        </w:r>
        <w:r w:rsidR="00833A9D">
          <w:rPr>
            <w:lang w:bidi="kn-IN"/>
          </w:rPr>
          <w:tab/>
        </w:r>
        <w:r w:rsidR="00833A9D" w:rsidRPr="00F45CA7">
          <w:rPr>
            <w:rStyle w:val="Hyperlink"/>
            <w:rFonts w:ascii="Times New Roman" w:hAnsi="Times New Roman"/>
          </w:rPr>
          <w:t>Z 01.00. Organizacinė struktūra (ORG)</w:t>
        </w:r>
        <w:r w:rsidR="00833A9D">
          <w:rPr>
            <w:webHidden/>
          </w:rPr>
          <w:tab/>
        </w:r>
        <w:r w:rsidR="00833A9D">
          <w:rPr>
            <w:webHidden/>
          </w:rPr>
          <w:fldChar w:fldCharType="begin"/>
        </w:r>
        <w:r w:rsidR="00833A9D">
          <w:rPr>
            <w:webHidden/>
          </w:rPr>
          <w:instrText xml:space="preserve"> PAGEREF _Toc525225557 \h </w:instrText>
        </w:r>
        <w:r w:rsidR="00833A9D">
          <w:rPr>
            <w:webHidden/>
          </w:rPr>
        </w:r>
        <w:r w:rsidR="00833A9D">
          <w:rPr>
            <w:webHidden/>
          </w:rPr>
          <w:fldChar w:fldCharType="separate"/>
        </w:r>
        <w:r>
          <w:rPr>
            <w:webHidden/>
          </w:rPr>
          <w:t>4</w:t>
        </w:r>
        <w:r w:rsidR="00833A9D">
          <w:rPr>
            <w:webHidden/>
          </w:rPr>
          <w:fldChar w:fldCharType="end"/>
        </w:r>
      </w:hyperlink>
    </w:p>
    <w:p w:rsidR="00833A9D" w:rsidRDefault="006D2200">
      <w:pPr>
        <w:pStyle w:val="TOC2"/>
        <w:rPr>
          <w:lang w:bidi="kn-IN"/>
        </w:rPr>
      </w:pPr>
      <w:hyperlink w:anchor="_Toc525225558" w:history="1">
        <w:r w:rsidR="00833A9D" w:rsidRPr="00F45CA7">
          <w:rPr>
            <w:rStyle w:val="Hyperlink"/>
            <w:rFonts w:ascii="Times New Roman" w:hAnsi="Times New Roman" w:cs="Times New Roman"/>
          </w:rPr>
          <w:t>II.2</w:t>
        </w:r>
        <w:r w:rsidR="00833A9D">
          <w:rPr>
            <w:lang w:bidi="kn-IN"/>
          </w:rPr>
          <w:tab/>
        </w:r>
        <w:r w:rsidR="00833A9D" w:rsidRPr="00F45CA7">
          <w:rPr>
            <w:rStyle w:val="Hyperlink"/>
            <w:rFonts w:ascii="Times New Roman" w:hAnsi="Times New Roman"/>
          </w:rPr>
          <w:t>Z 02.00. Įsipareigojimų struktūra (LIAB)</w:t>
        </w:r>
        <w:r w:rsidR="00833A9D">
          <w:rPr>
            <w:webHidden/>
          </w:rPr>
          <w:tab/>
        </w:r>
        <w:r w:rsidR="00833A9D">
          <w:rPr>
            <w:webHidden/>
          </w:rPr>
          <w:fldChar w:fldCharType="begin"/>
        </w:r>
        <w:r w:rsidR="00833A9D">
          <w:rPr>
            <w:webHidden/>
          </w:rPr>
          <w:instrText xml:space="preserve"> PAGEREF _Toc525225558 \h </w:instrText>
        </w:r>
        <w:r w:rsidR="00833A9D">
          <w:rPr>
            <w:webHidden/>
          </w:rPr>
        </w:r>
        <w:r w:rsidR="00833A9D">
          <w:rPr>
            <w:webHidden/>
          </w:rPr>
          <w:fldChar w:fldCharType="separate"/>
        </w:r>
        <w:r>
          <w:rPr>
            <w:webHidden/>
          </w:rPr>
          <w:t>7</w:t>
        </w:r>
        <w:r w:rsidR="00833A9D">
          <w:rPr>
            <w:webHidden/>
          </w:rPr>
          <w:fldChar w:fldCharType="end"/>
        </w:r>
      </w:hyperlink>
    </w:p>
    <w:p w:rsidR="00833A9D" w:rsidRDefault="006D2200">
      <w:pPr>
        <w:pStyle w:val="TOC2"/>
        <w:rPr>
          <w:lang w:bidi="kn-IN"/>
        </w:rPr>
      </w:pPr>
      <w:hyperlink w:anchor="_Toc525225559" w:history="1">
        <w:r w:rsidR="00833A9D" w:rsidRPr="00F45CA7">
          <w:rPr>
            <w:rStyle w:val="Hyperlink"/>
            <w:rFonts w:ascii="Times New Roman" w:hAnsi="Times New Roman" w:cs="Times New Roman"/>
          </w:rPr>
          <w:t>II.3</w:t>
        </w:r>
        <w:r w:rsidR="00833A9D">
          <w:rPr>
            <w:lang w:bidi="kn-IN"/>
          </w:rPr>
          <w:tab/>
        </w:r>
        <w:r w:rsidR="00833A9D" w:rsidRPr="00F45CA7">
          <w:rPr>
            <w:rStyle w:val="Hyperlink"/>
            <w:rFonts w:ascii="Times New Roman" w:hAnsi="Times New Roman"/>
          </w:rPr>
          <w:t>Z 03.00. Nuosavų lėšų reikalavimai (OWN)</w:t>
        </w:r>
        <w:r w:rsidR="00833A9D">
          <w:rPr>
            <w:webHidden/>
          </w:rPr>
          <w:tab/>
        </w:r>
        <w:r w:rsidR="00833A9D">
          <w:rPr>
            <w:webHidden/>
          </w:rPr>
          <w:fldChar w:fldCharType="begin"/>
        </w:r>
        <w:r w:rsidR="00833A9D">
          <w:rPr>
            <w:webHidden/>
          </w:rPr>
          <w:instrText xml:space="preserve"> PAGEREF _Toc525225559 \h </w:instrText>
        </w:r>
        <w:r w:rsidR="00833A9D">
          <w:rPr>
            <w:webHidden/>
          </w:rPr>
        </w:r>
        <w:r w:rsidR="00833A9D">
          <w:rPr>
            <w:webHidden/>
          </w:rPr>
          <w:fldChar w:fldCharType="separate"/>
        </w:r>
        <w:r>
          <w:rPr>
            <w:webHidden/>
          </w:rPr>
          <w:t>13</w:t>
        </w:r>
        <w:r w:rsidR="00833A9D">
          <w:rPr>
            <w:webHidden/>
          </w:rPr>
          <w:fldChar w:fldCharType="end"/>
        </w:r>
      </w:hyperlink>
    </w:p>
    <w:p w:rsidR="00833A9D" w:rsidRDefault="006D2200">
      <w:pPr>
        <w:pStyle w:val="TOC2"/>
        <w:rPr>
          <w:lang w:bidi="kn-IN"/>
        </w:rPr>
      </w:pPr>
      <w:hyperlink w:anchor="_Toc525225560" w:history="1">
        <w:r w:rsidR="00833A9D" w:rsidRPr="00F45CA7">
          <w:rPr>
            <w:rStyle w:val="Hyperlink"/>
            <w:rFonts w:ascii="Times New Roman" w:hAnsi="Times New Roman" w:cs="Times New Roman"/>
          </w:rPr>
          <w:t>II.4</w:t>
        </w:r>
        <w:r w:rsidR="00833A9D">
          <w:rPr>
            <w:lang w:bidi="kn-IN"/>
          </w:rPr>
          <w:tab/>
        </w:r>
        <w:r w:rsidR="00833A9D" w:rsidRPr="00F45CA7">
          <w:rPr>
            <w:rStyle w:val="Hyperlink"/>
            <w:rFonts w:ascii="Times New Roman" w:hAnsi="Times New Roman"/>
          </w:rPr>
          <w:t>Z 04.00. Grupės vidaus finansiniai tarpusavio ryšiai (IFC)</w:t>
        </w:r>
        <w:r w:rsidR="00833A9D">
          <w:rPr>
            <w:webHidden/>
          </w:rPr>
          <w:tab/>
        </w:r>
        <w:r w:rsidR="00833A9D">
          <w:rPr>
            <w:webHidden/>
          </w:rPr>
          <w:fldChar w:fldCharType="begin"/>
        </w:r>
        <w:r w:rsidR="00833A9D">
          <w:rPr>
            <w:webHidden/>
          </w:rPr>
          <w:instrText xml:space="preserve"> PAGEREF _Toc525225560 \h </w:instrText>
        </w:r>
        <w:r w:rsidR="00833A9D">
          <w:rPr>
            <w:webHidden/>
          </w:rPr>
        </w:r>
        <w:r w:rsidR="00833A9D">
          <w:rPr>
            <w:webHidden/>
          </w:rPr>
          <w:fldChar w:fldCharType="separate"/>
        </w:r>
        <w:r>
          <w:rPr>
            <w:webHidden/>
          </w:rPr>
          <w:t>17</w:t>
        </w:r>
        <w:r w:rsidR="00833A9D">
          <w:rPr>
            <w:webHidden/>
          </w:rPr>
          <w:fldChar w:fldCharType="end"/>
        </w:r>
      </w:hyperlink>
    </w:p>
    <w:p w:rsidR="00833A9D" w:rsidRDefault="006D2200">
      <w:pPr>
        <w:pStyle w:val="TOC2"/>
        <w:rPr>
          <w:lang w:bidi="kn-IN"/>
        </w:rPr>
      </w:pPr>
      <w:hyperlink w:anchor="_Toc525225561" w:history="1">
        <w:r w:rsidR="00833A9D" w:rsidRPr="00F45CA7">
          <w:rPr>
            <w:rStyle w:val="Hyperlink"/>
            <w:rFonts w:ascii="Times New Roman" w:hAnsi="Times New Roman" w:cs="Times New Roman"/>
          </w:rPr>
          <w:t>II.5</w:t>
        </w:r>
        <w:r w:rsidR="00833A9D">
          <w:rPr>
            <w:lang w:bidi="kn-IN"/>
          </w:rPr>
          <w:tab/>
        </w:r>
        <w:r w:rsidR="00833A9D" w:rsidRPr="00F45CA7">
          <w:rPr>
            <w:rStyle w:val="Hyperlink"/>
            <w:rFonts w:ascii="Times New Roman" w:hAnsi="Times New Roman"/>
          </w:rPr>
          <w:t>Z 05.01 ir Z 05.02. Didžiausios sandorio šalys (MCP)</w:t>
        </w:r>
        <w:r w:rsidR="00833A9D">
          <w:rPr>
            <w:webHidden/>
          </w:rPr>
          <w:tab/>
        </w:r>
        <w:r w:rsidR="00833A9D">
          <w:rPr>
            <w:webHidden/>
          </w:rPr>
          <w:fldChar w:fldCharType="begin"/>
        </w:r>
        <w:r w:rsidR="00833A9D">
          <w:rPr>
            <w:webHidden/>
          </w:rPr>
          <w:instrText xml:space="preserve"> PAGEREF _Toc525225561 \h </w:instrText>
        </w:r>
        <w:r w:rsidR="00833A9D">
          <w:rPr>
            <w:webHidden/>
          </w:rPr>
        </w:r>
        <w:r w:rsidR="00833A9D">
          <w:rPr>
            <w:webHidden/>
          </w:rPr>
          <w:fldChar w:fldCharType="separate"/>
        </w:r>
        <w:r>
          <w:rPr>
            <w:webHidden/>
          </w:rPr>
          <w:t>19</w:t>
        </w:r>
        <w:r w:rsidR="00833A9D">
          <w:rPr>
            <w:webHidden/>
          </w:rPr>
          <w:fldChar w:fldCharType="end"/>
        </w:r>
      </w:hyperlink>
    </w:p>
    <w:p w:rsidR="00833A9D" w:rsidRDefault="006D2200">
      <w:pPr>
        <w:pStyle w:val="TOC2"/>
        <w:rPr>
          <w:lang w:bidi="kn-IN"/>
        </w:rPr>
      </w:pPr>
      <w:hyperlink w:anchor="_Toc525225562" w:history="1">
        <w:r w:rsidR="00833A9D" w:rsidRPr="00F45CA7">
          <w:rPr>
            <w:rStyle w:val="Hyperlink"/>
            <w:rFonts w:ascii="Times New Roman" w:hAnsi="Times New Roman" w:cs="Times New Roman"/>
          </w:rPr>
          <w:t>II.6</w:t>
        </w:r>
        <w:r w:rsidR="00833A9D">
          <w:rPr>
            <w:lang w:bidi="kn-IN"/>
          </w:rPr>
          <w:tab/>
        </w:r>
        <w:r w:rsidR="00833A9D" w:rsidRPr="00F45CA7">
          <w:rPr>
            <w:rStyle w:val="Hyperlink"/>
            <w:rFonts w:ascii="Times New Roman" w:hAnsi="Times New Roman"/>
          </w:rPr>
          <w:t>Z 06.00. Indėlių draudimas (DIS)</w:t>
        </w:r>
        <w:r w:rsidR="00833A9D">
          <w:rPr>
            <w:webHidden/>
          </w:rPr>
          <w:tab/>
        </w:r>
        <w:r w:rsidR="00833A9D">
          <w:rPr>
            <w:webHidden/>
          </w:rPr>
          <w:fldChar w:fldCharType="begin"/>
        </w:r>
        <w:r w:rsidR="00833A9D">
          <w:rPr>
            <w:webHidden/>
          </w:rPr>
          <w:instrText xml:space="preserve"> PAGEREF _Toc525225562 \h </w:instrText>
        </w:r>
        <w:r w:rsidR="00833A9D">
          <w:rPr>
            <w:webHidden/>
          </w:rPr>
        </w:r>
        <w:r w:rsidR="00833A9D">
          <w:rPr>
            <w:webHidden/>
          </w:rPr>
          <w:fldChar w:fldCharType="separate"/>
        </w:r>
        <w:r>
          <w:rPr>
            <w:webHidden/>
          </w:rPr>
          <w:t>22</w:t>
        </w:r>
        <w:r w:rsidR="00833A9D">
          <w:rPr>
            <w:webHidden/>
          </w:rPr>
          <w:fldChar w:fldCharType="end"/>
        </w:r>
      </w:hyperlink>
    </w:p>
    <w:p w:rsidR="00833A9D" w:rsidRDefault="006D2200">
      <w:pPr>
        <w:pStyle w:val="TOC2"/>
        <w:rPr>
          <w:lang w:bidi="kn-IN"/>
        </w:rPr>
      </w:pPr>
      <w:hyperlink w:anchor="_Toc525225563" w:history="1">
        <w:r w:rsidR="00833A9D" w:rsidRPr="00F45CA7">
          <w:rPr>
            <w:rStyle w:val="Hyperlink"/>
            <w:rFonts w:ascii="Times New Roman" w:hAnsi="Times New Roman" w:cs="Times New Roman"/>
          </w:rPr>
          <w:t>II.7</w:t>
        </w:r>
        <w:r w:rsidR="00833A9D">
          <w:rPr>
            <w:lang w:bidi="kn-IN"/>
          </w:rPr>
          <w:tab/>
        </w:r>
        <w:r w:rsidR="00833A9D" w:rsidRPr="00F45CA7">
          <w:rPr>
            <w:rStyle w:val="Hyperlink"/>
            <w:rFonts w:ascii="Times New Roman" w:hAnsi="Times New Roman"/>
          </w:rPr>
          <w:t>Ypatingos svarbos funkcijos ir pagrindinės verslo linijos</w:t>
        </w:r>
        <w:r w:rsidR="00833A9D">
          <w:rPr>
            <w:webHidden/>
          </w:rPr>
          <w:tab/>
        </w:r>
        <w:r w:rsidR="00833A9D">
          <w:rPr>
            <w:webHidden/>
          </w:rPr>
          <w:fldChar w:fldCharType="begin"/>
        </w:r>
        <w:r w:rsidR="00833A9D">
          <w:rPr>
            <w:webHidden/>
          </w:rPr>
          <w:instrText xml:space="preserve"> PAGEREF _Toc525225563 \h </w:instrText>
        </w:r>
        <w:r w:rsidR="00833A9D">
          <w:rPr>
            <w:webHidden/>
          </w:rPr>
        </w:r>
        <w:r w:rsidR="00833A9D">
          <w:rPr>
            <w:webHidden/>
          </w:rPr>
          <w:fldChar w:fldCharType="separate"/>
        </w:r>
        <w:r>
          <w:rPr>
            <w:webHidden/>
          </w:rPr>
          <w:t>25</w:t>
        </w:r>
        <w:r w:rsidR="00833A9D">
          <w:rPr>
            <w:webHidden/>
          </w:rPr>
          <w:fldChar w:fldCharType="end"/>
        </w:r>
      </w:hyperlink>
    </w:p>
    <w:p w:rsidR="00833A9D" w:rsidRDefault="006D2200">
      <w:pPr>
        <w:pStyle w:val="TOC2"/>
        <w:rPr>
          <w:lang w:bidi="kn-IN"/>
        </w:rPr>
      </w:pPr>
      <w:hyperlink w:anchor="_Toc525225564" w:history="1">
        <w:r w:rsidR="00833A9D" w:rsidRPr="00F45CA7">
          <w:rPr>
            <w:rStyle w:val="Hyperlink"/>
            <w:rFonts w:ascii="Times New Roman" w:hAnsi="Times New Roman" w:cs="Times New Roman"/>
          </w:rPr>
          <w:t>II.8</w:t>
        </w:r>
        <w:r w:rsidR="00833A9D">
          <w:rPr>
            <w:lang w:bidi="kn-IN"/>
          </w:rPr>
          <w:tab/>
        </w:r>
        <w:r w:rsidR="00833A9D" w:rsidRPr="00F45CA7">
          <w:rPr>
            <w:rStyle w:val="Hyperlink"/>
            <w:rFonts w:ascii="Times New Roman" w:hAnsi="Times New Roman"/>
          </w:rPr>
          <w:t>Z 08.00. Ypatingos svarbos paslaugos (SERV)</w:t>
        </w:r>
        <w:r w:rsidR="00833A9D">
          <w:rPr>
            <w:webHidden/>
          </w:rPr>
          <w:tab/>
        </w:r>
        <w:r w:rsidR="00833A9D">
          <w:rPr>
            <w:webHidden/>
          </w:rPr>
          <w:fldChar w:fldCharType="begin"/>
        </w:r>
        <w:r w:rsidR="00833A9D">
          <w:rPr>
            <w:webHidden/>
          </w:rPr>
          <w:instrText xml:space="preserve"> PAGEREF _Toc525225564 \h </w:instrText>
        </w:r>
        <w:r w:rsidR="00833A9D">
          <w:rPr>
            <w:webHidden/>
          </w:rPr>
        </w:r>
        <w:r w:rsidR="00833A9D">
          <w:rPr>
            <w:webHidden/>
          </w:rPr>
          <w:fldChar w:fldCharType="separate"/>
        </w:r>
        <w:r>
          <w:rPr>
            <w:webHidden/>
          </w:rPr>
          <w:t>33</w:t>
        </w:r>
        <w:r w:rsidR="00833A9D">
          <w:rPr>
            <w:webHidden/>
          </w:rPr>
          <w:fldChar w:fldCharType="end"/>
        </w:r>
      </w:hyperlink>
    </w:p>
    <w:p w:rsidR="00833A9D" w:rsidRDefault="006D2200">
      <w:pPr>
        <w:pStyle w:val="TOC2"/>
        <w:rPr>
          <w:lang w:bidi="kn-IN"/>
        </w:rPr>
      </w:pPr>
      <w:hyperlink w:anchor="_Toc525225565" w:history="1">
        <w:r w:rsidR="00833A9D" w:rsidRPr="00F45CA7">
          <w:rPr>
            <w:rStyle w:val="Hyperlink"/>
            <w:rFonts w:ascii="Times New Roman" w:hAnsi="Times New Roman" w:cs="Times New Roman"/>
          </w:rPr>
          <w:t>II.9</w:t>
        </w:r>
        <w:r w:rsidR="00833A9D">
          <w:rPr>
            <w:lang w:bidi="kn-IN"/>
          </w:rPr>
          <w:tab/>
        </w:r>
        <w:r w:rsidR="00833A9D" w:rsidRPr="00F45CA7">
          <w:rPr>
            <w:rStyle w:val="Hyperlink"/>
            <w:rFonts w:ascii="Times New Roman" w:hAnsi="Times New Roman"/>
          </w:rPr>
          <w:t>Z 09.00. Finansų rinkos infrastruktūros paslaugos: teikėjai ir naudotojai. Susiejimas su ypatingos svarbos funkcijomis</w:t>
        </w:r>
        <w:r w:rsidR="00833A9D">
          <w:rPr>
            <w:webHidden/>
          </w:rPr>
          <w:tab/>
        </w:r>
        <w:r w:rsidR="00833A9D">
          <w:rPr>
            <w:webHidden/>
          </w:rPr>
          <w:fldChar w:fldCharType="begin"/>
        </w:r>
        <w:r w:rsidR="00833A9D">
          <w:rPr>
            <w:webHidden/>
          </w:rPr>
          <w:instrText xml:space="preserve"> PAGEREF _Toc525225565 \h </w:instrText>
        </w:r>
        <w:r w:rsidR="00833A9D">
          <w:rPr>
            <w:webHidden/>
          </w:rPr>
        </w:r>
        <w:r w:rsidR="00833A9D">
          <w:rPr>
            <w:webHidden/>
          </w:rPr>
          <w:fldChar w:fldCharType="separate"/>
        </w:r>
        <w:r>
          <w:rPr>
            <w:webHidden/>
          </w:rPr>
          <w:t>37</w:t>
        </w:r>
        <w:r w:rsidR="00833A9D">
          <w:rPr>
            <w:webHidden/>
          </w:rPr>
          <w:fldChar w:fldCharType="end"/>
        </w:r>
      </w:hyperlink>
    </w:p>
    <w:p w:rsidR="00833A9D" w:rsidRDefault="006D2200">
      <w:pPr>
        <w:pStyle w:val="TOC2"/>
        <w:rPr>
          <w:lang w:bidi="kn-IN"/>
        </w:rPr>
      </w:pPr>
      <w:hyperlink w:anchor="_Toc525225566" w:history="1">
        <w:r w:rsidR="00833A9D" w:rsidRPr="00F45CA7">
          <w:rPr>
            <w:rStyle w:val="Hyperlink"/>
            <w:rFonts w:ascii="Times New Roman" w:hAnsi="Times New Roman" w:cs="Times New Roman"/>
          </w:rPr>
          <w:t>II.10</w:t>
        </w:r>
        <w:r w:rsidR="00833A9D">
          <w:rPr>
            <w:lang w:bidi="kn-IN"/>
          </w:rPr>
          <w:tab/>
        </w:r>
        <w:r w:rsidR="00833A9D" w:rsidRPr="00F45CA7">
          <w:rPr>
            <w:rStyle w:val="Hyperlink"/>
            <w:rFonts w:ascii="Times New Roman" w:hAnsi="Times New Roman"/>
          </w:rPr>
          <w:t>Ypatingos svarbos informacinės sistemos</w:t>
        </w:r>
        <w:r w:rsidR="00833A9D">
          <w:rPr>
            <w:webHidden/>
          </w:rPr>
          <w:tab/>
        </w:r>
        <w:r w:rsidR="00833A9D">
          <w:rPr>
            <w:webHidden/>
          </w:rPr>
          <w:fldChar w:fldCharType="begin"/>
        </w:r>
        <w:r w:rsidR="00833A9D">
          <w:rPr>
            <w:webHidden/>
          </w:rPr>
          <w:instrText xml:space="preserve"> PAGEREF _Toc525225566 \h </w:instrText>
        </w:r>
        <w:r w:rsidR="00833A9D">
          <w:rPr>
            <w:webHidden/>
          </w:rPr>
        </w:r>
        <w:r w:rsidR="00833A9D">
          <w:rPr>
            <w:webHidden/>
          </w:rPr>
          <w:fldChar w:fldCharType="separate"/>
        </w:r>
        <w:r>
          <w:rPr>
            <w:webHidden/>
          </w:rPr>
          <w:t>39</w:t>
        </w:r>
        <w:r w:rsidR="00833A9D">
          <w:rPr>
            <w:webHidden/>
          </w:rPr>
          <w:fldChar w:fldCharType="end"/>
        </w:r>
      </w:hyperlink>
    </w:p>
    <w:p w:rsidR="00421CDC" w:rsidRPr="00D92B3C" w:rsidRDefault="001D258F">
      <w:pPr>
        <w:pStyle w:val="TOC2"/>
      </w:pPr>
      <w:r>
        <w:rPr>
          <w:rFonts w:ascii="Times New Roman" w:hAnsi="Times New Roman" w:cs="Times New Roman"/>
          <w:bCs/>
          <w:color w:val="000000" w:themeColor="text1"/>
          <w:sz w:val="20"/>
          <w:szCs w:val="20"/>
        </w:rPr>
        <w:fldChar w:fldCharType="end"/>
      </w:r>
    </w:p>
    <w:p w:rsidR="00385C06" w:rsidRPr="00D92B3C" w:rsidRDefault="00385C06" w:rsidP="00385C06">
      <w:pPr>
        <w:rPr>
          <w:rFonts w:ascii="Times New Roman" w:hAnsi="Times New Roman" w:cs="Times New Roman"/>
          <w:b/>
          <w:color w:val="000000" w:themeColor="text1"/>
          <w:sz w:val="20"/>
          <w:szCs w:val="20"/>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bookmarkStart w:id="2" w:name="_Toc525225550"/>
      <w:r>
        <w:rPr>
          <w:rFonts w:ascii="Times New Roman" w:hAnsi="Times New Roman"/>
        </w:rPr>
        <w:lastRenderedPageBreak/>
        <w:t>Bendrieji nurodymai</w:t>
      </w:r>
      <w:bookmarkEnd w:id="0"/>
      <w:bookmarkEnd w:id="1"/>
      <w:bookmarkEnd w:id="2"/>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bookmarkStart w:id="4" w:name="_Toc525225551"/>
      <w:r>
        <w:rPr>
          <w:rFonts w:ascii="Times New Roman" w:hAnsi="Times New Roman"/>
        </w:rPr>
        <w:t>Struktūra</w:t>
      </w:r>
      <w:bookmarkEnd w:id="3"/>
      <w:bookmarkEnd w:id="4"/>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Sistemą sudaro 15 šablonų, suskirstytų į 3 grupes:</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grupės „Bendroji informacija“ šablonuose apžvelgiama grupės ir jos subjektų organizacinė struktūra, turto paskirstymas ir rizikos pozicijos sumos. Šią grupę sudaro šablonas „Z 01.00. Organizacinė struktūra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grupės „Informacija apie balansinius ir nebalansinius straipsnius“ šablonuose pateikiama finansinė informacija apie įsipareigojimus, nuosavas lėšas, grupės subjektų finansinius ryšius, įsipareigojimus didžiausioms sandorio šalims ir gautus nebalansinius straipsnius iš didžiausių sandorio šalių, taip pat indėlių draudimą. Šią grupę sudaro 6 šablonai:</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02.00. Įsipareigojimų struktūra (LIAB)“;</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03.00. Nuosavų lėšų reikalavimai (OWN)“;</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04.00. Grupės vidaus finansiniai tarpusavio ryšiai“;</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du didžiausioms sandorio šalims skirti šablonai – „Z 05.01. Įsipareigojimai didžiausioms sandorio šalims (Z-MCP 1)“ ir „Z 05.02. Didžiausios į balansą neįtrauktos sandorio šalys (Z-MCP 2)“;</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06.00. Indėlių draudimas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grupės „Ypatingos svarbos funkcijos“ šablonuose apžvelgiamos ypatingos svarbos funkcijos ir jos susiejamos su juridiniais asmenimis, pagrindinėmis verslo linijomis, finansų rinkos infrastruktūromis ir informacinėmis sistemomis. Šią grupę sudaro 7 šablonai:</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4 šablonai, skirti ypatingos svarbos funkcijoms nurodyti ir susieti su pagrindinėmis verslo linijomis ir grupės subjektais: „Z 07.01. Ekonominių funkcijų ypatingos svarbos vertinimas (Z-FUNC 1)“, „Z 07.02. Ypatingos svarbos funkcijų susiejimas su juridiniais asmenimis (Z-FUNC 2)“, „Z 07.03. Pagrindinių verslo linijų susiejimas su juridiniais asmenimis (Z-FUNC 3)“ ir „Z 07.04 Ypatingos svarbos funkcijų susiejimas su pagrindinėmis verslo linijomis (Z- FUNC 4)“;</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„Z 08.00. Ypatingos svarbos paslaugos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09.00. Finansų rinkos infrastruktūros paslaugos: teikėjai ir naudotojai. Susiejimas su ypatingos svarbos funkcijomis (Z-FMI)“;</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2 šablonai, skirti ypatingos svarbos informacinėms sistemoms: „Z 10.01. Ypatingos svarbos informacinės sistemos (bendroji informacija) (Z-CIS 1)“ ir „Z 10.02. Informacinių sistemų susiejimas (Z-CIS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5" w:name="_Toc509909034"/>
      <w:bookmarkStart w:id="6" w:name="_Toc525225552"/>
      <w:r>
        <w:rPr>
          <w:rFonts w:ascii="Times New Roman" w:hAnsi="Times New Roman"/>
        </w:rPr>
        <w:t>Nuorodos</w:t>
      </w:r>
      <w:bookmarkEnd w:id="5"/>
      <w:bookmarkEnd w:id="6"/>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Šiame priede vartojamos šios santrumpos:</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BBPK – Tarptautinių atsiskaitymų banko Bazelio bankų priežiūros komitetas;</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CPMI – Tarptautinių atsiskaitymų banko Mokėjimo ir rinkos infrastruktūros komitetas;</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FINREP – Komisijos įgyvendinimo reglamento (ES) Nr. 680/2014</w:t>
      </w:r>
      <w:r>
        <w:rPr>
          <w:rStyle w:val="FootnoteReference"/>
          <w:rFonts w:ascii="Times New Roman" w:hAnsi="Times New Roman"/>
          <w:sz w:val="20"/>
        </w:rPr>
        <w:footnoteReference w:id="1"/>
      </w:r>
      <w:r>
        <w:rPr>
          <w:rFonts w:ascii="Times New Roman" w:hAnsi="Times New Roman"/>
          <w:color w:val="000000" w:themeColor="text1"/>
          <w:sz w:val="20"/>
        </w:rPr>
        <w:t xml:space="preserve"> III ir IV prieduose pateiktos finansinės informacijos teikimo formos ir V priede pateikti papildomi nurodymai;</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(OF) – Įgyvendinimo reglamento (ES) Nr. 680/2014 I priedas (informacijos teikimo formos) ir II priedas (nurodymai);</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(LR) – Įgyvendinimo reglamento (ES) Nr. 680/2014 X priedas (informacijos teikimo formos) ir XI priedas (nurodymai);</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FST – Finansinio stabilumo taryba;</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TAS – tarptautiniai apskaitos standartai, apibrėžti Europos Parlamento ir Tarybos reglamento (EB) Nr. 1606/2002</w:t>
      </w:r>
      <w:r>
        <w:rPr>
          <w:vertAlign w:val="superscript"/>
        </w:rPr>
        <w:footnoteReference w:id="2"/>
      </w:r>
      <w:r>
        <w:rPr>
          <w:rFonts w:ascii="Times New Roman" w:hAnsi="Times New Roman"/>
          <w:color w:val="000000" w:themeColor="text1"/>
          <w:sz w:val="20"/>
        </w:rPr>
        <w:t xml:space="preserve"> 2 straipsnyje;</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TFAS – tarptautiniai finansinės atskaitomybės standartai (TFAS), apibrėžti Europos Reglamento (EB) Nr. 1606/2002</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 xml:space="preserve"> 2 straipsnyje;</w:t>
      </w:r>
    </w:p>
    <w:p w:rsidR="007D568C" w:rsidRPr="00D92B3C" w:rsidRDefault="008C464E"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 </w:t>
      </w:r>
      <w:r w:rsidR="00CC130F">
        <w:rPr>
          <w:rFonts w:ascii="Times New Roman" w:hAnsi="Times New Roman"/>
          <w:color w:val="000000" w:themeColor="text1"/>
          <w:sz w:val="20"/>
        </w:rPr>
        <w:t xml:space="preserve">LEI kodas – juridinio asmens identifikatorius – Finansinio stabilumo tarybos pasiūlytas ir Didžiojo dvidešimtuko patvirtintas nuorodos kodas, skirtas unikaliai identifikuoti finansinių operacijų šalims visame pasaulyje. Kol pasaulinė LEI sistema pradės visapusiškai veikti, išankstinius LEI kodus sandorio šalims suteikia vietos veiklos padalinys, patvirtintas Reguliavimo priežiūros komiteto (ROC, išsamios informacijos galima rasti šioje svetainėje: </w:t>
      </w:r>
      <w:hyperlink r:id="rId9">
        <w:r w:rsidR="00CC130F">
          <w:rPr>
            <w:rStyle w:val="Hyperlink"/>
            <w:rFonts w:ascii="Times New Roman" w:hAnsi="Times New Roman"/>
            <w:color w:val="000000" w:themeColor="text1"/>
            <w:sz w:val="20"/>
          </w:rPr>
          <w:t>www.leiroc.org</w:t>
        </w:r>
      </w:hyperlink>
      <w:r w:rsidR="00CC130F">
        <w:rPr>
          <w:rFonts w:ascii="Times New Roman" w:hAnsi="Times New Roman"/>
          <w:color w:val="000000" w:themeColor="text1"/>
          <w:sz w:val="20"/>
        </w:rPr>
        <w:t>). Jeigu konkreti sandorio šalis turi juridinio asmens identifikatorių (LEI kodą), jis naudojamas tai sandorio šaliai identifikuoti.</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nacionaliniai BAP arba nacionaliniai bendrieji apskaitos principai – pagal Direktyvą 86/635/EEB</w:t>
      </w:r>
      <w:r>
        <w:rPr>
          <w:rStyle w:val="FootnoteReference"/>
          <w:color w:val="000000" w:themeColor="text1"/>
        </w:rPr>
        <w:footnoteReference w:id="4"/>
      </w:r>
      <w:r>
        <w:rPr>
          <w:rFonts w:ascii="Times New Roman" w:hAnsi="Times New Roman"/>
          <w:color w:val="000000" w:themeColor="text1"/>
          <w:sz w:val="20"/>
        </w:rPr>
        <w:t xml:space="preserve"> parengtos nacionalinės apskaitos sistemos.</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7" w:name="_Toc509909035"/>
      <w:bookmarkStart w:id="8" w:name="_Toc525225553"/>
      <w:r>
        <w:rPr>
          <w:rFonts w:ascii="Times New Roman" w:hAnsi="Times New Roman"/>
        </w:rPr>
        <w:t>Apskaitos standartai</w:t>
      </w:r>
      <w:bookmarkEnd w:id="7"/>
      <w:bookmarkEnd w:id="8"/>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Jeigu šiuose nurodymuose nenurodyta kitaip, įstaigos visas sumas pateikia pagal apskaitos sistemą, kurią jos taiko teikdamos finansinę informaciją pagal Įgyvendinimo reglamento (ES) Nr. 680/2014 9–11 straipsnius. Įstaigos, kurioms nereikia teikti finansinės informacijos pagal Įgyvendinimo reglamentą (ES) Nr. 680/2014, taiko savo atitinkamų apskaitos sistemų taisykles. </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Įstaigoms, kurios teikia ataskaitas pagal TFAS, pateikiamos nuorodos į atitinkamus TFAS.</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9" w:name="_Toc509909036"/>
      <w:bookmarkStart w:id="10" w:name="_Toc525225554"/>
      <w:r>
        <w:rPr>
          <w:rFonts w:ascii="Times New Roman" w:hAnsi="Times New Roman"/>
        </w:rPr>
        <w:t>Konsolidavimo apimtis</w:t>
      </w:r>
      <w:bookmarkEnd w:id="9"/>
      <w:bookmarkEnd w:id="10"/>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Šioje sistemoje, priklausomai nuo šablono, daroma nuoroda į:</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apskaitos konsolidavimu pagrįstą konsolidavimą (subjektai, į konsoliduotąsias finansines ataskaitas įtraukti remiantis taikoma apskaitos sistema);</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rizikos ribojimu pagrįstą konsolidavimą (pagal Europos Parlamento ir Tarybos reglamento (ES) Nr. 575/2013</w:t>
      </w:r>
      <w:r>
        <w:rPr>
          <w:rStyle w:val="FootnoteReference"/>
        </w:rPr>
        <w:footnoteReference w:id="5"/>
      </w:r>
      <w:r>
        <w:rPr>
          <w:rFonts w:ascii="Times New Roman" w:hAnsi="Times New Roman"/>
          <w:sz w:val="20"/>
        </w:rPr>
        <w:t xml:space="preserve"> pirmos dalies II antraštinės dalies 2 skyrių konsoliduojami subjektai) Sąjungos patronuojančiosios įmonės lygmeniu; </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konsolidavimą pertvarkytino subjekto lygmeniu pertvarkytinos grupės atveju.</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Teikdamos informaciją pagal kiekvieną šabloną įstaigos vadovaujasi konsolidavimo pagrindu arba pagrindais pagal šio reglamento 4 straipsnį.</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11" w:name="_Toc509909037"/>
      <w:bookmarkStart w:id="12" w:name="_Toc525225555"/>
      <w:r>
        <w:rPr>
          <w:rFonts w:ascii="Times New Roman" w:hAnsi="Times New Roman"/>
        </w:rPr>
        <w:t>Numeravimo ir su kitais aspektais susijusi tvarka</w:t>
      </w:r>
      <w:bookmarkEnd w:id="11"/>
      <w:bookmarkEnd w:id="12"/>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Šiuose nurodymuose darant nuorodą į šablonų skiltis, eilutes ir laukelius laikomasi toliau nurodytos žymėjimo tvarkos. Šie skaitiniai kodai plačiai naudojami patvirtinimo taisyklėse.</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Šiuose nurodymuose darant nuorodą į šablono skiltis, eilutes ir laukelius laikomasi šios bendros žymėjimo tvarkos: {</w:t>
      </w:r>
      <w:proofErr w:type="spellStart"/>
      <w:r>
        <w:rPr>
          <w:rFonts w:ascii="Times New Roman" w:hAnsi="Times New Roman"/>
          <w:sz w:val="20"/>
        </w:rPr>
        <w:t>šablonas;eilutė;skiltis</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Kai tvirtinimas atliekamas šablone ir naudojami tik to šablono duomenų vienetai, šablonas nenurodomas: {</w:t>
      </w:r>
      <w:proofErr w:type="spellStart"/>
      <w:r>
        <w:rPr>
          <w:rFonts w:ascii="Times New Roman" w:hAnsi="Times New Roman"/>
          <w:sz w:val="20"/>
        </w:rPr>
        <w:t>eilutė;skiltis</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Kai šabloną sudaro tik viena skiltis, nurodomos tik eilutės: {</w:t>
      </w:r>
      <w:proofErr w:type="spellStart"/>
      <w:r>
        <w:rPr>
          <w:rFonts w:ascii="Times New Roman" w:hAnsi="Times New Roman"/>
          <w:sz w:val="20"/>
        </w:rPr>
        <w:t>šablonas;eilutė</w:t>
      </w:r>
      <w:proofErr w:type="spell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Žvaigždutės ženklas naudojamas, kai norima pažymėti, kad tvirtinamos anksčiau nurodytos eilutės arba skiltys.</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Jeigu informacijos elementas netaikomas subjektams, apie kuriuos teikiama ataskaita, atitinkamas laukelis paliekamas tuščias.</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Kai šiuose nurodymuose minimas pirminis raktas, tai reiškia, kad daroma nuoroda į skiltį arba skiltis, kurių paskirtis – vienareikšmiškai identifikuoti visas šablono eilutes. Pirminį raktą sudaro kiekvienai šablono eilutei skirta unikali vertė. Ta vertė negali būti nulinė.</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13" w:name="_Toc492542319"/>
      <w:bookmarkStart w:id="14" w:name="_Toc509909038"/>
      <w:bookmarkStart w:id="15" w:name="_Toc525225556"/>
      <w:r>
        <w:rPr>
          <w:rFonts w:ascii="Times New Roman" w:hAnsi="Times New Roman"/>
        </w:rPr>
        <w:t>Su šablonu susiję nurodymai</w:t>
      </w:r>
      <w:bookmarkEnd w:id="13"/>
      <w:bookmarkEnd w:id="14"/>
      <w:bookmarkEnd w:id="15"/>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6" w:name="_Toc493236007"/>
      <w:bookmarkStart w:id="17" w:name="_Toc509909039"/>
      <w:bookmarkStart w:id="18" w:name="_Toc525225557"/>
      <w:bookmarkEnd w:id="16"/>
      <w:r>
        <w:rPr>
          <w:rFonts w:ascii="Times New Roman" w:hAnsi="Times New Roman"/>
        </w:rPr>
        <w:t>Z 01.00. Organizacinė struktūra (ORG)</w:t>
      </w:r>
      <w:bookmarkEnd w:id="17"/>
      <w:bookmarkEnd w:id="18"/>
    </w:p>
    <w:p w:rsidR="00E13CE3" w:rsidRPr="00D92B3C" w:rsidRDefault="00E13CE3" w:rsidP="00EC261B">
      <w:pPr>
        <w:pStyle w:val="Instructionsberschrift3"/>
      </w:pPr>
      <w:r>
        <w:t>Bendrosios pastabos</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Šiame šablone pateikiama grupės teisinės ir nuosavybės struktūros apžvalga. Dėl visų grupės subjektų, kurie atitinka šio reglamento 4 straipsnio 2 dalies a punkte nustatytą minimalią ribą, teikiamas vienas bendras šablonas. Šiame šablone nurodomi tik juridiniai asmenys. </w:t>
      </w:r>
    </w:p>
    <w:p w:rsidR="00E13CE3" w:rsidRPr="00D92B3C" w:rsidRDefault="00AF189E" w:rsidP="00EC261B">
      <w:pPr>
        <w:pStyle w:val="Instructionsberschrift3"/>
      </w:pPr>
      <w:r>
        <w:t>Nurodymai dėl konkrečių pozicijų</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708"/>
        <w:gridCol w:w="8375"/>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Skiltys</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Nurodymai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t>Subjektas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Pavadinimas</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Subjekto pavadinimas. Oficialus pavadinimas, nurodytas steigimo dokumentuose, įskaitant teisinę formą.</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Kodas</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Subjekto kodas. Įstaigų kodas yra 20-ies raidinių skaitinių ženklų LEI kodas. Kitų subjektų kodas yra 20-ies raidinių skaitinių ženklų LEI kodas arba, jei jo nėra, pagal Sąjungoje taikomą vienodą kodų sistemą sudarytas kodas, arba, jei jo nėra – nacionalinis kodas.</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Kodas yra unikalus ir nuosekliai naudojamas visuose šablonuose. Kodas visuomet yra išreikštas tam tikra verte.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LEI kodas</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Subjekto 20-ies raidinių skaitinių ženklų LEI kodas.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Subjekto rūšis</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Subjekto rūšis eilės tvarka yra viena iš šių:</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„kredito įstaiga“</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prie šios kategorijos priskiriamos kredito įstaigos, kaip apibrėžta Reglamento (ES) Nr. 575/2013 4 straipsnio 1 dalies 1 punkte, išskyrus Direktyvos 2013/36/ES</w:t>
            </w:r>
            <w:r>
              <w:rPr>
                <w:rStyle w:val="FootnoteReference"/>
                <w:color w:val="000000" w:themeColor="text1"/>
              </w:rPr>
              <w:footnoteReference w:id="6"/>
            </w:r>
            <w:r>
              <w:rPr>
                <w:rFonts w:ascii="Times New Roman" w:hAnsi="Times New Roman"/>
                <w:color w:val="000000" w:themeColor="text1"/>
                <w:sz w:val="20"/>
              </w:rPr>
              <w:t xml:space="preserve"> 2 straipsnio 5 dalyje nurodytus subjektus;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„investicinė įmonė, kuriai taikomas pradinio kapitalo reikalavimas, nustatytas Direktyvos 2013/36/ES 28 straipsnio 2 dalyje“</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prie šios kategorijos priskiriamos investicinės įmonės, kaip apibrėžta Reglamento (ES) Nr. 575/2013 4 straipsnio 1 dalies 2 punkte, kurioms taikomas Direktyvos 2013/36/ES 28 straipsnio 2 dalyje nustatytas pradinio kapitalo reikalavimas;</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„investicinė įmonė, kuriai netaikomas pradinio kapitalo reikalavimas, nustatytas Direktyvos 2013/36/ES 28 straipsnio 2 dalyje“;</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„finansų įstaiga“</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prie šios kategorijos priskiriamos finansų įstaigos, apibrėžtos Reglamento (ES) Nr. 575/2013 4 straipsnio 1 dalies 26 punkte, išskyrus tas, kurios priskiriamos prie kontroliuojančiųjų bendrovių, aprašytų e punkte toliau;</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„kontroliuojančioji bendrovė“</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prie šios kategorijos priskiriama bet kuri iš šių bendrovių:</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finansų kontroliuojančioji bendrovė, apibrėžta Reglamento (ES) Nr. 575/2013 4 straipsnio 1 dalies 20 punkte;</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mišrią veiklą vykdanti finansų kontroliuojančioji bendrovė, apibrėžta Reglamento (ES) Nr. 575/2013 4 straipsnio 1 dalies 21 punkte;</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mišrią veiklą vykdanti kontroliuojančioji bendrovė, apibrėžta Reglamento (ES) Nr. 575/2013 4 straipsnio 1 dalies 22 punkte;</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patronuojančiosios finansų kontroliuojančiosios bendrovės, apibrėžtos Reglamento (ES) Nr. 575/2013 4 straipsnio 1 dalies 30 punkte;</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Sąjungos patronuojančioji finansų kontroliuojančioji bendrovė, apibrėžta Reglamento (ES) Nr. 575/2013 4 straipsnio 1 dalies 31 punkte;</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patronuojančioji mišrią veiklą vykdanti finansų kontroliuojančioji bendrovė, apibrėžta Reglamento (ES) Nr. 575/2013 4 straipsnio 1 dalies 32 punkte;</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Sąjungos patronuojančioji mišrią veiklą vykdanti finansų kontroliuojančioji bendrovė, apibrėžta Reglamento (ES) Nr. 575/2013 4 straipsnio 1 dalies 33 punkte;</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„draudimo įmonė“</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prie šios kategorijos priskiriamos draudimo įmonės, apibrėžtos Europos Parlamento ir Tarybos direktyvos 2009/138/EB</w:t>
            </w:r>
            <w:r>
              <w:rPr>
                <w:rStyle w:val="FootnoteReference"/>
                <w:rFonts w:ascii="Times New Roman" w:hAnsi="Times New Roman"/>
                <w:color w:val="000000" w:themeColor="text1"/>
                <w:sz w:val="20"/>
              </w:rPr>
              <w:footnoteReference w:id="7"/>
            </w:r>
            <w:r>
              <w:rPr>
                <w:rFonts w:ascii="Times New Roman" w:hAnsi="Times New Roman"/>
                <w:color w:val="000000" w:themeColor="text1"/>
                <w:sz w:val="20"/>
              </w:rPr>
              <w:t xml:space="preserve"> 13 straipsnyje;</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„kitos rūšies subjektas“, jeigu subjektas neįtrauktas nė į vieną iš pirmiau nurodytų kategorijų.</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Šalis</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Subjekto įsisteigimo šalies (valstybės narės arba trečiosios valstybės) ISO 3166-1 </w:t>
            </w:r>
            <w:proofErr w:type="spellStart"/>
            <w:r>
              <w:rPr>
                <w:rFonts w:ascii="Times New Roman" w:hAnsi="Times New Roman"/>
                <w:color w:val="000000" w:themeColor="text1"/>
                <w:spacing w:val="-2"/>
                <w:w w:val="95"/>
                <w:sz w:val="20"/>
              </w:rPr>
              <w:t>dviraidis</w:t>
            </w:r>
            <w:proofErr w:type="spellEnd"/>
            <w:r>
              <w:rPr>
                <w:rFonts w:ascii="Times New Roman" w:hAnsi="Times New Roman"/>
                <w:color w:val="000000" w:themeColor="text1"/>
                <w:spacing w:val="-2"/>
                <w:w w:val="95"/>
                <w:sz w:val="20"/>
              </w:rPr>
              <w:t xml:space="preserve"> kodas.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Įtraukta į rizikos ribojimu pagrįstą konsolidavimą</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Reikia nurodyti šias santrumpas:</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taip;</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t>„N“ – ne.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Reikalavimų netaikymas pagal KRR 7 straipsnį</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Reikia nurodyti šias santrumpas:</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jeigu kompetentinga institucija pagal Reglamento (ES) Nr. 575/2013 7 straipsnį leido netaikyti Reglamento (ES) Nr. 575/2013 6 straipsnio 1 dalies;</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priešingu atveju.</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Reikalavimų netaikymas pagal KRR 10 straipsnį</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Reikia nurodyti šias santrumpas:</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jeigu kompetentinga institucija pagal Reglamento (ES) Nr. 575/2013 10 straipsnį leido netaikyti reikalavimų.</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priešingu atveju.</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Visas turtas</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Visas turtas, kaip apibrėžta FINREP {F 01.01;380,010}.</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Bendra rizikos pozicijos suma</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Bendra rizikos pozicijos suma, kaip apibrėžta COREP (OF): {C 02.00;010;010}.</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Dėl subjektų, kurie nėra įstaigos, ir subjektų, kuriems leista netaikyti reikalavimų pagal Reglamento (ES) Nr. 575/2013 7 arba 10 straipsnį, šis straipsnis nenurodomas.</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Sverto koeficiento pozicija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Bendra sverto koeficiento pozicija, kaip apibrėžta COREP (LR): {C 47.00;290;010}.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Dėl subjektų, kurie nėra įstaigos, ir subjektų, kuriems leista netaikyti reikalavimų pagal Reglamento (ES) Nr. 575/2013 7 arba 10 straipsnį, šis straipsnis nenurodomas.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Apskaitos standartas</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Subjekto taikomi apskaitos standartai. Reikia nurodyti šias santrumpas: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TFAS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nacionaliniai BAP</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Indėlis į visą konsoliduotąjį turtą</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Suma, kuria subjektas prisideda prie viso konsoliduotojo grupės, nurodytos ataskaitoje, turto.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Indėlis į bendrą konsoliduotąją rizikos pozicijos sumą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Suma, kuria subjektas prisideda prie grupės, nurodytos ataskaitoje, bendros konsoliduotosios rizikos pozicijos sumos.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Indėlis į konsoliduotąją sverto koeficiento poziciją</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Suma, kuria subjektas prisideda prie grupės, nurodytos ataskaitoje, bendros konsoliduotosios sverto koeficiento pozicijos.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Atitinkamas juridinis asmuo</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Nurodyti, ar subjektas yra atitinkamas juridinis asmuo pagal šio reglamento 2 straipsnyje pateiktą apibrėžtį.</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Tiesioginė patronuojančioji įmonė</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Subjekto tiesioginė patronuojančioji įmonė. Nurodoma tik tiesioginė patronuojančioji įmonė, turinti daugiau kaip 5 % subjekto balsavimo teisių.</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Jeigu subjektas turi daugiau nei vieną patronuojančiąją įmonę, nurodoma tik ta patronuojančioji įmonė, kurios kapitalo dalis (arba, jei tinkama, balsavimo teisių dalis) yra didžiausia.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Pavadinimas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Subjekto tiesioginės patronuojančiosios įmonės pavadinimas.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Kodas</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Tiesioginės patronuojančiosios įmonės kodas. Įstaigų kodas yra 20-ies raidinių skaitinių ženklų LEI kodas. Kitų subjektų kodas yra 20-ies raidinių skaitinių ženklų LEI kodas arba, jei jo nėra, pagal Sąjungoje taikomą vienodą kodų sistemą sudarytas kodas, arba, jei jo nėra – nacionalinis kodas.</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Kodas yra unikalus ir nuosekliai naudojamas visuose šablonuose. Kodas visuomet yra išreikštas tam tikra verte.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rPr>
              <w:t>LEI kodas</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Subjekto 20-ies raidinių skaitinių ženklų LEI kodas.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Akcinis kapitalas</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Tiesioginės patronuojančiosios įmonės turimo subjekto akcinio kapitalo suma, neįskaitant rezervų.</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Turimos subjekto balsavimo teisės</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Tiesioginės patronuojančiosios įmonės turimos subjekto balsavimo teisės procentais.</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Šią informaciją reikia nurodyti, tik jeigu viena akcija neprilyginama vienam balsui (taigi balsavimo teisės nėra lygios akciniam kapitalui).</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2"/>
      <w:bookmarkStart w:id="20" w:name="_Toc509909040"/>
      <w:bookmarkStart w:id="21" w:name="_Toc525225558"/>
      <w:r>
        <w:rPr>
          <w:rFonts w:ascii="Times New Roman" w:hAnsi="Times New Roman"/>
        </w:rPr>
        <w:t>Z 02.00. Įsipareigojimų struktūra (LIAB)</w:t>
      </w:r>
      <w:bookmarkEnd w:id="19"/>
      <w:bookmarkEnd w:id="20"/>
      <w:bookmarkEnd w:id="21"/>
    </w:p>
    <w:p w:rsidR="005B4526" w:rsidRPr="00D92B3C" w:rsidRDefault="005B4526" w:rsidP="00EC261B">
      <w:pPr>
        <w:pStyle w:val="Instructionsberschrift3"/>
      </w:pPr>
      <w:r>
        <w:t>Bendrosios pastabos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Šiame šablone pateikiama išsami informacija apie subjekto arba grupės įsipareigojimų struktūrą. Įsipareigojimai suskirstyti pagal įsipareigojimus, kuriems netaikoma gelbėjimo privačiomis lėšomis priemonė, ir įsipareigojimus, kuriems gelbėjimo privačiomis lėšomis priemonė taikoma. Toliau informacija suskirstoma pagal įsipareigojimų klases, sandorio šalių klases ir terminą.</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Kai šiame šablone pateikiamas termino suskirstymas, likutinis terminas yra laikas, likęs iki sutartyje nustatyto termino arba, jeigu priemonės turėtojas turi aiškią arba numanomą, sutartyje arba teisės aktuose nustatytą teisę į atlyginimą nesuėjus terminui – anksčiausia tokios teisės atsiradimo diena. Tarpiniai pagrindinės sumos mokėjimai suskirstomi pagal atitinkamus terminų intervalus. Kai taikoma, terminas nurodomas atskirai tiek pagrindinei sumai, tiek sukauptoms palūkanoms.</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Šiame šablone paprastai nurodomos neapmokėtos sumos. Neapmokėta reikalavimo arba priemonės suma yra reikalavimo arba priemonės pagrindinės sumos ir sukauptų palūkanų suma. Mokėtina neapmokėta suma yra lygi reikalavimo, kurį kreditorius galėtų pateikti bankroto byloje, vertei. </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Nukrypstant nuo pirmesnės pastraipos, balansiniai įsipareigojimai, atsirandantys dėl išvestinių finansinių priemonių (nurodomi 0330 eilutėje) nurodomi kaip balansinės vertės. Balansinė vertė yra FINREP tikslais pagal TFAS arba nacionalinius BAP (priklausomai nuo to, kas taikoma) apibrėžta balansinė vertė. Kitu atveju naudojami duomenys pagal nacionalinių BAP ataskaitų teikimo sistemas. </w:t>
      </w:r>
    </w:p>
    <w:p w:rsidR="00E13CE3" w:rsidRPr="00D92B3C" w:rsidRDefault="00E13CE3" w:rsidP="00EC261B">
      <w:pPr>
        <w:pStyle w:val="Instructionsberschrift3"/>
      </w:pPr>
      <w:r>
        <w:t>Nurodymai dėl konkrečių pozicijų</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Skiltys</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Nurodymai</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lastRenderedPageBreak/>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Namų ūkiai</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 V priedo 1 dalies 42 punkto f papunktis.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 xml:space="preserve">Pavieniai asmenys arba asmenų grupės kaip vartotojai, vien tik savo galutiniam vartojimui skirtų prekių gamintojai ir nefinansinių paslaugų teikėjai, ir rinkos prekių gamintojai bei nefinansinių ir finansinių paslaugų teikėjai, jeigu jų veikla nėra </w:t>
            </w:r>
            <w:proofErr w:type="spellStart"/>
            <w:r>
              <w:rPr>
                <w:rFonts w:ascii="Times New Roman" w:hAnsi="Times New Roman"/>
                <w:color w:val="000000" w:themeColor="text1"/>
                <w:spacing w:val="-2"/>
                <w:w w:val="95"/>
                <w:sz w:val="20"/>
              </w:rPr>
              <w:t>kvazikorporacijų</w:t>
            </w:r>
            <w:proofErr w:type="spellEnd"/>
            <w:r>
              <w:rPr>
                <w:rFonts w:ascii="Times New Roman" w:hAnsi="Times New Roman"/>
                <w:color w:val="000000" w:themeColor="text1"/>
                <w:spacing w:val="-2"/>
                <w:w w:val="95"/>
                <w:sz w:val="20"/>
              </w:rPr>
              <w:t xml:space="preserve"> veikla. Šiam sektoriui priskiriamos namų ūkiams paslaugas teikiančios ne pelno institucijos, kurių pagrindinė veikla yra konkrečioms namų ūkių grupėms skirtų ne rinkos prekių gamyba ir paslaugų teikimas.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 finansų bendrovės (MVĮ)</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2003 m. gegužės 6 d. Komisijos rekomendacijos</w:t>
            </w:r>
            <w:r>
              <w:rPr>
                <w:rStyle w:val="FootnoteReference"/>
                <w:color w:val="1A171C"/>
                <w:spacing w:val="-2"/>
                <w:w w:val="95"/>
              </w:rPr>
              <w:footnoteReference w:id="8"/>
            </w:r>
            <w:r>
              <w:rPr>
                <w:rFonts w:ascii="Times New Roman" w:hAnsi="Times New Roman"/>
                <w:color w:val="000000" w:themeColor="text1"/>
                <w:spacing w:val="-2"/>
                <w:w w:val="95"/>
                <w:sz w:val="20"/>
              </w:rPr>
              <w:t xml:space="preserve"> I priedo I antraštinės dalies 2 straipsnio 1 dalis; FINREP V priedo 1 dalies 5 punkto i papunktis.</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Įmonės, kuriose dirba mažiau kaip 250 asmenų ir kurių metinė apyvarta neviršija 50 mln. EUR ir (arba) metinė balanso suma neviršija 43 mln. EUR.</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 finansų bendrovės (ne MVĮ)</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V priedo 1 dalies 42 punkto e papunktis.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Finansiniu tarpininkavimu nesiverčiančios bendrovės ir </w:t>
            </w:r>
            <w:proofErr w:type="spellStart"/>
            <w:r>
              <w:rPr>
                <w:rFonts w:ascii="Times New Roman" w:hAnsi="Times New Roman"/>
                <w:color w:val="000000" w:themeColor="text1"/>
                <w:spacing w:val="-2"/>
                <w:w w:val="95"/>
                <w:sz w:val="20"/>
              </w:rPr>
              <w:t>kvazikorporacijos</w:t>
            </w:r>
            <w:proofErr w:type="spellEnd"/>
            <w:r>
              <w:rPr>
                <w:rFonts w:ascii="Times New Roman" w:hAnsi="Times New Roman"/>
                <w:color w:val="000000" w:themeColor="text1"/>
                <w:spacing w:val="-2"/>
                <w:w w:val="95"/>
                <w:sz w:val="20"/>
              </w:rPr>
              <w:t>, kurių pagrindinė veikla yra rinkos prekių gamyba ir nefinansinių paslaugų teikimas pagal Europos Centrinio Banko reglamentą (ES) Nr. 1071/2013</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Neįskaitant MVĮ, apie kurias pranešta 0020 skiltyje.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Kredito įstaigos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V priedo 1 dalies 42 punkto c papunktis.</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Kredito įstaigos, kaip apibrėžta Reglamento (ES) Nr. 575/2013 4 straipsnio 1 dalies 1 punkte, ir daugiašaliai plėtros bankai.</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Kitos finansų bendrovės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V priedo 1 dalies 42 punkto d papunktis.</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Visos finansų bendrovės ir </w:t>
            </w:r>
            <w:proofErr w:type="spellStart"/>
            <w:r>
              <w:rPr>
                <w:rFonts w:ascii="Times New Roman" w:hAnsi="Times New Roman"/>
                <w:color w:val="000000" w:themeColor="text1"/>
                <w:spacing w:val="-2"/>
                <w:w w:val="95"/>
                <w:sz w:val="20"/>
              </w:rPr>
              <w:t>kvazikorporacijos</w:t>
            </w:r>
            <w:proofErr w:type="spellEnd"/>
            <w:r>
              <w:rPr>
                <w:rFonts w:ascii="Times New Roman" w:hAnsi="Times New Roman"/>
                <w:color w:val="000000" w:themeColor="text1"/>
                <w:spacing w:val="-2"/>
                <w:w w:val="95"/>
                <w:sz w:val="20"/>
              </w:rPr>
              <w:t>, išskyrus kredito įstaigas, pvz., investicinės įmonės, investicijų fondai, draudimo bendrovės, pensijų fondai, kolektyvinio investavimo subjektai ir tarpuskaitos namai, taip pat likę finansiniai tarpininkai ir finansų pagalbinės įmonės ir priklausomos finansų įstaigos bei pinigų skolintojai.</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Valdžios sektoriaus institucijos ir centriniai bankai</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V priedo 1 dalies 42 punkto a ir b papunkčiai.</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Centriniai bankai ir centrinės valdžios institucijos, valstybės arba regioninės valdžios institucijos ir vietos valdžios institucijos, įskaitant administracines įstaigas ir nekomercines įmones, bet neįskaitant šioms administracijoms priklausančių viešųjų ir privačiųjų bendrovių, kurios vykdo komercinę veiklą (apie kurias pranešama skirsniuose „kredito įstaigos“, „kitos finansų bendrovės“ arba „ne finansų bendrovės“ priklausomai nuo jų vykdomos veiklos); socialinės apsaugos fondai ir tarptautinės organizacijos, pvz., Europos Sąjunga, Tarptautinis valiutos fondas ir Tarptautinių atsiskaitymų bankas.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Neidentifikuota, kotiruojama prekybos vietoje</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Jeigu vertybinio popieriaus turėtojo tapatybė nežinoma dėl to, kad priemonės kotiruojamos prekybos vietoje, apibrėžtoje 2014 m. gegužės 15 d. Europos Parlamento ir Tarybos direktyvoje 2014/65/ES dėl finansinių priemonių rinkų, sumos nurodomos šioje skiltyje.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Neidentifikuota, nekotiruojama prekybos vietoje</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Jeigu vertybinio popieriaus turėtojo tapatybė nežinoma ir priemonės nėra kotiruojamos prekybos vietoje, sumos nurodomos šioje skiltyje, neskirstant pagal sandorio šalis. Subjektai deda visas pastangas, kad identifikuotų sandorio šalis ir šią skiltį naudotų kuo mažiau.</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Iš viso</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Iš jų: grupės vidaus įsipareigojimai</w:t>
            </w:r>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Įsipareigojimai į pagrindinės patronuojančiosios įmonės konsoliduotąsias finansines ataskaitas įtrauktiems subjektams (palyginti su reguliuojamąja konsolidavimo apimtimi).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Iš jų: įsipareigojimai, reglamentuojami trečiosios valstybės teisės, išskyrus grupės vidaus įsipareigojimus</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Jie apima įsipareigojimų, kurie yra reglamentuojami trečiosios valstybės teisės ir (arba) kuriuos išleidžia trečiosiose valstybėse įsisteigę grupės subjektai, bendrąsias sumas. Grupės vidaus įsipareigojimai neįtraukiami.</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Jeigu pertvarkymo institucija patvirtino, kad pagal Europos Parlamento ir Tarybos direktyvos 2014/59/ES</w:t>
            </w:r>
            <w:r>
              <w:rPr>
                <w:rStyle w:val="FootnoteReference"/>
                <w:color w:val="000000" w:themeColor="text1"/>
                <w:spacing w:val="-2"/>
                <w:w w:val="95"/>
              </w:rPr>
              <w:footnoteReference w:id="10"/>
            </w:r>
            <w:r>
              <w:rPr>
                <w:rFonts w:ascii="Times New Roman" w:hAnsi="Times New Roman"/>
                <w:color w:val="000000" w:themeColor="text1"/>
                <w:spacing w:val="-2"/>
                <w:w w:val="95"/>
                <w:sz w:val="20"/>
              </w:rPr>
              <w:t xml:space="preserve"> 45 straipsnio 5 dalį ji įsitikino, kad visi pertvarkymo institucijos sprendimai nurašyti arba konvertuoti tą įsipareigojimą būtų vykdytini pagal tos trečiosios valstybės teisę, tas įsipareigojimas šioje dalyje nenurodomas.</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Eilutės</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Nurodymai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Įsipareigojimai, kuriems netaikoma gelbėjimo privačiomis lėšomis priemonė</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Direktyvos 2014/59/ES 44 straipsnio 2 dalyje nustatyta, kad „[</w:t>
            </w:r>
            <w:proofErr w:type="spellStart"/>
            <w:r>
              <w:rPr>
                <w:rFonts w:ascii="Times New Roman" w:hAnsi="Times New Roman"/>
                <w:color w:val="000000" w:themeColor="text1"/>
                <w:spacing w:val="-2"/>
                <w:w w:val="95"/>
                <w:sz w:val="20"/>
              </w:rPr>
              <w:t>p]ertvarkymo</w:t>
            </w:r>
            <w:proofErr w:type="spellEnd"/>
            <w:r>
              <w:rPr>
                <w:rFonts w:ascii="Times New Roman" w:hAnsi="Times New Roman"/>
                <w:color w:val="000000" w:themeColor="text1"/>
                <w:spacing w:val="-2"/>
                <w:w w:val="95"/>
                <w:sz w:val="20"/>
              </w:rPr>
              <w:t xml:space="preserve"> institucijos nesinaudoja nurašymo ir konvertavimo įgaliojimais šių pagal valstybės narės arba trečiosios valstybės teisę reglamentuojamų įsipareigojimų atžvilgiu“.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Apdraustieji indėliai</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Apdraustųjų indėlių, kaip apibrėžta Europos Parlamento ir Tarybos direktyvos 2014/49/ES</w:t>
            </w:r>
            <w:r>
              <w:rPr>
                <w:rStyle w:val="FootnoteReference"/>
                <w:color w:val="000000" w:themeColor="text1"/>
              </w:rPr>
              <w:footnoteReference w:id="11"/>
            </w:r>
            <w:r>
              <w:rPr>
                <w:rFonts w:ascii="Times New Roman" w:hAnsi="Times New Roman"/>
                <w:color w:val="000000" w:themeColor="text1"/>
                <w:spacing w:val="-2"/>
                <w:w w:val="95"/>
                <w:sz w:val="20"/>
              </w:rPr>
              <w:t xml:space="preserve"> 2 straipsnio 1 dalies 5 punkte, suma, išskyrus laikinas dideles sumas, kaip nustatyta tos direktyvos 6 straipsnio 2 dalyje.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Užtikrintieji įsipareigojimai: įkaitu užtikrinta dalis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2014/59/ES 44 straipsnio 2 dalies b punktas.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Užtikrintieji įsipareigojimų, įskaitant atpirkimo sandorius, padengtąsias obligacijas ir įsipareigojimus, kurie yra finansinių priemonių, sudarančių neatskiriamą užstato fondo dalį ir pagal nacionalinę teisę</w:t>
            </w:r>
            <w:r w:rsidR="008C464E">
              <w:rPr>
                <w:rFonts w:ascii="Times New Roman" w:hAnsi="Times New Roman"/>
                <w:color w:val="000000" w:themeColor="text1"/>
                <w:spacing w:val="-2"/>
                <w:w w:val="95"/>
                <w:sz w:val="20"/>
              </w:rPr>
              <w:t xml:space="preserve"> </w:t>
            </w:r>
            <w:r>
              <w:rPr>
                <w:rFonts w:ascii="Times New Roman" w:hAnsi="Times New Roman"/>
                <w:color w:val="000000" w:themeColor="text1"/>
                <w:spacing w:val="-2"/>
                <w:w w:val="95"/>
                <w:sz w:val="20"/>
              </w:rPr>
              <w:t>užtikrintų panašiu būdu kaip ir padengtosios obligacijos, formos.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Nei reikalavimu užtikrinti, kad visas užtikrintas turtas, susijęs su padengtųjų obligacijų užstato fondu, būtų nepaliestas bei atskirtas ir kad jam pakaktų finansavimo, nei Direktyvos 2014/59/ES 44 straipsnio 2 dalies b punkte nurodyta išimtimi neužkertamas kelias pertvarkymo institucijoms, kai tikslinga, naudotis tais įgaliojimais bet kurios užtikrintojo įsipareigojimo arba įsipareigojimo, kuris garantuojamas įkeistu įkaitu, dalies, kuri viršija turto, įkaito, sulaikymo teisės ar užtikrinimo priemonės, kuriais jis užtikrinamas, vertę, atžvilgiu. Tokia nepadengta šių užtikrintųjų įsipareigojimų dalis nurodoma ne šioje eilutėje, bet 0340 eilutėje, papildomai suskirstant.</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1A171C"/>
                <w:spacing w:val="-2"/>
                <w:w w:val="95"/>
                <w:sz w:val="20"/>
              </w:rPr>
              <w:lastRenderedPageBreak/>
              <w:t>Įsipareigojimai centriniam bankui, padengti užtikrinimo priemonių grupe (pavyzdžiui, pagrindinės refinansavimo operacijos, ilgalaikės refinansavimo operacijos, tikslinės ilgesnės trukmės refinansavimo operacijos ir kt.), laikomi užtikrintaisiais įsipareigojimais.</w:t>
            </w:r>
            <w:r>
              <w:rPr>
                <w:rFonts w:ascii="Times New Roman" w:hAnsi="Times New Roman"/>
                <w:color w:val="000000" w:themeColor="text1"/>
                <w:spacing w:val="-2"/>
                <w:w w:val="95"/>
                <w:sz w:val="20"/>
              </w:rPr>
              <w:t xml:space="preserve">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Speciali įsipareigojimų rūšis – gautos ir į balansą įtrauktos įkaito pozicijos (pvz., piniginės užtikrinimo priemonės). Jeigu tokios įkaito pozicijos yra teisiškai susietos su turto pozicija, jos šioje ataskaitoje yra laikomos užtikrintaisiais įsipareigojimais.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Įsipareigojimai klientams, jeigu apsaugoti bankroto atveju</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2014/59/ES 44 straipsnio 2 dalies c punktas.</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Bet kokie įsipareigojimai, atsirandantys įstaigai arba Direktyvos 2014/59/ES 1 straipsnio 1 dalies b, c ar d punkte nurodytam subjektui laikant klientų turtą arba klientų pinigus, įskaitant klientų turtą ar klientų pinigus, laikomus KIPVPS, kaip apibrėžta Europos Parlamento ir Tarybos direktyvos 2009/65/EB</w:t>
            </w:r>
            <w:r>
              <w:rPr>
                <w:rStyle w:val="FootnoteReference"/>
                <w:color w:val="000000" w:themeColor="text1"/>
                <w:spacing w:val="-2"/>
                <w:w w:val="95"/>
              </w:rPr>
              <w:footnoteReference w:id="12"/>
            </w:r>
            <w:r>
              <w:rPr>
                <w:rFonts w:ascii="Times New Roman" w:hAnsi="Times New Roman"/>
                <w:color w:val="000000" w:themeColor="text1"/>
                <w:spacing w:val="-2"/>
                <w:w w:val="95"/>
                <w:sz w:val="20"/>
              </w:rPr>
              <w:t xml:space="preserve"> 1 straipsnio 2 dalyje, arba AIF, kaip apibrėžta Europos Parlamento ir Tarybos direktyvos 2011/61/ES</w:t>
            </w:r>
            <w:r>
              <w:rPr>
                <w:rStyle w:val="FootnoteReference"/>
                <w:color w:val="000000" w:themeColor="text1"/>
                <w:spacing w:val="-2"/>
                <w:w w:val="95"/>
              </w:rPr>
              <w:footnoteReference w:id="13"/>
            </w:r>
            <w:r>
              <w:rPr>
                <w:rFonts w:ascii="Times New Roman" w:hAnsi="Times New Roman"/>
                <w:color w:val="000000" w:themeColor="text1"/>
                <w:spacing w:val="-2"/>
                <w:w w:val="95"/>
                <w:sz w:val="20"/>
              </w:rPr>
              <w:t xml:space="preserve"> 4 straipsnio 1 dalies a punkte, vardu, su sąlyga, kad tokie klientai yra apsaugoti pagal taikomą bankroto teisę.</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Patikėjimo įsipareigojimai, jeigu apsaugoti bankroto atveju</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2014/59/ES 44 straipsnio 2 dalies d punktas.</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Bet kokie įsipareigojimai, atsirandantys dėl patikėjimo santykių tarp įstaigos arba Direktyvos 2014/59/ES 1 straipsnio 1 dalies b, c ar d punkte nurodyto subjekto (kaip patikėtinio) ir kito asmens (kaip naudos gavėjo), su sąlyga, kad toks naudos gavėjas yra apsaugotas pagal taikomą bankroto arba civilinę teisę.</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Įsipareigojimai kredito įstaigoms &lt; 7 dienos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2014/59/ES 44 straipsnio 2 dalies e punktas.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Įsipareigojimai kredito įstaigoms, išskyrus tai pačiai grupei pagal apskaitos reikalavimus priklausančius subjektus, kurių pradinis terminas yra trumpesnis nei septynios dienos.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Įsipareigojimai sistemoms (sistemų valdytojams) &lt; 7 dienos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2014/59/ES 44 straipsnio 2 dalies f punktas.</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Įsipareigojimai, kurių likęs terminas yra trumpesnis nei septynios dienos, pagal Europos Parlamento ir Tarybos direktyvą 98/26/EB</w:t>
            </w:r>
            <w:r>
              <w:rPr>
                <w:rStyle w:val="FootnoteReference"/>
                <w:color w:val="000000" w:themeColor="text1"/>
                <w:spacing w:val="-2"/>
                <w:w w:val="95"/>
              </w:rPr>
              <w:footnoteReference w:id="14"/>
            </w:r>
            <w:r>
              <w:rPr>
                <w:rFonts w:ascii="Times New Roman" w:hAnsi="Times New Roman"/>
                <w:color w:val="000000" w:themeColor="text1"/>
                <w:spacing w:val="-2"/>
                <w:w w:val="95"/>
                <w:sz w:val="20"/>
              </w:rPr>
              <w:t xml:space="preserve"> paskirtoms sistemoms ar jų valdytojams arba dalyviams, atsirandantys dėl dalyvavimo tokioje sistemoje.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Įsipareigojimai darbuotojams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2014/59/ES 44 straipsnio 2 dalies g punkto i papunktis.</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Įsipareigojimai darbuotojui, susiję su sukauptu atlyginimu, pensijos išmokomis ar kitu fiksuotuoju atlygiu, išskyrus kintamąją atlygio dalį, nereglamentuojamą kolektyvine sutartimi. Tačiau tai netaikoma didelę riziką prisiimančių darbuotojų kintamajai atlygio daliai, nustatytai Direktyvos 2013/36/ES 92 straipsnio 2 dalyje.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Įsipareigojimai, kurie yra ypatingos svarbos kasdienei veiklai</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Direktyvos 2014/59/ES 44 straipsnio 2 dalies g punkto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xml:space="preserve"> papunktis.</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Įsipareigojimai komerciniam arba prekybos kreditoriui, atsirandantys dėl įstaigai arba Direktyvos 2014/59/ES 1 straipsnio 1 dalies b, c ar d punkte nurodytam subjektui teikiamų prekių ar paslaugų, kurios </w:t>
            </w:r>
            <w:r>
              <w:rPr>
                <w:rFonts w:ascii="Times New Roman" w:hAnsi="Times New Roman"/>
                <w:color w:val="000000" w:themeColor="text1"/>
                <w:spacing w:val="-2"/>
                <w:w w:val="95"/>
                <w:sz w:val="20"/>
              </w:rPr>
              <w:lastRenderedPageBreak/>
              <w:t>yra ypatingos svarbos paslaugos kasdienei jų veiklai, įskaitant IT paslaugas, komunalines paslaugas ir patalpų nuomą, tvarkymą ir priežiūrą.</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Įsipareigojimai mokesčių ir socialinės apsaugos institucijoms, jeigu jiems teikiama pirmenybė</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Direktyvos 2014/59/ES 44 straipsnio 2 dalies g punkto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xml:space="preserve"> papunktis.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Įsipareigojimai mokesčių ir socialinės apsaugos institucijoms, su sąlyga, kad tokiems įsipareigojimams teikiama pirmenybė pagal taikomą teisę.</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Įsipareigojimai indėlių garantijų sistemoms</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Direktyvos 2014/59/ES 44 straipsnio 2 dalies g punkto </w:t>
            </w:r>
            <w:proofErr w:type="spellStart"/>
            <w:r>
              <w:rPr>
                <w:rFonts w:ascii="Times New Roman" w:hAnsi="Times New Roman"/>
                <w:color w:val="000000" w:themeColor="text1"/>
                <w:spacing w:val="-2"/>
                <w:w w:val="95"/>
                <w:sz w:val="20"/>
              </w:rPr>
              <w:t>iv</w:t>
            </w:r>
            <w:proofErr w:type="spellEnd"/>
            <w:r>
              <w:rPr>
                <w:rFonts w:ascii="Times New Roman" w:hAnsi="Times New Roman"/>
                <w:color w:val="000000" w:themeColor="text1"/>
                <w:spacing w:val="-2"/>
                <w:w w:val="95"/>
                <w:sz w:val="20"/>
              </w:rPr>
              <w:t xml:space="preserve"> papunktis.</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Įsipareigojimai indėlių garantijų sistemoms, atsirandantys dėl privalomų sumokėti įnašų pagal Direktyvą 2014/49/ES.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Įsipareigojimai, kuriems taikoma gelbėjimo privačiomis lėšomis priemonė</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Tai yra 0310, 0320, 0334, 0340, 0350, 0360, 0365, 0370, 0380, 0390 ir 0400 eilučių suma.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Neapdrausti pirmenybiniai indėliai</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2014/59/ES 108 straipsnis.</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Direktyvos 2014/49/ES 2 straipsnio 1 dalies 3 punkte apibrėžti indėliai, kurie negali būti neįtraukti į gelbėjimo privačiomis lėšomis priemonės taikymo sritį (Direktyvos 2014/59/ES 44 straipsnio 2 dalies a punktas), tačiau kuriems pagal Direktyvos 2014/59/ES 108 straipsnį numatyta taikyti lengvatinę tvarką.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Neapdrausti nepirmenybiniai indėliai</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Direktyvos 2014/49/ES 2 straipsnio 1 dalies 3 punkte apibrėžti indėliai, kurie negali būti neįtraukti į gelbėjimo privačiomis lėšomis priemonės arba lengvatinės tvarkos taikymo sritį taikant Direktyvos 2014/59/ES 44 straipsnio 2 dalies a punktą arba 108 straipsnį.</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Balansiniai įsipareigojimai, atsirandantys dėl išvestinių finansinių priemonių</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Įsipareigojimų, atsirandančių dėl išvestinių finansinių priemonių, apskaitinė vertė, susijusi su visa suma, atitinkančia FINREP: {F 01.02;020;010) + {F 01.02;150;010}.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Grynųjų įsipareigojimų pozicijų suma, atsižvelgiant į sutartinės užskaitos grupes, pakoregavus pagal rinkos vertę, prieš įskaitant užtikrinimo priemonę</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Paprastai nurodoma išvestinių finansinių priemonių įsipareigojimų visų grynųjų rinkos verčių suma pagal sutartinės užskaitos grupę. Užskaitos grupė nurodoma, tik jeigu grynoji užskaitos grupės rinkos vertė yra įsipareigojimas. Šiuo tikslu išvestinės finansinės priemonės, kurioms netaikomi užskaitos susitarimai, laikomi vienu sandoriu, t. y. tarsi užskaitos grupę sudarytų tik viena išvestinė finansinė priemonė.</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Grynųjų įsipareigojimų pozicijų suma, atsižvelgiant į sutartinės užskaitos grupes, pakoregavus pagal rinkos vertę, įskaičius užtikrinimo priemonę</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0331 eilutėje pateiktas vertinimas koreguojamas atsižvelgiant į užtikrinimo priemonę, pateiktą šiai pozicijai užtikrinti; rezultatas – šių grynųjų rinkos verčių suma įskaičius užtikrinimo priemonę jos rinkos verte.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Grynųjų įsipareigojimų pozicijų suma, atsižvelgiant į sutartinės užskaitos grupes, pakoregavus pagal rinkos vertę, įskaičius užtikrinimo priemonę, įtraukiant apskaičiuotas užbaigimo sumas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Pagal Komisijos deleguotąjį reglamentą 2016/1401</w:t>
            </w:r>
            <w:r>
              <w:rPr>
                <w:rStyle w:val="FootnoteReference"/>
                <w:color w:val="1A171C"/>
                <w:spacing w:val="-2"/>
                <w:w w:val="95"/>
              </w:rPr>
              <w:footnoteReference w:id="15"/>
            </w:r>
            <w:r>
              <w:rPr>
                <w:rFonts w:ascii="Times New Roman" w:hAnsi="Times New Roman"/>
                <w:color w:val="000000" w:themeColor="text1"/>
                <w:spacing w:val="-2"/>
                <w:w w:val="95"/>
                <w:sz w:val="20"/>
              </w:rPr>
              <w:t xml:space="preserve"> dėl įsipareigojimų, kurių atsiranda dėl išvestinių finansinių priemonių, vertinimo papildoma užbaigimo suma, kuria padengiama išvestinių finansinių priemonių sandorio šalių patirtų nuostolių ar išlaidų suma arba jų gauto pelno suma, susidariusi pakeičiant ar užsitikrinant nutrauktų sutarčių sąlygoms ekonomiškai lygiavertes esmines sutarčių sąlygas ir </w:t>
            </w:r>
            <w:r>
              <w:rPr>
                <w:rFonts w:ascii="Times New Roman" w:hAnsi="Times New Roman"/>
                <w:color w:val="000000" w:themeColor="text1"/>
                <w:spacing w:val="-2"/>
                <w:w w:val="95"/>
                <w:sz w:val="20"/>
              </w:rPr>
              <w:lastRenderedPageBreak/>
              <w:t>ekonomiškai lygiavertes šalių pasirinkimo teises.</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Atskirus </w:t>
            </w:r>
            <w:proofErr w:type="spellStart"/>
            <w:r>
              <w:rPr>
                <w:rFonts w:ascii="Times New Roman" w:hAnsi="Times New Roman"/>
                <w:color w:val="000000" w:themeColor="text1"/>
                <w:spacing w:val="-2"/>
                <w:w w:val="95"/>
                <w:sz w:val="20"/>
              </w:rPr>
              <w:t>įverčius</w:t>
            </w:r>
            <w:proofErr w:type="spellEnd"/>
            <w:r>
              <w:rPr>
                <w:rFonts w:ascii="Times New Roman" w:hAnsi="Times New Roman"/>
                <w:color w:val="000000" w:themeColor="text1"/>
                <w:spacing w:val="-2"/>
                <w:w w:val="95"/>
                <w:sz w:val="20"/>
              </w:rPr>
              <w:t xml:space="preserve">, kurių reikia užbaigimo sumai nustatyti pagal minėtą Reglamentą, gali būti gana sunku apskaičiuoti. Todėl vietoje jų gali būti naudojamos pakaitinės vertės, kurios gali būti grindžiamos turimais duomenimis, pavyzdžiui, </w:t>
            </w:r>
            <w:proofErr w:type="spellStart"/>
            <w:r>
              <w:rPr>
                <w:rFonts w:ascii="Times New Roman" w:hAnsi="Times New Roman"/>
                <w:color w:val="000000" w:themeColor="text1"/>
                <w:spacing w:val="-2"/>
                <w:w w:val="95"/>
                <w:sz w:val="20"/>
              </w:rPr>
              <w:t>prudenciniais</w:t>
            </w:r>
            <w:proofErr w:type="spellEnd"/>
            <w:r>
              <w:rPr>
                <w:rFonts w:ascii="Times New Roman" w:hAnsi="Times New Roman"/>
                <w:color w:val="000000" w:themeColor="text1"/>
                <w:spacing w:val="-2"/>
                <w:w w:val="95"/>
                <w:sz w:val="20"/>
              </w:rPr>
              <w:t xml:space="preserve"> reikalavimais rinkos rizikai. Jeigu išvestinių finansinių priemonių įsipareigojimų užbaigimo sumos apskaičiuoti neįmanoma, nurodoma suma yra lygi 0332 eilutėje nurodytai sumai.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Grynųjų įsipareigojimų pozicijų suma, atsižvelgiant į </w:t>
            </w:r>
            <w:proofErr w:type="spellStart"/>
            <w:r>
              <w:rPr>
                <w:rFonts w:ascii="Times New Roman" w:hAnsi="Times New Roman"/>
                <w:b/>
                <w:color w:val="000000" w:themeColor="text1"/>
                <w:sz w:val="20"/>
              </w:rPr>
              <w:t>prudencinės</w:t>
            </w:r>
            <w:proofErr w:type="spellEnd"/>
            <w:r>
              <w:rPr>
                <w:rFonts w:ascii="Times New Roman" w:hAnsi="Times New Roman"/>
                <w:b/>
                <w:color w:val="000000" w:themeColor="text1"/>
                <w:sz w:val="20"/>
              </w:rPr>
              <w:t xml:space="preserve"> užskaitos taisykles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Nurodomos grynųjų įsipareigojimų pozicijos, susijusios su išvestinėmis finansinėmis priemonėmis, atsižvelgiant į </w:t>
            </w:r>
            <w:proofErr w:type="spellStart"/>
            <w:r>
              <w:rPr>
                <w:rFonts w:ascii="Times New Roman" w:hAnsi="Times New Roman"/>
                <w:color w:val="000000" w:themeColor="text1"/>
                <w:spacing w:val="-2"/>
                <w:w w:val="95"/>
                <w:sz w:val="20"/>
              </w:rPr>
              <w:t>prudencinės</w:t>
            </w:r>
            <w:proofErr w:type="spellEnd"/>
            <w:r>
              <w:rPr>
                <w:rFonts w:ascii="Times New Roman" w:hAnsi="Times New Roman"/>
                <w:color w:val="000000" w:themeColor="text1"/>
                <w:spacing w:val="-2"/>
                <w:w w:val="95"/>
                <w:sz w:val="20"/>
              </w:rPr>
              <w:t xml:space="preserve"> užskaitos taisykles, nustatytas Reglamento (ES) Nr. 575/2013 429 straipsnyje (susijusias su sverto koeficiento bendro pozicijų mato apskaičiavimu).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Įkaitu neužtikrinti užtikrintieji įsipareigojimai</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Užtikrintųjų įsipareigojimų arba įsipareigojimų, kurie garantuojami įkeista užtikrinimo priemone, suma, kuri viršija turto, įkaito, sulaikymo teisės ar užtikrinimo priemonės, kuriais jie užtikrinami, vertę. Nurodoma vertė atitinka įkaitu neužtikrintą užtikrintųjų įsipareigojimų dalį, pavyzdžiui, įkaitu neužtikrintą padengtųjų obligacijų arba atpirkimo operacijų dalį.</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Struktūrizuoti vertybiniai popieriai</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Struktūrizuoti vertybiniai popieriai šioje ataskaitoje apibrėžiami kaip skolos įsipareigojimai su įterptu išvestinių finansinių priemonių elementu, kurių grąža yra susijusi su pagrindinio vertybinio popieriaus kaina arba indeksu (vieši ar individualizuoti, pavyzdžiui, akcijos arba obligacijos, fiksuotųjų pajamų normos arba kredito priemonės, valiutos, biržos prekės ir kt.). Struktūrizuoti vertybiniai popieriai neapima skolos priemonių, kurios apima tik pasirinkimo pirkti arba pasirinkimo parduoti sandorius, t. y. priemonės vertė nepriklauso nuo įterpto išvestinių finansinių priemonių elemento.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Pirmaeiliai neužtikrinti įsipareigojimai</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Jie apima visas pirmaeiles neužtikrintas priemones, kurios neįtrauktos į struktūrizuotų vertybinių popierių kategoriją.</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Pirmaeiliai nepirmenybiniai įsipareigojimai</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Bet kurių iš toliau nurodytų įsipareigojimų suma:</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neužtikrintų reikalavimų, atsirandančių dėl skolos priemonių, kurios atitinka Direktyvos 2014/59/ES 108 straipsnio 2 dalies a, b ir c punktuose ir 3 dalyje išdėstytas sąlygas;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neužtikrintų reikalavimų, atsirandančių dėl Direktyvos 2014/59/ES 108 straipsnio 5 dalies pirmos pastraipos b punkte nurodytų skolos priemonių, arba</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skolos priemonių, kurių prioritetas yra mažiausias tarp įprastų neužtikrintų reikalavimų, atsirandančių dėl Direktyvos 2014/59/ES 108 straipsnio 7 dalyje nurodytų skolos priemonių, dėl kurių valstybės narės pagal tą dalį nustatė, kad joms suteikiamas tas pats prioritetas kaip reikalavimams, kurie atitinka Direktyvos 2014/59/ES 108 straipsnio 2 dalies a, b ir c punktuose ir 3 dalyje išdėstytas sąlygas.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Subordinuotieji įsipareigojimai</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Įsipareigojimai, kurie pagal nacionalinę bankroto teisę bus įvykdyti tik visiškai atsiskaičius su visų klasių paprastaisiais kreditoriais ir privilegijuotaisiais nepirmenybiniais kreditoriais. Tai apima tiek pagal sutartis, tiek pagal teisės aktus subordinuotus įsipareigojimus. Kontroliuojančiųjų bendrovių atveju prie šios kategorijos gali būti priskiriami ir nesubordinuotosios skolos vertybiniai popieriai (t. y. struktūrinis subordinavimas).</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Į šią kategoriją įtraukiamos tik subordinuotosios priemonės, nepripažintos kaip nuosavos lėšos.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Šioje eilutėje taip pat nurodoma ta subordinuotųjų įsipareigojimų dalis, kurią iš principo galima laikyti nuosavomis lėšomis, tačiau kuri nėra įtraukta į nuosavas lėšas dėl laipsniško panaikinimo nuostatų, pavyzdžiui, dėl Reglamento (ES) Nr. 575/2013 64 straipsnio (likusio termino) arba Reglamento (ES) Nr. 575/2013 10 dalies (tęstinumo poveikio).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Kiti MREL reikalavimus atitinkantys įsipareigojimai</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Visos MREL reikalavimus atitinkančios, tačiau į 0320 ir 0340–0370 eilutes neįtrauktos priemonės.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Nefinansiniai įsipareigojimai</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Šioje eilutėje nurodomi nefinansiniai įsipareigojimai, kurie nėra susiję su skolos priemonėmis, kurių turėtojams gelbėjimo privačiomis lėšomis priemonė gali būti taikoma dėl praktinių priežasčių, pavyzdžiui, su bylinėjimusi, kuriame dalyvauja subjektas, susiję </w:t>
            </w:r>
            <w:proofErr w:type="spellStart"/>
            <w:r>
              <w:rPr>
                <w:rFonts w:ascii="Times New Roman" w:hAnsi="Times New Roman"/>
                <w:color w:val="000000" w:themeColor="text1"/>
                <w:spacing w:val="-2"/>
                <w:w w:val="95"/>
                <w:sz w:val="20"/>
              </w:rPr>
              <w:t>atidėjiniai</w:t>
            </w:r>
            <w:proofErr w:type="spellEnd"/>
            <w:r>
              <w:rPr>
                <w:rFonts w:ascii="Times New Roman" w:hAnsi="Times New Roman"/>
                <w:color w:val="000000" w:themeColor="text1"/>
                <w:spacing w:val="-2"/>
                <w:w w:val="95"/>
                <w:sz w:val="20"/>
              </w:rPr>
              <w:t xml:space="preserv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Likutiniai įsipareigojimai</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Visi 0100–0390 eilutėse nenurodyti įsipareigojimai.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rPr>
              <w:t>Nuosavos lėšos</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Reglamento (ES) Nr. 575/2013 4 straipsnio 1 dalies 118 punktas ir 72 straipsnis.</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 pati apibrėžtis kaip COREP (OF): {C 01.00;010;010}.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Bendras 1 lygio nuosavas kapitalas</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Reglamento (ES) Nr. 575/2013 50 straipsnis.</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Ta pati apibrėžtis kaip COREP (OF): {C 01.00;020;010}.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Iš jo: kapitalo priemonės / akcinis kapitalas</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Teisinės priemonės, sudarančios CET1 kapitalą (jo dalį), kapitalo priemonių / akcinio kapitalo pavidalu.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Iš jo: priemonės, kurių prioritetas toks pats (</w:t>
            </w:r>
            <w:proofErr w:type="spellStart"/>
            <w:r>
              <w:rPr>
                <w:rFonts w:ascii="Times New Roman" w:hAnsi="Times New Roman"/>
                <w:b/>
                <w:i/>
                <w:color w:val="000000" w:themeColor="text1"/>
                <w:sz w:val="20"/>
              </w:rPr>
              <w:t>pari</w:t>
            </w:r>
            <w:proofErr w:type="spellEnd"/>
            <w:r>
              <w:rPr>
                <w:rFonts w:ascii="Times New Roman" w:hAnsi="Times New Roman"/>
                <w:b/>
                <w:i/>
                <w:color w:val="000000" w:themeColor="text1"/>
                <w:sz w:val="20"/>
              </w:rPr>
              <w:t xml:space="preserve"> </w:t>
            </w:r>
            <w:proofErr w:type="spellStart"/>
            <w:r>
              <w:rPr>
                <w:rFonts w:ascii="Times New Roman" w:hAnsi="Times New Roman"/>
                <w:b/>
                <w:i/>
                <w:color w:val="000000" w:themeColor="text1"/>
                <w:sz w:val="20"/>
              </w:rPr>
              <w:t>passu</w:t>
            </w:r>
            <w:proofErr w:type="spellEnd"/>
            <w:r>
              <w:rPr>
                <w:rFonts w:ascii="Times New Roman" w:hAnsi="Times New Roman"/>
                <w:b/>
                <w:color w:val="000000" w:themeColor="text1"/>
                <w:sz w:val="20"/>
              </w:rPr>
              <w:t>) kaip paprastųjų akcijų</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Teisinės priemonės, sudarančios CET1 nuosavas lėšas (jų dalį), kurios yra kito pavidalo nei kapitalo priemonės / akcinis kapitalas, tačiau kurių prioritetas toks pats (</w:t>
            </w:r>
            <w:proofErr w:type="spellStart"/>
            <w:r>
              <w:rPr>
                <w:rFonts w:ascii="Times New Roman" w:hAnsi="Times New Roman"/>
                <w:i/>
                <w:color w:val="000000" w:themeColor="text1"/>
                <w:spacing w:val="-2"/>
                <w:w w:val="95"/>
                <w:sz w:val="20"/>
              </w:rPr>
              <w:t>pari</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passu</w:t>
            </w:r>
            <w:proofErr w:type="spellEnd"/>
            <w:r>
              <w:rPr>
                <w:rFonts w:ascii="Times New Roman" w:hAnsi="Times New Roman"/>
                <w:color w:val="000000" w:themeColor="text1"/>
                <w:spacing w:val="-2"/>
                <w:w w:val="95"/>
                <w:sz w:val="20"/>
              </w:rPr>
              <w:t>) kaip šios kategorijos priemonių.</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Papildomas 1 lygio kapitalas</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Reglamento (ES) Nr. 575/2013 61 straipsnis.</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Ta pati apibrėžtis kaip COREP (OF): {C 01.00;530;010}.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Iš jo: subordinuotieji įsipareigojimai, pripažįstami kaip nuosavos lėšos (jų dalis)</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Teisinės priemonės, sudarančios papildomą 1 lygio kapitalą (jo dalį).</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2 lygio kapitalas</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Reglamento (ES) Nr. 575/2013 71 straipsnis.</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Ta pati apibrėžtis kaip COREP (OF): {C 01.00;750;010}.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Iš jo: subordinuotieji įsipareigojimai, pripažįstami kaip nuosavos lėšos (jų dalis)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Čia nurodomos teisinės priemonės, sudarančios 2 lygio nuosavas lėšas (jų dalį).</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Iš viso įsipareigojimų ir nuosavų lėšų, įskaitant išvestinių finansinių priemonių įsipareigojimus</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Visų šiame šablone nurodytų įsipareigojimų suma ir reguliuojamų nuosavų lėšų suma. Šiuo tikslu sudedamos visos pirmesnių eilučių sumos. Kiek tai susiję su išvestinėmis finansinėmis priemonėmis, naudojama 0334 eilutės „Grynųjų įsipareigojimų pozicijų suma, atsižvelgiant į </w:t>
            </w:r>
            <w:proofErr w:type="spellStart"/>
            <w:r>
              <w:rPr>
                <w:rFonts w:ascii="Times New Roman" w:hAnsi="Times New Roman"/>
                <w:color w:val="000000" w:themeColor="text1"/>
                <w:spacing w:val="-2"/>
                <w:w w:val="95"/>
                <w:sz w:val="20"/>
              </w:rPr>
              <w:t>prudencinės</w:t>
            </w:r>
            <w:proofErr w:type="spellEnd"/>
            <w:r>
              <w:rPr>
                <w:rFonts w:ascii="Times New Roman" w:hAnsi="Times New Roman"/>
                <w:color w:val="000000" w:themeColor="text1"/>
                <w:spacing w:val="-2"/>
                <w:w w:val="95"/>
                <w:sz w:val="20"/>
              </w:rPr>
              <w:t xml:space="preserve"> užskaitos taisykles“ vertė.</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2" w:name="_Toc492542323"/>
      <w:bookmarkStart w:id="23" w:name="_Toc509909041"/>
      <w:bookmarkStart w:id="24" w:name="_Toc525225559"/>
      <w:r>
        <w:rPr>
          <w:rFonts w:ascii="Times New Roman" w:hAnsi="Times New Roman"/>
        </w:rPr>
        <w:t>Z 03.00. Nuosavų lėšų reikalavimai (OWN)</w:t>
      </w:r>
      <w:bookmarkEnd w:id="22"/>
      <w:bookmarkEnd w:id="23"/>
      <w:bookmarkEnd w:id="24"/>
    </w:p>
    <w:p w:rsidR="00F73F97" w:rsidRPr="00D92B3C" w:rsidRDefault="00F73F97" w:rsidP="00EC261B">
      <w:pPr>
        <w:pStyle w:val="Instructionsberschrift3"/>
      </w:pPr>
      <w:r>
        <w:t>Bendrosios pastabos</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Šiame šablone pateikiama informacija apie subjektui arba grupei taikomus nuosavų lėšų reikalavimus.</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Visa pateikiama informacija parodo ataskaitinę datą taikomus nuosavų lėšų reikalavimus.</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Šiame šablone nurodoma informacija apie II ramsčio reikalavimus grindžiama naujausiu turimu oficialiu kompetentingos institucijos pateiktu raštu dėl SREP.</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Jeigu ataskaitoje nurodytam subjektui netaikomi kapitalo reikalavimai individualiu pagrindu, jis informaciją pateikia tik 0110 eilutėje.</w:t>
      </w:r>
    </w:p>
    <w:p w:rsidR="00E13CE3" w:rsidRPr="00D92B3C" w:rsidRDefault="00E13CE3" w:rsidP="00EC261B">
      <w:pPr>
        <w:pStyle w:val="Instructionsberschrift3"/>
      </w:pPr>
      <w:r>
        <w:t>Nurodymai dėl konkrečių pozicijų</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Eilutės</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Nurodymai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Bendra rizikos pozicijos suma</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Reglamento (ES) Nr. 575/2013 92 straipsnio 3 dalis.</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Žr. Z 01.00 šablono 0100 skiltį.</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Bendra rizikos pozicijos suma, kaip apibrėžta COREP (OF): {C 02.00;010;010}.</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Indėlis į bendrą konsoliduotąją rizikos pozicijos sumą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Žr. Z 01.00 šablono 0140 skiltį.</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Bendra sverto koeficiento pozicija, kaip apibrėžta COREP (LR): {C 47.00;290;010}.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Šis straipsnis nurodomas tik dėl subjektų, kuriems netaikomi kapitalo reikalavimai individualiu pagrindu.</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Pradinio kapitalo ir sverto koeficiento reikalavimai </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Pradinis kapitalas</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2013/36/ES 12, 28–31 straipsniai ir Reglamento (ES) Nr. 575/2013 93 straipsnis.</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Pradinio kapitalo suma, kurios reikia, kad įstaiga galėtų gauti leidimą pradėti veiklą.</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Sverto koeficiento reikalavimas</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Sverto koeficiento reikalavimas, taikomas subjektui arba grupei, išreikštas kaip bendros sverto koeficiento pozicijos procentinė dalis. Jei jokių formalių reikalavimų nėra, subjektai šio laukelio nepildo.</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Bendra sverto koeficiento pozicija, apibrėžiama taip kaip COREP (LR): {C 47.00;290;010}.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Bendro SREP kapitalo reikalavimo (TSCR) koeficientas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03.00;130;010}.</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i ir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papunkčių suma, apskaičiuojama taip:</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bendras kapitalo pakankamumo koeficientas (8 %), kaip nurodyta Reglamento (ES) Nr. 575/2013 92 straipsnio 1 dalies c punkte; </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papildomų nuosavų lėšų reikalavimų (II ramsčio reikalavimai, P2R) koeficientas, nustatytas pagal kriterijus, nurodytus </w:t>
            </w:r>
            <w:r>
              <w:rPr>
                <w:rFonts w:ascii="Times New Roman" w:hAnsi="Times New Roman"/>
                <w:i/>
                <w:color w:val="000000" w:themeColor="text1"/>
                <w:sz w:val="20"/>
              </w:rPr>
              <w:t>EBI gairėse dėl priežiūrinio tikrinimo ir vertinimo proceso bendros tvarkos bei metodikos ir priežiūrinio testavimo nepalankiausiomis sąlygomis</w:t>
            </w:r>
            <w:r>
              <w:rPr>
                <w:rFonts w:ascii="Times New Roman" w:hAnsi="Times New Roman"/>
                <w:color w:val="000000" w:themeColor="text1"/>
                <w:sz w:val="20"/>
              </w:rPr>
              <w:t xml:space="preserve"> (EBA SREP GL).</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Šiame straipsnyje atsižvelgiama į bendros SREP kapitalo reikalavimo sumos (TSCR) koeficientą, kurį įstaigai pateikė kompetentinga institucija. TSCR yra apibrėžtas EBA SREP GL 1.2 skirsnyje.</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Jei kompetentinga institucija nėra pateikusi papildomų nuosavų lėšų reikalavimų, nurodomas tik i papunktis.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TSCR: sudarytinas iš CET1 kapitalo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COREP (OF): {C 03.00;140;010}.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 xml:space="preserve">i ir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papunkčių suma, apskaičiuojama taip:</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w:t>
            </w:r>
            <w:r>
              <w:tab/>
            </w:r>
            <w:r>
              <w:rPr>
                <w:rFonts w:ascii="Times New Roman" w:hAnsi="Times New Roman"/>
                <w:color w:val="000000" w:themeColor="text1"/>
                <w:sz w:val="20"/>
              </w:rPr>
              <w:t>CET1 kapitalo pakankamumo koeficientas (4,5 %) pagal Reglamento (ES) Nr. 575/2013 92 straipsnio 1 dalies a punktą;</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w:t>
            </w:r>
            <w:r>
              <w:tab/>
            </w:r>
            <w:r>
              <w:rPr>
                <w:rFonts w:ascii="Times New Roman" w:hAnsi="Times New Roman"/>
                <w:color w:val="000000" w:themeColor="text1"/>
                <w:sz w:val="20"/>
              </w:rPr>
              <w:t xml:space="preserve">P2R koeficiento, nurodyto 300 eilutės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papunktyje, dalis, kuri pagal kompetentingos institucijos reikalavimą turi būti laikoma CET1 kapitalo pavidalu.</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Jei kompetentinga institucija nėra pateikusi papildomų nuosavų lėšų, kurios turi būti laikomos CET1 kapitalo pavidalu, reikalavimų, nurodomas tik i papunktis.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TSCR: sudarytinas iš 1 lygio kapitalo</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03.00;150;010}.</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i ir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papunkčių suma, apskaičiuojama taip:</w:t>
            </w:r>
          </w:p>
          <w:p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rPr>
              <w:t>1 lygio kapitalo pakankamumo koeficientas (6 %) pagal Reglamento (ES) Nr. 575/2013 92 straipsnio 1 dalies b punktą;</w:t>
            </w:r>
          </w:p>
          <w:p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P2R koeficiento, nurodyto 300 eilutės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papunktyje, dalis, kuri pagal kompetentingos institucijos reikalavimą turi būti laikoma 1 lygio kapitalo pavidalu.</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Jei kompetentinga institucija nėra pateikusi papildomų nuosavų lėšų, kurios turi būti laikomos 1 lygio kapitalo pavidalu, reikalavimų, nurodomas tik i papunktis.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Jungtinio rezervo reikalavimai</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2013/36/ES 128 straipsnio 6 punktas.</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04.00;740;010}.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Kapitalo apsaugos rezervas</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2013/36/ES 128 straipsnio 1 punktas ir 129 straipsnis.</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COREP (OF): {C 04.00;750;010}.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Pagal 129 straipsnio 1 dalį kapitalo apsaugos rezervas yra papildoma bendro 1 lygio nuosavo kapitalo suma. Kadangi kapitalo apsaugos rezervo 2,5 % norma yra pastovi, suma nurodoma šiame laukelyje.</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 xml:space="preserve">Apsaugos rezervas, sudarytas dėl valstybės narės lygmeniu nustatytos </w:t>
            </w:r>
            <w:proofErr w:type="spellStart"/>
            <w:r>
              <w:rPr>
                <w:rStyle w:val="InstructionsTabelleberschrift"/>
                <w:rFonts w:ascii="Times New Roman" w:hAnsi="Times New Roman"/>
                <w:color w:val="000000" w:themeColor="text1"/>
                <w:u w:val="none"/>
              </w:rPr>
              <w:t>makroprudencinės</w:t>
            </w:r>
            <w:proofErr w:type="spellEnd"/>
            <w:r>
              <w:rPr>
                <w:rStyle w:val="InstructionsTabelleberschrift"/>
                <w:rFonts w:ascii="Times New Roman" w:hAnsi="Times New Roman"/>
                <w:color w:val="000000" w:themeColor="text1"/>
                <w:u w:val="none"/>
              </w:rPr>
              <w:t xml:space="preserve"> rizikos arba sisteminės rizikos</w:t>
            </w:r>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 xml:space="preserve">Reglamento (ES) Nr. 575/2013 458 straipsnio 2 dalies d punkto </w:t>
            </w:r>
            <w:proofErr w:type="spellStart"/>
            <w:r>
              <w:rPr>
                <w:rStyle w:val="InstructionsTabelleberschrift"/>
                <w:rFonts w:ascii="Times New Roman" w:hAnsi="Times New Roman"/>
                <w:b w:val="0"/>
                <w:color w:val="000000" w:themeColor="text1"/>
                <w:u w:val="none"/>
              </w:rPr>
              <w:t>iv</w:t>
            </w:r>
            <w:proofErr w:type="spellEnd"/>
            <w:r>
              <w:rPr>
                <w:rStyle w:val="InstructionsTabelleberschrift"/>
                <w:rFonts w:ascii="Times New Roman" w:hAnsi="Times New Roman"/>
                <w:b w:val="0"/>
                <w:color w:val="000000" w:themeColor="text1"/>
                <w:u w:val="none"/>
              </w:rPr>
              <w:t xml:space="preserve"> papunktis.</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COREP (OF): {C 04.00;760;010}.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 xml:space="preserve">Šiame laukelyje nurodoma apsaugos rezervo, sudaryto dėl valstybės narės lygmeniu nustatytos </w:t>
            </w:r>
            <w:proofErr w:type="spellStart"/>
            <w:r>
              <w:rPr>
                <w:rFonts w:ascii="Times New Roman" w:hAnsi="Times New Roman"/>
                <w:color w:val="000000" w:themeColor="text1"/>
                <w:sz w:val="20"/>
              </w:rPr>
              <w:t>makroprudencinės</w:t>
            </w:r>
            <w:proofErr w:type="spellEnd"/>
            <w:r>
              <w:rPr>
                <w:rFonts w:ascii="Times New Roman" w:hAnsi="Times New Roman"/>
                <w:color w:val="000000" w:themeColor="text1"/>
                <w:sz w:val="20"/>
              </w:rPr>
              <w:t xml:space="preserve"> rizikos arba sisteminės rizikos, kurį pagal Reglamento (ES) Nr. 575/2013 458 straipsnį gali būti reikalaujama turėti kartu su kapitalo apsaugos rezervu, suma.</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Nurodoma suma atitinka nuosavų lėšų sumą, reikalingą atitinkamiems kapitalo rezervo reikalavimams ataskaitinę dieną įvykdyti.</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Įstaigos specialus anticiklinis rezervas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2013/36/ES 128 straipsnio 2 punktas, 130 ir 135–140 straipsniai.</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(Žr. COREP (OF): {C 04.00;770;010}).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Nurodoma suma atitinka nuosavų lėšų sumą, reikalingą atitinkamiems kapitalo rezervo reikalavimams ataskaitinę dieną įvykdyti.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bookmarkStart w:id="25" w:name="_GoBack"/>
            <w:bookmarkEnd w:id="25"/>
            <w:r>
              <w:rPr>
                <w:rFonts w:ascii="Times New Roman" w:hAnsi="Times New Roman"/>
                <w:color w:val="000000" w:themeColor="text1"/>
                <w:sz w:val="20"/>
              </w:rPr>
              <w:lastRenderedPageBreak/>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Sisteminės rizikos rezervas</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2013/36/ES 128 straipsnio 5 punktas, 133 ir 134 straipsniai.</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(Žr. COREP (OF): {C 04.00;780;010}).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Nurodoma suma atitinka nuosavų lėšų sumą, reikalingą atitinkamiems kapitalo rezervo reikalavimams ataskaitinę dieną įvykdyti.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Pasaulinės sisteminės svarbos įstaigos rezervas</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2013/36/ES 128 straipsnio 3 punktas ir 131 straipsnis.</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04.00;800;010}.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Nurodoma suma atitinka nuosavų lėšų sumą, reikalingą atitinkamiems kapitalo rezervo reikalavimams ataskaitinę dieną įvykdyti.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Kitos sisteminės svarbos įstaigos rezervas</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2013/36/ES 128 straipsnio 4 punktas ir 131 straipsnis.</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04.00;810;010}.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Nurodoma suma atitinka nuosavų lėšų sumą, reikalingą atitinkamiems kapitalo rezervo reikalavimams ataskaitinę dieną įvykdyti.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Bendro kapitalo reikalavimo (OCR) koeficientas</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03.00;160;010}.</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 xml:space="preserve">i ir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papunkčių suma, apskaičiuojama taip:</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0300 eilutėje nurodytas TSCR koeficientas;</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kiek tai teisiniu požiūriu taikytina, jungtinio rezervo reikalavimo koeficientas, nurodytas Direktyvos 2013/36/ES 128 straipsnio 6 punkte.</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Šiame straipsnyje atsižvelgiama į bendro kapitalo reikalavimo (OCR) koeficientą, apibrėžtą EBA SREP gairių 1.2 skirsnyje.</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Jei rezervo reikalavimas nėra taikomas, nurodomas tik i papunktis.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8C46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w:t>
            </w:r>
            <w:r w:rsidR="004E1838">
              <w:rPr>
                <w:rFonts w:ascii="Times New Roman" w:hAnsi="Times New Roman"/>
                <w:b/>
                <w:color w:val="000000" w:themeColor="text1"/>
                <w:sz w:val="20"/>
              </w:rPr>
              <w:t xml:space="preserve"> OCR: sudarytinas iš CET1 kapitalo</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03.00;170;010}.</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i ir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papunkčių suma, apskaičiuojama taip:</w:t>
            </w:r>
          </w:p>
          <w:p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rPr>
              <w:t>TSCR koeficientas, sudarytinas iš CET1 kapitalo, nurodytas 0310 eilutėje;</w:t>
            </w:r>
          </w:p>
          <w:p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kiek tai teisiniu požiūriu taikytina, jungtinio rezervo reikalavimo koeficientas, nurodytas Direktyvos 2013/36/ES 128 straipsnio 6 punkte.</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Jei rezervo reikalavimas nėra taikomas, nurodomas tik i papunktis.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8C46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w:t>
            </w:r>
            <w:r w:rsidR="004E1838">
              <w:rPr>
                <w:rFonts w:ascii="Times New Roman" w:hAnsi="Times New Roman"/>
                <w:b/>
                <w:color w:val="000000" w:themeColor="text1"/>
                <w:sz w:val="20"/>
              </w:rPr>
              <w:t xml:space="preserve"> OCR: sudarytinas iš 1 lygio kapitalo</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03.00;180;010}.</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 xml:space="preserve">i ir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papunkčių suma, apskaičiuojama taip:</w:t>
            </w:r>
          </w:p>
          <w:p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rPr>
              <w:t>TSCR koeficientas, sudarytinas iš 1 lygio kapitalo, nurodytas 0320 eilutėje;</w:t>
            </w:r>
          </w:p>
          <w:p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kiek tai teisiniu požiūriu taikytina, jungtinio rezervo reikalavimo koeficientas, nurodytas Direktyvos 2013/36/ES 128 straipsnio 6 punkte.</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Jei rezervo reikalavimas nėra taikomas, nurodomas tik i papunktis.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ir II ramsčio gairės (P2G)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03.00;190;010}.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 xml:space="preserve">i ir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papunkčių suma, apskaičiuojama taip:</w:t>
            </w:r>
          </w:p>
          <w:p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rPr>
              <w:t>0500 eilutėje nurodytas OCR koeficientas;</w:t>
            </w:r>
          </w:p>
          <w:p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atitinkamais atvejais II ramsčio gairių (P2G) koeficientas, apibrėžtas EBA SREP GL. P2G įtraukiamas tik tuo atveju, jei kompetentinga institucija jį yra pateikusi įstaigai.</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Jei kompetentinga institucija nėra pateikusi P2G, nurodomas tik i papunktis.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sudarytinas iš CET1 kapitalo</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03.00;200;010}.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i ir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papunkčių suma, apskaičiuojama taip:</w:t>
            </w:r>
          </w:p>
          <w:p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rPr>
              <w:t>OCR koeficientas, sudarytinas iš CET1 kapitalo, nurodytas 0520 eilutėje;</w:t>
            </w:r>
          </w:p>
          <w:p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 xml:space="preserve">atitinkamais atvejais P2G koeficiento, nurodyto 0600 eilutės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papunktyje, dalis, kuri pagal kompetentingos institucijos reikalavimą turi būti laikoma CET1 kapitalo pavidalu. P2G įtraukiamas tik tuo atveju, jei kompetentinga institucija jį yra pateikusi įstaigai.</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Jei kompetentinga institucija nėra pateikusi P2G, nurodomas tik i papunktis.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ir P2G: sudarytini iš 1 lygio kapitalo</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03.00;210;010}.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i ir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papunkčių suma, apskaičiuojama taip:</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OCR koeficientas, sudarytinas iš 1 lygio kapitalo, nurodytas 0520 eilutėje;</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atitinkamais atvejais P2G koeficiento, nurodyto 600 eilutės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papunktyje, dalis, kuri pagal kompetentingos institucijos reikalavimą turi būti laikoma 1 lygio kapitalo pavidalu. P2G įtraukiamas tik tuo atveju, jei kompetentinga institucija jį yra pateikusi įstaigai.</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Jei kompetentinga institucija nėra pateikusi P2G, nurodomas tik i papunktis.</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6" w:name="_Toc492542324"/>
      <w:bookmarkStart w:id="27" w:name="_Toc509909042"/>
      <w:bookmarkStart w:id="28" w:name="_Toc525225560"/>
      <w:r>
        <w:rPr>
          <w:rFonts w:ascii="Times New Roman" w:hAnsi="Times New Roman"/>
        </w:rPr>
        <w:t>Z 04.00. Grupės vidaus finansiniai tarpusavio ryšiai (IFC)</w:t>
      </w:r>
      <w:bookmarkEnd w:id="26"/>
      <w:bookmarkEnd w:id="27"/>
      <w:bookmarkEnd w:id="28"/>
    </w:p>
    <w:p w:rsidR="00E13CE3" w:rsidRPr="00D92B3C" w:rsidRDefault="00AD2380" w:rsidP="00EC261B">
      <w:pPr>
        <w:pStyle w:val="Instructionsberschrift3"/>
      </w:pPr>
      <w:r>
        <w:t>Bendrosios pastabos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Šiame šablone reikia pateikti informaciją apie grupės vidaus įsipareigojimus, kuriems taikoma gelbėjimo privačiomis lėšomis priemonė, kapitalo priemones ir garantijas. </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Nurodomi visi į konsoliduotąsias finansines ataskaitas įtrauktų atitinkamų juridinių asmenų finansiniai tarpusavio ryšiai. Tais atvejais, kai nurodomos sumos yra susijusios su tomis pačiomis sandorio šalimis (tiek su emitentu ar garantiją gaunančiu subjektu, tiek su kreditoriumi, priemonės turėtoju ar garantijos teikėju) ir su tos pačios rūšies įsipareigojimais, kapitalo priemonėmis ar garantijomis, jos yra sudedamos.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Šio šablono 0020, 0040 ir 0050 skiltyse nurodytų verčių derinys yra pirminis raktas, kuris turi būti unikalus kiekvienai šablono eilutei.</w:t>
      </w:r>
    </w:p>
    <w:p w:rsidR="00E13CE3" w:rsidRPr="00D92B3C" w:rsidRDefault="00E13CE3" w:rsidP="00715DAB">
      <w:pPr>
        <w:pStyle w:val="Instructionsberschrift3"/>
      </w:pPr>
      <w:r>
        <w:t>Nurodymai dėl konkrečių pozicijų</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Skiltys</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Nurodymai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Emitentas arba garantiją gaunantis subjektas</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Juridinis asmuo, kuris išleidžia įsipareigojimus arba kapitalo priemonę, arba garantiją gaunantis subjektas.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Subjekto pavadinimas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Turi skirtis nuo 0030 skiltyje nurodyto subjekto pavadinimo.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Kodas</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Emitento arba garantiją gaunančio subjekto kodas. Įstaigų kodas yra 20-ies raidinių skaitinių ženklų LEI kodas. Kitų subjektų kodas yra 20-ies raidinių skaitinių ženklų LEI kodas arba, jei jo nėra, pagal Sąjungoje taikomą vienodą kodų sistemą sudarytas kodas, arba, jei jo nėra – nacionalinis kodas.</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Kodas yra unikalus ir nuosekliai naudojamas visuose šablonuose.</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Kodas turi skirtis nuo 0040 skiltyje nurodyto kodo.</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Kreditorius, priemonės turėtojas arba garantijos teikėjas</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Juridinis asmuo, kuris yra įsipareigojimo kreditorius, turi kapitalo priemonę arba teikia garantiją.</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Subjekto pavadinimas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Turi skirtis nuo 0010 skiltyje nurodyto subjekto pavadinimo.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Kodas</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Kreditoriaus, priemonės turėtojo arba garantijos teikėjo kodas. Įstaigų kodas yra 20-ies raidinių skaitinių ženklų LEI kodas. Kitų subjektų kodas yra 20-ies raidinių skaitinių ženklų LEI kodas arba, jei jo nėra, pagal Sąjungoje taikomą vienodą kodų sistemą sudarytas kodas, arba, jei jo nėra – nacionalinis kodas.</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Kodas yra unikalus ir nuosekliai naudojamas visuose šablonuose.</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Turi skirtis nuo 0020 skiltyje nurodyto kodo.</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Finansinis tarpusavio ryšys</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Šiame laukelyje aprašomi atitinkamų juridinių asmenų finansiniai tarpusavio ryšiai.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Rūšis</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Pasirenkama iš šio sąrašo:</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Grupės vidaus įsipareigojimai</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Neapdrausti pirmenybiniai indėliai</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 pati apibrėžtis kaip Z 02.00 (LIAB) šablono 0310 eilutėje.</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Neapdrausti nepirmenybiniai indėliai</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 pati apibrėžtis kaip Z 02.00 (LIAB) šablono 0320 eilutėje.</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Įsipareigojimai, atsirandantys dėl išvestinių finansinių priemonių (užbaigimo sumos)</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 pati apibrėžtis kaip Z 02.00 (LIAB) šablono 0330 eilutėje.</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Įkaitu neužtikrinti užtikrintieji įsipareigojimai</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 pati apibrėžtis kaip Z 02.00 (LIAB) šablono 0340 eilutėje.</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Struktūrizuoti vertybiniai popieriai</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 pati apibrėžtis kaip Z 02.00 (LIAB) šablono 0350 eilutėje.</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Pirmaeiliai neužtikrinti įsipareigojimai</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 pati apibrėžtis kaip Z 02.00 (LIAB) šablono 0360 eilutėje.</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Pirmaeiliai nepirmenybiniai įsipareigojimai</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 pati apibrėžtis kaip Z 02.00 (LIAB) šablono 0365 eilutėje.</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Subordinuotieji įsipareigojimai</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 pati apibrėžtis kaip Z 02.00 (LIAB) šablono 0370 eilutėje.</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Kiti MREL reikalavimus atitinkantys įsipareigojimai</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 pati apibrėžtis kaip Z 02.00 (LIAB) šablono 0380 eilutėje.</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Nefinansiniai įsipareigojimai</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 pati apibrėžtis kaip Z 02.00 (LIAB) šablono 0390 eilutėje.</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Likutiniai įsipareigojimai</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 pati apibrėžtis kaip Z 02.00 (LIAB) šablono 0400 eilutėje. Visi į ankstesnius straipsnius neįtraukti įsipareigojimai.</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2 lygio kapitalas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 pati apibrėžtis kaip Z 02.00 (LIAB) šablono 0530 eilutėje.</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Papildomas 1 lygio kapitalas</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lastRenderedPageBreak/>
              <w:t>Ta pati apibrėžtis kaip Z 02.00 (LIAB) šablono 0520 eilutėje.</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Bendras 1 lygio nuosavas kapitalas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 pati apibrėžtis kaip Z 02.00 (LIAB) šablono 0510 eilutėje.</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Grupės vidaus garantijos</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Emisija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Išleistos su konkrečiomis priemonėmis / įsipareigojimais susijusios garantijos.</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Sandorio šalis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Konkrečiai įstaigos sandorio šaliai suteiktos garantijos.</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Neribotos</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Bendrosios garantijos, neapribotos fiksuota suma.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Kita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Visų kitų rūšių garantijos.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Neapmokėta suma</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Įsipareigojimų atveju (0050 skiltis, L.1, L.2 ir L.4–L.14 rūšys) – neapmokėta grupės vidaus įsipareigojimų suma; įsipareigojimų, atsirandančių dėl išvestinių finansinių priemonių, atveju (L.3 rūšis) – užbaigimo sumos, kaip apibrėžta Z 02.00 (LIAB) šablono 0333 eilutėje.</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Garantijų atveju (0050 skiltis, G.1–G.4 vertės), didžiausia galima būsimų mokėjimų pagal garantiją suma.</w:t>
            </w:r>
            <w:r w:rsidR="008C464E">
              <w:rPr>
                <w:rFonts w:ascii="Times New Roman" w:hAnsi="Times New Roman"/>
                <w:color w:val="000000" w:themeColor="text1"/>
                <w:spacing w:val="-2"/>
                <w:w w:val="95"/>
                <w:sz w:val="20"/>
              </w:rPr>
              <w:t xml:space="preserve">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Iš jos išleista pagal trečiosios valstybės įstatymus</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Pinigų suma išreikšta neapmokėtos sumos dalis, reglamentuojama trečiosios valstybės teisės.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Iš jos atitinka MREL reikalavimus</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Neapmokėta MREL reikalavimus atitinkančių įsipareigojimų suma, apskaičiuota pagal Direktyvos 2014/59/ES 45 straipsnio 4 dalies a ir c–f punktus. Šiuo tikslu apskaičiuojant sumą įsipareigojimai nėra neįtraukiami tik todėl, kad jie yra išleisti grupės subjektui arba jis juos turi.</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9" w:name="_Toc509909043"/>
      <w:bookmarkStart w:id="30" w:name="_Toc525225561"/>
      <w:r>
        <w:rPr>
          <w:rFonts w:ascii="Times New Roman" w:hAnsi="Times New Roman"/>
        </w:rPr>
        <w:t>Z 05.01 ir Z 05.02.</w:t>
      </w:r>
      <w:bookmarkStart w:id="31" w:name="_Toc492542325"/>
      <w:r>
        <w:rPr>
          <w:rFonts w:ascii="Times New Roman" w:hAnsi="Times New Roman"/>
        </w:rPr>
        <w:t xml:space="preserve"> Didžiausios sandorio šalys (MCP)</w:t>
      </w:r>
      <w:bookmarkEnd w:id="29"/>
      <w:bookmarkEnd w:id="31"/>
      <w:bookmarkEnd w:id="30"/>
    </w:p>
    <w:p w:rsidR="00BF5063" w:rsidRPr="00D92B3C" w:rsidRDefault="00BF5063" w:rsidP="00715DAB">
      <w:pPr>
        <w:pStyle w:val="Instructionsberschrift3"/>
      </w:pPr>
      <w:r>
        <w:t>Bendrosios pastabos</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Šiuose šablonuose pateikiama informacija apie įsipareigojimus didžiausioms sandorio šalims (Z 05.01) ir nebalansinius straipsnius, gautus iš didžiausių sandorio šalių (Z 05.02). Tais atvejais, kai nurodomos sumos yra susijusios su tomis pačiomis sandorio šalimis ir su tos pačios rūšies įsipareigojimais arba nebalansiniais straipsniais, jos yra sudedamos.</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Įsipareigojimai ir nebalansiniai straipsniai, kurių sandorio šalies neįmanoma identifikuoti, šiuose šablonuose nenurodomi. Įsipareigojimai ir nebalansiniai straipsniai, kurių sandorio šalis yra subjektas, įtrauktas į konsoliduotąsias finansines ataskaitas, nenurodomi.</w:t>
      </w:r>
    </w:p>
    <w:p w:rsidR="00DF1EA4" w:rsidRPr="00D92B3C" w:rsidRDefault="00F7117F" w:rsidP="00715DAB">
      <w:pPr>
        <w:pStyle w:val="Instructionsberschrift3"/>
      </w:pPr>
      <w:r>
        <w:t>Z 05.01. Didžiausios su įsipareigojimais susijusios sandorio šalys. Nurodymai dėl konkrečių pozicijų.</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Šio šablono 0020 ir 0060 eilutėse nurodytų verčių derinys yra pirminis raktas, kuris turi būti unikalus kiekvienai šablono eilutei.</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Skiltys</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Nurodymai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Sandorio šalis</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Informacija apie didžiausią sandorio šalį, kurios atžvilgiu atsiranda įsipareigojimas.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Didžiausios sandorio šalys identifikuojamos sudedant visų subjekto ar grupės, apie kuriuos teikiama informacija šablone, įsipareigojimų kiekvienai sandorio šaliai ar susijusių klientų grupei, išskyrus įsipareigojimus į konsoliduotąsias finansines ataskaitas įtrauktiems subjektams, neapmokėtas sumas.</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Paskui pagal bendrą neapmokėtą sumą nustatomas sandorio šalių ir susijusių sandorio šalių grupių </w:t>
            </w:r>
            <w:r>
              <w:rPr>
                <w:rFonts w:ascii="Times New Roman" w:hAnsi="Times New Roman"/>
                <w:color w:val="000000" w:themeColor="text1"/>
                <w:spacing w:val="-2"/>
                <w:w w:val="95"/>
                <w:sz w:val="20"/>
              </w:rPr>
              <w:lastRenderedPageBreak/>
              <w:t>eiliškumas ir taip identifikuojamos 10 didžiausių sandorio šalių, apie kurias reikia pateikti informaciją šablone.</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Susijusių sandorio šalių grupės apibrėžtis atitinka Reglamento (ES) Nr. 575/2013 4 straipsnio 1 dalies 39 punkte pateiktą susijusių klientų grupės apibrėžtį.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Šiame šablone nurodomos sandorio šalys gali nebūti į konsoliduotąsias finansines ataskaitas įtraukti subjektai.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Subjekto pavadinimas</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Didžiausios sandorio šalies pavadinimas arba, tam tikrais atvejais, susijusių klientų grupės pavadinimas.</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Susijusių klientų grupės pavadinimas yra patronuojančiosios įmonės pavadinimas arba, jei susijusių klientų grupė patronuojančiosios įmonės neturi, grupės komercinis pavadinimas.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Kodas</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Didžiausios sandorio šalies arba susijusių klientų grupės kodas. Įstaigų kodas yra 20-ies raidinių skaitinių ženklų LEI kodas. Kitų subjektų kodas yra 20-ies raidinių skaitinių ženklų LEI kodas arba, jei jo nėra, pagal Sąjungoje taikomą vienodą kodų sistemą sudarytas kodas, arba, jei jo nėra – nacionalinis kodas.</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Kodas yra unikalus ir nuosekliai naudojamas visuose šablonuose.</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Grupė ar atskiras klientas</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Atskiras didžiausias sandorio šalis įstaiga pažymi skaičiumi „1“, susijusių klientų grupes – „2“.</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Šalis</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Nurodomas sandorio šalies įsisteigimo šalies ISO 3166-1 </w:t>
            </w:r>
            <w:proofErr w:type="spellStart"/>
            <w:r>
              <w:rPr>
                <w:rFonts w:ascii="Times New Roman" w:hAnsi="Times New Roman"/>
                <w:color w:val="000000" w:themeColor="text1"/>
                <w:spacing w:val="-2"/>
                <w:w w:val="95"/>
                <w:sz w:val="20"/>
              </w:rPr>
              <w:t>dviraidis</w:t>
            </w:r>
            <w:proofErr w:type="spellEnd"/>
            <w:r>
              <w:rPr>
                <w:rFonts w:ascii="Times New Roman" w:hAnsi="Times New Roman"/>
                <w:color w:val="000000" w:themeColor="text1"/>
                <w:spacing w:val="-2"/>
                <w:w w:val="95"/>
                <w:sz w:val="20"/>
              </w:rPr>
              <w:t xml:space="preserve"> kodas. Tai apima paskutiniame Eurostato „Mokėjimų balanso vadovo“ leidime nurodytus tarptautinių organizacijų ISO </w:t>
            </w:r>
            <w:proofErr w:type="spellStart"/>
            <w:r>
              <w:rPr>
                <w:rFonts w:ascii="Times New Roman" w:hAnsi="Times New Roman"/>
                <w:color w:val="000000" w:themeColor="text1"/>
                <w:spacing w:val="-2"/>
                <w:w w:val="95"/>
                <w:sz w:val="20"/>
              </w:rPr>
              <w:t>pseudokodus</w:t>
            </w:r>
            <w:proofErr w:type="spellEnd"/>
            <w:r>
              <w:rPr>
                <w:rFonts w:ascii="Times New Roman" w:hAnsi="Times New Roman"/>
                <w:color w:val="000000" w:themeColor="text1"/>
                <w:spacing w:val="-2"/>
                <w:w w:val="95"/>
                <w:sz w:val="20"/>
              </w:rPr>
              <w:t xml:space="preserve">.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Šalis nustatoma pagal sandorio šalies registruotą buveinę. Jei tai susijusių klientų grupė, nurodoma patronuojančiosios įmonės įsisteigimo šalis.</w:t>
            </w:r>
            <w:r w:rsidR="008C464E">
              <w:rPr>
                <w:rFonts w:ascii="Times New Roman" w:hAnsi="Times New Roman"/>
                <w:color w:val="000000" w:themeColor="text1"/>
                <w:spacing w:val="-2"/>
                <w:w w:val="95"/>
                <w:sz w:val="20"/>
              </w:rPr>
              <w:t xml:space="preserve">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Sektorius</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Atsižvelgiant į finansinės informacijos teikimo sistemos FINREP ekonomikos sektorių klases (FINREP V priedo 1 dalies 6 skyrius), kiekviena sandorio šalis priskiriama prie vieno sektoriaus:</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centriniai bankai;</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valdžios sektoriaus institucijos;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kredito įstaigos;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kitos finansų bendrovės;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 finansų bendrovės;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namų ūkiai.</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Jei tai yra susijusių klientų grupė, sektorius nenurodomas.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Rūšis</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Įsipareigojimo rūšis yra viena iš šablone „Z 02.00. Įsipareigojimų struktūra (LIAB)“ nurodytų įsipareigojimų rūšių, konkrečiai:</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L.0.</w:t>
            </w:r>
            <w:r>
              <w:tab/>
            </w:r>
            <w:r>
              <w:rPr>
                <w:rFonts w:ascii="Times New Roman" w:hAnsi="Times New Roman"/>
                <w:color w:val="000000" w:themeColor="text1"/>
                <w:spacing w:val="-2"/>
                <w:w w:val="95"/>
                <w:sz w:val="20"/>
              </w:rPr>
              <w:t>Įsipareigojimai, kuriems netaikoma gelbėjimo privačiomis lėšomis priemonė</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Neapdrausti pirmenybiniai indėliai</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Neapdrausti nepirmenybiniai indėliai</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Įsipareigojimai, atsirandantys dėl išvestinių finansinių priemonių</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L.4.</w:t>
            </w:r>
            <w:r>
              <w:tab/>
            </w:r>
            <w:r>
              <w:rPr>
                <w:rFonts w:ascii="Times New Roman" w:hAnsi="Times New Roman"/>
                <w:color w:val="000000" w:themeColor="text1"/>
                <w:spacing w:val="-2"/>
                <w:w w:val="95"/>
                <w:sz w:val="20"/>
              </w:rPr>
              <w:t>Įkaitu neužtikrinti užtikrintieji įsipareigojimai</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Struktūrizuoti vertybiniai popieriai</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L.6.</w:t>
            </w:r>
            <w:r>
              <w:tab/>
            </w:r>
            <w:r>
              <w:rPr>
                <w:rFonts w:ascii="Times New Roman" w:hAnsi="Times New Roman"/>
                <w:color w:val="000000" w:themeColor="text1"/>
                <w:spacing w:val="-2"/>
                <w:w w:val="95"/>
                <w:sz w:val="20"/>
              </w:rPr>
              <w:t>Pirmaeiliai neužtikrinti įsipareigojimai</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L.7. Pirmaeiliai nepirmenybiniai įsipareigojimai</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Subordinuotieji įsipareigojimai (nepripažįstami kaip nuosavos lėšos)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L.9.</w:t>
            </w:r>
            <w:r>
              <w:tab/>
            </w:r>
            <w:r>
              <w:rPr>
                <w:rFonts w:ascii="Times New Roman" w:hAnsi="Times New Roman"/>
                <w:color w:val="000000" w:themeColor="text1"/>
                <w:spacing w:val="-2"/>
                <w:w w:val="95"/>
                <w:sz w:val="20"/>
              </w:rPr>
              <w:t>Kiti MREL reikalavimus atitinkantys įsipareigojimai</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L.10.</w:t>
            </w:r>
            <w:r>
              <w:tab/>
            </w:r>
            <w:r>
              <w:rPr>
                <w:rFonts w:ascii="Times New Roman" w:hAnsi="Times New Roman"/>
                <w:color w:val="000000" w:themeColor="text1"/>
                <w:spacing w:val="-2"/>
                <w:w w:val="95"/>
                <w:sz w:val="20"/>
              </w:rPr>
              <w:t>Nefinansiniai įsipareigojimai</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L.11.</w:t>
            </w:r>
            <w:r>
              <w:tab/>
            </w:r>
            <w:r>
              <w:rPr>
                <w:rFonts w:ascii="Times New Roman" w:hAnsi="Times New Roman"/>
                <w:color w:val="000000" w:themeColor="text1"/>
                <w:spacing w:val="-2"/>
                <w:w w:val="95"/>
                <w:sz w:val="20"/>
              </w:rPr>
              <w:t>Likutiniai įsipareigojimai</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Jeigu įsipareigojimus didžiausiai sandorio šaliai sudaro daugiau nei vienos rūšies pirmiau nurodyti įsipareigojimai, kiekvienos rūšies įsipareigojimai nurodomi atskiroje eilutėje.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Suma</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Suma atitinka neapmokėtos sumos apibrėžtį, taikomą šablonui „Z 02.00. Įsipareigojimų struktūra“. Įsipareigojimų, atsirandančių dėl išvestinių finansinių priemonių (L.3), atveju nurodomos užbaigimo sumos, kaip apibrėžta Z 02.00 šablono 0333 eilutėje.</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Z 05.02. Didžiausios į balansą neįtrauktos sandorio šalys. Nurodymai dėl konkrečių pozicijų</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Šio šablono 0020 ir 0060 eilutėse nurodytų verčių derinys yra pirminis raktas, kuris turi būti unikalus kiekvienai šablono eilutei.</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Skiltys</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Nurodymai</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Sandorio šalys</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Pateikiama informacija apie didžiausias į balansą neįtrauktas sandorio šalis.</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Didžiausios į balansą neįtrauktos sandorio šalys nustatomos sudedant subjekto arba grupės subjektų, apie kuriuos teikiama informacija šablone, iš sandorio šalių arba susijusių klientų grupės gautų įsipareigojimų ir finansinių garantijų (kaip apibrėžta FINREP F 09 formos tikslais) bendrą nominaliąją vertę. Prie didžiausių į balansą neįtrauktų sandorio šalių nepriskiriami į grupės konsoliduotąsias finansines ataskaitas įtraukti subjektai. Paskui pagal bendrą sumą nustatomas sandorio šalių ir susijusių klientų grupių eiliškumas ir taip identifikuojamos 10 didžiausių į balansą neįtrauktų sandorio šalių, apie kurias reikia pateikti informaciją šablone.</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Šiame šablone nurodomos tik į konsoliduotąsias finansines ataskaitas neįtrauktos sandorio šalys.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Subjekto pavadinimas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Žr. nurodymus dėl Z 05.01 šablono 0010 skilties.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Žr. nurodymus dėl Z 05.01 šablono 0020 skilties.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Grupė ar atskiras klientas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Žr. nurodymus dėl Z 05.01 šablono 0030 skilties.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Šalis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Žr. nurodymus dėl Z 05.01 šablono 0040 skilties.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Sektorius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Žr. nurodymus dėl Z 05.01 šablono 0050 skilties.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Rūšis</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Nebalansinės pozicijos rūšis yra viena iš toliau nurodytų rūšių, kaip apibrėžta FINREP F 09.02 formoje:</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OBS.1.</w:t>
            </w:r>
            <w:r>
              <w:tab/>
            </w:r>
            <w:r>
              <w:rPr>
                <w:rFonts w:ascii="Times New Roman" w:hAnsi="Times New Roman"/>
                <w:color w:val="000000" w:themeColor="text1"/>
                <w:spacing w:val="-2"/>
                <w:w w:val="95"/>
                <w:sz w:val="20"/>
              </w:rPr>
              <w:t>Gauti kreditavimo įsipareigojimai</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OBS.2.</w:t>
            </w:r>
            <w:r>
              <w:tab/>
            </w:r>
            <w:r>
              <w:rPr>
                <w:rFonts w:ascii="Times New Roman" w:hAnsi="Times New Roman"/>
                <w:color w:val="000000" w:themeColor="text1"/>
                <w:spacing w:val="-2"/>
                <w:w w:val="95"/>
                <w:sz w:val="20"/>
              </w:rPr>
              <w:t>Gautos finansinės garantijos</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OBS.3.</w:t>
            </w:r>
            <w:r>
              <w:tab/>
            </w:r>
            <w:r>
              <w:rPr>
                <w:rFonts w:ascii="Times New Roman" w:hAnsi="Times New Roman"/>
                <w:color w:val="000000" w:themeColor="text1"/>
                <w:spacing w:val="-2"/>
                <w:w w:val="95"/>
                <w:sz w:val="20"/>
              </w:rPr>
              <w:t>Kiti gauti įsipareigojimai</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Jeigu iš didžiausios sandorio šalies gautą nebalansinį straipsnį sudaro daugiau nei vienos pirmiau nurodytos rūšies įsipareigojimai, kiekvienos rūšies nebalansiniai straipsniai nurodomi atskirose eilutėse.</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 xml:space="preserve">Suma </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2" w:name="_Toc492542326"/>
      <w:bookmarkStart w:id="33" w:name="_Toc509909044"/>
      <w:bookmarkStart w:id="34" w:name="_Toc525225562"/>
      <w:r>
        <w:rPr>
          <w:rFonts w:ascii="Times New Roman" w:hAnsi="Times New Roman"/>
        </w:rPr>
        <w:t>Z 06.00. Indėlių draudimas (DIS)</w:t>
      </w:r>
      <w:bookmarkEnd w:id="32"/>
      <w:bookmarkEnd w:id="33"/>
      <w:bookmarkEnd w:id="34"/>
    </w:p>
    <w:p w:rsidR="008F7980" w:rsidRPr="00D92B3C" w:rsidRDefault="006A7DCF" w:rsidP="00715DAB">
      <w:pPr>
        <w:pStyle w:val="Instructionsberschrift3"/>
      </w:pPr>
      <w:r>
        <w:t>Bendrosios pastabos</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Šiame šablone apžvelgiamas grupės indėlių draudimas ir indėlių garantijų sistemos, kurių narės yra kredito įstaigos, kurios yra atitinkami juridiniai asmenys.</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Kiekviena grupei priklausanti kredito įstaiga nurodoma atskiroje eilutėje.</w:t>
      </w:r>
    </w:p>
    <w:p w:rsidR="006A7DCF" w:rsidRPr="00D92B3C" w:rsidRDefault="006A7DCF" w:rsidP="00715DAB">
      <w:pPr>
        <w:pStyle w:val="Instructionsberschrift3"/>
      </w:pPr>
      <w:r>
        <w:t>Nurodymai dėl konkrečių pozicijų</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Nurodymai</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Subjektas</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Subjekto pavadinimas</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Subjekto pavadinimas, nurodytas šablone „Z 01.00. Organizacinė struktūra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Kodas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Subjekto kodas, nurodytas šablone „Z 01.00. Organizacinė struktūra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Kiekvienai šablono eilutei suteikiamas unikalus eilutės identifikatorius.</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IGS</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2014/49/ES 4 straipsnio 3 dalis.</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Oficialiai pripažintos IGS, kurios narys subjektas yra taikant Direktyvą 2014/49/ES, pavadinimas. Tai yra subjekto įsisteigimo valstybės narės IGS, neįskaitant kitų IGS, kurios kitose valstybėse narėse gali teikti papildomą apsaugą (papildomą draudimą) subjekto klientams per toje valstybėje narėje esantį subjekto filialą. Jeigu įstaiga yra institucinės užtikrinimo sistemos, kuri pagal Direktyvos 2014/49/ES 4 straipsnio 2 dalį taip pat yra oficialiai pripažinta kaip IGS, narė, IGS pavadinimas yra identiškas 050 eilutėje nurodytam institucinės užtikrinimo sistemos pavadinimui.</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Kiekvienos subjekto įsisteigimo šalies IGS pasirenkama iš toliau pateikto sąrašo.</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Austrija</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Bankiers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Sparkassen-Haftungs</w:t>
            </w:r>
            <w:proofErr w:type="spellEnd"/>
            <w:r>
              <w:rPr>
                <w:rFonts w:ascii="Times New Roman" w:hAnsi="Times New Roman"/>
                <w:color w:val="000000" w:themeColor="text1"/>
                <w:spacing w:val="-2"/>
                <w:w w:val="95"/>
                <w:sz w:val="20"/>
              </w:rPr>
              <w:t xml:space="preserve">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Österreichische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Raiffeisen-Einlagensicherung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eGen</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Volksbank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Hypo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Haftungs-Gesellschaft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m.b.H</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Belgija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Garantiefonds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voor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financiële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diensten</w:t>
            </w:r>
            <w:proofErr w:type="spellEnd"/>
            <w:r>
              <w:rPr>
                <w:rFonts w:ascii="Times New Roman" w:hAnsi="Times New Roman"/>
                <w:color w:val="000000" w:themeColor="text1"/>
                <w:spacing w:val="-2"/>
                <w:w w:val="95"/>
                <w:sz w:val="20"/>
              </w:rPr>
              <w:t xml:space="preserve"> / </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pour</w:t>
            </w:r>
            <w:proofErr w:type="spellEnd"/>
            <w:r>
              <w:rPr>
                <w:rFonts w:ascii="Times New Roman" w:hAnsi="Times New Roman"/>
                <w:color w:val="000000" w:themeColor="text1"/>
                <w:spacing w:val="-2"/>
                <w:w w:val="95"/>
                <w:sz w:val="20"/>
              </w:rPr>
              <w:t xml:space="preserve"> les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financiers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lastRenderedPageBreak/>
              <w:t>Bulgarija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Фондът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за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гарантиране</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на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влоговете</w:t>
            </w:r>
            <w:proofErr w:type="spellEnd"/>
            <w:r>
              <w:rPr>
                <w:rFonts w:ascii="Times New Roman" w:hAnsi="Times New Roman"/>
                <w:color w:val="000000" w:themeColor="text1"/>
                <w:spacing w:val="-2"/>
                <w:w w:val="95"/>
                <w:sz w:val="20"/>
              </w:rPr>
              <w:t xml:space="preserve"> в </w:t>
            </w:r>
            <w:proofErr w:type="spellStart"/>
            <w:r>
              <w:rPr>
                <w:rFonts w:ascii="Times New Roman" w:hAnsi="Times New Roman"/>
                <w:color w:val="000000" w:themeColor="text1"/>
                <w:spacing w:val="-2"/>
                <w:w w:val="95"/>
                <w:sz w:val="20"/>
              </w:rPr>
              <w:t>банките</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Kroatija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Državna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agencija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za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osiguranje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štednih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uloga</w:t>
            </w:r>
            <w:proofErr w:type="spellEnd"/>
            <w:r>
              <w:rPr>
                <w:rFonts w:ascii="Times New Roman" w:hAnsi="Times New Roman"/>
                <w:color w:val="000000" w:themeColor="text1"/>
                <w:spacing w:val="-2"/>
                <w:w w:val="95"/>
                <w:sz w:val="20"/>
              </w:rPr>
              <w:t xml:space="preserve"> i </w:t>
            </w:r>
            <w:proofErr w:type="spellStart"/>
            <w:r>
              <w:rPr>
                <w:rFonts w:ascii="Times New Roman" w:hAnsi="Times New Roman"/>
                <w:color w:val="000000" w:themeColor="text1"/>
                <w:spacing w:val="-2"/>
                <w:w w:val="95"/>
                <w:sz w:val="20"/>
              </w:rPr>
              <w:t>sanaciju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banaka</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Kipras</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Σύστημα</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των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Καταθέσεων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Εξυγίανσης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Πιστωτικών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Άλλων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Ιδρυμάτων</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Čekija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Garanční</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systém</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finančního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trhu</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Danija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Garantiformuen</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Estija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Tagastisfond</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Suomija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Talletussuojarahasto</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Prancūzija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et de </w:t>
            </w:r>
            <w:proofErr w:type="spellStart"/>
            <w:r>
              <w:rPr>
                <w:rFonts w:ascii="Times New Roman" w:hAnsi="Times New Roman"/>
                <w:color w:val="000000" w:themeColor="text1"/>
                <w:spacing w:val="-2"/>
                <w:w w:val="95"/>
                <w:sz w:val="20"/>
              </w:rPr>
              <w:t>Résolution</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Vokietija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Bundesverbandes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Öffentlicher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Deutschlands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Sicherungseinrichtung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Sparkassen-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Giroverbandes</w:t>
            </w:r>
            <w:proofErr w:type="spellEnd"/>
            <w:r>
              <w:rPr>
                <w:rFonts w:ascii="Times New Roman" w:hAnsi="Times New Roman"/>
                <w:color w:val="000000" w:themeColor="text1"/>
                <w:spacing w:val="-2"/>
                <w:w w:val="95"/>
                <w:sz w:val="20"/>
              </w:rPr>
              <w:t xml:space="preserve"> (DSGV-</w:t>
            </w:r>
            <w:proofErr w:type="spellStart"/>
            <w:r>
              <w:rPr>
                <w:rFonts w:ascii="Times New Roman" w:hAnsi="Times New Roman"/>
                <w:color w:val="000000" w:themeColor="text1"/>
                <w:spacing w:val="-2"/>
                <w:w w:val="95"/>
                <w:sz w:val="20"/>
              </w:rPr>
              <w:t>Haftungsverbund</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„BVR </w:t>
            </w:r>
            <w:proofErr w:type="spellStart"/>
            <w:r>
              <w:rPr>
                <w:rFonts w:ascii="Times New Roman" w:hAnsi="Times New Roman"/>
                <w:color w:val="000000" w:themeColor="text1"/>
                <w:spacing w:val="-2"/>
                <w:w w:val="95"/>
                <w:sz w:val="20"/>
              </w:rPr>
              <w:t>Institutssicherung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Gibraltaras</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Gibraltar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Guarantee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Graikija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Ταμείο</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Καταθέσεων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Επενδύσεων</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Vengrija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Országos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Betétbiztosítási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Alap</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Islandija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Tryggingarsjóður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innstæðueigenda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fjárfesta</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Airija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Irish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Protection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Italija </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„Fondo </w:t>
            </w:r>
            <w:proofErr w:type="spellStart"/>
            <w:r>
              <w:rPr>
                <w:rFonts w:ascii="Times New Roman" w:hAnsi="Times New Roman"/>
                <w:color w:val="000000" w:themeColor="text1"/>
                <w:spacing w:val="-2"/>
                <w:w w:val="95"/>
                <w:sz w:val="20"/>
              </w:rPr>
              <w:t>Interbancario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Tutela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Depositi</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„Fondo </w:t>
            </w:r>
            <w:proofErr w:type="spellStart"/>
            <w:r>
              <w:rPr>
                <w:rFonts w:ascii="Times New Roman" w:hAnsi="Times New Roman"/>
                <w:color w:val="000000" w:themeColor="text1"/>
                <w:spacing w:val="-2"/>
                <w:w w:val="95"/>
                <w:sz w:val="20"/>
              </w:rPr>
              <w:t>di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Garanzia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Depositanti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Credito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Cooperativo</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Latvija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Latvijas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Noguldījumu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Lichtenšteinas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Einlagensicherungs-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Anlegerentschädigungs-Stiftung</w:t>
            </w:r>
            <w:proofErr w:type="spellEnd"/>
            <w:r>
              <w:rPr>
                <w:rFonts w:ascii="Times New Roman" w:hAnsi="Times New Roman"/>
                <w:color w:val="000000" w:themeColor="text1"/>
                <w:spacing w:val="-2"/>
                <w:w w:val="95"/>
                <w:sz w:val="20"/>
              </w:rPr>
              <w:t xml:space="preserve">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Lietuva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„Indėlių ir investicijų draudimas“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lastRenderedPageBreak/>
              <w:t>Liuksemburgas</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Luxembourg</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Malta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Depositor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Nyderlandai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 </w:t>
            </w:r>
            <w:proofErr w:type="spellStart"/>
            <w:r>
              <w:rPr>
                <w:rFonts w:ascii="Times New Roman" w:hAnsi="Times New Roman"/>
                <w:color w:val="000000" w:themeColor="text1"/>
                <w:spacing w:val="-2"/>
                <w:w w:val="95"/>
                <w:sz w:val="20"/>
              </w:rPr>
              <w:t>Nederlandsche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Depositogarantiestelsel</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Norvegija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Bankenes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sikringsfond</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Lenkija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Bankowy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Fundusz</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Gwarancyjny</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Portugalija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Fundo</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Fundo</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Agrícola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Mútuo</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Rumunija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Fondul</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Garantare</w:t>
            </w:r>
            <w:proofErr w:type="spellEnd"/>
            <w:r>
              <w:rPr>
                <w:rFonts w:ascii="Times New Roman" w:hAnsi="Times New Roman"/>
                <w:color w:val="000000" w:themeColor="text1"/>
                <w:spacing w:val="-2"/>
                <w:w w:val="95"/>
                <w:sz w:val="20"/>
              </w:rPr>
              <w:t xml:space="preserve"> a </w:t>
            </w:r>
            <w:proofErr w:type="spellStart"/>
            <w:r>
              <w:rPr>
                <w:rFonts w:ascii="Times New Roman" w:hAnsi="Times New Roman"/>
                <w:color w:val="000000" w:themeColor="text1"/>
                <w:spacing w:val="-2"/>
                <w:w w:val="95"/>
                <w:sz w:val="20"/>
              </w:rPr>
              <w:t>Depozitelor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Sistemul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Bancar</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Slovakija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ochrany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vkladov</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Slovėnija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Slovenije</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Ispanija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„Fondo de </w:t>
            </w:r>
            <w:proofErr w:type="spellStart"/>
            <w:r>
              <w:rPr>
                <w:rFonts w:ascii="Times New Roman" w:hAnsi="Times New Roman"/>
                <w:color w:val="000000" w:themeColor="text1"/>
                <w:spacing w:val="-2"/>
                <w:w w:val="95"/>
                <w:sz w:val="20"/>
              </w:rPr>
              <w:t>Garantía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Entidades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Švedija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Riksgälden</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JK</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Financial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Jeigu oficialiai pripažintos IGS, kurios narys yra subjektas, pirmiau pateiktame sąraše nėra, nurodoma „kita“.</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Apdraustųjų indėlių suma</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2014/49/ES 2 straipsnio 1 dalies 5 punktas ir 6 straipsnio 2 dalis.</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Apdraustųjų indėlių suma, kaip apibrėžta Direktyvos 2014/49/ES 2 straipsnio 1 dalies 5 punkte kartu su 6 straipsniu, draudžiama 00030 eilutėje nurodytos IGS, išskyrus laikinas dideles sumas sąskaitoje, kaip nurodyta Direktyvos 2014/49/ES 6 straipsnio 2 dalyje.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Institucinė užtikrinimo sistema</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Reglamento (ES) Nr. 575/2013 113 straipsnio 7 dalis.</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Reglamento (ES) Nr. 575/2013 113 straipsnio 7 dalyje nurodytos institucinės užtikrinimo sistemos, kurios narys yra subjektas, pavadinimas. Jeigu subjektas nėra institucinės užtikrinimo sistemos narys, informacijos pateikti nereikia. Jeigu subjektas yra institucinės užtikrinimo sistemos, kuri pagal Direktyvos 2014/49/ES 4 straipsnio 2 dalį taip pat yra oficialiai pripažinta kaip IGS, narys, institucinės užtikrinimo sistemos pavadinimas yra identiškas 030 eilutėje nurodytam IGS pavadinimui.</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Papildoma apsauga pagal sutartinę sistemą</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Direktyvos 2014/49/ES 1 straipsnio 3 dalies a punktas.</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Indėlių suma, subjekto apdrausta pagal sutartinę sistemą.</w:t>
            </w:r>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35" w:name="_Toc492542327"/>
      <w:bookmarkStart w:id="36" w:name="_Toc509909045"/>
      <w:bookmarkStart w:id="37" w:name="_Toc525225563"/>
      <w:r>
        <w:rPr>
          <w:rFonts w:ascii="Times New Roman" w:hAnsi="Times New Roman"/>
        </w:rPr>
        <w:t>Ypatingos svarbos funkcijos ir pagrindinės verslo linijos</w:t>
      </w:r>
      <w:bookmarkEnd w:id="35"/>
      <w:bookmarkEnd w:id="36"/>
      <w:bookmarkEnd w:id="37"/>
    </w:p>
    <w:p w:rsidR="00AA4026" w:rsidRPr="00D92B3C" w:rsidRDefault="00AA4026" w:rsidP="00715DAB">
      <w:pPr>
        <w:pStyle w:val="Instructionsberschrift3"/>
      </w:pPr>
      <w:r>
        <w:t>Bendrosios pastabos</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Keturiuose šio skirsnio šablonuose pateikiami grupės atliekamų ekonominių funkcijų ir jų poveikio, pakeičiamumo ir ypatingos svarbos pagrindiniai duomenys ir kokybiniai vertinimai, kartu nurodant, kaip tos ypatingos svarbos funkcijos yra susietos su pagrindinėmis verslo linijomis ir juridiniais asmenimis.</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Kalbant konkrečiau, šablonai skirti šioms temoms:</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šablone „Z 07.01. Ekonominių funkcijų ypatingos svarbos vertinimas (FUNC 1)“ pagal kiekybinius ir kokybinius rodiklius nurodomos kiekvienoje valstybėje narėje, kurioje grupė vykdo veiklą, grupės atliekamos ne ypatingos ir ypatingos svarbos funkcijos;</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šablone „Z 07.02. Ypatingos svarbos funkcijų susiejimas su juridiniais asmenimis (FUNC 2)“ nurodytos ypatingos svarbos funkcijos susiejamos su juridiniais asmenimis ir įvertinama, ar kiekvienas juridinis asmuo laikomas reikšmingu vykdant ypatingos svarbos funkciją, ar ne;</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šablone „Z 07.03. Pagrindinių verslo linijų susiejimas su juridiniais asmenimis (FUNC 3)“ pateikiamas išsamus pagrindinių verslo linijų sąrašas ir jos susiejamos su juridiniais asmenimis;</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šablone „Z 07.04. Ypatingos svarbos funkcijų susiejimas su pagrindinėmis verslo linijomis (FUNC 4)“ nurodytos ypatingos svarbos funkcijos susiejamos su verslo linijomis.</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Pagal Direktyvos 2014/59/ES 2 straipsnio 1 dalies 35 punktą ypatingos svarbos funkcijos yra veikla, paslaugos ar operacijos, kurias nutraukus, tikėtina, vienoje ar daugiau valstybių narių dėl atitinkamos įstaigos arba grupės dydžio, jos kontroliuojamos rinkos dalies, išorės ar vidaus tarpusavio sąsajų, sudėtingumo ar tarpvalstybinės veiklos sutriktų itin svarbios realiajai ekonomikai teikiamos paslaugos arba sutriktų finansinis stabilumas, visų pirma atsižvelgiant į tos veiklos, paslaugų ar operacijų pakeičiamumą. </w:t>
      </w:r>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Pagal Komisijos reglamento (ES) 2016/778</w:t>
      </w:r>
      <w:r>
        <w:rPr>
          <w:rFonts w:ascii="Times New Roman" w:hAnsi="Times New Roman"/>
          <w:vertAlign w:val="superscript"/>
        </w:rPr>
        <w:footnoteReference w:id="16"/>
      </w:r>
      <w:r>
        <w:rPr>
          <w:rFonts w:ascii="Times New Roman" w:hAnsi="Times New Roman"/>
          <w:sz w:val="20"/>
        </w:rPr>
        <w:t xml:space="preserve"> 6 straipsnio 1 dalį funkcija laikoma ypatingos svarbos, kai ji atitinka abi šias sąlygas:</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funkcija yra įstaigos teikiama trečiosioms šalims, nesusijusioms su įstaiga arba grupe, ir</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staigus tos funkcijos sutrikimas greičiausiai turėtų reikšmingą neigiamą poveikį trečiosioms šalims, sukeltų plintantį neigiamą poveikį arba pakirstų rinkos dalyvių pasitikėjimą dėl funkcijos sisteminės svarbos trečiosioms šalims ir įstaigos arba grupės sisteminės svarbos teikiant funkciją.</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Pagal Direktyvos 2014/59/ES 2 straipsnio 1 dalies 36 punktą „pagrindinės verslo linijos – verslo linijos ir susijusios paslaugos, kurios yra reikšmingi įstaigos arba grupės, kuriai ji priklauso, pajamų, pelno ar franšizės vertės šaltiniai“.</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Šiame šablone ekonominės funkcijos nurodo toliau lentelėje išvardytas funkcijas.</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Kiekvienos kategorijos funkcijai galima parinkti ekonominę funkciją arba nurodyti „kita“, jeigu funkcija neįtraukta į kitas jau apibrėžtas funkcijas.</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0010–0070 ir 0080–0150 eilutėse nurodytos sandorio šalys yra apibrėžiamos taip pat kaip sandorio šalių sektoriai, nurodyti FINREP V priedo 1 dalies 6 skyriuje. MVĮ – mažosios ir vidutinės įmonės, kaip apibrėžta FINREP V priedo 1 dalies 5 punkto i papunktyje.</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Identifikatorius</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Ekonominė funkcija</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Indėliai</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Indėlių priėmimas reiškia indėlių priėmimą iš nefinansinių tarpininkų. Tai neapima skolinimosi iš kitų finansinių tarpininkų; šios rūšies veikla nurodoma atskirai didmeniniam finansavimui skirtame skirsnyje.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Indėliai apima: i) einamąsias sąskaitas / vienos nakties indėlius,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xml:space="preserve">) sutarto termino indėlius ir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įspėjamojo laikotarpio indėlius ir neapima atpirkimo sandorių.</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Nuorodos: Finansinio stabilumo tarybos gairės dėl ypatingos svarbos funkcijų ir ypatingos svarbos bendrų paslaugų nustatymo („FSB </w:t>
            </w:r>
            <w:proofErr w:type="spellStart"/>
            <w:r>
              <w:rPr>
                <w:rFonts w:ascii="Times New Roman" w:hAnsi="Times New Roman"/>
                <w:color w:val="000000" w:themeColor="text1"/>
                <w:spacing w:val="-2"/>
                <w:w w:val="95"/>
                <w:sz w:val="20"/>
              </w:rPr>
              <w:t>Guidance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Identification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of</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Functions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Shared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2013 m.), p. 14; Reglamento (ES) Nr. 1071/2013 II priedo 2 dalies 9.1, 9.2 ir 9.3 punktai.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Namų ūkiai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Ne finansų bendrovės (MVĮ)</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Ne finansų bendrovės (ne MVĮ)</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Valdžios sektoriaus institucijos</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Kiti sektoriai / sandorio šalys (1), (2) ir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Skolinimas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Skolinimas yra lėšų teikimas ne finansų sandorio šalims, pavyzdžiui, įmonėms arba mažmeniniams klientams. Skolinimas finansų sandorio šalims yra atskira veiklos rūšis, vertinama didmeniniam finansavimui skirtame skirsnyje. Paskolos apima įstaigų laikomas skolos priemones, bet neapima skolos priemonių, kurias sudaro vertybiniai popieriai, nepriklausomai nuo to, kaip jie klasifikuojami apskaitoje (pvz., laikomi iki termino ar laikomi parduoti).</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Nuorodos: Finansinio stabilumo tarybos gairės dėl ypatingos svarbos funkcijų ir ypatingos svarbos bendrų paslaugų nustatymo (2013 m.), p. 17; Reglamento (ES) Nr. 1071/2013 II priedo 2 dalies 2 punktas.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Namų ūkiai: paskolos būstui pirkti</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„Paskolos būstui pirkti“ yra namų ūkiams suteikti kreditai, siekiant investuoti į būstą savo naudojimui arba nuomai, įskaitant statybą ir remontą.</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Namų ūkiai: kitos paskolos</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 finansų bendrovės: MVĮ</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 finansų bendrovės: ne MVĮ</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Valdžios sektoriaus institucijos;</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Kiti sektoriai / sandorio šalys (1), (2) ir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Mokėjimų, grynųjų pinigų, atsiskaitymo, tarpuskaitos, saugojimo paslaugos</w:t>
            </w:r>
          </w:p>
          <w:p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Nuoroda: Finansinio stabilumo tarybos gairės dėl ypatingos svarbos funkcijų ir ypatingos svarbos bendrų paslaugų nustatymo (2013 m.), p. 20.</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Prie šios kategorijos priskiriamos ekonominės funkcijos apima mokėjimų, grynųjų pinigų, atsiskaitymo, tarpuskaitos ir </w:t>
            </w:r>
            <w:r>
              <w:rPr>
                <w:rFonts w:ascii="Times New Roman" w:hAnsi="Times New Roman"/>
                <w:color w:val="000000" w:themeColor="text1"/>
                <w:spacing w:val="-2"/>
                <w:w w:val="95"/>
                <w:sz w:val="20"/>
              </w:rPr>
              <w:lastRenderedPageBreak/>
              <w:t>saugojimo paslaugas, kredito įstaigos teikiamas jai tarpininkaujant tarp savo klientų arba tarp kliento ir vienos ar kelių atitinkamų finansų rinkos infrastruktūrų, arba (netiesioginės) prieigos prie finansų rinkos infrastruktūrų teikimą kitiems bankams. Pagal Finansinio stabilumo tarybos gaires dėl ypatingos svarbos funkcijų ir ypatingos svarbos bendrų paslaugų nustatymo mokėjimų, tarpuskaitos ir atsiskaitymo funkciją sudaro tik bankų klientams teikiamos paslaugos. Ši kategorija neapima paslaugų, kurias teikia (tikrieji) finansų rinkos infrastruktūros teikėjai. Šiame šablone finansų rinkos infrastruktūros apima mokėjimo sistemas,</w:t>
            </w:r>
            <w:r w:rsidR="008C464E">
              <w:rPr>
                <w:rFonts w:ascii="Times New Roman" w:hAnsi="Times New Roman"/>
                <w:color w:val="000000" w:themeColor="text1"/>
                <w:spacing w:val="-2"/>
                <w:w w:val="95"/>
                <w:sz w:val="20"/>
              </w:rPr>
              <w:t xml:space="preserve">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vertybinių popierių atsiskaitymo sistemas, centrinius vertybinių popierių depozitoriumus ir pagrindines sandorio šalis (ir neapima sandorių duomenų saugyklų).</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Mokėjimo paslauga, mokėjimo operacija ir mokėjimo sistema turi tą pačią reikšmę, kaip apibrėžta Direktyvos 2015/2366</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 xml:space="preserve"> dėl mokėjimo paslaugų vidaus rinkoje 4 straipsnio 3, 5 ir 7 punktuose.</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Mokėjimo paslaugos PFĮ</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Į šią eilutę įtraukiamos mokėjimo paslaugos, teikiamos pinigų finansų įstaigoms (PFĮ) naudojant išorės mokėjimo sistemas arba jų nenaudojant. Tai taip pat apima korespondentinės bankininkystės paslaugas (t. y. su jomis susijusius mokėjimus). PFĮ apima visus institucinius vienetus, įtrauktus į šiuos </w:t>
            </w:r>
            <w:proofErr w:type="spellStart"/>
            <w:r>
              <w:rPr>
                <w:rFonts w:ascii="Times New Roman" w:hAnsi="Times New Roman"/>
                <w:color w:val="000000" w:themeColor="text1"/>
                <w:spacing w:val="-2"/>
                <w:w w:val="95"/>
                <w:sz w:val="20"/>
              </w:rPr>
              <w:t>subsektorius</w:t>
            </w:r>
            <w:proofErr w:type="spellEnd"/>
            <w:r>
              <w:rPr>
                <w:rFonts w:ascii="Times New Roman" w:hAnsi="Times New Roman"/>
                <w:color w:val="000000" w:themeColor="text1"/>
                <w:spacing w:val="-2"/>
                <w:w w:val="95"/>
                <w:sz w:val="20"/>
              </w:rPr>
              <w:t xml:space="preserve">: i) centrinį banką;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xml:space="preserve">) indėlių bendroves, išskyrus centrinį banką, ir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pinigų fondus.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Mokėjimo paslaugos ne PFĮ</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Mokėjimo paslaugos, teikiamos klientams naudojant išorės mokėjimo sistemas arba jų nenaudojant.</w:t>
            </w:r>
            <w:r w:rsidR="008C464E">
              <w:rPr>
                <w:rFonts w:ascii="Times New Roman" w:hAnsi="Times New Roman"/>
                <w:color w:val="000000" w:themeColor="text1"/>
                <w:spacing w:val="-2"/>
                <w:w w:val="95"/>
                <w:sz w:val="20"/>
              </w:rPr>
              <w:t xml:space="preserve"> </w:t>
            </w:r>
            <w:r>
              <w:rPr>
                <w:rFonts w:ascii="Times New Roman" w:hAnsi="Times New Roman"/>
                <w:color w:val="000000" w:themeColor="text1"/>
                <w:spacing w:val="-2"/>
                <w:w w:val="95"/>
                <w:sz w:val="20"/>
              </w:rPr>
              <w:t>Tai apima tik fizinius arba juridinius asmenis, nepriklausančius PFĮ sektoriui. Į ne PFĮ sektorių taip pat neįtraukiamo mokėjimo paslaugų teikėjai.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Grynųjų pinigų paslaugos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Grynųjų pinigų paslaugų teikimas klientams (tiek fiziniams asmenims, tiek bendrovėms, tik ne PFĮ). Šios paslaugos apima grynųjų pinigų išėmimą bankomatuose ir filialuose ir neapima kitų grynųjų pinigų paslaugų (pavyzdžiui, mažmeninės prekybos subjektams teikiamų grynųjų pinigų pervežimo paslaugų). Taip pat įtraukiamas grynųjų pinigų išėmimas naudojant čekius ir pinigų išėmimas filialuose naudojant banko blankus (kai kortelės gali būti naudojamos kaip tapatybės nustatymo priemonės).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Vertybinių popierių atsiskaitymo paslaugos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Klientams teikiamos paslaugos, susijusios su vertybinių popierių operacijų patvirtinimu, tarpuskaita ir atsiskaitymu už juos, naudojant vertybinių popierių atsiskaitymo sistemas arba jų nenaudojant.</w:t>
            </w:r>
            <w:r w:rsidR="008C464E">
              <w:rPr>
                <w:rFonts w:ascii="Times New Roman" w:hAnsi="Times New Roman"/>
                <w:color w:val="000000" w:themeColor="text1"/>
                <w:spacing w:val="-2"/>
                <w:w w:val="95"/>
                <w:sz w:val="20"/>
              </w:rPr>
              <w:t xml:space="preserve"> </w:t>
            </w:r>
            <w:r>
              <w:rPr>
                <w:rFonts w:ascii="Times New Roman" w:hAnsi="Times New Roman"/>
                <w:color w:val="000000" w:themeColor="text1"/>
                <w:spacing w:val="-2"/>
                <w:w w:val="95"/>
                <w:sz w:val="20"/>
              </w:rPr>
              <w:t>Atsiskaitymas yra vertybinių popierių operacijos, vykdomos siekiant įvykdyti to sandorio šalių įsipareigojimus pervedant pinigus ir (arba) pateikiant vertybinius popierius, užbaigimas.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PSŠ tarpuskaitos paslaugos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Klientams teikiamos vertybinių popierių ir išvestinių finansinių priemonių tarpuskaitos paslaugos. Tai taip pat apima galimybės naudotis pagrindinės sandorio šalies (PSŠ) paslaugomis netiesioginį suteikimą.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Saugojimo paslaugos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Finansinių priemonių saugojimas ir tvarkymas klientų vardu ir su tuo susijusios paslaugos, pavyzdžiui, grynųjų pinigų ir užtikrinimo priemonių valdymas.</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Kitos paslaugos / veikla / funkcijos (1), (2) ir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Kapitalo rinkos</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Kapitalo rinkų veikla yra vertybinių popierių išleidimas ir prekyba jais, susijusios konsultavimo paslaugos ir susijusios paslaugos, pavyzdžiui, pagrindinio finansų tarpininko paslaugos ir rinkos formavimo veikla.</w:t>
            </w:r>
            <w:r w:rsidR="008C464E">
              <w:rPr>
                <w:rFonts w:ascii="Times New Roman" w:hAnsi="Times New Roman"/>
                <w:color w:val="000000" w:themeColor="text1"/>
                <w:spacing w:val="-2"/>
                <w:w w:val="95"/>
                <w:sz w:val="20"/>
              </w:rPr>
              <w:t xml:space="preserve">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Prekybai laikomos išvestinės finansinės priemonės: nebiržinės</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Reglamento (ES) Nr. 648/2012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 xml:space="preserve"> 2 straipsnio 5 ir 7 punktai.</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Išvestinė finansinė priemonė arba išvestinių finansinių priemonių sutartis yra finansinė priemonė, kaip nustatyta Direktyvos 20147/65/ES</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xml:space="preserve"> I priedo C skirsnio 4–10 punktuose, kaip įgyvendinta Reglamento (EB) 1287/2006 38 ir 39 straipsniais.</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Nebiržinė išvestinė priemonė arba nebiržinių išvestinių priemonių sutartis yra išvestinių finansinių priemonių sutartis, kuri nevykdoma nei reguliuojamoje rinkoje, kaip apibrėžta Direktyvos 2014/65/ES 4 straipsnio 1 dalies 21 punkte, nei trečiosios valstybės rinkoje, laikomoje lygiaverte reguliuojamai rinkai pagal Reglamento (ES) Nr. 648/2012 2a straipsnį.</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Nurodoma suma apima tik išvestines finansines priemones, kuriomis prekiaujama nebiržinėje rinkoje.</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Prekybai laikomos išvestinės finansinės priemonės, kurios nėra nebiržinės</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Visos prekybai laikomos išvestinės finansinės priemonės, išskyrus prekybai laikomas nebiržines išvestines finansines priemones.</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Antrinės rinkos / prekyba</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Antrinė rinka yra rinka, kurioje investuotojai perka ir parduoda vertybinius popierius. Ši funkcija taikoma bendram prekybos portfeliui (t. y. nuosavam kapitalui, įmonių kreditui, valstybės kreditui).</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Nurodoma suma apima vertybinių popierių vertę, įvertintą kaip prekybai laikomų vertybinių popierių bendra suma.</w:t>
            </w:r>
            <w:r w:rsidR="008C464E">
              <w:rPr>
                <w:rFonts w:ascii="Times New Roman" w:hAnsi="Times New Roman"/>
                <w:color w:val="000000" w:themeColor="text1"/>
                <w:spacing w:val="-2"/>
                <w:w w:val="95"/>
                <w:sz w:val="20"/>
              </w:rPr>
              <w:t xml:space="preserve"> </w:t>
            </w:r>
            <w:r>
              <w:rPr>
                <w:rFonts w:ascii="Times New Roman" w:hAnsi="Times New Roman"/>
                <w:color w:val="000000" w:themeColor="text1"/>
                <w:spacing w:val="-2"/>
                <w:w w:val="95"/>
                <w:sz w:val="20"/>
              </w:rPr>
              <w:t>Vertybiniai popieriai nurodomi tikrąja verte ataskaitinę datą.</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Į sumą neįtraukiamos paskolos, išvestinės finansinės priemonės ir turtas, kuriuo negalima prekiauti (pvz., gautinos sumos).</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Pirminės rinkos / platinimas</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Pirminės rinkos yra rinkos, kuriose įmonės, vyriausybės ir kitos grupės išleidžia prekybai skirtus vertybinius popierius, kad gautų finansavimo per skola arba nuosavu kapitalu grindžiamus vertybinius popierius (pavyzdžiui, paprastąsias ir privilegijuotąsias akcijas, įmonių obligacijas, skolinius įsipareigojimus, vekselius, vyriausybės obligacijas). Pirminėse rinkose veiklą pagalbinę funkciją atlieka platinimo grupės.</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Kitos paslaugos / veikla / funkcijos (1), (2) ir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Didmeninis finansavimas</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Skolinimo finansų sandorio šalims (kredito įstaigoms ir kitoms finansų bendrovėms) ir skolinimosi iš jų veikla didmeninėse rinkose.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Skolinimasis</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Skolinimasis iš finansų sandorio šalių didmeninėse rinkose (įskaitant atpirkimo sandorių, tarpbankinio skolinimosi, komercinių vekselių, indėlių sertifikatų, pinigų rinkos fondų, kredito linijų, turtu padengtų komercinių vekselių ir patikėtų indėlių naudojimą).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Išvestinės finansinės priemonės (turtas)</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Visos išvestinių finansinių priemonių sutartys su finansų sandorio šalimis, įtrauktos į balanso turto dalį. Priešingai nei skirsnyje „Kapitalo rinkos“, skirsnyje „Didmeninis finansavimas“ išvestinės finansinės priemonės apima visas išvestinių finansinių priemonių sutartis su finansų sandorio šalimis (neapsiribojant laikomomis prekybai).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Skolinimas</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Skolinimas finansų sandorio šalims didmeninėse rinkose (įskaitant atvirkštinio atpirkimo paskolų, komercinių vekselių, indėlių sertifikatų, pinigų rinkos fondų, kredito linijų, turtu padengtų komercinių vekselių ir patikėtų indėlių naudojimą).</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lastRenderedPageBreak/>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Išvestinės finansinės priemonės (įsipareigojimai)</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Visos išvestinių finansinių priemonių sutartys su finansų sandorio šalimis, įtrauktos į balanso įsipareigojimų dalį.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Kitų rūšių produktai (1), (2) ir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Visos pirmiau nenurodytos funkcijos, susijusios su ekonomine funkcija „Didmeninis finansavimas“.</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07.01. Ekonominių funkcijų ypatingos svarbos vertinimas (FUNC 1). Nurodymai dėl konkrečių pozicijų</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Šiame šablone vieną kartą pateikiama informacija apie kiekvieną valstybę narę (nurodytą kaip „šalis“), kurioje grupė vykdo veiklą.</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Jis apima visas ekonomines funkcijas, kurias grupės subjektas vykdo toje valstybėje narėje, nepriklausomai nuo to, ar ta funkcija yra ypatingos svarbos, ar ne.</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Eilutės</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Nurodymai</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Ekonominės funkcijos</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Ekonominės funkcijos, kaip apibrėžta pirmiau.</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Nurodymai</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Ekonominės funkcijos aprašymas</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Jeigu ekonominė funkcija priskiriama prie rūšies „Kita“ (1.5–1.7, 2.6–2.8, 3.7–3.9, 4.5– 4.7, 5.5–5.7 funkcijos), pateikiamas tos funkcijos aprašymas.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Rinkos dalis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Rinkos dalies, kurią įstaiga arba grupė atitinkamoje šalyje užima vykdydama ekonominę funkciją, įvertis. Nurodoma kaip visos rinkos, išreikštos pinigų suma, procentinė dalis.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Pinigų suma</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Šios skilties turinys priklauso nuo vykdomos ekonominės funkcijos:</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Indėliai</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Priimtų indėlių balansinė vertė (įskaitant sukauptas palūkanas)</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Nuorodos: FINREP III ir IV priedai, F 08.01 forma ir V priedo 2 dalies 97 punktas.</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Skolinimas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Nenuvertėjusių ir nuvertėjusių paskolų ir kitų išankstinių mokėjimų bendroji balansinė vertė (įskaitant sukauptas palūkanas). Esamų paskolų vertė naudojama kaip pakaitinis rodiklis tikėtino būsimo skolinimo vertei nustatyti.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Nuorodos: FINREP III ir IV priedai, F 04.04.01 forma ir V priedo 1 dalies 34 punkto b papunktis.</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Mokėjimų, grynųjų pinigų, atsiskaitymo, tarpuskaitos, saugojimo paslaugos</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Paprastai nurodomas operacijų dienos vidurkis per metus. Jeigu šių duomenų neturima, gali būti nurodomas vidurkis per trumpesnį laikotarpį (pvz., per kelis mėnesius).</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Konkrečiai, kiek tai susiję su skirtingomis funkcijomis, atsižvelgiama į šiuos matus: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Mokėjimo paslaugos (3.1–3.2): išsiųstų operacijų vertė.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(Nuorodos: Direktyvos 2015/2366/ES 4 straipsnio 5 dalis; ECB/2013/43).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Grynųjų pinigų paslaugos (3.3): bankomato operacijų vertė, kaip apibrėžta ECB/2013/43 5a lentelėje, taip pat nebiržinis pinigų išėmimas, kaip apibrėžta ECB/2014/15 4 lentelėje.</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Vertybinių popierių atsiskaitymo paslaugos (3.4): vertybinių popierių pervedimų, atliktų klientų vardu, vertė. Tai apima sandorius, už kuriuos atsiskaityta naudojant vertybinių popierių atsiskaitymo sistemą arba už kuriuos informaciją teikiančios įstaigos atsiskaitė tarpusavyje, ir atsiskaitymo be mokėjimo operacijos.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PSŠ tarpuskaitos paslaugos (3.5): pozicijos, kurias PSŠ, kurių narė yra įstaiga, klientų vardu prisiima įstaigos atžvilgiu. Reikia nurodyti atvirųjų pozicijų, susijusių su klientų veikla PSŠ, vidutinę dienos vertę. Jeigu šių duomenų neturima, galima nurodyti trumpesnio laikotarpio (pvz., kelių mėnesių) vidurkį.</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Saugojimo paslaugos (3.6): saugomo turto vertė, išreikšta tikrąja verte. Jeigu tikrosios vertės duomenų nėra, gali būti naudojamas kitas vertinimo pagrindas, įskaitant nominaliąją vertę. Tais atvejais, kai įstaiga teikia paslaugas tokiems subjektams kaip kolektyvinio investavimo subjektai ir pensijų fondai, gali būti nurodoma tokia susijusio turto vertė, kokią šie subjektai nurodo savo balanse. Prireikus į nurodomas sumas įtraukiamos sukauptos palūkanos.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(Nuoroda: FINREP III ir IV priedai, F 22.02 formos 010 skiltis).</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Kapitalo rinkos</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Tariamoji suma, nurodoma tik išvestinių finansinių priemonių atveju (4.1–4.2), – bendroji nominalioji visų sudarytų ir ataskaitinę datą dar neapmokėtų sandorių suma.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Nuorodos: apibrėžtis – FINREP V priedo 2 dalies 133 punktas; duomenys – FINREP III priedas; IV ir V priedai:</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Bendra išvestinių finansinių priemonių vertė (4.1–4.2): F 10.00 formos 030 skilties 290 eilutė.</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Nebiržinės išvestinės finansinės priemonės (4.1): F 10.00 formos 030 skilties 300+310+320 eilutės.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Antrinės rinkos veikla (4.3). Turto balansinė vertė – balansinė vertė, nurodoma balanso turto dalyje, įskaitant sukauptas palūkanas [FINREP V priedo 1 dalies 27 punktas] pagal nuosavybės priemones ir skolos vertybinius popierius [FINREP V priedo 1 dalies 31 punktas], priskiriamus prie „laikomų prekybai“ [FINREP V priedo 1 dalies 15 punkto a papunktis ir 16 punkto a papunktis].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Nuoroda: FINREP III priedo F 04.01 formos 010 skilties 010+060+120 eilutės.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Pirminės rinkos (4.4): paslaugų pajamos – mokesčiai už paslaugas ir komisiniai, gauti už dalyvavimą inicijuojant arba išleidžiant vertybinius popierius, kuriuos inicijavo arba išleido ne įstaiga.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Nuoroda: FINREP III, IV priedai, F 22.01 formos 010 skilties 030+180 eilutės.</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Didmeninis finansavimas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Naudoti bendrąją balansinę vertę, kaip apibrėžta FINREP.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Nuorodos: FINREP V priedo 1 dalies 34 punktas, FINREP III, IV priedai, formos:</w:t>
            </w:r>
            <w:r>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Skolinimasis (5.1): F 20.06 formos 010 skilties 100+110 eilutės, visos šalys.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Išvestinės finansinės priemonės (turtas) (5.2): F 20.04 formos 010 skilties 010 eilutė, visos šalys.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Skolinimas (5.3): F 20.04 formos 010 skilties 170+180 eilutės, visos šalys.</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Išvestinės finansinės priemonės (įsipareigojimai) (5.4): F 20.06 formos 010 skilties 010 eilutė, visos šalys.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Skaitinis rodiklis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Šios skilties turinys priklauso nuo teikiamos ekonominės funkcijos.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Indėliai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Bendras klientų, kurie turi indėlių, kurių vertės išreikštos pinigų suma, skaičius. Jeigu vienas klientas naudoja daugiau nei vieną indėlių produktą / sąskaitą, klientas į apskaičiavimą įtraukiamas tik kartą.</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Skolinimas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Bendras klientų skaičius. Jeigu klientas naudoja kelis paskolų produktus / sąskaitas, klientas į apskaičiavimą įtraukiamas tik kartą.</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Mokėjimų, grynųjų pinigų, atsiskaitymo, tarpuskaitos, saugojimo paslaugos</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Paprastai nurodomas operacijų dienos vidurkis per metus. Jeigu šių duomenų neturima, gali būti nurodomi vidurkiai per trumpesnį laikotarpį (pvz., per kelis mėnesius).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Konkrečiai, kiek tai susiję su skirtingomis funkcijomis, naudojami šie matai:</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Mokėjimo paslaugos (3.1–3.2): atliktų operacijų skaičius.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Nuorodos: Direktyvos 2015/2366/ES 4 straipsnio 5 dalis; ECB/2013/43.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Grynųjų pinigų paslaugos (3.3): bankomato operacijų skaičius, kaip apibrėžta ECB/2013/43 5a lentelėje, taip pat nebiržinis pinigų išėmimas, kaip apibrėžta ECB/2014/15 4 lentelėje.</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Vertybinių popierių atsiskaitymo paslaugos (3.4): vertybinių popierių pervedimo operacijų, atliktų klientų vardu, skaičius. Tai apima operacijas, kai atsiskaitoma naudojant vertybinių popierių atsiskaitymo sistemą arba informaciją teikiančios įstaigos arba grupės viduje, ir atsiskaitymo be mokėjimo operacijos.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Kapitalo rinkos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Sandorio šalių ARBA operacijų skaičius. Išvestinių finansinių priemonių (4.1–4.2) ir antrinės rinkos priemonių (4.3) atveju nurodomas bendras sandorio šalių skaičius. Pirminių rinkų (4.4) atveju – bendras pasirašytų operacijų skaičius.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Didmeninis finansavimas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Bendras sandorio šalių skaičius. Jeigu viena sandorio šalis turi daugiau nei vieną sąskaitą ir (arba) daugiau nei vieną sandorį, sandorio šalis į apskaičiavimą įtraukiama tik kartą.</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Poveikis rinkai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Apskaičiuotas staigaus funkcijos vykdymo nutraukimo poveikis trečiosioms šalims, finansų rinkoms ir realiajai ekonomikai, atsižvelgiant į įstaigos dydį, šalyje užimamą rinkos dalį, išorės ir vidaus tarpusavio sąsajas, sudėtingumą ir tarpvalstybinę veiklą.</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Poveikis įvertinamas kokybiškai, nurodant, ar jis yra didelis („</w:t>
            </w:r>
            <w:proofErr w:type="spellStart"/>
            <w:r>
              <w:rPr>
                <w:rFonts w:ascii="Times New Roman" w:hAnsi="Times New Roman"/>
                <w:color w:val="000000" w:themeColor="text1"/>
                <w:spacing w:val="-2"/>
                <w:w w:val="95"/>
                <w:sz w:val="20"/>
              </w:rPr>
              <w:t>High</w:t>
            </w:r>
            <w:proofErr w:type="spellEnd"/>
            <w:r>
              <w:rPr>
                <w:rFonts w:ascii="Times New Roman" w:hAnsi="Times New Roman"/>
                <w:color w:val="000000" w:themeColor="text1"/>
                <w:spacing w:val="-2"/>
                <w:w w:val="95"/>
                <w:sz w:val="20"/>
              </w:rPr>
              <w:t>“, H)“, gana didelis („</w:t>
            </w:r>
            <w:proofErr w:type="spellStart"/>
            <w:r>
              <w:rPr>
                <w:rFonts w:ascii="Times New Roman" w:hAnsi="Times New Roman"/>
                <w:color w:val="000000" w:themeColor="text1"/>
                <w:spacing w:val="-2"/>
                <w:w w:val="95"/>
                <w:sz w:val="20"/>
              </w:rPr>
              <w:t>Medium-High“,</w:t>
            </w:r>
            <w:proofErr w:type="spellEnd"/>
            <w:r>
              <w:rPr>
                <w:rFonts w:ascii="Times New Roman" w:hAnsi="Times New Roman"/>
                <w:color w:val="000000" w:themeColor="text1"/>
                <w:spacing w:val="-2"/>
                <w:w w:val="95"/>
                <w:sz w:val="20"/>
              </w:rPr>
              <w:t xml:space="preserve"> MH)“, gana mažas („</w:t>
            </w:r>
            <w:proofErr w:type="spellStart"/>
            <w:r>
              <w:rPr>
                <w:rFonts w:ascii="Times New Roman" w:hAnsi="Times New Roman"/>
                <w:color w:val="000000" w:themeColor="text1"/>
                <w:spacing w:val="-2"/>
                <w:w w:val="95"/>
                <w:sz w:val="20"/>
              </w:rPr>
              <w:t>Medium-Low“,</w:t>
            </w:r>
            <w:proofErr w:type="spellEnd"/>
            <w:r>
              <w:rPr>
                <w:rFonts w:ascii="Times New Roman" w:hAnsi="Times New Roman"/>
                <w:color w:val="000000" w:themeColor="text1"/>
                <w:spacing w:val="-2"/>
                <w:w w:val="95"/>
                <w:sz w:val="20"/>
              </w:rPr>
              <w:t xml:space="preserve"> ML) ar mažas („</w:t>
            </w:r>
            <w:proofErr w:type="spellStart"/>
            <w:r>
              <w:rPr>
                <w:rFonts w:ascii="Times New Roman" w:hAnsi="Times New Roman"/>
                <w:color w:val="000000" w:themeColor="text1"/>
                <w:spacing w:val="-2"/>
                <w:w w:val="95"/>
                <w:sz w:val="20"/>
              </w:rPr>
              <w:t>Low</w:t>
            </w:r>
            <w:proofErr w:type="spellEnd"/>
            <w:r>
              <w:rPr>
                <w:rFonts w:ascii="Times New Roman" w:hAnsi="Times New Roman"/>
                <w:color w:val="000000" w:themeColor="text1"/>
                <w:spacing w:val="-2"/>
                <w:w w:val="95"/>
                <w:sz w:val="20"/>
              </w:rPr>
              <w:t>“, L).</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 nurodoma, jeigu funkcijos vykdymo nutraukimas turėtų labai didelį poveikį nacionalinei rinkai; „MH“ – jei poveikis būtų reikšmingas;</w:t>
            </w:r>
            <w:r w:rsidR="008C464E">
              <w:rPr>
                <w:rFonts w:ascii="Times New Roman" w:hAnsi="Times New Roman"/>
                <w:color w:val="000000" w:themeColor="text1"/>
                <w:spacing w:val="-2"/>
                <w:w w:val="95"/>
                <w:sz w:val="20"/>
              </w:rPr>
              <w:t xml:space="preserve"> </w:t>
            </w:r>
            <w:r>
              <w:rPr>
                <w:rFonts w:ascii="Times New Roman" w:hAnsi="Times New Roman"/>
                <w:color w:val="000000" w:themeColor="text1"/>
                <w:spacing w:val="-2"/>
                <w:w w:val="95"/>
                <w:sz w:val="20"/>
              </w:rPr>
              <w:t>„ML“ – jei poveikis reikšmingas, tačiau ribotas, ir „L“ – jei poveikis mažas.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Pakeičiamumas</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Deleguotojo reglamento (ES) 2016/778 6 straipsnio 3 dalis.</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Funkcija laikoma pakeičiama, kai ją galima priimtinu būdu pakeisti per protingą laiko tarpą ir taip išvengti realiosios ekonomikos ir finansų rinkų sisteminių problemų. Atsižvelgiama į šiuos kriterijus:</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tos funkcijos rinkos struktūrą ir pakaitinių paslaugos teikėjų egzistavimą;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 kitų paslaugos teikėjų galimybes pajėgumo, funkcijos vykdymo reikalavimų ir galimų kliūčių patekti į rinką ar plėstis požiūriais;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 kitų paslaugos teikėjų paskatas perimti šią veiklą;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 laikotarpį, kurio reikia, kad paslaugos naudotojai pradėtų naudotis naujo paslaugų teikėjo paslaugomis, ir to paslaugų teikėjo pakeitimo išlaidas, laiką, kurio reikia, kad kiti konkurentai perimtų funkcijas, ir tai, ar tas laikotarpis pakankamai trumpas, kad būtų išvengta reikšmingo sutrikdymo atsižvelgiant į paslaugos rūšį.</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Poveikis įvertinamas kokybiškai, nurodant, ar jis yra didelis („</w:t>
            </w:r>
            <w:proofErr w:type="spellStart"/>
            <w:r>
              <w:rPr>
                <w:rFonts w:ascii="Times New Roman" w:hAnsi="Times New Roman"/>
                <w:color w:val="000000" w:themeColor="text1"/>
                <w:spacing w:val="-2"/>
                <w:w w:val="95"/>
                <w:sz w:val="20"/>
              </w:rPr>
              <w:t>High</w:t>
            </w:r>
            <w:proofErr w:type="spellEnd"/>
            <w:r>
              <w:rPr>
                <w:rFonts w:ascii="Times New Roman" w:hAnsi="Times New Roman"/>
                <w:color w:val="000000" w:themeColor="text1"/>
                <w:spacing w:val="-2"/>
                <w:w w:val="95"/>
                <w:sz w:val="20"/>
              </w:rPr>
              <w:t>“, H)“, gana didelis („</w:t>
            </w:r>
            <w:proofErr w:type="spellStart"/>
            <w:r>
              <w:rPr>
                <w:rFonts w:ascii="Times New Roman" w:hAnsi="Times New Roman"/>
                <w:color w:val="000000" w:themeColor="text1"/>
                <w:spacing w:val="-2"/>
                <w:w w:val="95"/>
                <w:sz w:val="20"/>
              </w:rPr>
              <w:t>Medium-High“,</w:t>
            </w:r>
            <w:proofErr w:type="spellEnd"/>
            <w:r>
              <w:rPr>
                <w:rFonts w:ascii="Times New Roman" w:hAnsi="Times New Roman"/>
                <w:color w:val="000000" w:themeColor="text1"/>
                <w:spacing w:val="-2"/>
                <w:w w:val="95"/>
                <w:sz w:val="20"/>
              </w:rPr>
              <w:t xml:space="preserve"> MH)“, gana mažas („</w:t>
            </w:r>
            <w:proofErr w:type="spellStart"/>
            <w:r>
              <w:rPr>
                <w:rFonts w:ascii="Times New Roman" w:hAnsi="Times New Roman"/>
                <w:color w:val="000000" w:themeColor="text1"/>
                <w:spacing w:val="-2"/>
                <w:w w:val="95"/>
                <w:sz w:val="20"/>
              </w:rPr>
              <w:t>Medium-Low“,</w:t>
            </w:r>
            <w:proofErr w:type="spellEnd"/>
            <w:r>
              <w:rPr>
                <w:rFonts w:ascii="Times New Roman" w:hAnsi="Times New Roman"/>
                <w:color w:val="000000" w:themeColor="text1"/>
                <w:spacing w:val="-2"/>
                <w:w w:val="95"/>
                <w:sz w:val="20"/>
              </w:rPr>
              <w:t xml:space="preserve"> ML) ar mažas („</w:t>
            </w:r>
            <w:proofErr w:type="spellStart"/>
            <w:r>
              <w:rPr>
                <w:rFonts w:ascii="Times New Roman" w:hAnsi="Times New Roman"/>
                <w:color w:val="000000" w:themeColor="text1"/>
                <w:spacing w:val="-2"/>
                <w:w w:val="95"/>
                <w:sz w:val="20"/>
              </w:rPr>
              <w:t>Low</w:t>
            </w:r>
            <w:proofErr w:type="spellEnd"/>
            <w:r>
              <w:rPr>
                <w:rFonts w:ascii="Times New Roman" w:hAnsi="Times New Roman"/>
                <w:color w:val="000000" w:themeColor="text1"/>
                <w:spacing w:val="-2"/>
                <w:w w:val="95"/>
                <w:sz w:val="20"/>
              </w:rPr>
              <w:t>“, L).</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 nurodoma, jeigu funkciją gali lengvai teikti kitas bankas panašiomis sąlygomis ir per protingą laiko tarpą;</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„L“ – jei funkcijos negalima lengvai ar greitai pakeisti;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„MH“ ir „ML“ nurodoma tarpiniams atvejams, atsižvelgiant į skirtingus aspektus (pvz., rinkos dalį, rinkos koncentraciją, pakeitimo laiko tarpą, taip pat teisines patekimo į rinką ar plėtimosi joje kliūtis ir veiklos reikalavimus).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Ypatingos svarbos funkcija</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Šioje skiltyje nurodoma, ar, atsižvelgiant į kiekybinius duomenis ir ypatingos svarbos rodiklius šiame šablone, ekonominė funkcija atitinkamos šalies rinkoje yra laikoma ypatingos svarbos.</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Nurodoma „Taip“ arba „Ne“.</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t>Z 07.02. Ypatingos svarbos funkcijų susiejimas su juridiniais asmenimis (FUNC 2) Nurodymai dėl konkrečių pozicijų</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Šiame šablone teikiama informacija apie visą grupę. Šiame šablone nurodomos tik ypatingos svarbos funkcijos, nurodytos {Z 07.01;070}(pagal valstybes nares). </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Šio šablono 0010, 0020 ir 0040 skiltyse nurodytų verčių derinys yra pirminis raktas, kuris turi būti unikalus kiekvienai šablono eilutei.</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Nurodymai</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Šalis</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Šalis, kurioje funkcija yra ypatingos svarbos, kaip nurodyta Z 07.01 (FUNC 1) šablone.</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Identifikatorius</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Ypatingos svarbos funkcijų, kaip apibrėžta 2.7.1.4 skyriuje ir nurodyta Z 07.01 (FUNC 1) šablone, identifikatorius.</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Subjekto pavadinimas</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Subjekto, vykdančio ypatingos svarbos funkciją, pavadinimas, nurodytas Z 01.00 (ORG) šablone.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Jeigu tas pačias ypatingos svarbos funkcijas toje pačioje šalyje vykdo keli subjektai, kiekvienas subjektas nurodomas atskiroje eilutėje.</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Kodas</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Subjekto, vykdančio ypatingos svarbos funkciją, kodas, nurodytas šablone „Z 01.00. Organizacinė struktūra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Pinigų suma</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Juridinio asmens indėlis, išreikštas pinigų suma, į pinigų sumą, nurodytą Z 07.01 (FUNC 1) šablono 0030 skiltyje. </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07.03. Pagrindinių verslo linijų susiejimas su juridiniais asmenimis (FUNC 3). Nurodymai dėl konkrečių pozicijų</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rPr>
        <w:t>Šio šablono 0020 ir 0040 skiltyse nurodytų verčių derinys yra pirminis raktas, kuris turi būti unikalus kiekvienai šablono eilutei.</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rPr>
        <w:lastRenderedPageBreak/>
        <w:t xml:space="preserve">Šiame šablone nurodomi tik reikšmingi subjektai, nurodyti {Z 07.02;0060}.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Nurodymai</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Pagrindinė verslo linija</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Pagrindinė verslo linija, kaip apibrėžta Direktyvos 2014/59/ES 2 straipsnio 1 dalies 36 punkte ir 2 straipsnio 2 dalyje.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Verslo linijos identifikatorius</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Unikalus įstaigos pateiktinas verslo linijos identifikatorius.</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Aprašymas</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Pagrindinės verslo linijos aprašymas.</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Subjekto pavadinimas</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Subjekto, turinčio pagrindinę verslo liniją arba jai priklausančio, pavadinimas, nurodytas Z 01.00 (ORG) šablone.</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Jeigu tą pačią pagrindinę verslo liniją turi arba jai priklauso keli subjektai, kiekvienas subjektas nurodomas atskiroje eilutėje.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Kodas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Subjekto, turinčio pagrindinę verslo liniją arba jai priklausančio, kodas, nurodytas Z 01.00 (ORG) šablone.</w:t>
            </w:r>
          </w:p>
        </w:tc>
      </w:tr>
    </w:tbl>
    <w:p w:rsidR="0056559D" w:rsidRPr="00D92B3C" w:rsidRDefault="00F7117F" w:rsidP="00715DAB">
      <w:pPr>
        <w:pStyle w:val="Instructionsberschrift3"/>
      </w:pPr>
      <w:r>
        <w:t>Z 07.04. Ypatingos svarbos funkcijų susiejimas su pagrindinėmis verslo linijomis (FUNC 4). Nurodymai dėl konkrečių pozicijų</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Šio šablono 0010, 0020 ir 0040 skiltyse nurodytų verčių derinys yra pirminis raktas, kuris turi būti unikalus kiekvienai šablono eilutei.</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Šiame šablone nurodomos tik ypatingos svarbos funkcijos, nurodytos {Z 07.01;0070}.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Nurodymai</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Šalis</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Šalis, kurioje funkcija yra ypatingos svarbos, kaip nurodyta Z 07.01 (FUNC 1) šablone.</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Funkcijos identifikatorius</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Ypatingos svarbos funkcijų, kaip apibrėžta 2.7.1.2 skyriuje ir nurodyta Z 07.01 (FUNC 1) šablone, identifikatorius.</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Pagrindinė verslo linija</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Pagrindinė verslo linija, kaip apibrėžta Direktyvos 2014/59/ES 2 straipsnio 1 dalies 36 punkte ir 2 straipsnio 2 dalyje ir nurodyta Z 07.03 (FUNC 3) šablone.</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Verslo linijos identifikatorius</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Unikalus įstaigos pateiktinas verslo linijos identifikatorius; tas pats identifikatorius, koks nurodytas Z 07.03 (FUNC 3) šablone.</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8" w:name="_Toc509909046"/>
      <w:bookmarkStart w:id="39" w:name="_Toc525225564"/>
      <w:r>
        <w:rPr>
          <w:rFonts w:ascii="Times New Roman" w:hAnsi="Times New Roman"/>
        </w:rPr>
        <w:t>Z 08.00. Ypatingos svarbos paslaugos (SERV)</w:t>
      </w:r>
      <w:bookmarkEnd w:id="38"/>
      <w:bookmarkEnd w:id="39"/>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Bendrieji nurodymai</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Šiame šablone vieną kartą pateikiama informacija apie visą grupę, jame grupės subjekto gautos ypatingos svarbos paslaugos išvardijamos ir susiejamos su grupės atliekamomis ypatingos svarbos funkcijomis.</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Ypatingos svarbos paslaugos yra pagrindinės operacijos, veikla ir paslaugos, vykdomos vienam (specializuotos paslaugos) ar keliems verslo padaliniams ar grupės juridiniams subjektams (bendrosios paslaugos), kurių reikia vienai ar kelioms ypatingos svarbos funkcijoms vykdyti. Ypatingos svarbos paslaugas gali teikti grupės subjektai (vidaus paslauga) arba pagal užsakomųjų paslaugų sutartį išorės paslaugų teikėjas (išorės paslauga). Paslauga laikytina ypatingos svarbos, kai nustojus ją teikti gali atsirasti didelių kliūčių arba būti visiškai sutrikdytas ypatingos svarbos funkcijų vykdymas, nes šios paslaugos yra neatsiejamai susijusios su ypatingos svarbos funkcijomis, kurias įstaiga vykdo trečiųjų šalių vardu.</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Tik viduje juridiniam asmeniui teikiamos paslaugos šiame šablone nenurodomos.</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Reikšmingo poveikio ypatingos svarbos funkcijoms neturinčios paslaugos šiame šablone nenurodomos.</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Šio šablono 0010, 0030, 0050, 0070 ir 0080 skiltyse nurodytų verčių derinys yra pirminis raktas, kuris turi būti unikalus kiekvienai šablono eilutei.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Nurodymai dėl konkrečių pozicijų</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Nurodymai</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Identifikatorius</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Paslaugos rūšis</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Paslauga priskiriama prie vienos iš toliau nurodytų paslaugų rūšių.</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Kai įmanoma, nurodoma </w:t>
            </w:r>
            <w:proofErr w:type="spellStart"/>
            <w:r>
              <w:rPr>
                <w:rFonts w:ascii="Times New Roman" w:hAnsi="Times New Roman"/>
                <w:color w:val="000000" w:themeColor="text1"/>
                <w:spacing w:val="-2"/>
                <w:w w:val="95"/>
                <w:sz w:val="20"/>
              </w:rPr>
              <w:t>pakategorė</w:t>
            </w:r>
            <w:proofErr w:type="spellEnd"/>
            <w:r>
              <w:rPr>
                <w:rFonts w:ascii="Times New Roman" w:hAnsi="Times New Roman"/>
                <w:color w:val="000000" w:themeColor="text1"/>
                <w:spacing w:val="-2"/>
                <w:w w:val="95"/>
                <w:sz w:val="20"/>
              </w:rPr>
              <w:t xml:space="preserve"> (du skaitmenys). Jeigu </w:t>
            </w:r>
            <w:proofErr w:type="spellStart"/>
            <w:r>
              <w:rPr>
                <w:rFonts w:ascii="Times New Roman" w:hAnsi="Times New Roman"/>
                <w:color w:val="000000" w:themeColor="text1"/>
                <w:spacing w:val="-2"/>
                <w:w w:val="95"/>
                <w:sz w:val="20"/>
              </w:rPr>
              <w:t>pakategorės</w:t>
            </w:r>
            <w:proofErr w:type="spellEnd"/>
            <w:r>
              <w:rPr>
                <w:rFonts w:ascii="Times New Roman" w:hAnsi="Times New Roman"/>
                <w:color w:val="000000" w:themeColor="text1"/>
                <w:spacing w:val="-2"/>
                <w:w w:val="95"/>
                <w:sz w:val="20"/>
              </w:rPr>
              <w:t xml:space="preserve"> nėra arba nė viena </w:t>
            </w:r>
            <w:proofErr w:type="spellStart"/>
            <w:r>
              <w:rPr>
                <w:rFonts w:ascii="Times New Roman" w:hAnsi="Times New Roman"/>
                <w:color w:val="000000" w:themeColor="text1"/>
                <w:spacing w:val="-2"/>
                <w:w w:val="95"/>
                <w:sz w:val="20"/>
              </w:rPr>
              <w:t>pakategorė</w:t>
            </w:r>
            <w:proofErr w:type="spellEnd"/>
            <w:r>
              <w:rPr>
                <w:rFonts w:ascii="Times New Roman" w:hAnsi="Times New Roman"/>
                <w:color w:val="000000" w:themeColor="text1"/>
                <w:spacing w:val="-2"/>
                <w:w w:val="95"/>
                <w:sz w:val="20"/>
              </w:rPr>
              <w:t xml:space="preserve"> tinkamai neapibūdina įstaigos teikiamos paslaugos, nurodoma pagrindinė kategorija (vienas skaitmuo).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Parama žmogiškiesiems ištekliams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 xml:space="preserve">Personalo administravimas, įskaitant sutarčių ir atlyginimų tvarkymą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r>
              <w:tab/>
            </w:r>
            <w:r>
              <w:rPr>
                <w:rFonts w:ascii="Times New Roman" w:hAnsi="Times New Roman"/>
                <w:color w:val="000000" w:themeColor="text1"/>
                <w:spacing w:val="-2"/>
                <w:w w:val="95"/>
                <w:sz w:val="20"/>
              </w:rPr>
              <w:t>Vidaus komunikacija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Informacinės technologijos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color w:val="000000" w:themeColor="text1"/>
                <w:spacing w:val="-2"/>
                <w:w w:val="95"/>
                <w:sz w:val="20"/>
              </w:rPr>
              <w:t xml:space="preserve">IT ir komunikacijų techninė įranga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Pr>
                <w:rFonts w:ascii="Times New Roman" w:hAnsi="Times New Roman"/>
                <w:color w:val="000000" w:themeColor="text1"/>
                <w:spacing w:val="-2"/>
                <w:w w:val="95"/>
                <w:sz w:val="20"/>
              </w:rPr>
              <w:t xml:space="preserve">Duomenų saugojimas ir tvarkymas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 xml:space="preserve">Kita IT infrastruktūra, kompiuterizuotos darbo vietos, telekomunikacijos, serveriai, duomenų centrai ir susijusios paslaugos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Programinės įrangos licencijų ir taikomosios programinės įrangos tvarkymas</w:t>
            </w:r>
            <w:r w:rsidR="008C464E">
              <w:rPr>
                <w:rFonts w:ascii="Times New Roman" w:hAnsi="Times New Roman"/>
                <w:color w:val="000000" w:themeColor="text1"/>
                <w:spacing w:val="-2"/>
                <w:w w:val="95"/>
                <w:sz w:val="20"/>
              </w:rPr>
              <w:t xml:space="preser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 xml:space="preserve">Prieiga prie išorės tiekėjų, visų pirma duomenų ir infrastruktūros tiekėjų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w:t>
            </w:r>
            <w:r>
              <w:tab/>
            </w:r>
            <w:r>
              <w:rPr>
                <w:rFonts w:ascii="Times New Roman" w:hAnsi="Times New Roman"/>
                <w:color w:val="000000" w:themeColor="text1"/>
                <w:spacing w:val="-2"/>
                <w:w w:val="95"/>
                <w:sz w:val="20"/>
              </w:rPr>
              <w:t xml:space="preserve">Taikomųjų programų priežiūra, įskaitant taikomosios programinės įrangos priežiūrą ir susijusius duomenų srautus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2.7.</w:t>
            </w:r>
            <w:r>
              <w:tab/>
            </w:r>
            <w:r>
              <w:rPr>
                <w:rFonts w:ascii="Times New Roman" w:hAnsi="Times New Roman"/>
                <w:color w:val="000000" w:themeColor="text1"/>
                <w:spacing w:val="-2"/>
                <w:w w:val="95"/>
                <w:sz w:val="20"/>
              </w:rPr>
              <w:t>Ataskaitų kūrimas, vidaus informacijos srautai ir duomenų bazės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Parama naudotojams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Veiklos atkūrimas avariniais atvejais ir po ekstremalių įvykių</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 xml:space="preserve">Operacijų tvarkymas, įskaitant teisinius su operacijomis susijusius klausimus, visų pirma pinigų plovimo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 xml:space="preserve">Nekilnojamojo turto ir infrastruktūros tiekimas ar valdymas ir susijusi infrastruktūra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 xml:space="preserve">Biurų patalpos ir saugyklos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4.2.</w:t>
            </w:r>
            <w:r>
              <w:tab/>
            </w:r>
            <w:r>
              <w:rPr>
                <w:rFonts w:ascii="Times New Roman" w:hAnsi="Times New Roman"/>
                <w:color w:val="000000" w:themeColor="text1"/>
                <w:spacing w:val="-2"/>
                <w:w w:val="95"/>
                <w:sz w:val="20"/>
              </w:rPr>
              <w:t>Vidaus infrastruktūros priežiūra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 xml:space="preserve">Apsauga ir patekimo kontrolė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r>
              <w:rPr>
                <w:rFonts w:ascii="Times New Roman" w:hAnsi="Times New Roman"/>
                <w:color w:val="000000" w:themeColor="text1"/>
                <w:spacing w:val="-2"/>
                <w:w w:val="95"/>
                <w:sz w:val="20"/>
              </w:rPr>
              <w:t>Nekilnojamojo turto portfelio valdymas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w:t>
            </w:r>
            <w:r>
              <w:tab/>
            </w:r>
            <w:r>
              <w:rPr>
                <w:rFonts w:ascii="Times New Roman" w:hAnsi="Times New Roman"/>
                <w:color w:val="000000" w:themeColor="text1"/>
                <w:spacing w:val="-2"/>
                <w:w w:val="95"/>
                <w:sz w:val="20"/>
              </w:rPr>
              <w:t xml:space="preserve">Kita (nurodyti)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 xml:space="preserve">Teisinės paslaugos ir atitikties užtikrinimo funkcija: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Pr>
                <w:rFonts w:ascii="Times New Roman" w:hAnsi="Times New Roman"/>
                <w:color w:val="000000" w:themeColor="text1"/>
                <w:spacing w:val="-2"/>
                <w:w w:val="95"/>
                <w:sz w:val="20"/>
              </w:rPr>
              <w:t xml:space="preserve">Teisinė pagalba įmonėms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Teisinės paslaugos verslo ir operacijų klausimais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Atitikties užtikrinimo parama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 xml:space="preserve">Su iždu susijusios paslaugos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r>
              <w:rPr>
                <w:rFonts w:ascii="Times New Roman" w:hAnsi="Times New Roman"/>
                <w:color w:val="000000" w:themeColor="text1"/>
                <w:spacing w:val="-2"/>
                <w:w w:val="95"/>
                <w:sz w:val="20"/>
              </w:rPr>
              <w:t>Iždo veiklos koordinavimas, administravimas ir valdymas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 xml:space="preserve">Subjektų refinansavimo koordinavimas, administravimas ir valdymas, įskaitant užtikrinimo priemonių valdymą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6.3.</w:t>
            </w:r>
            <w:r>
              <w:tab/>
            </w:r>
            <w:r>
              <w:rPr>
                <w:rFonts w:ascii="Times New Roman" w:hAnsi="Times New Roman"/>
                <w:color w:val="000000" w:themeColor="text1"/>
                <w:spacing w:val="-2"/>
                <w:w w:val="95"/>
                <w:sz w:val="20"/>
              </w:rPr>
              <w:t xml:space="preserve">Ataskaitų teikimo funkcija, visu pirma susijusi su reguliuojamaisiais likvidumo rodikliais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 xml:space="preserve">Vidutinės trukmės ir ilgalaikio finansavimo programų koordinavimas, administravimas ir valdymas, taip pat grupės subjektų refinansavimas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Refinansavimo, visų pirma trumpalaikių emisijų, koordinavimas, administravimas ir valdymas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Prekybos / turto valdymas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7.1.</w:t>
            </w:r>
            <w:r>
              <w:tab/>
            </w:r>
            <w:r>
              <w:rPr>
                <w:rFonts w:ascii="Times New Roman" w:hAnsi="Times New Roman"/>
                <w:color w:val="000000" w:themeColor="text1"/>
                <w:spacing w:val="-2"/>
                <w:w w:val="95"/>
                <w:sz w:val="20"/>
              </w:rPr>
              <w:t>Operacijų tvarkymas: prekybos sandorių nustatymas, koncepcija, realizavimas, prekybos produktų aptarnavimas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Patvirtinimas, atsiskaitymas, mokėjimas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 xml:space="preserve">Pozicijų ir sandorio šalių valdymas, kiek tai susiję su duomenų teikimu ir sandorio šalių santykiais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Pozicijų valdymas (rizika ir suderinimas)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 xml:space="preserve">Rizikos valdymas ir vertinimas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8.1.</w:t>
            </w:r>
            <w:r>
              <w:tab/>
            </w:r>
            <w:r>
              <w:rPr>
                <w:rFonts w:ascii="Times New Roman" w:hAnsi="Times New Roman"/>
                <w:color w:val="000000" w:themeColor="text1"/>
                <w:spacing w:val="-2"/>
                <w:w w:val="95"/>
                <w:sz w:val="20"/>
              </w:rPr>
              <w:t>Centrinės rizikos arba su verslo linija ar su rizikos rūšimi susijusios rizikos valdymas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8.2.</w:t>
            </w:r>
            <w:r>
              <w:tab/>
            </w:r>
            <w:r>
              <w:rPr>
                <w:rFonts w:ascii="Times New Roman" w:hAnsi="Times New Roman"/>
                <w:color w:val="000000" w:themeColor="text1"/>
                <w:spacing w:val="-2"/>
                <w:w w:val="95"/>
                <w:sz w:val="20"/>
              </w:rPr>
              <w:t>Rizikos ataskaitų kūrimas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 xml:space="preserve">Apskaita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Teisės aktuose numatytų ir reguliavimo ataskaitų teikimas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Vertinimas, visų pirma rinkos pozicijų</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Valdymo ataskaitų kūrimas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Grynųjų pinigų tvarkymas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Paslaugos gavėjas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Grupės subjektas, kuriam kitas grupės subjektas arba išorės teikėjas, nurodyti 0040–-0050 skiltyse, teikia 0010 skiltyje nurodytą ypatingos svarbos paslaugą.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Subjekto pavadinimas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Turi skirtis nuo 0040 skiltyje nurodyto pavadinimo.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Kodas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Unikalus 0020 skiltyje nurodyto juridinio asmens identifikatorius, nurodytas Z 01.00 (ORG) šablone. </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Turi skirtis nuo 0050 skiltyje nurodyto identifikatoriaus.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Paslaugos teikėjas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Juridinis asmuo (vidaus ar išorės), kuris grupės subjektui teikia 0010 skiltyje nurodytą ypatingos svarbos paslaugą.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Subjekto pavadinimas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Turi skirtis nuo 0020 skiltyje nurodyto pavadinimo.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Kodas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Unikalus 0020 skiltyje nurodyto juridinio asmens identifikatorius. Turi skirtis nuo 0030 skiltyje nurodyto identifikatoriaus.</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Jeigu paslaugos teikėjas yra grupės subjektas, nurodomas tas pats kodas, koks nurodytas Z 01.00 (ORG) šablone.</w:t>
            </w:r>
            <w:r w:rsidR="008C464E">
              <w:rPr>
                <w:rFonts w:ascii="Times New Roman" w:hAnsi="Times New Roman"/>
                <w:color w:val="000000" w:themeColor="text1"/>
                <w:spacing w:val="-2"/>
                <w:w w:val="95"/>
                <w:sz w:val="20"/>
              </w:rPr>
              <w:t xml:space="preserve">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Jeigu paslaugos teikėjas nėra grupės subjektas, subjekto kodas yra:</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įstaigų atveju – 20-ies raidinių skaitinių ženklų LEI kodas;</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kitų subjektų atveju – 20-ies raidinių skaitinių ženklų LEI kodas arba, jei jo nėra, pagal Sąjungoje taikomą vienodą kodų sistemą sudarytas kodas, arba, jei jo nėra – nacionalinis kodas.</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Kodas yra unikalus ir nuosekliai naudojamas visuose šablonuose.</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Grupės dalis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„Taip“, jeigu paslaugą teikia grupės (vidaus) subjektas.</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 jeigu paslaugą teikia grupei nepriklausantis (išorės) subjektas.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Ypatingos svarbos funkcija</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Ypatingos svarbos funkcija, kurios vykdymas būtų labai sukliudytas arba visiškai sutrikdytas tuo atveju, jei būtų nustota teikti ypatingos svarbos paslaugą. Tai yra viena iš funkcijų, Z 07.01 (FUNC 1) šablone įvertintų kaip ypatingos svarbos.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Šalis</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Valstybė narė, kurioje funkcija yra ypatingos svarbos, kaip nurodyta Z 07.01 (FUNC 1) šablone.</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Identifikatorius</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Ypatingos svarbos funkcijų, kaip apibrėžta 2.7.1.4 skyriuje ir nurodyta Z 07.01 (FUNC 1) šablone, identifikatorius.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Apytikris pakeitimo laikas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Apytikris laikas, kurio reikia, kad paslaugos teikėjas būtų pakeistas kitu, kad gaunamos paslaugos objektas, kokybė ir kaina būtų panaši.</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Nurodyti vieną iš šių verčių:</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diena – 1 savaitė“ – jeigu pakeitimo laikas yra ne ilgesnis nei savaitė;</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savaitė – 1 mėn.“ – jeigu pakeitimo laikas yra ilgesnis nei savaitė, bet ne ilgesnis nei mėnuo;</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„1–6 mėn.“ – jeigu pakeitimo laikas yra ilgesnis nei mėnuo, bet ne ilgesnis nei 6 mėnesiai;</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„6–12 mėn.“ – jeigu pakeitimo laikas yra ilgesnis nei 6 mėnesiai, bet ne ilgesnis nei metai;</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„daugiau nei 1 metai“ – jeigu pakeitimo laikas yra ilgesnis nei metai.</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Apytikris prieigos prie sutarčių laikas</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Apytikris laikas, kurio reikia, kad, gavus pertvarkymo institucijos prašymą, būtų galima gauti šią informaciją apie sutartį, reglamentuojančią paslaugos teikimą:</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sutarties trukmė,</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sutarties šalys (užsakovas ir tiekėjas, asmenys ryšiams) ir jurisdikcija, kurioms jos priklauso,</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paslaugos pobūdis (t. y. trumpas šalių sudaryto sandorio aprašymas, įskaitant kainas),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ar tą pačią paslaugą gali teikti kuris nors kitas vidaus / išorės teikėjas (ir nurodyti potencialius kandidatus),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sutarčiai taikoma jurisdikcija,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skyriaus, atsakingo už sutartyje numatytų pagrindinių operacijų tvarkymą, pavadinimas,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pagrindinės nuobaudos, numatytos sutartyje mokėjimų sustabdymo ar vėlavimo atvejais,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ankstyvo sutarties nutraukimo veiksnys ir sutarčiai nutraukti numatytas laikas,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veiklos parama nutraukus sutartį,</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svarba ypatingos svarbos funkcijoms ir verslo linijoms.</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Nurodyti vieną iš šių verčių:</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diena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diena – 1 savaitė</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daugiau nei 1 savaitė</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paslauga nėra reglamentuojama sutarties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Taikoma teisė</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Šalies, kurios teisė taikoma sutarčiai, ISO kodas.</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Pertvarkant nekeičiama sutartis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Įvertinama, ar pertvarkymo atveju sutartį galima tęsti ir perduoti.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Atliekant vertinimą, be kitų dalykų, atsižvelgiama į:</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visas sąlygas, dėl kurių sandorio šalis galėtų nutraukti sutartį vien dėl pertvarkymo, ankstyvosios intervencijos priemonių arba priešpriešinių įsipareigojimų neįvykdymo scenarijų, nepaisant to, kad esminės pareigos vykdomos toliau;</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visas sąlygas, dėl kurių sandorio šalis galėtų pakeisti paslaugos sąlygas arba kainą vien dėl pertvarkymo, ankstyvosios intervencijos priemonių arba priešpriešinių įsipareigojimų neįvykdymo scenarijų, nepaisydama to, kad esminės pareigos vykdomos toliau;</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pertvarkymo institucijų turimų sustabdymo teisių pripažinimą sutartyje.</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Nurodyti vieną iš šių verčių:</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„Taip“ – jeigu padaroma išvada, kad sutartis pertvarkymo atveju yra nekeičiama;</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 – jeigu nepadaroma išvada, kad sutartis pertvarkymo atveju yra nekeičiama;</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„Neįvertinta“ – jeigu įvertinimas neatliktas.</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40" w:name="_Toc492542329"/>
      <w:bookmarkStart w:id="41" w:name="_Toc509909047"/>
      <w:bookmarkStart w:id="42" w:name="_Toc525225565"/>
      <w:r>
        <w:rPr>
          <w:rFonts w:ascii="Times New Roman" w:hAnsi="Times New Roman"/>
          <w:color w:val="000000" w:themeColor="text1"/>
        </w:rPr>
        <w:t>Z 09.00. Finansų rinkos infrastruktūros paslaugos: teikėjai ir naudotojai. Susiejimas su ypatingos svarbos funkcijomis</w:t>
      </w:r>
      <w:bookmarkEnd w:id="40"/>
      <w:bookmarkEnd w:id="41"/>
      <w:bookmarkEnd w:id="42"/>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Bendrosios pastabos</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Šiame šablone nurodoma tarpuskaitos, mokėjimų, vertybinių popierių atsiskaitymo ir saugojimo veikla, funkcijos ar paslaugos, kurias nustojus teikti gali būti labai sukliudytas arba visiškai sutrikdytas vienos ar daugiau ypatingos svarbos funkcijų atlikimas.</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Šiame šablone vieną kartą pateikiama informacija apie visą įstaigą arba grupę.</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Nurodomos tik tos finansų rinkos infrastruktūros, kurių veiklai sutrikus būtų labai sukliudytas arba sutrikdytas ypatingos svarbos funkcijos atlikimas.</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Nurodymai dėl konkrečių pozicijų</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Nurodymai</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Naudotojas</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lastRenderedPageBreak/>
              <w:t>Grupės subjektas, kuris naudojasi mokėjimų, saugojimo, atsiskaitymo, tarpuskaitos arba sandorių duomenų saugyklos paslaugomis, nurodytas šablone „Z 01.00. Organizacinė struktūra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Subjekto pavadinimas</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Subjekto, kuris naudojasi mokėjimų, saugojimo, atsiskaitymo, tarpuskaitos arba sandorių duomenų saugyklos paslaugomis, pavadinimas, nurodytas šablone „Z 01.00. Organizacinė struktūra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Nurodomi tik tie subjektai, kurie Z 07.02 šablone identifikuoti kaip teikiantys ypatingos svarbos funkcijas.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Kodas</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Subjekto, kuris naudojasi mokėjimų, saugojimo, atsiskaitymo, tarpuskaitos arba sandorių duomenų saugyklos paslaugomis, kodas, nurodytas šablone „Z 01.00. Organizacinė struktūra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Ypatingos svarbos funkcija</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Subjekto vykdoma ypatingos svarbos funkcija, kurios atlikimas būtų sukliudytas arba sutrikdytas, jeigu būtų panaikinta galimybė naudotis mokėjimų, saugojimo, atsiskaitymo tarpuskaitos arba sandorių duomenų saugyklos paslaugomis.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Šalis</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Šalis, kurioje funkcija yra ypatingos svarbos, kaip nurodyta Z 07.01 (FUNC 1) šablone.</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Identifikatorius</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Ypatingos svarbos funkcijų, kaip apibrėžta 2.7.1.4 skyriuje ir nurodyta Z 07.01 (FUNC 1) šablone, identifikatorius.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Finansų rinkos infrastruktūra (FMI)</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Nuoroda: Mokėjimo ir atsiskaitymo sistemų komitetas (CPMI), </w:t>
            </w:r>
            <w:hyperlink r:id="rId10">
              <w:r>
                <w:rPr>
                  <w:rFonts w:ascii="Times New Roman" w:hAnsi="Times New Roman"/>
                  <w:color w:val="000000" w:themeColor="text1"/>
                  <w:spacing w:val="-2"/>
                  <w:w w:val="95"/>
                  <w:sz w:val="20"/>
                </w:rPr>
                <w:t>Finansų rinkos infrastruktūrų principai („</w:t>
              </w:r>
              <w:proofErr w:type="spellStart"/>
              <w:r>
                <w:rPr>
                  <w:rFonts w:ascii="Times New Roman" w:hAnsi="Times New Roman"/>
                  <w:color w:val="000000" w:themeColor="text1"/>
                  <w:spacing w:val="-2"/>
                  <w:w w:val="95"/>
                  <w:sz w:val="20"/>
                </w:rPr>
                <w:t>Principles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market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infrastructures</w:t>
              </w:r>
              <w:proofErr w:type="spellEnd"/>
              <w:r>
                <w:rPr>
                  <w:rFonts w:ascii="Times New Roman" w:hAnsi="Times New Roman"/>
                  <w:color w:val="000000" w:themeColor="text1"/>
                  <w:spacing w:val="-2"/>
                  <w:w w:val="95"/>
                  <w:sz w:val="20"/>
                </w:rPr>
                <w:t>“)</w:t>
              </w:r>
            </w:hyperlink>
            <w:r>
              <w:t>.</w:t>
            </w:r>
            <w:r>
              <w:rPr>
                <w:rFonts w:ascii="Times New Roman" w:hAnsi="Times New Roman"/>
                <w:color w:val="000000" w:themeColor="text1"/>
                <w:spacing w:val="-2"/>
                <w:w w:val="95"/>
                <w:sz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Daugiašalė sistema, kuria naudojasi dalyvaujančios finansų įstaigos, įskaitant sistemos operatorių, naudojama mokėjimams, vertybiniams popieriams, išvestinėms finansinėms priemonėms ar kitiems finansiniams sandoriams registruoti, jų tarpuskaitai atlikti ar atsiskaityti už juos.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Sistemos rūšis</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Nurodoma viena iš šių verčių:</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„PS“ –</w:t>
            </w:r>
            <w:r>
              <w:tab/>
            </w:r>
            <w:r>
              <w:rPr>
                <w:rFonts w:ascii="Times New Roman" w:hAnsi="Times New Roman"/>
                <w:color w:val="000000" w:themeColor="text1"/>
                <w:spacing w:val="-2"/>
                <w:w w:val="95"/>
                <w:sz w:val="20"/>
              </w:rPr>
              <w:t>mokėjimo sistema</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„(I) CSD“ – (tarptautinis) centrinis vertybinių popierių depozitoriumas, įskaitant tuos (tarptautinius) centrinius vertybinių popierių depozitoriumus, kurie teikia tarpuskaitos paslaugas (viduje arba perduoda trečiosioms šalims pagal rangos sutartis)</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„SSS“ –</w:t>
            </w:r>
            <w:r>
              <w:tab/>
            </w:r>
            <w:r>
              <w:rPr>
                <w:rFonts w:ascii="Times New Roman" w:hAnsi="Times New Roman"/>
                <w:color w:val="000000" w:themeColor="text1"/>
                <w:spacing w:val="-2"/>
                <w:w w:val="95"/>
                <w:sz w:val="20"/>
              </w:rPr>
              <w:t>vertybinių popierių atsiskaitymo sistema be saugojimo</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„CCP-</w:t>
            </w:r>
            <w:proofErr w:type="spellStart"/>
            <w:r>
              <w:rPr>
                <w:rFonts w:ascii="Times New Roman" w:hAnsi="Times New Roman"/>
                <w:color w:val="000000" w:themeColor="text1"/>
                <w:spacing w:val="-2"/>
                <w:w w:val="95"/>
                <w:sz w:val="20"/>
              </w:rPr>
              <w:t>Securities</w:t>
            </w:r>
            <w:proofErr w:type="spellEnd"/>
            <w:r>
              <w:rPr>
                <w:rFonts w:ascii="Times New Roman" w:hAnsi="Times New Roman"/>
                <w:color w:val="000000" w:themeColor="text1"/>
                <w:spacing w:val="-2"/>
                <w:w w:val="95"/>
                <w:sz w:val="20"/>
              </w:rPr>
              <w:t xml:space="preserve">“ – pagrindinė sandorio šalis vertybinių popierių tarpuskaitai atlikti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„CCP-</w:t>
            </w:r>
            <w:proofErr w:type="spellStart"/>
            <w:r>
              <w:rPr>
                <w:rFonts w:ascii="Times New Roman" w:hAnsi="Times New Roman"/>
                <w:color w:val="000000" w:themeColor="text1"/>
                <w:spacing w:val="-2"/>
                <w:w w:val="95"/>
                <w:sz w:val="20"/>
              </w:rPr>
              <w:t>Derivatives</w:t>
            </w:r>
            <w:proofErr w:type="spellEnd"/>
            <w:r>
              <w:rPr>
                <w:rFonts w:ascii="Times New Roman" w:hAnsi="Times New Roman"/>
                <w:color w:val="000000" w:themeColor="text1"/>
                <w:spacing w:val="-2"/>
                <w:w w:val="95"/>
                <w:sz w:val="20"/>
              </w:rPr>
              <w:t>“ –</w:t>
            </w:r>
            <w:r>
              <w:tab/>
            </w:r>
            <w:r>
              <w:rPr>
                <w:rFonts w:ascii="Times New Roman" w:hAnsi="Times New Roman"/>
                <w:color w:val="000000" w:themeColor="text1"/>
                <w:spacing w:val="-2"/>
                <w:w w:val="95"/>
                <w:sz w:val="20"/>
              </w:rPr>
              <w:t>pagrindinė sandorio šalis išvestinių finansinių priemonių tarpuskaitai atlikti</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 –</w:t>
            </w:r>
            <w:r>
              <w:tab/>
            </w:r>
            <w:r>
              <w:rPr>
                <w:rFonts w:ascii="Times New Roman" w:hAnsi="Times New Roman"/>
                <w:color w:val="000000" w:themeColor="text1"/>
                <w:spacing w:val="-2"/>
                <w:w w:val="95"/>
                <w:sz w:val="20"/>
              </w:rPr>
              <w:t>sandorių duomenų saugykla</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„Kita“ –</w:t>
            </w:r>
            <w:r>
              <w:tab/>
            </w:r>
            <w:r>
              <w:rPr>
                <w:rFonts w:ascii="Times New Roman" w:hAnsi="Times New Roman"/>
                <w:color w:val="000000" w:themeColor="text1"/>
                <w:spacing w:val="-2"/>
                <w:w w:val="95"/>
                <w:sz w:val="20"/>
              </w:rPr>
              <w:t>kai finansų rinkos infrastruktūros sistemos rūšis neatitinka nė vienos pirmiau nurodytos rūšies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„Netaikoma“ –</w:t>
            </w:r>
            <w:r>
              <w:tab/>
            </w:r>
            <w:r>
              <w:rPr>
                <w:rFonts w:ascii="Times New Roman" w:hAnsi="Times New Roman"/>
                <w:color w:val="000000" w:themeColor="text1"/>
                <w:spacing w:val="-2"/>
                <w:w w:val="95"/>
                <w:sz w:val="20"/>
              </w:rPr>
              <w:t>kai ypatingos svarbos mokėjimų, tarpuskaitos, atsiskaitymo ar saugojimo paslaugas teikia subjektas, kuris nėra pirmiau nurodyta finansų rinkos infrastruktūra, pavyzdžiui, bankas saugotojas.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Pavadinimas</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Finansų rinkos infrastruktūros komercinis pavadinimas.</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Jeigu 0050 skiltyje nurodyta „Netaikoma“, ši skiltis nepildoma.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Finansų rinkos infrastruktūros kodas</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Finansų rinkos infrastruktūros kodas. Jei turima, nurodomas 20-ies raidinių skaitinių ženklų LEI kodas. Jei LEI kodo nėra, nurodomas pagal Sąjungoje taikomą vienodą kodų sistemą sudarytas kodas, arba, jei jo nėra – nacionalinis kodas.</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Jeigu 0050 skiltyje nurodyta „Netaikoma“, ši skiltis nepildoma.</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Dalyvavimo būdas</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Nurodyti vieną iš šių verčių:</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„Tiesioginis“ –</w:t>
            </w:r>
            <w:r>
              <w:tab/>
            </w:r>
            <w:r>
              <w:rPr>
                <w:rFonts w:ascii="Times New Roman" w:hAnsi="Times New Roman"/>
                <w:color w:val="000000" w:themeColor="text1"/>
                <w:spacing w:val="-2"/>
                <w:w w:val="95"/>
                <w:sz w:val="20"/>
              </w:rPr>
              <w:t>tiesioginės narystės arba tiesioginio dalyvavimo atveju</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„Netiesioginis“ –</w:t>
            </w:r>
            <w:r>
              <w:tab/>
            </w:r>
            <w:r>
              <w:rPr>
                <w:rFonts w:ascii="Times New Roman" w:hAnsi="Times New Roman"/>
                <w:color w:val="000000" w:themeColor="text1"/>
                <w:spacing w:val="-2"/>
                <w:w w:val="95"/>
                <w:sz w:val="20"/>
              </w:rPr>
              <w:t>netiesioginės narystės arba netiesioginio dalyvavimo atveju</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„Netaikoma“ –</w:t>
            </w:r>
            <w:r>
              <w:tab/>
            </w:r>
            <w:r>
              <w:rPr>
                <w:rFonts w:ascii="Times New Roman" w:hAnsi="Times New Roman"/>
                <w:color w:val="000000" w:themeColor="text1"/>
                <w:spacing w:val="-2"/>
                <w:w w:val="95"/>
                <w:sz w:val="20"/>
              </w:rPr>
              <w:t>kai 0050 skiltyje nurodyta „Netaikoma“.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Pavadinimas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Komercinis tarpininko pavadinimas, kai 0080 skiltyje nurodyta „Netiesioginis“ arba „Netaikoma“.</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Kai 0080 skiltyje nurodyta „Tiesioginis“, nurodoma „Netaikoma“.</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Tarpininkas gali arba priklausyti grupei, kuriai priklauso informaciją teikiantis subjektas, arba būti kita, su ta grupe nesusijusi kredito įstaiga.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Tarpininkas gali būti įmonė, kitoms įmonėms teikianti tarpuskaitos, mokėjimų, vertybinių popierių atsiskaitymo ir (arba) saugojimo paslaugas (ypač tais atvejais, kai 0050 skiltyje nurodyta „Netaikoma“; jis gali būti tiesioginis vienos ar kelių finansų rinkos infrastruktūrų narys, netiesiogiai teikiantis galimybę naudotis tokių finansų rinkos infrastruktūrų paslaugomis (ypač tais atvejais, kai 0080 skiltyje nurodyta „Netiesioginis“).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Kodas</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Tarpininko kodas. Jei turima, nurodomas 20-ies raidinių skaitinių ženklų LEI kodas. Jei LEI kodo nėra, nurodomas pagal Sąjungoje taikomą vienodą kodų sistemą sudarytas kodas, arba, jei jo nėra – nacionalinis kodas.</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Kai 0090 skiltyje nurodyta „Tiesioginis“, nurodoma „Netaikoma“.</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Paslaugos aprašymas</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Paslaugos aprašymas, jeigu 050 nurodyta sistemos rūšis yra „Kita“ arba nurodyta „Netaikoma“.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Taikoma teisė</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Šalies, kurios teisė reglamentuoja prieigą prie finansų rinkos infrastruktūros, ISO 3166-1 </w:t>
            </w:r>
            <w:proofErr w:type="spellStart"/>
            <w:r>
              <w:rPr>
                <w:rFonts w:ascii="Times New Roman" w:hAnsi="Times New Roman"/>
                <w:color w:val="000000" w:themeColor="text1"/>
                <w:spacing w:val="-2"/>
                <w:w w:val="95"/>
                <w:sz w:val="20"/>
              </w:rPr>
              <w:t>dviraidis</w:t>
            </w:r>
            <w:proofErr w:type="spellEnd"/>
            <w:r>
              <w:rPr>
                <w:rFonts w:ascii="Times New Roman" w:hAnsi="Times New Roman"/>
                <w:color w:val="000000" w:themeColor="text1"/>
                <w:spacing w:val="-2"/>
                <w:w w:val="95"/>
                <w:sz w:val="20"/>
              </w:rPr>
              <w:t xml:space="preserve"> kodas.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Tiesioginės narystės ar tiesioginio dalyvavimo atveju reikia nurodyti teisę, taikomą finansų rinkos infrastruktūros ir naudotojo sutarčiai. Netiesioginės narystės ar netiesioginio dalyvavimo atveju reikia nurodyti teisę, taikomą atstovaujančios įstaigos ir naudotojo sutarčiai.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225566"/>
      <w:r>
        <w:rPr>
          <w:rFonts w:ascii="Times New Roman" w:hAnsi="Times New Roman"/>
          <w:color w:val="000000" w:themeColor="text1"/>
        </w:rPr>
        <w:t>Ypatingos svarbos informacinės sistemos</w:t>
      </w:r>
      <w:bookmarkEnd w:id="43"/>
      <w:bookmarkEnd w:id="44"/>
      <w:bookmarkEnd w:id="45"/>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Pr>
          <w:rFonts w:ascii="Times New Roman" w:hAnsi="Times New Roman"/>
          <w:b w:val="0"/>
          <w:color w:val="000000" w:themeColor="text1"/>
          <w:sz w:val="20"/>
          <w:u w:val="single"/>
        </w:rPr>
        <w:t>Bendrosios pastabos</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Šį skirsnį sudaro šie šablonai:</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lastRenderedPageBreak/>
        <w:t>„Z 10.01. Ypatingos svarbos informacinės sistemos (bendroji informacija) (CIS 1)“ – jame nurodomos visos grupės ypatingos svarbos informacinės sistemos;</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10.02. Ypatingos svarbos informacinių sistemų susiejimas (CIS 2)“ – jame ypatingos svarbos informacinės sistemos susiejamos su jas naudojančiais grupės subjektais ir ypatingos svarbos funkcijomis.</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rPr>
        <w:t>Ypatingos svarbos informacinė sistema – IT taikomoji programa arba programinė įranga, palaikanti ypatingos svarbos paslaugą, kurią nustojus teikti būtų labai sukliudytas arba sutrikdytas ypatingos svarbos funkcijos atlikimas.</w:t>
      </w:r>
      <w:bookmarkEnd w:id="46"/>
      <w:bookmarkEnd w:id="47"/>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rPr>
        <w:t>Šiuose šablonuose teikiama informacija apie visą grupę.</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10.01. Ypatingos svarbos informacinės sistemos (bendroji informacija) (CIS 1) Nurodymai dėl konkrečių pozicijų</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Šio šablono 0010 skiltyje nurodyta vertė yra pirminis raktas, kuris turi būti unikalus kiekvienai šablono eilutei.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Nurodymai</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Ypatingos svarbos informacinė sistema</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Sistemos identifikavimo kodas</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Sistemos identifikavimo kodas yra įstaigos nustatyta santrumpa, kuria aiškiai identifikuojama ypatingos svarbos informacinė sistema.</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Šiuo unikaliu identifikatoriumi identifikuojama kiekviena šablono eilutė.</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Sistemos pavadinimas</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Komercinis arba vidinis sistemos pavadinimas.</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Sistemos rūšis</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Nurodyti vieną iš šių verčių:</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„Pagal užsakymą sukurta verslo paramos programinė įranga“</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Taikomosios programos, sukurtos pagal išsamias veiklos specifikacijas. Ji gali būti sukurta viduje arba naudojantis išorės rangovų paslaugomis, tačiau jos paskirtis visuomet yra verslo parama.</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„Standartinė programinė įranga“</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Rinkoje įsigytos taikomosios programos, kurias paprastai parduoda arba kurioms licenciją suteikia pardavėjas ir kurios nebuvo specialiai pritaikytos prie organizacijos veiklos. Prie šios kategorijos priskiriamos taikomosios programos, kurioms taikyti įprasti konfigūravimo mechanizmai.</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„Specialiai pritaikyta įsigyta programinė įranga“</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Rinkoje įsigytos taikomosios programos, kai pardavėjas (arba jo atstovas) sukūrė specialią tos programos versiją, pritaikytą jos įdiegimo aplinkybėms. Tokioje specialioje versijoje paprastai pakeičiamas taikomosios programos veikimas, įdiegiamos naujos savybės arba nestandartiniai papildiniai, sukurti atsižvelgiant į organizacijos veiklą.</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„Taikomoji programa / išorės portalas“</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Išorės portalai arba taikomosios programos, kurias tiekia trečiosios šalys, paprastai partneriai, kad būtų galima naudotis jų teikiamomis paslaugomis. Paprastai jos nepatenka į organizacijos informacinių sistemų valdymo aprėptį, jas įdiegia, prižiūri ir valdo pats partneris. Tokios </w:t>
            </w:r>
            <w:r>
              <w:rPr>
                <w:rFonts w:ascii="Times New Roman" w:hAnsi="Times New Roman"/>
                <w:color w:val="000000" w:themeColor="text1"/>
                <w:spacing w:val="-2"/>
                <w:w w:val="95"/>
                <w:sz w:val="20"/>
              </w:rPr>
              <w:lastRenderedPageBreak/>
              <w:t xml:space="preserve">taikomosios programos dažnai yra portalai (į kuriuos galima patekti per internetą arba privačius tinklus) ir nepaisant to, kad jos nepatenka į organizacijos informacinių sistemų valdymo paslaugų aprėptį, jos yra svarbios (arba ypatingos svarbos) tam tikroms veiklos funkcijoms.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Aprašymas</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Informacinės sistemos pagrindinės paskirties atsižvelgiant į veiklos aplinkybes aprašymas.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Už sistemą atsakingas grupės subjektas</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Subjekto pavadinimas</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Juridinio asmens, grupėje atsakingo už sistemą, pavadinimas.</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Tai yra subjektas, apskritai atsakingas už informacinės sistemos pirkimą, plėtojimą, integravimą, adaptavimą, veikimą, priežiūrą ir naudojimo nutraukimą, kuris daugiausiai prisideda prie sistemos struktūros specifikacijų kūrimo, siekdamas užtikrinti, kad reikalingos saugumo ir naudotojų operacinės funkcijos būtų patvirtintos dokumentais, išbandytos ir įdiegtos.</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Kodas</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Subjekto, grupėje atsakingo už sistemą, kodas, nurodytas šablone „Z 01.00. Organizacinė struktūra (ORG)“.</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48"/>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 02 . Informacinių sistemų susiejimas (CIS 2). Nurodymai dėl konkrečių pozicijų</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Šio šablono 0010, 0030, 0040 ir 0050 skiltyse nurodytų verčių derinys yra pirminis raktas, kuris turi būti unikalus kiekvienai šablono eilutei.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Nurodymai</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Sistemos identifikavimo kodas</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Informacinės sistemos identifikavimo kodas, nurodytas Z 10.01 (CIS 1) šablono 010 skiltyje.</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Sistemą naudojantis grupės subjektas</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Sistemą naudojantis grupės subjektas (naudotojas). Jeigu naudotojų yra keli, informacija apie tą pačią sistemą pateikiama keliose eilutėse.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Subjekto pavadinimas</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Naudotojo subjekto pavadinimas, nurodytas Z 01.00 (ORG) šablone.</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Kodas</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Naudotojo subjekto kodas, nurodytas Z 01.00 (ORG) šablone.</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Ypatingos svarbos paslauga</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Ypatingos svarbos paslaugos, nurodytos Z 08.00 šablone (0005 skiltyje), kurią sistema palaiko, identifikatorius. Ypatingos svarbos paslauga pati gali būti IT paslauga arba kitos rūšies paslauga (pavyzdžiui, operacijų tvarkymas), kurią palaiko informacinė sistema.</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Ypatingos svarbos funkcija</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Ypatingos svarbos funkcija, kurios atlikimas būtų labai sukliudytas arba visiškai sutrikdytas, jeigu sutriktų paslaugų, kurias palaiko informacinė sistema, teikimas. Jeigu ypatingos svarbos funkcijų yra kelios, informacija apie tą pačią sistemą pateikiama keliose eilutėse.</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Šalis</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Šalis, kurioje funkcija yra ypatingos svarbos, kaip nurodyta Z 07.01 (FUNC 1) šablone.</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Identifikatorius</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Ypatingos svarbos funkcijų, kaip apibrėžta 2.7.1.4 skyriuje ir nurodyta Z 07.01 (FUNC 1) šablone, identifikatorius.</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86" w:rsidRDefault="003C3186" w:rsidP="001E5EDF">
      <w:r>
        <w:separator/>
      </w:r>
    </w:p>
  </w:endnote>
  <w:endnote w:type="continuationSeparator" w:id="0">
    <w:p w:rsidR="003C3186" w:rsidRDefault="003C3186"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Tunga">
    <w:panose1 w:val="020B0502040204020203"/>
    <w:charset w:val="00"/>
    <w:family w:val="swiss"/>
    <w:pitch w:val="variable"/>
    <w:sig w:usb0="004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3C3186" w:rsidRDefault="003C3186" w:rsidP="000E60D6">
        <w:pPr>
          <w:pStyle w:val="Footer"/>
          <w:jc w:val="center"/>
        </w:pPr>
        <w:r>
          <w:rPr>
            <w:noProof/>
          </w:rPr>
          <w:fldChar w:fldCharType="begin"/>
        </w:r>
        <w:r>
          <w:rPr>
            <w:noProof/>
          </w:rPr>
          <w:instrText xml:space="preserve"> PAGE   \* MERGEFORMAT </w:instrText>
        </w:r>
        <w:r>
          <w:rPr>
            <w:noProof/>
          </w:rPr>
          <w:fldChar w:fldCharType="separate"/>
        </w:r>
        <w:r w:rsidR="006D2200">
          <w:rPr>
            <w:noProof/>
          </w:rPr>
          <w:t>1</w:t>
        </w:r>
        <w:r>
          <w:rPr>
            <w:noProof/>
          </w:rPr>
          <w:fldChar w:fldCharType="end"/>
        </w:r>
      </w:p>
    </w:sdtContent>
  </w:sdt>
  <w:p w:rsidR="003C3186" w:rsidRDefault="003C31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86" w:rsidRDefault="003C3186" w:rsidP="001E5EDF">
      <w:r>
        <w:separator/>
      </w:r>
    </w:p>
  </w:footnote>
  <w:footnote w:type="continuationSeparator" w:id="0">
    <w:p w:rsidR="003C3186" w:rsidRDefault="003C3186" w:rsidP="001E5EDF">
      <w:r>
        <w:continuationSeparator/>
      </w:r>
    </w:p>
  </w:footnote>
  <w:footnote w:id="1">
    <w:p w:rsidR="003C3186" w:rsidRPr="008E5458" w:rsidRDefault="003C3186" w:rsidP="008E5458">
      <w:pPr>
        <w:pStyle w:val="FootnoteText"/>
        <w:rPr>
          <w:lang w:val="en-GB"/>
        </w:rPr>
      </w:pPr>
      <w:r>
        <w:rPr>
          <w:rStyle w:val="FootnoteReference"/>
          <w:rFonts w:ascii="Times New Roman" w:hAnsi="Times New Roman"/>
        </w:rPr>
        <w:footnoteRef/>
      </w:r>
      <w:r>
        <w:t xml:space="preserve"> 2014 m. balandžio 16 d. Komisijos įgyvendinimo reglamentas (ES) Nr. 680/2014, kuriuo pagal Europos Parlamento ir Tarybos reglamentą (ES) Nr. 575/2013 nustatomi įstaigų priežiūros ataskaitų teikimo techniniai įgyvendinimo standartai (OL L 191, 2014 6 28, p. 1).</w:t>
      </w:r>
    </w:p>
  </w:footnote>
  <w:footnote w:id="2">
    <w:p w:rsidR="003C3186" w:rsidRPr="00E17940" w:rsidRDefault="003C3186" w:rsidP="008E5458">
      <w:pPr>
        <w:pStyle w:val="FootnoteText"/>
      </w:pPr>
      <w:r>
        <w:rPr>
          <w:rStyle w:val="FootnoteReference"/>
          <w:rFonts w:ascii="Times New Roman" w:hAnsi="Times New Roman"/>
        </w:rPr>
        <w:footnoteRef/>
      </w:r>
      <w:r>
        <w:t xml:space="preserve"> 2002 m. liepos 19 d. Europos Parlamento ir Tarybos reglamentas (EB) Nr. 1606/2002 dėl tarptautinių apskaitos standartų taikymo (OL L 243, 2002 9 11, p. 1).</w:t>
      </w:r>
    </w:p>
  </w:footnote>
  <w:footnote w:id="3">
    <w:p w:rsidR="003C3186" w:rsidRPr="008E5458" w:rsidRDefault="003C3186" w:rsidP="00543060">
      <w:pPr>
        <w:pStyle w:val="FootnoteText"/>
      </w:pPr>
      <w:r>
        <w:rPr>
          <w:rStyle w:val="FootnoteReference"/>
          <w:rFonts w:ascii="Times New Roman" w:hAnsi="Times New Roman"/>
        </w:rPr>
        <w:footnoteRef/>
      </w:r>
      <w:r>
        <w:t xml:space="preserve"> 2002 m. liepos 19 d. Europos Parlamento ir Tarybos reglamentas (EB) Nr. 1606/2002 dėl tarptautinių apskaitos standartų taikymo (OL L 243, 2002 9 11, p. 1).</w:t>
      </w:r>
    </w:p>
  </w:footnote>
  <w:footnote w:id="4">
    <w:p w:rsidR="003C3186" w:rsidRPr="008C464E" w:rsidRDefault="003C3186" w:rsidP="00543060">
      <w:pPr>
        <w:pStyle w:val="FootnoteText"/>
      </w:pPr>
      <w:r>
        <w:rPr>
          <w:rStyle w:val="FootnoteReference"/>
          <w:rFonts w:ascii="Times New Roman" w:hAnsi="Times New Roman"/>
        </w:rPr>
        <w:footnoteRef/>
      </w:r>
      <w:r>
        <w:t xml:space="preserve"> 1986 m. gruodžio 8 d. Tarybos direktyva 86/635/EEB dėl bankų ir kitų finansų įstaigų metinės finansinės atskaitomybės ir konsoliduotos finansinės atskaitomybės (OL L 372, 1986 12 31, p. 1).</w:t>
      </w:r>
    </w:p>
  </w:footnote>
  <w:footnote w:id="5">
    <w:p w:rsidR="003C3186" w:rsidRPr="00E17940" w:rsidRDefault="003C3186" w:rsidP="00543060">
      <w:pPr>
        <w:pStyle w:val="FootnoteText"/>
      </w:pPr>
      <w:r>
        <w:rPr>
          <w:rStyle w:val="FootnoteReference"/>
          <w:rFonts w:ascii="Times New Roman" w:hAnsi="Times New Roman"/>
        </w:rPr>
        <w:footnoteRef/>
      </w:r>
      <w:r>
        <w:t xml:space="preserve"> 2013 m. birželio 26 d. Europos Parlamento ir Tarybos reglamentas (ES) Nr. 575/2013 dėl </w:t>
      </w:r>
      <w:proofErr w:type="spellStart"/>
      <w:r>
        <w:t>prudencinių</w:t>
      </w:r>
      <w:proofErr w:type="spellEnd"/>
      <w:r>
        <w:t xml:space="preserve"> reikalavimų kredito įstaigoms ir investicinėms įmonėms ir kuriuo iš dalies keičiamas Reglamentas (ES) Nr. 648/2012 (OL L 176, 2013 6 27, p. 1).</w:t>
      </w:r>
    </w:p>
  </w:footnote>
  <w:footnote w:id="6">
    <w:p w:rsidR="003C3186" w:rsidRPr="00E17940" w:rsidRDefault="003C3186" w:rsidP="00543060">
      <w:pPr>
        <w:pStyle w:val="FootnoteText"/>
      </w:pPr>
      <w:r>
        <w:rPr>
          <w:rStyle w:val="FootnoteReference"/>
        </w:rPr>
        <w:footnoteRef/>
      </w:r>
      <w:r>
        <w:t xml:space="preserve"> 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footnote>
  <w:footnote w:id="7">
    <w:p w:rsidR="003C3186" w:rsidRPr="00CF3EBF" w:rsidRDefault="003C3186" w:rsidP="008B1EBD">
      <w:pPr>
        <w:pStyle w:val="FootnoteText"/>
      </w:pPr>
      <w:r>
        <w:rPr>
          <w:rStyle w:val="FootnoteReference"/>
          <w:rFonts w:ascii="Times New Roman" w:hAnsi="Times New Roman"/>
        </w:rPr>
        <w:footnoteRef/>
      </w:r>
      <w:r>
        <w:t xml:space="preserve"> 2009 m. lapkričio 25 d. Europos Parlamento ir Tarybos direktyva 2009/138/EB dėl draudimo ir perdraudimo veiklos pradėjimo ir jos vykdymo (Mokumas II) (Tekstas svarbus EEE) (OL L 335, 2009 12 17, p. 1).</w:t>
      </w:r>
    </w:p>
  </w:footnote>
  <w:footnote w:id="8">
    <w:p w:rsidR="003C3186" w:rsidRPr="00113543" w:rsidRDefault="003C3186" w:rsidP="008B1EBD">
      <w:pPr>
        <w:pStyle w:val="FootnoteText"/>
      </w:pPr>
      <w:r>
        <w:rPr>
          <w:rStyle w:val="FootnoteReference"/>
          <w:rFonts w:ascii="Times New Roman" w:hAnsi="Times New Roman"/>
        </w:rPr>
        <w:footnoteRef/>
      </w:r>
      <w:r>
        <w:t xml:space="preserve"> 2003 m. gegužės 6 d. Komisijos rekomendacija dėl labai mažų įmonių, mažųjų ir vidutinių įmonių apibrėžimo (pranešta dokumentu Nr. C(2003) 1422) (OL L 124, 2003 5 20, p. 36).</w:t>
      </w:r>
    </w:p>
  </w:footnote>
  <w:footnote w:id="9">
    <w:p w:rsidR="003C3186" w:rsidRPr="008C464E" w:rsidRDefault="003C3186" w:rsidP="008B1EBD">
      <w:pPr>
        <w:pStyle w:val="FootnoteText"/>
      </w:pPr>
      <w:r>
        <w:rPr>
          <w:rStyle w:val="FootnoteReference"/>
          <w:rFonts w:ascii="Times New Roman" w:hAnsi="Times New Roman"/>
        </w:rPr>
        <w:footnoteRef/>
      </w:r>
      <w:r>
        <w:t xml:space="preserve"> Europos Centrinio Banko reglamentas (ES) Nr. 1071/2013 dėl pinigų finansų įstaigų sektoriaus balanso (OL L 297, 2013 7 11, p. 1).</w:t>
      </w:r>
    </w:p>
  </w:footnote>
  <w:footnote w:id="10">
    <w:p w:rsidR="003C3186" w:rsidRPr="00B77FC7" w:rsidRDefault="003C3186" w:rsidP="008E5458">
      <w:pPr>
        <w:pStyle w:val="FootnoteText"/>
      </w:pPr>
      <w:r>
        <w:rPr>
          <w:rStyle w:val="FootnoteReference"/>
        </w:rPr>
        <w:footnoteRef/>
      </w:r>
      <w:r>
        <w:t xml:space="preserve"> 2014 m. gegužės 15 d. Europos Parlamento ir Tarybos direktyva 2014/59/ES, kuria nustatoma kredito įstaigų ir investicinių įmonių gaivinimo ir pertvarkymo sistema ir iš dalies keičiamos Tarybos direktyva 82/891/EEB, direktyvos 2001/24/EB, 2002/47/EB, 2004/25/EB, 2005/56/EB, 2007/36/EB, 2011/35/ES, 2012/30/ES bei 2013/36/ES ir Europos Parlamento ir Tarybos reglamentai (ES) Nr. 1093/2010 bei (ES) Nr. 648/2012 (OL L 173, 2014 6 12, p. 190).</w:t>
      </w:r>
    </w:p>
  </w:footnote>
  <w:footnote w:id="11">
    <w:p w:rsidR="003C3186" w:rsidRPr="001D3665" w:rsidRDefault="003C3186" w:rsidP="008E5458">
      <w:pPr>
        <w:pStyle w:val="FootnoteText"/>
      </w:pPr>
      <w:r>
        <w:rPr>
          <w:rStyle w:val="FootnoteReference"/>
        </w:rPr>
        <w:footnoteRef/>
      </w:r>
      <w:r>
        <w:t xml:space="preserve"> 2014 m. balandžio 16 d. Europos Parlamento ir Tarybos direktyva 2014/49/ES dėl indėlių garantijų sistemų (OL L 173, 2014 6 12, p. 149).</w:t>
      </w:r>
    </w:p>
  </w:footnote>
  <w:footnote w:id="12">
    <w:p w:rsidR="003C3186" w:rsidRPr="00EB1AD3" w:rsidRDefault="003C3186" w:rsidP="00365E39">
      <w:pPr>
        <w:pStyle w:val="FootnoteText"/>
      </w:pPr>
      <w:r>
        <w:rPr>
          <w:rStyle w:val="FootnoteReference"/>
        </w:rPr>
        <w:footnoteRef/>
      </w:r>
      <w:r>
        <w:t xml:space="preserve"> 2009 m. liepos 13 d. Europos Parlamento ir Tarybos direktyva 2009/65/EB dėl įstatymų ir kitų teisės aktų, susijusių su kolektyvinio investavimo į perleidžiamus vertybinius popierius subjektais (KIPVPS), derinimo (OL L 302, 2009 11 17, p. 32).</w:t>
      </w:r>
    </w:p>
  </w:footnote>
  <w:footnote w:id="13">
    <w:p w:rsidR="003C3186" w:rsidRPr="00EB1AD3" w:rsidRDefault="003C3186" w:rsidP="00365E39">
      <w:pPr>
        <w:pStyle w:val="FootnoteText"/>
      </w:pPr>
      <w:r>
        <w:rPr>
          <w:rStyle w:val="FootnoteReference"/>
        </w:rPr>
        <w:footnoteRef/>
      </w:r>
      <w:r>
        <w:t xml:space="preserve"> 2011 m. birželio 8 d. Europos Parlamento ir Tarybos direktyva 2011/61/ES dėl alternatyvaus investavimo fondų valdytojų, kuria iš dalies keičiami direktyvos 2003/41/EB ir 2009/65/EB bei reglamentai (EB) Nr. 1060/2009 ir (ES) Nr. 1095/2010 (OL L 174, 2011 7 1, p. 1).</w:t>
      </w:r>
    </w:p>
  </w:footnote>
  <w:footnote w:id="14">
    <w:p w:rsidR="003C3186" w:rsidRPr="004002B3" w:rsidRDefault="003C3186" w:rsidP="00365E39">
      <w:pPr>
        <w:pStyle w:val="FootnoteText"/>
      </w:pPr>
      <w:r>
        <w:rPr>
          <w:rStyle w:val="FootnoteReference"/>
        </w:rPr>
        <w:footnoteRef/>
      </w:r>
      <w:r>
        <w:t xml:space="preserve"> 1998 m. gegužės 19 d. Europos Parlamento ir Tarybos direktyva 98/26/EB dėl atsiskaitymų baigtinumo mokėjimų ir vertybinių popierių atsiskaitymų sistemose (OL L 166, 1998 6 11, p. 45).</w:t>
      </w:r>
    </w:p>
  </w:footnote>
  <w:footnote w:id="15">
    <w:p w:rsidR="003C3186" w:rsidRPr="008C464E" w:rsidRDefault="003C3186" w:rsidP="00767F1B">
      <w:pPr>
        <w:pStyle w:val="FootnoteText"/>
      </w:pPr>
      <w:r>
        <w:rPr>
          <w:rStyle w:val="FootnoteReference"/>
        </w:rPr>
        <w:footnoteRef/>
      </w:r>
      <w:r>
        <w:t xml:space="preserve"> 2016 m. gegužės 23 d. Komisijos deleguotasis reglamentas (ES) 2016/1401, kuriuo Europos Parlamento ir Tarybos direktyva 2014/59/ES, kuria nustatoma kredito įstaigų ir investicinių įmonių gaivinimo ir pertvarkymo sistema, papildoma techniniais reguliavimo standartais, susijusiais su įsipareigojimų, kurių atsiranda dėl išvestinių finansinių priemonių, vertinimo metodikomis ir principais (OL L 228, 2016 8 23, p. 7).</w:t>
      </w:r>
    </w:p>
  </w:footnote>
  <w:footnote w:id="16">
    <w:p w:rsidR="003C3186" w:rsidRPr="008C464E" w:rsidRDefault="003C3186" w:rsidP="00767F1B">
      <w:pPr>
        <w:pStyle w:val="FootnoteText"/>
      </w:pPr>
      <w:r>
        <w:rPr>
          <w:rStyle w:val="FootnoteReference"/>
        </w:rPr>
        <w:footnoteRef/>
      </w:r>
      <w:r>
        <w:t xml:space="preserve"> 2016 m. vasario 2 d. Komisijos deleguotasis reglamentas (ES) 2016/778, kuriuo Europos Parlamento ir Tarybos direktyva 2014/59/ES papildoma nuostatomis dėl aplinkybių ir sąlygų, kuriomis papildomų </w:t>
      </w:r>
      <w:proofErr w:type="spellStart"/>
      <w:r>
        <w:rPr>
          <w:i/>
        </w:rPr>
        <w:t>ex</w:t>
      </w:r>
      <w:proofErr w:type="spellEnd"/>
      <w:r>
        <w:rPr>
          <w:i/>
        </w:rPr>
        <w:t> </w:t>
      </w:r>
      <w:proofErr w:type="spellStart"/>
      <w:r>
        <w:rPr>
          <w:i/>
        </w:rPr>
        <w:t>post</w:t>
      </w:r>
      <w:proofErr w:type="spellEnd"/>
      <w:r>
        <w:t xml:space="preserve"> įnašų mokėjimas gali būti iš dalies ar visiškai atidėtas, nuostatomis dėl nustatymo, kuri veikla, paslaugos ir operacijos yra ypatingos svarbos funkcijos, kriterijų ir nuostatomis dėl nustatymo, kurios verslo linijos ir susijusios paslaugos yra pagrindinės verslo linijos, kriterijų (OL L 131, 2016 5 20, p. 41).</w:t>
      </w:r>
    </w:p>
  </w:footnote>
  <w:footnote w:id="17">
    <w:p w:rsidR="003C3186" w:rsidRPr="008C464E" w:rsidRDefault="003C3186" w:rsidP="00543060">
      <w:pPr>
        <w:pStyle w:val="FootnoteText"/>
      </w:pPr>
      <w:r>
        <w:rPr>
          <w:rStyle w:val="FootnoteReference"/>
        </w:rPr>
        <w:footnoteRef/>
      </w:r>
      <w:r>
        <w:t xml:space="preserve"> 2015 m. lapkričio 25 d. Europos parlamento ir Tarybos direktyva (ES) 2015/2366 dėl mokėjimo paslaugų vidaus rinkoje, kuria iš dalies keičiamos direktyvos 2002/65/EB, 2009/110/EB ir 2013/36/ES bei Reglamentas (ES) Nr. 1093/2010 ir panaikinama Direktyva 2007/64/EB (OL L 337, 2015 12 23, p. 35).</w:t>
      </w:r>
    </w:p>
  </w:footnote>
  <w:footnote w:id="18">
    <w:p w:rsidR="003C3186" w:rsidRPr="008C464E" w:rsidRDefault="003C3186" w:rsidP="00543060">
      <w:pPr>
        <w:pStyle w:val="FootnoteText"/>
      </w:pPr>
      <w:r>
        <w:rPr>
          <w:rStyle w:val="FootnoteReference"/>
        </w:rPr>
        <w:footnoteRef/>
      </w:r>
      <w:r>
        <w:t xml:space="preserve"> 2012 m. liepos 4 d. Europos Parlamento ir Tarybos reglamentas (ES) Nr. 648/2012 dėl ne biržos išvestinių finansinių priemonių, pagrindinių sandorio šalių ir sandorių duomenų saugyklų (OL L 201, 2012 7 27, p. 1).</w:t>
      </w:r>
    </w:p>
  </w:footnote>
  <w:footnote w:id="19">
    <w:p w:rsidR="003C3186" w:rsidRPr="008C464E" w:rsidRDefault="003C3186" w:rsidP="00543060">
      <w:pPr>
        <w:pStyle w:val="FootnoteText"/>
      </w:pPr>
      <w:r>
        <w:rPr>
          <w:rStyle w:val="FootnoteReference"/>
        </w:rPr>
        <w:footnoteRef/>
      </w:r>
      <w:r>
        <w:t xml:space="preserve"> 2014 m. gegužės 15 d. Europos Parlamento ir Tarybos direktyva 2014/65/ES dėl finansinių priemonių rinkų, kuria iš dalies keičiamos Direktyva 2002/92/EB ir Direktyva 2011/61/ES (OL L 173, 2014 6 12, p.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186" w:rsidRPr="000E60D6" w:rsidRDefault="003C3186" w:rsidP="000E60D6">
    <w:pPr>
      <w:pStyle w:val="Header"/>
      <w:jc w:val="center"/>
      <w:rPr>
        <w:rFonts w:ascii="Times New Roman" w:hAnsi="Times New Roman" w:cs="Times New Roman"/>
      </w:rPr>
    </w:pPr>
    <w:r>
      <w:rPr>
        <w:rFonts w:ascii="Times New Roman" w:hAnsi="Times New Roman"/>
      </w:rPr>
      <w:t>LT</w:t>
    </w:r>
  </w:p>
  <w:p w:rsidR="003C3186" w:rsidRPr="000E60D6" w:rsidRDefault="003C3186" w:rsidP="000E60D6">
    <w:pPr>
      <w:pStyle w:val="Header"/>
      <w:jc w:val="center"/>
      <w:rPr>
        <w:rFonts w:ascii="Times New Roman" w:hAnsi="Times New Roman" w:cs="Times New Roman"/>
      </w:rPr>
    </w:pPr>
    <w:r>
      <w:rPr>
        <w:rFonts w:ascii="Times New Roman" w:hAnsi="Times New Roman"/>
      </w:rPr>
      <w:t>II PRIEDAS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200"/>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9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464E"/>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lt-LT" w:bidi="lt-L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lt-LT"/>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lt-LT"/>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lt-LT"/>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lt-LT"/>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lt-LT"/>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lt-LT"/>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lt-LT"/>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lt-LT"/>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lt-LT"/>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lt-LT"/>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lt-LT"/>
    </w:rPr>
  </w:style>
  <w:style w:type="table" w:styleId="TableGrid">
    <w:name w:val="Table Grid"/>
    <w:basedOn w:val="TableProfessional"/>
    <w:uiPriority w:val="59"/>
    <w:rsid w:val="00E13CE3"/>
    <w:rPr>
      <w:sz w:val="20"/>
      <w:szCs w:val="20"/>
      <w:lang w:val="en-GB" w:eastAsia="en-GB" w:bidi="kn-IN"/>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lt-LT"/>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lt-LT"/>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lt-LT"/>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lt-LT"/>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lt-LT"/>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lt-LT"/>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lt-LT" w:eastAsia="lt-LT"/>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lt-LT"/>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kn-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7040D-1767-4546-ABB6-AE7F8DC8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42</Pages>
  <Words>16136</Words>
  <Characters>87945</Characters>
  <Application>Microsoft Office Word</Application>
  <DocSecurity>0</DocSecurity>
  <Lines>1998</Lines>
  <Paragraphs>1626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102455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KRAMER Asta (DGT)</cp:lastModifiedBy>
  <cp:revision>5</cp:revision>
  <cp:lastPrinted>2017-10-06T17:28:00Z</cp:lastPrinted>
  <dcterms:created xsi:type="dcterms:W3CDTF">2018-09-18T08:30:00Z</dcterms:created>
  <dcterms:modified xsi:type="dcterms:W3CDTF">2018-09-20T15:05:00Z</dcterms:modified>
</cp:coreProperties>
</file>