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73152" w14:textId="4E11F668" w:rsidR="00A81FD5" w:rsidRPr="007F4CC8" w:rsidRDefault="00A81FD5" w:rsidP="00A81FD5">
      <w:pPr>
        <w:pStyle w:val="Annexetitre"/>
        <w:spacing w:before="0"/>
      </w:pPr>
      <w:r w:rsidRPr="007F4CC8">
        <w:t xml:space="preserve">ANNEX XXIV - Disclosure of specialised lending and equity exposures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Template EU </w:t>
      </w:r>
      <w:r w:rsidRPr="007F4CC8">
        <w:rPr>
          <w:rFonts w:ascii="Times New Roman" w:hAnsi="Times New Roman"/>
          <w:b/>
          <w:sz w:val="24"/>
        </w:rPr>
        <w:t>CR10 – Specialised lending and equity exposures.</w:t>
      </w:r>
      <w:r w:rsidRPr="007F4CC8">
        <w:rPr>
          <w:rFonts w:ascii="Times New Roman" w:hAnsi="Times New Roman"/>
          <w:sz w:val="24"/>
        </w:rPr>
        <w:t xml:space="preserve"> Fixed template.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7F4CC8">
        <w:rPr>
          <w:rFonts w:ascii="Times New Roman" w:hAnsi="Times New Roman"/>
          <w:sz w:val="24"/>
        </w:rPr>
        <w:t>Institutions shall disclose the information referred to in point (e) of Article 438 of Regulation (EU) 575/2013</w:t>
      </w:r>
      <w:r w:rsidR="00C15CE4">
        <w:rPr>
          <w:rFonts w:ascii="Times New Roman" w:hAnsi="Times New Roman"/>
          <w:sz w:val="24"/>
        </w:rPr>
        <w:t xml:space="preserve"> (‘CRR’)</w:t>
      </w:r>
      <w:r w:rsidR="0016297E">
        <w:rPr>
          <w:rStyle w:val="FootnoteReference"/>
        </w:rPr>
        <w:footnoteReference w:id="1"/>
      </w:r>
      <w:r w:rsidRPr="002A29F0">
        <w:rPr>
          <w:rFonts w:ascii="Times New Roman" w:hAnsi="Times New Roman"/>
          <w:sz w:val="24"/>
        </w:rPr>
        <w:t xml:space="preserve"> by following the instructions provided below in this Annex to complete template EU CR10 which is presented in Annex XXIII </w:t>
      </w:r>
      <w:r w:rsidR="0016297E">
        <w:rPr>
          <w:rFonts w:ascii="Times New Roman" w:hAnsi="Times New Roman"/>
          <w:sz w:val="24"/>
        </w:rPr>
        <w:t>of the EBA IT solutions</w:t>
      </w:r>
      <w:r w:rsidRPr="002A29F0">
        <w:rPr>
          <w:rFonts w:ascii="Times New Roman" w:hAnsi="Times New Roman"/>
          <w:sz w:val="24"/>
        </w:rPr>
        <w:t xml:space="preserve">. </w:t>
      </w:r>
      <w:r w:rsidRPr="00AF68CB">
        <w:rPr>
          <w:rFonts w:ascii="Times New Roman" w:hAnsi="Times New Roman"/>
          <w:sz w:val="24"/>
        </w:rPr>
        <w:t>Institutions shall disclose: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the following types of specialised lending exposures </w:t>
      </w:r>
      <w:r w:rsidRPr="007F4CC8">
        <w:rPr>
          <w:rFonts w:ascii="Times New Roman" w:hAnsi="Times New Roman"/>
          <w:sz w:val="24"/>
        </w:rPr>
        <w:t>referred</w:t>
      </w:r>
      <w:r w:rsidRPr="007F4CC8">
        <w:rPr>
          <w:rFonts w:ascii="Times New Roman" w:hAnsi="Times New Roman"/>
          <w:sz w:val="24"/>
          <w:szCs w:val="24"/>
        </w:rPr>
        <w:t xml:space="preserve"> to in Table 1 of Article 153(5):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“Project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“Income-producing real estate and high volatility commercial real estate”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“Object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“Commodities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 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equity exposures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Column 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On-balance-sheet exposures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Institutions shall disclose the exposure value of on-balance sheet exposures in accordance with Article 166(1) to (7) and Article 167(1)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Off-balance-sheet exposure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Institutions shall disclose the exposure value of off-balance sheet exposures in accordance with Articles 166 and 167 (2)</w:t>
            </w:r>
            <w:r w:rsidR="001409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409C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without taking into account any conversion factors specified in Article 166(8) or (9)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, or any percentages specified in Article 166(10)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Off balance sheet exposures shall comprise all committed but undrawn amounts and all off-balance sheet items, as listed in Annex I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Risk weight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is a fixed column</w:t>
            </w:r>
            <w:r w:rsidR="005122C8">
              <w:rPr>
                <w:rFonts w:ascii="Times New Roman" w:hAnsi="Times New Roman" w:cs="Times New Roman"/>
                <w:sz w:val="24"/>
              </w:rPr>
              <w:t xml:space="preserve"> for templates EU CR 10.1 to EU CR 10.4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. It shall not be altered.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column has been specified in accordance with Arti</w:t>
            </w:r>
            <w:r>
              <w:rPr>
                <w:rFonts w:ascii="Times New Roman" w:hAnsi="Times New Roman" w:cs="Times New Roman"/>
                <w:sz w:val="24"/>
              </w:rPr>
              <w:t xml:space="preserve">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>
              <w:rPr>
                <w:rFonts w:ascii="Times New Roman" w:hAnsi="Times New Roman" w:cs="Times New Roman"/>
                <w:sz w:val="24"/>
              </w:rPr>
              <w:t xml:space="preserve">for templates EU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CR10.1 to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CR10.4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 xml:space="preserve">For template EU CR 10.5, this column is flexible. Institutions shall apply the relevant risk weights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in accordance with Article</w:t>
            </w:r>
            <w:r w:rsidR="005122C8">
              <w:rPr>
                <w:rFonts w:ascii="Times New Roman" w:eastAsia="Times New Roman" w:hAnsi="Times New Roman" w:cs="Times New Roman"/>
                <w:sz w:val="24"/>
              </w:rPr>
              <w:t>s Article 133 (3) to (6) and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A29F0">
              <w:rPr>
                <w:rFonts w:ascii="Times New Roman" w:eastAsia="Times New Roman" w:hAnsi="Times New Roman" w:cs="Times New Roman"/>
                <w:sz w:val="24"/>
              </w:rPr>
              <w:t xml:space="preserve">495a (3)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Exposure value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Exposure value in accordance with Article 166 or Article 167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F96491">
              <w:rPr>
                <w:rFonts w:ascii="Times New Roman" w:hAnsi="Times New Roman" w:cs="Times New Roman"/>
                <w:sz w:val="24"/>
              </w:rPr>
              <w:t>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This column shall include the sum of exposure value of on-balance sheet exposures and exposure value of off-balance sheet exposures post conversion factors and percentages in accordance with Article 166(8) to (10)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e (templates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hAnsi="Times New Roman" w:cs="Times New Roman"/>
                <w:b/>
                <w:sz w:val="24"/>
              </w:rPr>
              <w:t>Risk-weighted exposure amount (specialised lending exposures under the slotting approach)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The risk-weighted exposure amount calculated in accordance with Article 153 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after supporting factors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in accordance with Article 501 and 501a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hAnsi="Times New Roman" w:cs="Times New Roman"/>
                <w:sz w:val="24"/>
              </w:rPr>
              <w:t>, where relevant</w:t>
            </w:r>
            <w:r w:rsidR="00964BD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f (templates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(specialised lending exposures under the slotting approach)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 (6)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f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template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(equity exposures under the simple risk weight approach)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158(7)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C15CE4">
              <w:rPr>
                <w:rFonts w:ascii="Times New Roman" w:hAnsi="Times New Roman"/>
                <w:sz w:val="24"/>
              </w:rPr>
              <w:t xml:space="preserve"> where applicable</w:t>
            </w:r>
            <w:r w:rsidR="002A29F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Regulatory category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Templates EU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CR10.1 – EU</w:t>
            </w: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Regulatory categories applicable to specialised lending under the slotting approach for </w:t>
            </w:r>
            <w:r w:rsidRPr="007F4CC8">
              <w:rPr>
                <w:rFonts w:ascii="Times New Roman" w:hAnsi="Times New Roman" w:cs="Times New Roman"/>
                <w:iCs/>
                <w:sz w:val="24"/>
              </w:rPr>
              <w:t>each class of specialised lending exposures; a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s specified in Article 153(5)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>and in the final draft RTS on slotting approach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Categories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</w:rPr>
              <w:t xml:space="preserve">Template EU </w:t>
            </w:r>
            <w:r w:rsidRPr="00360C8C">
              <w:rPr>
                <w:rFonts w:ascii="Times New Roman" w:eastAsiaTheme="minorHAnsi" w:hAnsi="Times New Roman" w:cs="Times New Roman"/>
                <w:b/>
                <w:sz w:val="24"/>
              </w:rPr>
              <w:t>CR10.5</w:t>
            </w:r>
            <w:r w:rsidR="005122C8">
              <w:rPr>
                <w:rFonts w:ascii="Times New Roman" w:eastAsiaTheme="minorHAnsi" w:hAnsi="Times New Roman" w:cs="Times New Roman"/>
                <w:b/>
                <w:sz w:val="24"/>
              </w:rPr>
              <w:t>. Flexible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eastAsiaTheme="minorHAnsi" w:hAnsi="Times New Roman" w:cs="Times New Roman"/>
                <w:sz w:val="24"/>
              </w:rPr>
              <w:t>Institutions shall include the relevant r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egulatory categories applicable to equities </w:t>
            </w:r>
            <w:r>
              <w:rPr>
                <w:rFonts w:ascii="Times New Roman" w:eastAsiaTheme="minorHAnsi" w:hAnsi="Times New Roman" w:cs="Times New Roman"/>
                <w:sz w:val="24"/>
              </w:rPr>
              <w:t xml:space="preserve">under Article 133 (3) to (6) and 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 xml:space="preserve">Article 495a (3) </w:t>
            </w:r>
            <w:r w:rsidR="002A29F0" w:rsidRPr="007F4CC8">
              <w:rPr>
                <w:rFonts w:ascii="Times New Roman" w:hAnsi="Times New Roman"/>
                <w:sz w:val="24"/>
              </w:rPr>
              <w:t>of Regulation (EU) 575/2013</w:t>
            </w:r>
            <w:r w:rsidR="002A29F0">
              <w:rPr>
                <w:rFonts w:ascii="Times New Roman" w:eastAsiaTheme="minorHAnsi" w:hAnsi="Times New Roman" w:cs="Times New Roman"/>
                <w:sz w:val="24"/>
              </w:rPr>
              <w:t>.</w:t>
            </w:r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68B0F628" w:rsidR="0016297E" w:rsidRPr="0016297E" w:rsidRDefault="0016297E" w:rsidP="0016297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eastAsia="en-GB"/>
        </w:rPr>
        <w:t xml:space="preserve">Regulation (EU) No 575/2013 of the European Parliament and of the Council of 26 June 2013 on prudential requirements for credit institutions and investment firms and amending Regulation (EU) No 648/2012 and amending Regulation (EU) No 2024/1623 </w:t>
      </w:r>
      <w:r>
        <w:rPr>
          <w:color w:val="444444"/>
          <w:lang w:eastAsia="en-GB"/>
        </w:rPr>
        <w:t>(</w:t>
      </w:r>
      <w:hyperlink r:id="rId1" w:history="1">
        <w:r>
          <w:rPr>
            <w:rStyle w:val="Hyperlink"/>
            <w:color w:val="800080"/>
            <w:lang w:eastAsia="en-GB"/>
          </w:rPr>
          <w:t>OJ L 176, 27.6.2013, p. 1</w:t>
        </w:r>
      </w:hyperlink>
      <w:r>
        <w:rPr>
          <w:color w:val="800080"/>
          <w:u w:val="single"/>
          <w:lang w:eastAsia="en-GB"/>
        </w:rPr>
        <w:t xml:space="preserve">; </w:t>
      </w:r>
      <w:hyperlink r:id="rId2" w:history="1">
        <w:r>
          <w:rPr>
            <w:rStyle w:val="Hyperlink"/>
          </w:rPr>
          <w:t>Regulation - EU - 2024/1623 - EN - EUR-Lex (europa.eu)</w:t>
        </w:r>
      </w:hyperlink>
      <w:r>
        <w:rPr>
          <w:color w:val="444444"/>
          <w:lang w:eastAsia="en-GB"/>
        </w:rPr>
        <w:t>)</w:t>
      </w:r>
      <w:r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560</Words>
  <Characters>3193</Characters>
  <Application>Microsoft Office Word</Application>
  <DocSecurity>0</DocSecurity>
  <Lines>26</Lines>
  <Paragraphs>7</Paragraphs>
  <ScaleCrop>false</ScaleCrop>
  <Company>European Banking Authority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Lidja Schiavo</cp:lastModifiedBy>
  <cp:revision>13</cp:revision>
  <dcterms:created xsi:type="dcterms:W3CDTF">2021-03-11T13:21:00Z</dcterms:created>
  <dcterms:modified xsi:type="dcterms:W3CDTF">2024-06-19T10:15:00Z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</Properties>
</file>