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ANNEX XXX – Market risk standardized and internal approach disclosure tables and templates: </w:t>
      </w:r>
      <w:proofErr w:type="gramStart"/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Instructions</w:t>
      </w:r>
      <w:proofErr w:type="gramEnd"/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color w:val="auto"/>
          <w:sz w:val="24"/>
          <w:lang w:val="en-GB"/>
        </w:rPr>
        <w:t>This annex includes</w:t>
      </w:r>
      <w:r w:rsidR="0904027C"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 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>the instructions that institutions shall follow when disclosing the information referred to in Articles 435, 445 and 455 of Regulation (EU) 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 (“</w:t>
      </w:r>
      <w:r w:rsidR="742F8FBC" w:rsidRPr="001F1865">
        <w:rPr>
          <w:rFonts w:ascii="Times New Roman" w:hAnsi="Times New Roman" w:cs="Times New Roman"/>
          <w:color w:val="auto"/>
          <w:sz w:val="24"/>
          <w:lang w:val="en-GB"/>
        </w:rPr>
        <w:t>CRR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”) to complete the market risk disclosure tables and templates which are presented in Annex XXIX </w:t>
      </w:r>
      <w:r w:rsidR="002316A7">
        <w:rPr>
          <w:rFonts w:ascii="Times New Roman" w:hAnsi="Times New Roman" w:cs="Times New Roman"/>
          <w:color w:val="auto"/>
          <w:sz w:val="24"/>
          <w:lang w:val="en-GB"/>
        </w:rPr>
        <w:t>of the EBA IT solutions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 w:rsidRPr="001F1865">
        <w:rPr>
          <w:rFonts w:ascii="Times New Roman" w:hAnsi="Times New Roman" w:cs="Times New Roman"/>
          <w:b/>
          <w:sz w:val="24"/>
        </w:rPr>
        <w:t>Table EU MRA</w:t>
      </w:r>
      <w:r w:rsidRPr="001F1865">
        <w:rPr>
          <w:rFonts w:ascii="Times New Roman" w:hAnsi="Times New Roman" w:cs="Times New Roman"/>
          <w:sz w:val="24"/>
        </w:rPr>
        <w:t xml:space="preserve"> </w:t>
      </w:r>
      <w:r w:rsidRPr="001F1865">
        <w:rPr>
          <w:rFonts w:ascii="Times New Roman" w:hAnsi="Times New Roman" w:cs="Times New Roman"/>
          <w:b/>
          <w:sz w:val="24"/>
        </w:rPr>
        <w:t>- Qualitative disclosure requirements related to market risk:</w:t>
      </w:r>
      <w:r w:rsidRPr="001F1865">
        <w:rPr>
          <w:rFonts w:ascii="Times New Roman" w:hAnsi="Times New Roman" w:cs="Times New Roman"/>
          <w:sz w:val="24"/>
        </w:rPr>
        <w:t xml:space="preserve"> Free format text </w:t>
      </w:r>
      <w:proofErr w:type="gramStart"/>
      <w:r w:rsidRPr="001F1865">
        <w:rPr>
          <w:rFonts w:ascii="Times New Roman" w:hAnsi="Times New Roman" w:cs="Times New Roman"/>
          <w:sz w:val="24"/>
        </w:rPr>
        <w:t>boxes</w:t>
      </w:r>
      <w:proofErr w:type="gramEnd"/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  <w:lang w:val="en-GB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Institutions shall disclose the information referred to in Article 435(1)</w:t>
      </w:r>
      <w:r w:rsidR="00BE4793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, points (a) to</w:t>
      </w:r>
      <w:r w:rsidR="001057C3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(d) of the</w:t>
      </w:r>
      <w:r w:rsidR="4B1E0054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="7C6238D6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Regulation (EU) 575/2013 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with regards to market risk by following the instructions provided below in this Annex to complete table EU MRA which is presented in Annex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 w:rsidRPr="001F1865">
              <w:t>(a)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>When disclosing information referred to in Article 435 (1)</w:t>
            </w:r>
            <w:r w:rsidR="5A6F7853" w:rsidRPr="001F1865">
              <w:rPr>
                <w:rFonts w:ascii="Times New Roman" w:hAnsi="Times New Roman" w:cs="Times New Roman"/>
                <w:sz w:val="24"/>
              </w:rPr>
              <w:t>, points (a) and (d) of the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745D248" w:rsidRPr="001F1865">
              <w:rPr>
                <w:rFonts w:ascii="Times New Roman" w:hAnsi="Times New Roman" w:cs="Times New Roman"/>
                <w:sz w:val="24"/>
              </w:rPr>
              <w:t xml:space="preserve">Regulation (EU) 575/2013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on the risk management objectives and policies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to manage market risk, institutions shall include: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 xml:space="preserve">an explanation of their management’s strategic objectives in undertaking trading </w:t>
            </w:r>
            <w:proofErr w:type="gramStart"/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>activities;</w:t>
            </w:r>
            <w:proofErr w:type="gramEnd"/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hAnsi="Times New Roman"/>
                <w:sz w:val="24"/>
                <w:szCs w:val="24"/>
              </w:rPr>
              <w:t xml:space="preserve">a description of </w:t>
            </w:r>
            <w:r w:rsidR="00A57E44" w:rsidRPr="001F1865">
              <w:rPr>
                <w:rFonts w:ascii="Times New Roman" w:hAnsi="Times New Roman"/>
                <w:sz w:val="24"/>
                <w:szCs w:val="24"/>
              </w:rPr>
              <w:t xml:space="preserve">the policies referred to in Article 104 (1) for determining which position is to be included in the trading </w:t>
            </w:r>
            <w:r w:rsidR="006E73FE" w:rsidRPr="001F1865">
              <w:rPr>
                <w:rFonts w:ascii="Times New Roman" w:hAnsi="Times New Roman"/>
                <w:sz w:val="24"/>
                <w:szCs w:val="24"/>
              </w:rPr>
              <w:t>book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>, including the definition of stale positions</w:t>
            </w:r>
            <w:r w:rsidR="006D7761" w:rsidRPr="001F1865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 xml:space="preserve"> the risk management policies for monitoring those positions</w:t>
            </w:r>
            <w:r w:rsidR="006D7761" w:rsidRPr="001F1865">
              <w:rPr>
                <w:rFonts w:ascii="Times New Roman" w:hAnsi="Times New Roman"/>
                <w:sz w:val="24"/>
                <w:szCs w:val="24"/>
              </w:rPr>
              <w:t xml:space="preserve">. In addition, institutions </w:t>
            </w:r>
            <w:r w:rsidR="0060218B" w:rsidRPr="001F1865">
              <w:rPr>
                <w:rFonts w:ascii="Times New Roman" w:hAnsi="Times New Roman"/>
                <w:sz w:val="24"/>
                <w:szCs w:val="24"/>
              </w:rPr>
              <w:t xml:space="preserve">shall describe 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>cases where instruments are assigned to the trading or banking book contrary to the general presumptions of their instrument category</w:t>
            </w:r>
            <w:r w:rsidR="00B9598A" w:rsidRPr="001F1865">
              <w:rPr>
                <w:rFonts w:ascii="Times New Roman" w:hAnsi="Times New Roman"/>
                <w:sz w:val="24"/>
                <w:szCs w:val="24"/>
              </w:rPr>
              <w:t xml:space="preserve">, including their market and </w:t>
            </w:r>
            <w:r w:rsidR="00C225C5" w:rsidRPr="001F1865">
              <w:rPr>
                <w:rFonts w:ascii="Times New Roman" w:hAnsi="Times New Roman"/>
                <w:sz w:val="24"/>
                <w:szCs w:val="24"/>
              </w:rPr>
              <w:t xml:space="preserve">fair </w:t>
            </w:r>
            <w:r w:rsidR="0003639D" w:rsidRPr="001F1865">
              <w:rPr>
                <w:rFonts w:ascii="Times New Roman" w:hAnsi="Times New Roman"/>
                <w:sz w:val="24"/>
                <w:szCs w:val="24"/>
              </w:rPr>
              <w:t>value of such cases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E33CFA" w:rsidRPr="001F1865">
              <w:rPr>
                <w:rFonts w:ascii="Times New Roman" w:hAnsi="Times New Roman"/>
                <w:sz w:val="24"/>
                <w:szCs w:val="24"/>
              </w:rPr>
              <w:t>s well as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 xml:space="preserve"> any reclassification from one book to the other since the last reporting period</w:t>
            </w:r>
            <w:r w:rsidR="0003639D" w:rsidRPr="001F1865">
              <w:rPr>
                <w:rFonts w:ascii="Times New Roman" w:hAnsi="Times New Roman"/>
                <w:sz w:val="24"/>
                <w:szCs w:val="24"/>
              </w:rPr>
              <w:t xml:space="preserve">, including </w:t>
            </w:r>
            <w:r w:rsidR="00A87CCE" w:rsidRPr="001F1865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0336E7" w:rsidRPr="001F1865">
              <w:rPr>
                <w:rFonts w:ascii="Times New Roman" w:hAnsi="Times New Roman"/>
                <w:sz w:val="24"/>
                <w:szCs w:val="24"/>
              </w:rPr>
              <w:t xml:space="preserve">fair </w:t>
            </w:r>
            <w:r w:rsidR="00A87CCE" w:rsidRPr="001F1865">
              <w:rPr>
                <w:rFonts w:ascii="Times New Roman" w:hAnsi="Times New Roman"/>
                <w:sz w:val="24"/>
                <w:szCs w:val="24"/>
              </w:rPr>
              <w:t xml:space="preserve">value of </w:t>
            </w:r>
            <w:proofErr w:type="gramStart"/>
            <w:r w:rsidR="00A87CCE" w:rsidRPr="001F1865">
              <w:rPr>
                <w:rFonts w:ascii="Times New Roman" w:hAnsi="Times New Roman"/>
                <w:sz w:val="24"/>
                <w:szCs w:val="24"/>
              </w:rPr>
              <w:t>the such</w:t>
            </w:r>
            <w:proofErr w:type="gramEnd"/>
            <w:r w:rsidR="00A87CCE" w:rsidRPr="001F1865">
              <w:rPr>
                <w:rFonts w:ascii="Times New Roman" w:hAnsi="Times New Roman"/>
                <w:sz w:val="24"/>
                <w:szCs w:val="24"/>
              </w:rPr>
              <w:t xml:space="preserve"> cases and the reason for the reclassification</w:t>
            </w:r>
            <w:r w:rsidR="006E73FE" w:rsidRPr="001F1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hAnsi="Times New Roman"/>
                <w:sz w:val="24"/>
                <w:szCs w:val="24"/>
              </w:rPr>
              <w:t xml:space="preserve">a description of internal risk transfer activities, including the types of internal risk transfer </w:t>
            </w:r>
            <w:proofErr w:type="gramStart"/>
            <w:r w:rsidRPr="001F1865">
              <w:rPr>
                <w:rFonts w:ascii="Times New Roman" w:hAnsi="Times New Roman"/>
                <w:sz w:val="24"/>
                <w:szCs w:val="24"/>
              </w:rPr>
              <w:t>desk</w:t>
            </w:r>
            <w:r w:rsidR="006B62CF" w:rsidRPr="001F1865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 xml:space="preserve">the processes implemented to identify, measure, monitor and control the institution’s market </w:t>
            </w:r>
            <w:proofErr w:type="gramStart"/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>risks;</w:t>
            </w:r>
            <w:proofErr w:type="gramEnd"/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 xml:space="preserve">the policies for hedging and mitigating </w:t>
            </w:r>
            <w:proofErr w:type="gramStart"/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>risk;</w:t>
            </w:r>
            <w:proofErr w:type="gramEnd"/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strategies and processes for monitoring the continuing effectiveness of hedges.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 w:rsidRPr="001F1865">
              <w:lastRenderedPageBreak/>
              <w:t>(b)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lang w:eastAsia="sv-SE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When disclosing information referred to in Article 435 (1)</w:t>
            </w:r>
            <w:r w:rsidR="4A6C2180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, point (b)</w:t>
            </w:r>
            <w:r w:rsidR="5838B90A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of the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="145659DD" w:rsidRPr="001F1865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145659DD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on the structure and organisation of the market risk management function, institutions shall include: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>a description of the market risk governance structure established to implement the strategies and processes of the institution</w:t>
            </w:r>
            <w:r w:rsidR="005938AD"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>s</w:t>
            </w:r>
            <w:r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 xml:space="preserve"> discussed in row (a) above,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 xml:space="preserve">a description of the relationships and the communication mechanisms between the different parties involved in market risk management.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 w:rsidRPr="001F1865">
              <w:t>(c)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lang w:eastAsia="sv-SE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When disclosing information referred to in Article 435 (1)</w:t>
            </w:r>
            <w:r w:rsidR="6FFE0D8A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, point (c) of the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="27A218A6" w:rsidRPr="001F1865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27A218A6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on the scope and nature of market risk </w:t>
            </w:r>
            <w:r w:rsidR="6D22FA9D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reporting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and measurement systems, institutions shall provide a description of the scope and nature of market risk </w:t>
            </w:r>
            <w:r w:rsidR="14D86BD5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reporting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and the measurement systems.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200AE2" w:rsidRPr="001F1865">
              <w:rPr>
                <w:rFonts w:ascii="Times New Roman" w:eastAsia="Times New Roman" w:hAnsi="Times New Roman" w:cs="Times New Roman"/>
                <w:sz w:val="24"/>
              </w:rPr>
              <w:t xml:space="preserve">EU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When disclosing information referred to in Article 4</w:t>
            </w:r>
            <w:r w:rsidR="01D445E4" w:rsidRPr="001F1865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6FFE0D8A" w:rsidRPr="001F1865">
              <w:rPr>
                <w:rFonts w:ascii="Times New Roman" w:eastAsia="Times New Roman" w:hAnsi="Times New Roman" w:cs="Times New Roman"/>
                <w:sz w:val="24"/>
              </w:rPr>
              <w:t xml:space="preserve"> (1) of the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1FE2AC9" w:rsidRPr="001F1865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11FE2AC9"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on a general overview of the trading book positions, institutions shall provide a high</w:t>
            </w:r>
            <w:r w:rsidR="00BD6C00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level description of their trading book positions.</w:t>
            </w:r>
          </w:p>
        </w:tc>
      </w:tr>
    </w:tbl>
    <w:p w14:paraId="0A37501D" w14:textId="5B1DE2AB" w:rsidR="00931C32" w:rsidRPr="001F1865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  <w:lang w:val="en-GB"/>
        </w:rPr>
      </w:pPr>
    </w:p>
    <w:p w14:paraId="6A05A809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 w:rsidRPr="00DB0A49">
        <w:rPr>
          <w:rFonts w:ascii="Times New Roman" w:eastAsia="Times New Roman" w:hAnsi="Times New Roman" w:cs="Times New Roman"/>
          <w:b/>
          <w:bCs/>
          <w:sz w:val="24"/>
        </w:rPr>
        <w:t xml:space="preserve">Template EU MR1 - Market risk under the </w:t>
      </w:r>
      <w:r w:rsidR="248B5059" w:rsidRPr="00DB0A49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DB0A49">
        <w:rPr>
          <w:rFonts w:ascii="Times New Roman" w:eastAsia="Times New Roman" w:hAnsi="Times New Roman" w:cs="Times New Roman"/>
          <w:b/>
          <w:bCs/>
          <w:sz w:val="24"/>
        </w:rPr>
        <w:t xml:space="preserve">lternative </w:t>
      </w:r>
      <w:r w:rsidR="1F1BC5C4" w:rsidRPr="00DB0A49">
        <w:rPr>
          <w:rFonts w:ascii="Times New Roman" w:eastAsia="Times New Roman" w:hAnsi="Times New Roman" w:cs="Times New Roman"/>
          <w:b/>
          <w:bCs/>
          <w:sz w:val="24"/>
        </w:rPr>
        <w:t>s</w:t>
      </w:r>
      <w:r w:rsidRPr="00DB0A49">
        <w:rPr>
          <w:rFonts w:ascii="Times New Roman" w:eastAsia="Times New Roman" w:hAnsi="Times New Roman" w:cs="Times New Roman"/>
          <w:b/>
          <w:bCs/>
          <w:sz w:val="24"/>
        </w:rPr>
        <w:t xml:space="preserve">tandardised </w:t>
      </w:r>
      <w:r w:rsidR="0CA68764" w:rsidRPr="00DB0A49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DB0A49">
        <w:rPr>
          <w:rFonts w:ascii="Times New Roman" w:eastAsia="Times New Roman" w:hAnsi="Times New Roman" w:cs="Times New Roman"/>
          <w:b/>
          <w:bCs/>
          <w:sz w:val="24"/>
        </w:rPr>
        <w:t>pproach (ASA)</w:t>
      </w:r>
      <w:r w:rsidRPr="00DB0A49">
        <w:rPr>
          <w:rFonts w:ascii="Times New Roman" w:eastAsia="Times New Roman" w:hAnsi="Times New Roman" w:cs="Times New Roman"/>
          <w:sz w:val="24"/>
        </w:rPr>
        <w:t xml:space="preserve">: fixed </w:t>
      </w:r>
      <w:proofErr w:type="gramStart"/>
      <w:r w:rsidRPr="00DB0A49">
        <w:rPr>
          <w:rFonts w:ascii="Times New Roman" w:eastAsia="Times New Roman" w:hAnsi="Times New Roman" w:cs="Times New Roman"/>
          <w:sz w:val="24"/>
        </w:rPr>
        <w:t>format</w:t>
      </w:r>
      <w:proofErr w:type="gramEnd"/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DB0A49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Institutions shall disclose the information referred to in Article 445 </w:t>
      </w:r>
      <w:r w:rsidR="619577B7" w:rsidRPr="00DB0A49">
        <w:rPr>
          <w:rFonts w:ascii="Times New Roman" w:hAnsi="Times New Roman" w:cs="Times New Roman"/>
          <w:color w:val="auto"/>
          <w:sz w:val="24"/>
          <w:lang w:val="en-GB"/>
        </w:rPr>
        <w:t>Regulation (EU) 575/2013</w:t>
      </w:r>
      <w:r w:rsidR="619577B7" w:rsidRPr="00350C8C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Pr="00DB0A49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by following the instructions provided below in this Annex to complete template EU MR1 which is presented in Annex XXIX.</w:t>
      </w:r>
      <w:r w:rsidR="00350C8C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="00350C8C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not include any data on their Internal Risk transfer (IRT) desk in this template.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Legal references and instructions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Row number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 xml:space="preserve">Sensitivity based 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method</w:t>
            </w:r>
            <w:proofErr w:type="gramEnd"/>
            <w:r w:rsidRPr="001F1865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in accordance with Part Three Title IV, Chapter 1a, Section 2 of Regulation (EU) No 575/2013</w:t>
            </w:r>
            <w:r w:rsidR="0068248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General interest rate risk (GIRR)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8D03CB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F66685" w:rsidRPr="001F1865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F66685" w:rsidRPr="001F1865">
              <w:rPr>
                <w:rFonts w:ascii="Times New Roman" w:eastAsia="Times New Roman" w:hAnsi="Times New Roman" w:cs="Times New Roman"/>
                <w:sz w:val="24"/>
              </w:rPr>
              <w:t>2),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325d(1), point (i), of Regulation (EU) No 575/2013</w:t>
            </w:r>
            <w:r w:rsidR="0068248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Equity risk (EQU)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CA0B40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 xml:space="preserve"> 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d(</w:t>
            </w:r>
            <w:proofErr w:type="gramEnd"/>
            <w:r w:rsidRPr="001F1865">
              <w:rPr>
                <w:rFonts w:ascii="Times New Roman" w:eastAsia="Times New Roman" w:hAnsi="Times New Roman" w:cs="Times New Roman"/>
                <w:sz w:val="24"/>
              </w:rPr>
              <w:t>1) , point (v),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Commodity risk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(vi),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Foreign exchange risk (FX)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(vii),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non–securitisations (CSR)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325d(1), point (ii),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securitisation not included in the alternative correlation trading portfolio (non–ACTP CSR)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rticle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325d(1), point (iii),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securitisation included in the alternative correlation trading portfolio (ACTP CSR)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(iv),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 xml:space="preserve">Default 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risk</w:t>
            </w:r>
            <w:proofErr w:type="gramEnd"/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in accordance with Part Three, Title IV, Chapter 1a, Section 5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Non–securitisations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(b) and Part Three, Title IV, Chapter 1a, Section 5, Subsection 1 of Regulation (EU) No 575/2013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not included in the alternative correlation trading portfolio (non–ACTP)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(b) and Part Three, Title IV, Chapter 1a, Section 5, Subsection 2 of Regulation (EU) No 575/2013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included in the alternative correlation trading portfolio (ACTP)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lastRenderedPageBreak/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(b) and Part Three, Title IV, Chapter 1a, Section 5, Subsection 3 of Regulation (EU) No 575/2013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Residual risk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Part Three, Title IV, Chapter 1a, Section 4 of Regulation (EU) No 575/2013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EU </w:t>
            </w:r>
            <w:r w:rsidR="06503780" w:rsidRPr="001F1865">
              <w:rPr>
                <w:rFonts w:ascii="Times New Roman" w:eastAsia="Times New Roman" w:hAnsi="Times New Roman" w:cs="Times New Roman"/>
                <w:szCs w:val="22"/>
              </w:rPr>
              <w:t>11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Exotic </w:t>
            </w:r>
            <w:proofErr w:type="spellStart"/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underlyings</w:t>
            </w:r>
            <w:proofErr w:type="spellEnd"/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D45AA4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(c) and Article 325u(2), point (a), of Regulation (EU) No 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EU </w:t>
            </w:r>
            <w:r w:rsidR="06503780" w:rsidRPr="001F1865">
              <w:rPr>
                <w:rFonts w:ascii="Times New Roman" w:eastAsia="Times New Roman" w:hAnsi="Times New Roman" w:cs="Times New Roman"/>
                <w:szCs w:val="22"/>
              </w:rPr>
              <w:t>1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>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Other residual risks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D45AA4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Pr="001F1865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End"/>
            <w:r w:rsidR="00AA44B0">
              <w:rPr>
                <w:rFonts w:ascii="Times New Roman" w:eastAsia="Times New Roman" w:hAnsi="Times New Roman" w:cs="Times New Roman"/>
                <w:sz w:val="24"/>
              </w:rPr>
              <w:t>2)</w:t>
            </w:r>
            <w:r w:rsidR="007336D9" w:rsidRPr="001F1865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336D9" w:rsidRPr="001F1865">
              <w:rPr>
                <w:rFonts w:ascii="Times New Roman" w:eastAsia="Times New Roman" w:hAnsi="Times New Roman" w:cs="Times New Roman"/>
                <w:sz w:val="24"/>
              </w:rPr>
              <w:t xml:space="preserve">point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(c) and Article 325u(2), point (b), of Regulation (EU) No 575/2013</w:t>
            </w:r>
            <w:r w:rsidR="007336D9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1</w:t>
            </w:r>
            <w:r w:rsidR="007E00FD" w:rsidRPr="001F1865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Total Own Funds Requirements (OFR)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Sum of rows from 1 to EU11b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Column letter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Total Own Funds Requirements (OFR)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Disclosure of own funds requirements referred to in Article 438</w:t>
            </w:r>
            <w:r w:rsidR="17156926" w:rsidRPr="001F1865">
              <w:rPr>
                <w:rFonts w:ascii="Times New Roman" w:eastAsia="Times New Roman" w:hAnsi="Times New Roman" w:cs="Times New Roman"/>
                <w:sz w:val="24"/>
              </w:rPr>
              <w:t xml:space="preserve">, point (d) </w:t>
            </w:r>
            <w:proofErr w:type="gramStart"/>
            <w:r w:rsidR="17156926" w:rsidRPr="001F1865">
              <w:rPr>
                <w:rFonts w:ascii="Times New Roman" w:eastAsia="Times New Roman" w:hAnsi="Times New Roman" w:cs="Times New Roman"/>
                <w:sz w:val="24"/>
              </w:rPr>
              <w:t xml:space="preserve">of </w:t>
            </w:r>
            <w:r w:rsidR="38AB8981" w:rsidRPr="001F1865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Regulation</w:t>
            </w:r>
            <w:proofErr w:type="gramEnd"/>
            <w:r w:rsidR="38AB8981" w:rsidRPr="001F1865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, computed as the simple sum of amounts</w:t>
            </w:r>
            <w:r w:rsidR="6BBF51FC" w:rsidRPr="001F1865">
              <w:rPr>
                <w:rFonts w:ascii="Times New Roman" w:eastAsia="Times New Roman" w:hAnsi="Times New Roman" w:cs="Times New Roman"/>
                <w:sz w:val="24"/>
              </w:rPr>
              <w:t xml:space="preserve"> above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EDF0406" w:rsidRPr="001F1865">
              <w:rPr>
                <w:rFonts w:ascii="Times New Roman" w:eastAsia="Times New Roman" w:hAnsi="Times New Roman" w:cs="Times New Roman"/>
                <w:sz w:val="24"/>
              </w:rPr>
              <w:t xml:space="preserve">in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rows 1 to </w:t>
            </w:r>
            <w:r w:rsidR="3F04A19E" w:rsidRPr="001F1865">
              <w:rPr>
                <w:rFonts w:ascii="Times New Roman" w:eastAsia="Times New Roman" w:hAnsi="Times New Roman" w:cs="Times New Roman"/>
                <w:sz w:val="24"/>
              </w:rPr>
              <w:t>EU 11b</w:t>
            </w:r>
            <w:r w:rsidR="738722B7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 w:rsidRPr="001F1865">
        <w:rPr>
          <w:rFonts w:ascii="Times New Roman" w:hAnsi="Times New Roman" w:cs="Times New Roman"/>
          <w:b/>
          <w:bCs/>
          <w:sz w:val="24"/>
        </w:rPr>
        <w:t>Table EU MRB: Qualitative disclosure requirements for institutions using the</w:t>
      </w:r>
      <w:r w:rsidR="5D46A0EA" w:rsidRPr="001F1865">
        <w:rPr>
          <w:rFonts w:ascii="Times New Roman" w:hAnsi="Times New Roman" w:cs="Times New Roman"/>
          <w:b/>
          <w:bCs/>
          <w:sz w:val="24"/>
        </w:rPr>
        <w:t xml:space="preserve"> alternative</w:t>
      </w:r>
      <w:r w:rsidRPr="001F1865">
        <w:rPr>
          <w:rFonts w:ascii="Times New Roman" w:hAnsi="Times New Roman" w:cs="Times New Roman"/>
          <w:b/>
          <w:bCs/>
          <w:sz w:val="24"/>
        </w:rPr>
        <w:t xml:space="preserve"> internal </w:t>
      </w:r>
      <w:r w:rsidR="0761F1F8" w:rsidRPr="001F1865">
        <w:rPr>
          <w:rFonts w:ascii="Times New Roman" w:hAnsi="Times New Roman" w:cs="Times New Roman"/>
          <w:b/>
          <w:bCs/>
          <w:sz w:val="24"/>
        </w:rPr>
        <w:t>model approach</w:t>
      </w:r>
      <w:r w:rsidRPr="001F1865">
        <w:rPr>
          <w:rFonts w:ascii="Times New Roman" w:hAnsi="Times New Roman" w:cs="Times New Roman"/>
          <w:sz w:val="24"/>
        </w:rPr>
        <w:t xml:space="preserve">: free text </w:t>
      </w:r>
      <w:proofErr w:type="gramStart"/>
      <w:r w:rsidRPr="001F1865">
        <w:rPr>
          <w:rFonts w:ascii="Times New Roman" w:hAnsi="Times New Roman" w:cs="Times New Roman"/>
          <w:sz w:val="24"/>
        </w:rPr>
        <w:t>format</w:t>
      </w:r>
      <w:proofErr w:type="gramEnd"/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  <w:lang w:val="en-GB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Institutions shall disclose the information referred to</w:t>
      </w:r>
      <w:r w:rsidR="007F14DD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in Article 455</w:t>
      </w:r>
      <w:r w:rsidR="00E077AE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,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points (a), (b), </w:t>
      </w:r>
      <w:r w:rsidR="2151C270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(c), (d), (e)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and (f) of </w:t>
      </w:r>
      <w:r w:rsidR="78F62356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Regulation (EU) 575/2013 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by following the instructions provided below in this Annex to complete table EU MRB which is presented in Annex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When disclosing information referred to in Article 455</w:t>
            </w:r>
            <w:r w:rsidR="00E077AE" w:rsidRPr="001F1865">
              <w:rPr>
                <w:rFonts w:ascii="Times New Roman" w:eastAsia="Times New Roman" w:hAnsi="Times New Roman" w:cs="Times New Roman"/>
                <w:sz w:val="24"/>
              </w:rPr>
              <w:t>, point (1a) of the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84D50B5" w:rsidRPr="001F1865">
              <w:rPr>
                <w:rFonts w:ascii="Times New Roman" w:eastAsia="Times New Roman" w:hAnsi="Times New Roman" w:cs="Times New Roman"/>
                <w:sz w:val="24"/>
              </w:rPr>
              <w:t xml:space="preserve">Regulation (EU) 575/2013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on the alternative internal model</w:t>
            </w:r>
            <w:r w:rsidR="2F9935B4" w:rsidRPr="001F1865">
              <w:rPr>
                <w:rFonts w:ascii="Times New Roman" w:eastAsia="Times New Roman" w:hAnsi="Times New Roman" w:cs="Times New Roman"/>
                <w:sz w:val="24"/>
              </w:rPr>
              <w:t xml:space="preserve">s for market risk,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institutions shall include</w:t>
            </w:r>
            <w:r w:rsidR="5DE802A1" w:rsidRPr="001F1865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EU (</w:t>
            </w:r>
            <w:r w:rsidR="3C9E464D" w:rsidRPr="00DB0A49">
              <w:rPr>
                <w:rFonts w:ascii="Times New Roman" w:hAnsi="Times New Roman" w:cs="Times New Roman"/>
                <w:sz w:val="24"/>
                <w:lang w:eastAsia="ja-JP"/>
              </w:rPr>
              <w:t>a</w:t>
            </w: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institution’s objectives in undertaking trading activities</w:t>
            </w:r>
            <w:r w:rsidR="00A857E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and the processes implemented to identify, measure, monitor and control the 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institution’s market risks</w:t>
            </w:r>
            <w:r w:rsidR="00A9482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. This information can be provided by making a cross-reference to table </w:t>
            </w:r>
            <w:r w:rsidR="001E5FF3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EU 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lastRenderedPageBreak/>
              <w:t>EU (</w:t>
            </w:r>
            <w:r w:rsidR="3C9E464D" w:rsidRPr="00DB0A49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policies referred to in Article 104(1) for determining which position is to be included in the trading book</w:t>
            </w:r>
            <w:r w:rsidR="005B429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 This information can be provided by making cross-reference to table EU MR A;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EU (</w:t>
            </w:r>
            <w:r w:rsidR="003B45C4" w:rsidRPr="00DB0A49">
              <w:rPr>
                <w:rFonts w:ascii="Times New Roman" w:hAnsi="Times New Roman" w:cs="Times New Roman"/>
                <w:sz w:val="24"/>
                <w:lang w:eastAsia="ja-JP"/>
              </w:rPr>
              <w:t>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structure and organisation of the market risk management function and governance;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(A) (B) </w:t>
            </w:r>
            <w:r w:rsidR="22B324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General description of the trading desk structure</w:t>
            </w:r>
            <w:r w:rsidR="1DF704C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and types of instruments included in the AIMA trading desk</w:t>
            </w:r>
            <w:r w:rsidR="22B324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6517C6A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in accordance with </w:t>
            </w:r>
            <w:r w:rsidR="23097F1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Article 455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(1)</w:t>
            </w:r>
            <w:r w:rsidR="0F8C82AF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point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s (c), (d)</w:t>
            </w:r>
            <w:r w:rsidR="23097F1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of the </w:t>
            </w:r>
            <w:r w:rsidR="2852583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="23097F1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B (a)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(1), point (c)</w:t>
            </w:r>
            <w:r w:rsidR="357C3DA5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98272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1ED470E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institutions shall provide a</w:t>
            </w:r>
            <w:r w:rsidR="6917E534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general description of the structure of the trading desks covered by the internal models referred to in Article 325az, including for each desk a broad description of the desk's business strategy, the instruments permitted therein and the main risk types in relation to that desk;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CD55C8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(d)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98272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institutions shall provide a</w:t>
            </w:r>
            <w:r w:rsidR="001B429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general overview of the trading book positions not covered by the internal models referred to in Article 325az, including a general description of the desk structure and of type of instruments included in the desks or in the desks categories in accordance with Article 104b;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B) C) E) </w:t>
            </w:r>
            <w:r w:rsidR="003C13EE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Description of the main characteristics of the models used at the consolidated level</w:t>
            </w:r>
            <w:r w:rsidR="005E6E1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including </w:t>
            </w:r>
            <w:r w:rsidR="00E6745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approaches used in the validation of the models and modelling processes.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B (b) (c) (d) (e)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CD55C8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(f)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(i)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E9795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institutions shall </w:t>
            </w:r>
            <w:r w:rsidR="00347F3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provide: 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the scope, the main characteristics and the key modelling choices of the different internal models referred to in Article 325az 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of the 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="001941C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ed to calculate the risk exposure amounts for the main models used at the consolidated level, and a description to what extent those internal models represent all the models used at the consolidated level, including where applicable:</w:t>
            </w:r>
            <w:r w:rsidR="00A75779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D6625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(i) 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 broad description of the modelling approach used to calculate the expected shortfall referred to in Article 325ba(1), point (a)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CRR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1941C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including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the frequency of data update</w:t>
            </w:r>
            <w:r w:rsidR="00A75779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C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(f)(ii)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32370E9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institutions shall include</w:t>
            </w:r>
            <w:r w:rsidR="00D6625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where applicable: a broad description of the methodology used to calculate the stress scenario risk measure referred to in Article 325ba(1), point (b)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="00D6625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ther than the specifications provided for in Article 325bk(3)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Re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gulation (EU) 575/2013</w:t>
            </w:r>
            <w:r w:rsidR="09FD1D5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D) </w:t>
            </w:r>
            <w:r w:rsidR="00E374F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Description of internal models to calculate the default risk charge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/>
                <w:sz w:val="24"/>
                <w:szCs w:val="24"/>
                <w:lang w:eastAsia="ja-JP"/>
              </w:rPr>
              <w:t>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(f) (iii)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2CD55D33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institutions shall include, where applicable: </w:t>
            </w:r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a broad description of the modelling approach used to </w:t>
            </w:r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calculate the default risk charge referred to in Article 325</w:t>
            </w:r>
            <w:proofErr w:type="gramStart"/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ba(</w:t>
            </w:r>
            <w:proofErr w:type="gramEnd"/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2)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</w:t>
            </w:r>
            <w:r w:rsidR="3B21E08E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Regulation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</w:t>
            </w:r>
            <w:r w:rsidR="3B21E08E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2013  i</w:t>
            </w:r>
            <w:r w:rsidR="6BEF097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ncluding</w:t>
            </w:r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the frequency of data update.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Template EU MR2 - Market risk under the</w:t>
      </w:r>
      <w:r w:rsidR="5052D778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alternative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internal </w:t>
      </w:r>
      <w:r w:rsidR="588CE7D0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m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odel </w:t>
      </w:r>
      <w:r w:rsidR="18548FBB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a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pproach (</w:t>
      </w:r>
      <w:r w:rsidR="3354C78D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A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IMA):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 fixed </w:t>
      </w:r>
      <w:proofErr w:type="gramStart"/>
      <w:r w:rsidRPr="001F1865">
        <w:rPr>
          <w:rFonts w:ascii="Times New Roman" w:hAnsi="Times New Roman" w:cs="Times New Roman"/>
          <w:color w:val="auto"/>
          <w:sz w:val="24"/>
          <w:lang w:val="en-GB"/>
        </w:rPr>
        <w:t>format</w:t>
      </w:r>
      <w:proofErr w:type="gramEnd"/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Institutions shall disclose the information referred to point (</w:t>
      </w:r>
      <w:r w:rsidR="4AD057AA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2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) of Article 455 </w:t>
      </w:r>
      <w:r w:rsidR="167ECDDF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Regulation</w:t>
      </w:r>
      <w:r w:rsidR="5A4E6B5C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(EU) 575/2013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by following the instructions provided below in this Annex to complete template EU MR2 which is presented in Annex XXIX.</w:t>
      </w:r>
      <w:r w:rsidR="00350C8C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="00350C8C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not include any data on their Internal Risk transfer (IRT) desk in this template.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Unconstrained expected shortfall measure </w:t>
            </w:r>
            <w:r w:rsidR="2FC34BD8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</w:t>
            </w:r>
            <w:proofErr w:type="spellStart"/>
            <w:r w:rsidR="2FC34BD8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UESt</w:t>
            </w:r>
            <w:proofErr w:type="spellEnd"/>
            <w:r w:rsidR="2FC34BD8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The value disclosed </w:t>
            </w:r>
            <w:r w:rsidR="20BAA939" w:rsidRPr="00DB0A49">
              <w:rPr>
                <w:rFonts w:ascii="Times New Roman" w:hAnsi="Times New Roman" w:cs="Times New Roman"/>
                <w:sz w:val="24"/>
              </w:rPr>
              <w:t>shall be calculated at the level of the overall portfolio and not at the level of a br</w:t>
            </w:r>
            <w:r w:rsidR="1039BAA8" w:rsidRPr="00DB0A49">
              <w:rPr>
                <w:rFonts w:ascii="Times New Roman" w:hAnsi="Times New Roman" w:cs="Times New Roman"/>
                <w:sz w:val="24"/>
              </w:rPr>
              <w:t>o</w:t>
            </w:r>
            <w:r w:rsidR="20BAA939" w:rsidRPr="00DB0A49">
              <w:rPr>
                <w:rFonts w:ascii="Times New Roman" w:hAnsi="Times New Roman" w:cs="Times New Roman"/>
                <w:sz w:val="24"/>
              </w:rPr>
              <w:t xml:space="preserve">ad category </w:t>
            </w:r>
            <w:r w:rsidR="0715563F" w:rsidRPr="00DB0A49">
              <w:rPr>
                <w:rFonts w:ascii="Times New Roman" w:hAnsi="Times New Roman" w:cs="Times New Roman"/>
                <w:sz w:val="24"/>
              </w:rPr>
              <w:t>of risk</w:t>
            </w:r>
            <w:r w:rsidR="335A1535" w:rsidRPr="00DB0A49">
              <w:rPr>
                <w:rFonts w:ascii="Times New Roman" w:hAnsi="Times New Roman" w:cs="Times New Roman"/>
                <w:sz w:val="24"/>
              </w:rPr>
              <w:t xml:space="preserve"> according to Articles 325bb and 325bc </w:t>
            </w:r>
            <w:r w:rsidR="7E480FE0" w:rsidRPr="00DB0A49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="335A1535" w:rsidRPr="00DB0A4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Unconstrained expected shortfall measure for </w:t>
            </w:r>
            <w:r w:rsidR="01E12F8D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the 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risk factor category </w:t>
            </w:r>
            <w:r w:rsidR="6DCBCB4F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nterest </w:t>
            </w:r>
            <w:r w:rsidR="2D55B8CC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ate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</w:t>
            </w:r>
            <w:r w:rsidR="5B594D8B" w:rsidRPr="00DB0A49">
              <w:rPr>
                <w:rFonts w:ascii="Times New Roman" w:eastAsia="Times New Roman" w:hAnsi="Times New Roman" w:cs="Times New Roman"/>
                <w:sz w:val="24"/>
              </w:rPr>
              <w:t>he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value disclosed shall </w:t>
            </w:r>
            <w:r w:rsidR="15402E32" w:rsidRPr="00DB0A49">
              <w:rPr>
                <w:rFonts w:ascii="Times New Roman" w:eastAsia="Times New Roman" w:hAnsi="Times New Roman" w:cs="Times New Roman"/>
                <w:sz w:val="24"/>
              </w:rPr>
              <w:t>be calculated for the risk factors of the interes</w:t>
            </w:r>
            <w:r w:rsidR="4C26D47D" w:rsidRPr="00DB0A49">
              <w:rPr>
                <w:rFonts w:ascii="Times New Roman" w:eastAsia="Times New Roman" w:hAnsi="Times New Roman" w:cs="Times New Roman"/>
                <w:sz w:val="24"/>
              </w:rPr>
              <w:t>t</w:t>
            </w:r>
            <w:r w:rsidR="15402E32" w:rsidRPr="00DB0A49">
              <w:rPr>
                <w:rFonts w:ascii="Times New Roman" w:eastAsia="Times New Roman" w:hAnsi="Times New Roman" w:cs="Times New Roman"/>
                <w:sz w:val="24"/>
              </w:rPr>
              <w:t xml:space="preserve"> rate risk category </w:t>
            </w:r>
            <w:r w:rsidR="61E1B363"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05F82D7D" w:rsidRPr="00DB0A49">
              <w:rPr>
                <w:rFonts w:ascii="Times New Roman" w:eastAsia="Times New Roman" w:hAnsi="Times New Roman" w:cs="Times New Roman"/>
                <w:sz w:val="24"/>
              </w:rPr>
              <w:t>Articles 325bb</w:t>
            </w:r>
            <w:r w:rsidR="709C7A7B" w:rsidRPr="00DB0A4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5F82D7D" w:rsidRPr="00DB0A49">
              <w:rPr>
                <w:rFonts w:ascii="Times New Roman" w:eastAsia="Times New Roman" w:hAnsi="Times New Roman" w:cs="Times New Roman"/>
                <w:sz w:val="24"/>
              </w:rPr>
              <w:t>325b</w:t>
            </w:r>
            <w:r w:rsidR="75515E65" w:rsidRPr="00DB0A49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67C46542" w:rsidRPr="00DB0A49">
              <w:rPr>
                <w:rFonts w:ascii="Times New Roman" w:eastAsia="Times New Roman" w:hAnsi="Times New Roman" w:cs="Times New Roman"/>
                <w:sz w:val="24"/>
              </w:rPr>
              <w:t xml:space="preserve"> and 325bd</w:t>
            </w:r>
            <w:r w:rsidR="51F52224"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6F76100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51F52224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Unconstrained expected shortfall measure for the risk factor category equity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4968BF82"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E1BA488" w14:textId="705548F0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The value disclosed shall be calculated for the risk factors of </w:t>
            </w:r>
            <w:r w:rsidR="44BF35F4" w:rsidRPr="00DB0A49">
              <w:rPr>
                <w:rFonts w:ascii="Times New Roman" w:eastAsia="Times New Roman" w:hAnsi="Times New Roman" w:cs="Times New Roman"/>
                <w:sz w:val="24"/>
              </w:rPr>
              <w:t>equity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risk category </w:t>
            </w: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5EBFBD17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3444B630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Unconstrained expected shortfall measure for the risk factor category commodity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</w:rPr>
              <w:t>The value disclosed shall be calculated for the risk factors of the</w:t>
            </w:r>
            <w:r w:rsidR="418234B9" w:rsidRPr="00DB0A49">
              <w:rPr>
                <w:rFonts w:ascii="Times New Roman" w:eastAsia="Times New Roman" w:hAnsi="Times New Roman" w:cs="Times New Roman"/>
                <w:sz w:val="24"/>
              </w:rPr>
              <w:t xml:space="preserve"> commodity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</w:rPr>
              <w:t xml:space="preserve"> risk category 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57D731EF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Unconstrained expected shortfall measure for the risk factor category foreign exchange</w:t>
            </w:r>
          </w:p>
          <w:p w14:paraId="1880B223" w14:textId="34F1658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  <w:t xml:space="preserve"> 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</w:rPr>
              <w:t xml:space="preserve"> The value disclosed shall be calculated for the risk factors of the </w:t>
            </w:r>
            <w:r w:rsidR="10BB7391" w:rsidRPr="00DB0A49">
              <w:rPr>
                <w:rFonts w:ascii="Times New Roman" w:eastAsia="Times New Roman" w:hAnsi="Times New Roman" w:cs="Times New Roman"/>
                <w:sz w:val="24"/>
              </w:rPr>
              <w:t>foreign exchange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</w:rPr>
              <w:t xml:space="preserve"> risk category 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035B3B5C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Unconstrained expected shortfall measure for the risk factor category credit </w:t>
            </w:r>
            <w:proofErr w:type="gramStart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spread</w:t>
            </w:r>
            <w:proofErr w:type="gramEnd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5C567B92" w14:textId="2263B6AC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 value disclosed shall be calculated for the risk factors of the</w:t>
            </w:r>
            <w:r w:rsidR="653DAA98" w:rsidRPr="00DB0A49">
              <w:rPr>
                <w:rFonts w:ascii="Times New Roman" w:eastAsia="Times New Roman" w:hAnsi="Times New Roman" w:cs="Times New Roman"/>
                <w:sz w:val="24"/>
              </w:rPr>
              <w:t xml:space="preserve"> credit spread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risk category </w:t>
            </w: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66B44710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2E509B0B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Sum of unconstrained expected shortfall measure for broad risk factor categories 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>(∑</w:t>
            </w:r>
            <w:proofErr w:type="spellStart"/>
            <w:r w:rsidRPr="00AA44B0">
              <w:rPr>
                <w:rFonts w:ascii="Times New Roman" w:eastAsia="Times New Roman" w:hAnsi="Times New Roman" w:cs="Times New Roman"/>
                <w:sz w:val="24"/>
              </w:rPr>
              <w:t>UES</w:t>
            </w:r>
            <w:r w:rsidRPr="00AA44B0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i</w:t>
            </w:r>
            <w:r w:rsidRPr="00AA44B0"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t</w:t>
            </w:r>
            <w:proofErr w:type="spellEnd"/>
            <w:r w:rsidRPr="00AA44B0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F80764"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sz w:val="24"/>
              </w:rPr>
              <w:t>Sum</w:t>
            </w:r>
            <w:r w:rsidR="471075D0" w:rsidRPr="00AA44B0"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 xml:space="preserve">rows </w:t>
            </w:r>
            <w:r w:rsidR="471075D0" w:rsidRPr="00AA44B0">
              <w:rPr>
                <w:rFonts w:ascii="Times New Roman" w:eastAsia="Times New Roman" w:hAnsi="Times New Roman" w:cs="Times New Roman"/>
                <w:sz w:val="24"/>
              </w:rPr>
              <w:t>2 to 6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Expected shortfall measure (</w:t>
            </w:r>
            <w:proofErr w:type="spellStart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ES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  <w:vertAlign w:val="subscript"/>
              </w:rPr>
              <w:t>t</w:t>
            </w:r>
            <w:proofErr w:type="spellEnd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lastRenderedPageBreak/>
              <w:t>The e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xpected shortfall risk measure </w:t>
            </w:r>
            <w:r w:rsidR="7D7D63FD" w:rsidRPr="00DB0A49">
              <w:rPr>
                <w:rFonts w:ascii="Times New Roman" w:eastAsia="Times New Roman" w:hAnsi="Times New Roman" w:cs="Times New Roman"/>
                <w:sz w:val="24"/>
              </w:rPr>
              <w:t xml:space="preserve">shall be 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calculated in accordance with Article </w:t>
            </w:r>
            <w:proofErr w:type="spellStart"/>
            <w:r w:rsidR="66505BFF" w:rsidRPr="00DB0A49">
              <w:rPr>
                <w:rFonts w:ascii="Times New Roman" w:eastAsia="Times New Roman" w:hAnsi="Times New Roman" w:cs="Times New Roman"/>
                <w:sz w:val="24"/>
              </w:rPr>
              <w:t>Article</w:t>
            </w:r>
            <w:proofErr w:type="spellEnd"/>
            <w:r w:rsidR="66505BFF" w:rsidRPr="00DB0A49">
              <w:rPr>
                <w:rFonts w:ascii="Times New Roman" w:eastAsia="Times New Roman" w:hAnsi="Times New Roman" w:cs="Times New Roman"/>
                <w:sz w:val="24"/>
              </w:rPr>
              <w:t xml:space="preserve"> 325</w:t>
            </w:r>
            <w:proofErr w:type="gramStart"/>
            <w:r w:rsidR="66505BFF" w:rsidRPr="00DB0A49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="66505BFF" w:rsidRPr="00DB0A49">
              <w:rPr>
                <w:rFonts w:ascii="Times New Roman" w:eastAsia="Times New Roman" w:hAnsi="Times New Roman" w:cs="Times New Roman"/>
                <w:sz w:val="24"/>
              </w:rPr>
              <w:t>1), point (a)(i)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05CD97D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105CD97D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lastRenderedPageBreak/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Stress scenario risk measure (</w:t>
            </w:r>
            <w:proofErr w:type="spellStart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SS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  <w:vertAlign w:val="subscript"/>
              </w:rPr>
              <w:t>t</w:t>
            </w:r>
            <w:proofErr w:type="spellEnd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 stress scenario risk measure </w:t>
            </w:r>
            <w:r w:rsidR="5F15F480" w:rsidRPr="00DB0A49">
              <w:rPr>
                <w:rFonts w:ascii="Times New Roman" w:eastAsia="Times New Roman" w:hAnsi="Times New Roman" w:cs="Times New Roman"/>
                <w:sz w:val="24"/>
              </w:rPr>
              <w:t xml:space="preserve">shall be 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calculated in accordance with </w:t>
            </w:r>
            <w:r w:rsidR="2456F255" w:rsidRPr="00DB0A49">
              <w:rPr>
                <w:rFonts w:ascii="Times New Roman" w:eastAsia="Times New Roman" w:hAnsi="Times New Roman" w:cs="Times New Roman"/>
                <w:sz w:val="24"/>
              </w:rPr>
              <w:t>Article 325</w:t>
            </w:r>
            <w:proofErr w:type="gramStart"/>
            <w:r w:rsidR="2456F255" w:rsidRPr="00DB0A49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="2456F255" w:rsidRPr="00DB0A49">
              <w:rPr>
                <w:rFonts w:ascii="Times New Roman" w:eastAsia="Times New Roman" w:hAnsi="Times New Roman" w:cs="Times New Roman"/>
                <w:sz w:val="24"/>
              </w:rPr>
              <w:t>1), point (a)(ii)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2679AD5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Default risk charge (</w:t>
            </w:r>
            <w:proofErr w:type="spellStart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DRC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  <w:vertAlign w:val="subscript"/>
              </w:rPr>
              <w:t>t</w:t>
            </w:r>
            <w:proofErr w:type="spellEnd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 d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>efault risk charge</w:t>
            </w:r>
            <w:r w:rsidR="7214E0FE" w:rsidRPr="00DB0A49">
              <w:rPr>
                <w:rFonts w:ascii="Times New Roman" w:eastAsia="Times New Roman" w:hAnsi="Times New Roman" w:cs="Times New Roman"/>
                <w:sz w:val="24"/>
              </w:rPr>
              <w:t xml:space="preserve"> shall be calculated in accordance with 325</w:t>
            </w:r>
            <w:proofErr w:type="gramStart"/>
            <w:r w:rsidR="7214E0FE" w:rsidRPr="00DB0A49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="7214E0FE" w:rsidRPr="00DB0A49">
              <w:rPr>
                <w:rFonts w:ascii="Times New Roman" w:eastAsia="Times New Roman" w:hAnsi="Times New Roman" w:cs="Times New Roman"/>
                <w:sz w:val="24"/>
              </w:rPr>
              <w:t xml:space="preserve">2), point (a) </w:t>
            </w:r>
            <w:r w:rsidR="1A8C08E2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PLAaddon</w:t>
            </w:r>
            <w:proofErr w:type="spellEnd"/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This value shall be calculated in accordance with</w:t>
            </w:r>
            <w:r w:rsidR="2B836C8D" w:rsidRPr="00DB0A49">
              <w:rPr>
                <w:rFonts w:ascii="Times New Roman" w:eastAsia="Times New Roman" w:hAnsi="Times New Roman" w:cs="Times New Roman"/>
                <w:sz w:val="24"/>
              </w:rPr>
              <w:t xml:space="preserve"> Article 325</w:t>
            </w:r>
            <w:proofErr w:type="gramStart"/>
            <w:r w:rsidR="2B836C8D" w:rsidRPr="00DB0A49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="2B836C8D" w:rsidRPr="00DB0A49">
              <w:rPr>
                <w:rFonts w:ascii="Times New Roman" w:eastAsia="Times New Roman" w:hAnsi="Times New Roman" w:cs="Times New Roman"/>
                <w:sz w:val="24"/>
              </w:rPr>
              <w:t>3) of Regulation (EU) No 575/2013 in conjunction with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Article 10(1) of Regulation (EU) 2022/2059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hAnsi="Times New Roman" w:cs="Times New Roman"/>
                <w:b/>
                <w:bCs/>
                <w:sz w:val="24"/>
              </w:rPr>
              <w:t>OFR for on- and off-balance sheet business plus</w:t>
            </w:r>
            <w:r w:rsidR="471075D0" w:rsidRPr="00AA44B0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="32530794" w:rsidRPr="00AA44B0">
              <w:rPr>
                <w:rFonts w:ascii="Times New Roman" w:hAnsi="Times New Roman" w:cs="Times New Roman"/>
                <w:b/>
                <w:bCs/>
                <w:sz w:val="24"/>
              </w:rPr>
              <w:t>PLAaddon</w:t>
            </w:r>
            <w:proofErr w:type="spellEnd"/>
            <w:r w:rsidR="471075D0" w:rsidRPr="00AA44B0">
              <w:rPr>
                <w:rFonts w:ascii="Times New Roman" w:hAnsi="Times New Roman" w:cs="Times New Roman"/>
                <w:b/>
                <w:bCs/>
                <w:sz w:val="24"/>
              </w:rPr>
              <w:t xml:space="preserve"> (AIMA + </w:t>
            </w:r>
            <w:proofErr w:type="spellStart"/>
            <w:r w:rsidR="639D3BBA" w:rsidRPr="00AA44B0">
              <w:rPr>
                <w:rFonts w:ascii="Times New Roman" w:hAnsi="Times New Roman" w:cs="Times New Roman"/>
                <w:b/>
                <w:bCs/>
                <w:sz w:val="24"/>
              </w:rPr>
              <w:t>PLAaddon</w:t>
            </w:r>
            <w:proofErr w:type="spellEnd"/>
            <w:r w:rsidR="471075D0" w:rsidRPr="00AA44B0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This value shall be calculated in accordance with Article 10(1) of Regulation (EU) 2022/2059. The value of row 11 shall be added.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Total ASA OFR for t</w:t>
            </w:r>
            <w:r w:rsidRPr="00AA44B0">
              <w:rPr>
                <w:rFonts w:ascii="Times New Roman" w:hAnsi="Times New Roman" w:cs="Times New Roman"/>
                <w:b/>
                <w:bCs/>
                <w:sz w:val="24"/>
              </w:rPr>
              <w:t>rading des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ks ineligible to use the AIMA </w:t>
            </w:r>
            <w:r w:rsidR="482EC743" w:rsidRPr="00AA44B0">
              <w:rPr>
                <w:rFonts w:ascii="Times New Roman" w:hAnsi="Times New Roman" w:cs="Times New Roman"/>
                <w:b/>
                <w:bCs/>
                <w:sz w:val="24"/>
              </w:rPr>
              <w:t>(</w:t>
            </w:r>
            <w:proofErr w:type="spellStart"/>
            <w:r w:rsidR="482EC743" w:rsidRPr="00AA44B0">
              <w:rPr>
                <w:rFonts w:ascii="Times New Roman" w:hAnsi="Times New Roman" w:cs="Times New Roman"/>
                <w:b/>
                <w:bCs/>
                <w:sz w:val="24"/>
              </w:rPr>
              <w:t>ASAnon-</w:t>
            </w:r>
            <w:r w:rsidR="6043BACB" w:rsidRPr="00AA44B0">
              <w:rPr>
                <w:rFonts w:ascii="Times New Roman" w:hAnsi="Times New Roman" w:cs="Times New Roman"/>
                <w:b/>
                <w:bCs/>
                <w:sz w:val="24"/>
              </w:rPr>
              <w:t>aima</w:t>
            </w:r>
            <w:proofErr w:type="spellEnd"/>
            <w:r w:rsidR="482EC743" w:rsidRPr="00AA44B0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>This value shall be calculated as set out in Article 325</w:t>
            </w:r>
            <w:proofErr w:type="gramStart"/>
            <w:r w:rsidRPr="00FE3752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Pr="00FE3752">
              <w:rPr>
                <w:rFonts w:ascii="Times New Roman" w:eastAsia="Times New Roman" w:hAnsi="Times New Roman" w:cs="Times New Roman"/>
                <w:sz w:val="24"/>
              </w:rPr>
              <w:t>3) of Regulation (EU) No 575/2013</w:t>
            </w:r>
            <w:r w:rsidR="00FE3752" w:rsidRPr="00FE375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Difference in OFR under the AIMA and ASA for AIMA trading desks (</w:t>
            </w:r>
            <w:r w:rsidR="53768E03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AIMA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-</w:t>
            </w:r>
            <w:proofErr w:type="spellStart"/>
            <w:r w:rsidR="5FCB1D39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SA</w:t>
            </w:r>
            <w:r w:rsidR="0AC6FA36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aima</w:t>
            </w:r>
            <w:proofErr w:type="spellEnd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This value shall be calculated as the difference between </w:t>
            </w:r>
            <w:r w:rsidR="3F28F1E0" w:rsidRPr="00FE3752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IMA own funds requirements for </w:t>
            </w:r>
            <w:r w:rsidR="277A49BD" w:rsidRPr="00FE3752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IMA desks (Article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10(1) of Regulation (EU) 2022/2059) and the value of </w:t>
            </w:r>
            <w:r w:rsidR="34A0388E" w:rsidRPr="00DB0A49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SA own funds requirements for all </w:t>
            </w:r>
            <w:r w:rsidR="3138091C" w:rsidRPr="00DB0A49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>IMA desks (portfolio view) (Article 10(1) of Regulation (EU) 2022/2059)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ASA OFR for all trading desks (including </w:t>
            </w:r>
            <w:proofErr w:type="gramStart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those subject</w:t>
            </w:r>
            <w:proofErr w:type="gramEnd"/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to AIMA) (</w:t>
            </w:r>
            <w:proofErr w:type="spellStart"/>
            <w:r w:rsidR="7DB6E073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SA</w:t>
            </w:r>
            <w:r w:rsidR="7CE957D6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all</w:t>
            </w:r>
            <w:proofErr w:type="spellEnd"/>
            <w:r w:rsidR="7CE957D6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portfolio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>This value shall be calculated as set out in Article 325</w:t>
            </w:r>
            <w:proofErr w:type="gramStart"/>
            <w:r w:rsidRPr="00FE3752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Pr="00FE3752">
              <w:rPr>
                <w:rFonts w:ascii="Times New Roman" w:eastAsia="Times New Roman" w:hAnsi="Times New Roman" w:cs="Times New Roman"/>
                <w:sz w:val="24"/>
              </w:rPr>
              <w:t>3) of Regulation (EU) No 575/2013</w:t>
            </w:r>
            <w:r w:rsidR="002F7116" w:rsidRPr="00FE375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Total </w:t>
            </w:r>
            <w:r w:rsidR="7E3B1295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own funds requir</w:t>
            </w:r>
            <w:r w:rsidR="002C44F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</w:t>
            </w:r>
            <w:r w:rsidR="7E3B1295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ments</w:t>
            </w:r>
            <w:r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AIMA</w:t>
            </w:r>
            <w:r w:rsidR="5D8D852E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(</w:t>
            </w:r>
            <w:proofErr w:type="spellStart"/>
            <w:r w:rsidR="5D8D852E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TotalAIMA</w:t>
            </w:r>
            <w:proofErr w:type="spellEnd"/>
            <w:r w:rsidR="5D8D852E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>This value shall be calculated as set out in</w:t>
            </w:r>
            <w:r w:rsidR="6C8840B6" w:rsidRPr="00FE3752">
              <w:rPr>
                <w:rFonts w:ascii="Times New Roman" w:eastAsia="Times New Roman" w:hAnsi="Times New Roman" w:cs="Times New Roman"/>
                <w:sz w:val="24"/>
              </w:rPr>
              <w:t xml:space="preserve"> Article 325</w:t>
            </w:r>
            <w:proofErr w:type="gramStart"/>
            <w:r w:rsidR="6C8840B6" w:rsidRPr="00FE3752">
              <w:rPr>
                <w:rFonts w:ascii="Times New Roman" w:eastAsia="Times New Roman" w:hAnsi="Times New Roman" w:cs="Times New Roman"/>
                <w:sz w:val="24"/>
              </w:rPr>
              <w:t>ba(</w:t>
            </w:r>
            <w:proofErr w:type="gramEnd"/>
            <w:r w:rsidR="6C8840B6" w:rsidRPr="00FE3752">
              <w:rPr>
                <w:rFonts w:ascii="Times New Roman" w:eastAsia="Times New Roman" w:hAnsi="Times New Roman" w:cs="Times New Roman"/>
                <w:sz w:val="24"/>
              </w:rPr>
              <w:t>3) of Regulation (EU) No 575/2013</w:t>
            </w:r>
            <w:r w:rsidR="002F7116" w:rsidRPr="00FE375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Column letter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Disclosure of the most recent risk measure [row 1 to 10] or own funds requirement</w:t>
            </w:r>
            <w:r w:rsidR="002C44FE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11 to 16]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Mean value of the Risk measure [row 1 to 10] over the previous 60 business day</w:t>
            </w:r>
            <w:r w:rsidR="65F44FA7" w:rsidRPr="00445013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9] or over the previous 12 weeks [row 10]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Highest Risk measure over the previous 60 business day</w:t>
            </w:r>
            <w:r w:rsidR="2C9C033A" w:rsidRPr="00445013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</w:t>
            </w:r>
            <w:r w:rsidR="509CC21A" w:rsidRPr="00445013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Lowest Risk measure over the previous 60 business day</w:t>
            </w:r>
            <w:r w:rsidR="6A21B232" w:rsidRPr="00445013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</w:t>
            </w:r>
            <w:r w:rsidR="6FDFAB55" w:rsidRPr="00445013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Number of back-testing </w:t>
            </w:r>
            <w:proofErr w:type="spellStart"/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overshootings</w:t>
            </w:r>
            <w:proofErr w:type="spellEnd"/>
            <w:r w:rsidR="3F645DFE"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The number of </w:t>
            </w:r>
            <w:proofErr w:type="spellStart"/>
            <w:r w:rsidRPr="00DB0A49">
              <w:rPr>
                <w:rFonts w:ascii="Times New Roman" w:eastAsia="Times New Roman" w:hAnsi="Times New Roman" w:cs="Times New Roman"/>
                <w:sz w:val="24"/>
              </w:rPr>
              <w:t>overshootings</w:t>
            </w:r>
            <w:proofErr w:type="spellEnd"/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reported in this cell shall be the number used for the determination of the add-on in accordance with Table 3 of Article 325</w:t>
            </w:r>
            <w:proofErr w:type="gramStart"/>
            <w:r w:rsidR="62428427" w:rsidRPr="00DB0A49">
              <w:rPr>
                <w:rFonts w:ascii="Times New Roman" w:eastAsia="Times New Roman" w:hAnsi="Times New Roman" w:cs="Times New Roman"/>
                <w:sz w:val="24"/>
              </w:rPr>
              <w:t>b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>f(</w:t>
            </w:r>
            <w:proofErr w:type="gramEnd"/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6), point (b) </w:t>
            </w:r>
            <w:r w:rsidR="04D070BB" w:rsidRPr="00DB0A49">
              <w:rPr>
                <w:rFonts w:ascii="Times New Roman" w:eastAsia="Times New Roman" w:hAnsi="Times New Roman" w:cs="Times New Roman"/>
                <w:sz w:val="24"/>
              </w:rPr>
              <w:t>of 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DB0A49">
              <w:rPr>
                <w:rFonts w:ascii="Times New Roman" w:eastAsia="Times New Roman" w:hAnsi="Times New Roman" w:cs="Times New Roman"/>
                <w:sz w:val="24"/>
              </w:rPr>
              <w:t>Overshootings</w:t>
            </w:r>
            <w:proofErr w:type="spellEnd"/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lastRenderedPageBreak/>
              <w:t>that are excluded with the permission of the competent authority shall not be included.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lastRenderedPageBreak/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Most recent risk measure [row 1 to 10] or own funds requirement</w:t>
            </w:r>
            <w:r w:rsidR="002C44FE">
              <w:rPr>
                <w:rFonts w:ascii="Times New Roman" w:hAnsi="Times New Roman" w:cs="Times New Roman"/>
                <w:sz w:val="24"/>
                <w:lang w:eastAsia="ja-JP"/>
              </w:rPr>
              <w:t xml:space="preserve">s 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[row 11 to 16] at the previous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Mean value of the Risk measure [row 1 to 10] over the previous 60 business day [row 1 to 9] or over the previous 12 weeks [row 10] at the previous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</w:tbl>
    <w:p w14:paraId="60061E4C" w14:textId="6CE0B0D3" w:rsidR="00AA4A0F" w:rsidRPr="001F1865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Template EU MR 3 - Market risk under the simplified standardised approach (SSA)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>: fixed format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Institutions shall disclose the information referred to in Article 445 </w:t>
      </w:r>
      <w:r w:rsidR="3EAC4B84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Regulation</w:t>
      </w:r>
      <w:r w:rsidR="5A4E6B5C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(EU) 575/2013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by following the instructions provided below in this Annex to complete template EU MR 3 which is presented in Annex XXIX</w:t>
      </w:r>
      <w:r w:rsidR="00FE3752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of the IT solutions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 xml:space="preserve">Interest rate risk (general and specific)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General and specific risk of positions in traded debt instruments in the trading book, in accordance with Chapter 2 of Title IV of Part Three </w:t>
            </w:r>
            <w:r w:rsidR="0406BB73" w:rsidRPr="001F1865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, excluding specific risk related to securitisation</w:t>
            </w:r>
            <w:r w:rsidR="0044501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Equity risk (general and specific)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General and specific risk of positions in equities in the trading book, in accordance with Chapter 2 of Title IV of Part Three </w:t>
            </w:r>
            <w:r w:rsidR="5270E00E" w:rsidRPr="001F1865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="0044501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Commodity risk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Risk of positions in commodities in accordance with Chapter 4 of Title IV of Part Three </w:t>
            </w:r>
            <w:r w:rsidR="7EBFBB7D" w:rsidRPr="001F1865">
              <w:rPr>
                <w:rFonts w:ascii="Times New Roman" w:hAnsi="Times New Roman" w:cs="Times New Roman"/>
                <w:sz w:val="24"/>
                <w:lang w:eastAsia="ja-JP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 (EU) 575/2013</w:t>
            </w:r>
            <w:r w:rsidR="7EBFBB7D" w:rsidRPr="001F1865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Foreign exchange risk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Risk of positions in foreign exchange in accordance with Chapter 3 of Title IV of Part Three </w:t>
            </w:r>
            <w:r w:rsidR="622179F0" w:rsidRPr="001F1865">
              <w:rPr>
                <w:rFonts w:ascii="Times New Roman" w:hAnsi="Times New Roman" w:cs="Times New Roman"/>
                <w:sz w:val="24"/>
                <w:lang w:eastAsia="ja-JP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 (EU) 575/2013</w:t>
            </w:r>
            <w:r w:rsidR="00445013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(specific risk)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Specific risk of securitisation positions in the trading book in accordance with Articles 337 and 338 of Chapter 2 of Title IV of Part Three </w:t>
            </w:r>
            <w:r w:rsidR="3D0FF6D2" w:rsidRPr="001F1865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lastRenderedPageBreak/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Total OFR S-SA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Disclosure of own funds requirements referred to in Article 438</w:t>
            </w:r>
            <w:r w:rsidR="2F9537E2" w:rsidRPr="001F1865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4010298B" w:rsidRPr="001F1865">
              <w:rPr>
                <w:rFonts w:ascii="Times New Roman" w:eastAsia="Times New Roman" w:hAnsi="Times New Roman" w:cs="Times New Roman"/>
                <w:sz w:val="24"/>
              </w:rPr>
              <w:t>point (d) of 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, computed as the simple sum of amounts in the above rows 1 to 5</w:t>
            </w:r>
            <w:r w:rsidR="009874FB">
              <w:rPr>
                <w:rFonts w:ascii="Times New Roman" w:eastAsia="Times New Roman" w:hAnsi="Times New Roman" w:cs="Times New Roman"/>
                <w:sz w:val="24"/>
              </w:rPr>
              <w:t xml:space="preserve"> for column </w:t>
            </w:r>
            <w:proofErr w:type="gramStart"/>
            <w:r w:rsidR="009874FB">
              <w:rPr>
                <w:rFonts w:ascii="Times New Roman" w:eastAsia="Times New Roman" w:hAnsi="Times New Roman" w:cs="Times New Roman"/>
                <w:sz w:val="24"/>
              </w:rPr>
              <w:t>a and</w:t>
            </w:r>
            <w:proofErr w:type="gramEnd"/>
            <w:r w:rsidR="009874FB">
              <w:rPr>
                <w:rFonts w:ascii="Times New Roman" w:eastAsia="Times New Roman" w:hAnsi="Times New Roman" w:cs="Times New Roman"/>
                <w:sz w:val="24"/>
              </w:rPr>
              <w:t xml:space="preserve"> computed as the simple sum of amounts in the above rows 1 to 4 for the columns b, c and d</w:t>
            </w:r>
            <w:r w:rsidR="4FD6A758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Column letter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Outright products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Positions in products that are not optional and are not included in the approaches of the RTS for non-delta risk of options in the standardised market risk approach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 w:rsidR="0044501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Options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Simplified approach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as defined in Article 329 (3) of Chapter 2 of Title IV of Part Three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E0935AF" w:rsidRPr="001F1865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using the simplified approach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 w:rsidR="0044501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Delta plus approach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in the trading book as defined in Article 329 (3) of Chapter 2 of Title IV of Part Three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E3752">
              <w:rPr>
                <w:rFonts w:ascii="Times New Roman" w:eastAsia="Times New Roman" w:hAnsi="Times New Roman" w:cs="Times New Roman"/>
                <w:sz w:val="24"/>
              </w:rPr>
              <w:t xml:space="preserve">of </w:t>
            </w:r>
            <w:r w:rsidR="76E999B5" w:rsidRPr="001F1865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using the delta plus approach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Scenario approach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in the trading book as defined in Article 329 (3) of Chapter 2 of Title IV of Part Three</w:t>
            </w:r>
            <w:r w:rsidR="00FE3752">
              <w:rPr>
                <w:rFonts w:ascii="Times New Roman" w:hAnsi="Times New Roman" w:cs="Times New Roman"/>
                <w:sz w:val="24"/>
                <w:lang w:eastAsia="ja-JP"/>
              </w:rPr>
              <w:t xml:space="preserve"> of </w:t>
            </w:r>
            <w:r w:rsidR="00FE3752" w:rsidRPr="001F1865">
              <w:rPr>
                <w:rFonts w:ascii="Times New Roman" w:eastAsia="Times New Roman" w:hAnsi="Times New Roman" w:cs="Times New Roman"/>
                <w:sz w:val="24"/>
              </w:rPr>
              <w:t>Regulation (EU) 575/</w:t>
            </w:r>
            <w:proofErr w:type="gramStart"/>
            <w:r w:rsidR="00FE3752" w:rsidRPr="001F1865">
              <w:rPr>
                <w:rFonts w:ascii="Times New Roman" w:eastAsia="Times New Roman" w:hAnsi="Times New Roman" w:cs="Times New Roman"/>
                <w:sz w:val="24"/>
              </w:rPr>
              <w:t xml:space="preserve">2013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for</w:t>
            </w:r>
            <w:proofErr w:type="gramEnd"/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which institutions calculate the own funds requirements related to the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using the scenario approach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14:paraId="79592B57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sectPr w:rsidR="00931C32" w:rsidRPr="001F186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3880147E" w:rsidR="00931C32" w:rsidRPr="00222AAB" w:rsidRDefault="00931C32" w:rsidP="007F0B68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="002316A7">
        <w:rPr>
          <w:lang w:eastAsia="en-GB"/>
        </w:rPr>
        <w:t xml:space="preserve">Regulation (EU) No 575/2013 of the European Parliament and of the Council of 26 June 2013 on prudential requirements for credit institutions and investment firms and amending Regulation (EU) No 648/2012 and amending Regulation (EU) No 2024/1623 </w:t>
      </w:r>
      <w:r w:rsidR="002316A7">
        <w:rPr>
          <w:color w:val="444444"/>
          <w:lang w:eastAsia="en-GB"/>
        </w:rPr>
        <w:t>(</w:t>
      </w:r>
      <w:hyperlink r:id="rId1" w:history="1">
        <w:r w:rsidR="002316A7">
          <w:rPr>
            <w:rStyle w:val="Hyperlink"/>
            <w:color w:val="800080"/>
            <w:lang w:eastAsia="en-GB"/>
          </w:rPr>
          <w:t>OJ L 176, 27.6.2013, p. 1</w:t>
        </w:r>
      </w:hyperlink>
      <w:r w:rsidR="002316A7">
        <w:rPr>
          <w:color w:val="800080"/>
          <w:u w:val="single"/>
          <w:lang w:eastAsia="en-GB"/>
        </w:rPr>
        <w:t xml:space="preserve">; </w:t>
      </w:r>
      <w:hyperlink r:id="rId2" w:history="1">
        <w:r w:rsidR="002316A7">
          <w:rPr>
            <w:rStyle w:val="Hyperlink"/>
          </w:rPr>
          <w:t>Regulation - EU - 2024/1623 - EN - EUR-Lex (europa.eu)</w:t>
        </w:r>
      </w:hyperlink>
      <w:r w:rsidR="002316A7">
        <w:rPr>
          <w:color w:val="444444"/>
          <w:lang w:eastAsia="en-GB"/>
        </w:rPr>
        <w:t>)</w:t>
      </w:r>
      <w:r w:rsidR="002316A7">
        <w:rPr>
          <w:lang w:eastAsia="en-GB"/>
        </w:rPr>
        <w:t>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 xml:space="preserve"> </w:t>
      </w:r>
      <w:r>
        <w:tab/>
      </w:r>
      <w:r w:rsidRPr="00715C8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715C8B">
        <w:t>with regard to</w:t>
      </w:r>
      <w:proofErr w:type="gramEnd"/>
      <w:r w:rsidRPr="00715C8B">
        <w:t xml:space="preserve"> regulatory technical standards for non-delta risk of options in the </w:t>
      </w:r>
      <w:proofErr w:type="spellStart"/>
      <w:r w:rsidRPr="00715C8B">
        <w:t>standardised</w:t>
      </w:r>
      <w:proofErr w:type="spellEnd"/>
      <w:r w:rsidRPr="00715C8B">
        <w:t xml:space="preserve"> market risk approach (OJ L 148, 20.5.2014, p. 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222AAB">
        <w:t>with regard to</w:t>
      </w:r>
      <w:proofErr w:type="gramEnd"/>
      <w:r w:rsidRPr="00222AAB">
        <w:t xml:space="preserve"> regulatory technical standards for non-delta risk of options in the </w:t>
      </w:r>
      <w:proofErr w:type="spellStart"/>
      <w:r w:rsidRPr="00222AAB">
        <w:t>standardised</w:t>
      </w:r>
      <w:proofErr w:type="spellEnd"/>
      <w:r w:rsidRPr="00222AAB">
        <w:t xml:space="preserve"> market risk approach (OJ L 148, 20.5.2014, p. 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222AAB">
        <w:t>with regard to</w:t>
      </w:r>
      <w:proofErr w:type="gramEnd"/>
      <w:r w:rsidRPr="00222AAB">
        <w:t xml:space="preserve"> regulatory technical standards for non-delta risk of options in the </w:t>
      </w:r>
      <w:proofErr w:type="spellStart"/>
      <w:r w:rsidRPr="00222AAB">
        <w:t>standardised</w:t>
      </w:r>
      <w:proofErr w:type="spellEnd"/>
      <w:r w:rsidRPr="00222AAB">
        <w:t xml:space="preserve"> market risk approach (OJ L 148, 20.5.2014, p. 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222AAB">
        <w:t>with regard to</w:t>
      </w:r>
      <w:proofErr w:type="gramEnd"/>
      <w:r w:rsidRPr="00222AAB">
        <w:t xml:space="preserve"> regulatory technical standards for non-delta risk of options in the </w:t>
      </w:r>
      <w:proofErr w:type="spellStart"/>
      <w:r w:rsidRPr="00222AAB">
        <w:t>standardised</w:t>
      </w:r>
      <w:proofErr w:type="spellEnd"/>
      <w:r w:rsidRPr="00222AAB">
        <w:t xml:space="preserve"> market risk approach (OJ L 148, 20.5.2014, p.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DB0A4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DB0A4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DB0A4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DB0A4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DB0A4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DB0A4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2024-06-19T10:44:00Z</dcterms:modified>
</cp:coreProperties>
</file>