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5EA59" w14:textId="77777777"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14:paraId="55B5EA5C" w14:textId="77777777" w:rsidTr="00F740E9">
        <w:tc>
          <w:tcPr>
            <w:tcW w:w="6480" w:type="dxa"/>
          </w:tcPr>
          <w:p w14:paraId="55B5EA5A" w14:textId="77777777" w:rsidR="005974BE" w:rsidRPr="00A313DB" w:rsidRDefault="005974BE" w:rsidP="005974BE">
            <w:pPr>
              <w:spacing w:before="120" w:after="120"/>
              <w:ind w:right="34"/>
              <w:rPr>
                <w:rFonts w:ascii="Verdana" w:hAnsi="Verdana"/>
              </w:rPr>
            </w:pPr>
          </w:p>
        </w:tc>
        <w:tc>
          <w:tcPr>
            <w:tcW w:w="2700" w:type="dxa"/>
          </w:tcPr>
          <w:p w14:paraId="55B5EA5B" w14:textId="77777777" w:rsidR="005974BE" w:rsidRPr="00A313DB" w:rsidRDefault="005974BE" w:rsidP="00AE345F">
            <w:pPr>
              <w:spacing w:before="120" w:after="120"/>
              <w:jc w:val="right"/>
              <w:rPr>
                <w:rFonts w:ascii="Verdana" w:hAnsi="Verdana"/>
              </w:rPr>
            </w:pPr>
          </w:p>
        </w:tc>
      </w:tr>
      <w:tr w:rsidR="005974BE" w:rsidRPr="00A313DB" w14:paraId="55B5EA64" w14:textId="77777777" w:rsidTr="00F740E9">
        <w:tc>
          <w:tcPr>
            <w:tcW w:w="6480" w:type="dxa"/>
          </w:tcPr>
          <w:p w14:paraId="55B5EA5D" w14:textId="77777777"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14:paraId="55B5EA5E" w14:textId="77777777"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14:paraId="55B5EA5F" w14:textId="77777777" w:rsidR="00F776BD" w:rsidRPr="00F740E9" w:rsidRDefault="00F776BD" w:rsidP="00762BA5">
            <w:pPr>
              <w:jc w:val="both"/>
              <w:rPr>
                <w:rFonts w:ascii="Verdana" w:hAnsi="Verdana"/>
                <w:b/>
                <w:sz w:val="24"/>
              </w:rPr>
            </w:pPr>
          </w:p>
          <w:p w14:paraId="55B5EA60" w14:textId="77777777" w:rsidR="005974BE" w:rsidRPr="00F776BD" w:rsidRDefault="005974BE" w:rsidP="00837850">
            <w:pPr>
              <w:rPr>
                <w:rFonts w:ascii="Verdana" w:hAnsi="Verdana"/>
                <w:b/>
                <w:spacing w:val="24"/>
              </w:rPr>
            </w:pPr>
          </w:p>
        </w:tc>
        <w:tc>
          <w:tcPr>
            <w:tcW w:w="2700" w:type="dxa"/>
          </w:tcPr>
          <w:p w14:paraId="55B5EA61" w14:textId="77777777" w:rsidR="00762BA5" w:rsidRDefault="00762BA5" w:rsidP="00762BA5">
            <w:pPr>
              <w:jc w:val="right"/>
              <w:rPr>
                <w:rFonts w:ascii="Verdana" w:hAnsi="Verdana"/>
              </w:rPr>
            </w:pPr>
          </w:p>
          <w:p w14:paraId="55B5EA62" w14:textId="77777777" w:rsidR="00F776BD" w:rsidRDefault="00F776BD" w:rsidP="00762BA5">
            <w:pPr>
              <w:jc w:val="right"/>
              <w:rPr>
                <w:rFonts w:ascii="Verdana" w:hAnsi="Verdana"/>
              </w:rPr>
            </w:pPr>
          </w:p>
          <w:p w14:paraId="55B5EA63" w14:textId="2271D687" w:rsidR="005974BE" w:rsidRPr="00A313DB" w:rsidRDefault="00024782" w:rsidP="00923CC5">
            <w:pPr>
              <w:spacing w:before="120"/>
              <w:jc w:val="right"/>
              <w:rPr>
                <w:rFonts w:ascii="Verdana" w:hAnsi="Verdana"/>
              </w:rPr>
            </w:pPr>
            <w:r>
              <w:rPr>
                <w:rFonts w:ascii="Verdana" w:hAnsi="Verdana"/>
              </w:rPr>
              <w:t xml:space="preserve">02 February </w:t>
            </w:r>
            <w:r w:rsidR="00E47786">
              <w:rPr>
                <w:rFonts w:ascii="Verdana" w:hAnsi="Verdana"/>
              </w:rPr>
              <w:t>201</w:t>
            </w:r>
            <w:r w:rsidR="00AC367C">
              <w:rPr>
                <w:rFonts w:ascii="Verdana" w:hAnsi="Verdana"/>
              </w:rPr>
              <w:t>6</w:t>
            </w:r>
          </w:p>
        </w:tc>
      </w:tr>
    </w:tbl>
    <w:p w14:paraId="55B5EA65" w14:textId="77777777" w:rsidR="00DC113D" w:rsidRDefault="00DC113D" w:rsidP="00B000E3">
      <w:pPr>
        <w:pStyle w:val="Heading1"/>
      </w:pPr>
    </w:p>
    <w:p w14:paraId="55B5EA66" w14:textId="182A831A" w:rsidR="00AD231B" w:rsidRDefault="00AD231B" w:rsidP="00923CC5">
      <w:pPr>
        <w:pStyle w:val="Titlelevel1"/>
        <w:rPr>
          <w:i/>
        </w:rPr>
      </w:pPr>
      <w:r>
        <w:rPr>
          <w:i/>
        </w:rPr>
        <w:t>v2.5</w:t>
      </w:r>
      <w:r w:rsidRPr="00E47786">
        <w:rPr>
          <w:i/>
        </w:rPr>
        <w:t>.</w:t>
      </w:r>
      <w:r>
        <w:rPr>
          <w:i/>
        </w:rPr>
        <w:t xml:space="preserve">0 </w:t>
      </w:r>
      <w:r w:rsidRPr="00E47786">
        <w:rPr>
          <w:i/>
        </w:rPr>
        <w:t>(“201</w:t>
      </w:r>
      <w:r>
        <w:rPr>
          <w:i/>
        </w:rPr>
        <w:t>6</w:t>
      </w:r>
      <w:r w:rsidRPr="00E47786">
        <w:rPr>
          <w:i/>
        </w:rPr>
        <w:t>-</w:t>
      </w:r>
      <w:r>
        <w:rPr>
          <w:i/>
        </w:rPr>
        <w:t>A”</w:t>
      </w:r>
      <w:r w:rsidRPr="00E47786">
        <w:rPr>
          <w:i/>
        </w:rPr>
        <w:t>)</w:t>
      </w:r>
    </w:p>
    <w:p w14:paraId="5CD8344B" w14:textId="77777777" w:rsidR="008350C5" w:rsidRDefault="008350C5" w:rsidP="008350C5">
      <w:pPr>
        <w:pStyle w:val="Titlelevel2"/>
      </w:pPr>
      <w:r>
        <w:t>Summary and Impact</w:t>
      </w:r>
    </w:p>
    <w:p w14:paraId="6DD4151E" w14:textId="56E44AAD" w:rsidR="008350C5" w:rsidRDefault="008350C5" w:rsidP="008350C5">
      <w:r>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Default="008350C5" w:rsidP="008350C5"/>
    <w:p w14:paraId="5AB4DABE" w14:textId="4D7A7466" w:rsidR="008350C5" w:rsidRPr="008350C5" w:rsidRDefault="008350C5" w:rsidP="008350C5">
      <w:pPr>
        <w:ind w:left="720"/>
        <w:rPr>
          <w:i/>
        </w:rPr>
      </w:pPr>
      <w:r w:rsidRPr="008350C5">
        <w:rPr>
          <w:i/>
        </w:rPr>
        <w:t xml:space="preserve">Implementation effort for participants is not expected to be </w:t>
      </w:r>
      <w:r>
        <w:rPr>
          <w:i/>
        </w:rPr>
        <w:t>large</w:t>
      </w:r>
      <w:r w:rsidRPr="008350C5">
        <w:rPr>
          <w:i/>
        </w:rPr>
        <w:t>.</w:t>
      </w:r>
    </w:p>
    <w:p w14:paraId="08E3BFD8" w14:textId="77777777" w:rsidR="00A526CE" w:rsidRDefault="00A526CE" w:rsidP="00A526CE">
      <w:pPr>
        <w:pStyle w:val="Titlelevel2"/>
      </w:pPr>
      <w:r w:rsidRPr="00AF5AA3">
        <w:t>Purpose</w:t>
      </w:r>
    </w:p>
    <w:p w14:paraId="2443897A" w14:textId="18B79101" w:rsidR="00A526CE" w:rsidRDefault="00B2759E" w:rsidP="00183058">
      <w:pPr>
        <w:pStyle w:val="ListParagraph"/>
        <w:numPr>
          <w:ilvl w:val="0"/>
          <w:numId w:val="21"/>
        </w:numPr>
      </w:pPr>
      <w:r>
        <w:t>Primarily c</w:t>
      </w:r>
      <w:r w:rsidR="00A526CE">
        <w:t>orrections and changes to FINREP and COREP:</w:t>
      </w:r>
    </w:p>
    <w:p w14:paraId="4DFDD626" w14:textId="77777777" w:rsidR="00A526CE" w:rsidRDefault="00A526CE" w:rsidP="00183058">
      <w:pPr>
        <w:pStyle w:val="ListParagraph"/>
        <w:numPr>
          <w:ilvl w:val="1"/>
          <w:numId w:val="21"/>
        </w:numPr>
      </w:pPr>
      <w:r>
        <w:t>Changes to FINREP as regards GAAP reporters</w:t>
      </w:r>
    </w:p>
    <w:p w14:paraId="1E0D5EED" w14:textId="77777777" w:rsidR="00A526CE" w:rsidRDefault="00A526CE" w:rsidP="00183058">
      <w:pPr>
        <w:pStyle w:val="ListParagraph"/>
        <w:numPr>
          <w:ilvl w:val="1"/>
          <w:numId w:val="21"/>
        </w:numPr>
      </w:pPr>
      <w:r>
        <w:t>Changes to COREP to align with CCB disclosure</w:t>
      </w:r>
    </w:p>
    <w:p w14:paraId="01FF6BE4" w14:textId="77777777" w:rsidR="00A526CE" w:rsidRDefault="00A526CE" w:rsidP="00183058">
      <w:pPr>
        <w:pStyle w:val="ListParagraph"/>
        <w:numPr>
          <w:ilvl w:val="0"/>
          <w:numId w:val="21"/>
        </w:numPr>
      </w:pPr>
      <w:r>
        <w:t>Implementation at the XBRL level of the additional Asset Encumbrance validation rules that were added to the validation rule spreadsheet in v2.4</w:t>
      </w:r>
    </w:p>
    <w:p w14:paraId="2D1DA64D" w14:textId="3B7E0B03" w:rsidR="0000662A" w:rsidRDefault="0000662A" w:rsidP="00183058">
      <w:pPr>
        <w:pStyle w:val="ListParagraph"/>
        <w:numPr>
          <w:ilvl w:val="0"/>
          <w:numId w:val="21"/>
        </w:numPr>
      </w:pPr>
      <w:r>
        <w:t>Minor changes and corrections to the other frameworks.</w:t>
      </w:r>
    </w:p>
    <w:p w14:paraId="55B5EA67" w14:textId="2C5E4D14" w:rsidR="00394670" w:rsidRDefault="00BC7A7F" w:rsidP="00BC7A7F">
      <w:pPr>
        <w:pStyle w:val="Titlelevel2"/>
      </w:pPr>
      <w:r>
        <w:t xml:space="preserve">DPM / </w:t>
      </w:r>
      <w:r w:rsidR="0060474C">
        <w:t>Reporting content</w:t>
      </w:r>
      <w:r w:rsidR="00394670">
        <w:t xml:space="preserve"> changes:</w:t>
      </w:r>
    </w:p>
    <w:p w14:paraId="55B5EA68" w14:textId="48DCBE42" w:rsidR="00394670" w:rsidRDefault="001A4D91" w:rsidP="00AD231B">
      <w:r>
        <w:t>(</w:t>
      </w:r>
      <w:proofErr w:type="gramStart"/>
      <w:r>
        <w:t>see</w:t>
      </w:r>
      <w:proofErr w:type="gramEnd"/>
      <w:r>
        <w:t xml:space="preserve"> “</w:t>
      </w:r>
      <w:r w:rsidR="00A526CE" w:rsidRPr="00F14EAF">
        <w:t>Summary Differences 2.5 to 2.4.docx</w:t>
      </w:r>
      <w:r>
        <w:t>” file for more detail of changes)</w:t>
      </w:r>
    </w:p>
    <w:p w14:paraId="55B5EA69" w14:textId="77777777" w:rsidR="00BC7A7F" w:rsidRPr="00BC7A7F" w:rsidRDefault="00BC7A7F" w:rsidP="00BC7A7F">
      <w:pPr>
        <w:pStyle w:val="Titlelevel3"/>
      </w:pPr>
      <w:r w:rsidRPr="00BC7A7F">
        <w:t xml:space="preserve">COREP </w:t>
      </w:r>
    </w:p>
    <w:p w14:paraId="59394D6D" w14:textId="7518892C" w:rsidR="001A4D91" w:rsidRPr="0000662A" w:rsidRDefault="00113BFD" w:rsidP="00183058">
      <w:pPr>
        <w:pStyle w:val="ListParagraph"/>
        <w:numPr>
          <w:ilvl w:val="0"/>
          <w:numId w:val="28"/>
        </w:numPr>
        <w:rPr>
          <w:rFonts w:ascii="Calibri" w:eastAsia="Times New Roman" w:hAnsi="Calibri" w:cs="Times New Roman"/>
          <w:color w:val="000000"/>
          <w:szCs w:val="22"/>
        </w:rPr>
      </w:pPr>
      <w:r>
        <w:t>C 09.03 table deleted, replaced with C09.04</w:t>
      </w:r>
      <w:r w:rsidR="001A4D91">
        <w:t xml:space="preserve"> requesting a wider set of data related to the </w:t>
      </w:r>
      <w:proofErr w:type="gramStart"/>
      <w:r w:rsidR="001A4D91">
        <w:t>Countercyclical</w:t>
      </w:r>
      <w:proofErr w:type="gramEnd"/>
      <w:r w:rsidR="001A4D91">
        <w:t xml:space="preserve"> buffer calculation.</w:t>
      </w:r>
    </w:p>
    <w:p w14:paraId="16472928" w14:textId="74E97EB7" w:rsidR="001A4D91" w:rsidRPr="0000662A" w:rsidRDefault="001A4D91" w:rsidP="00183058">
      <w:pPr>
        <w:pStyle w:val="ListParagraph"/>
        <w:numPr>
          <w:ilvl w:val="0"/>
          <w:numId w:val="28"/>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 to the currency codes noted below, impacting C 51-54, 60, 61, 66-76.</w:t>
      </w:r>
    </w:p>
    <w:p w14:paraId="55B5EA6B" w14:textId="77777777" w:rsidR="00BC7A7F" w:rsidRPr="00BC7A7F" w:rsidRDefault="00BC7A7F" w:rsidP="00BC7A7F">
      <w:pPr>
        <w:pStyle w:val="Titlelevel3"/>
      </w:pPr>
      <w:r w:rsidRPr="00BC7A7F">
        <w:t>FINREP</w:t>
      </w:r>
    </w:p>
    <w:p w14:paraId="55B5EA6C" w14:textId="5AC2D339" w:rsidR="00394670" w:rsidRDefault="00394670" w:rsidP="00183058">
      <w:pPr>
        <w:pStyle w:val="ListParagraph"/>
        <w:numPr>
          <w:ilvl w:val="0"/>
          <w:numId w:val="27"/>
        </w:numPr>
      </w:pPr>
      <w:r w:rsidRPr="00394670">
        <w:t>Nesting of row</w:t>
      </w:r>
      <w:r w:rsidR="00024782">
        <w:t xml:space="preserve">s in F_18.00 and F_19.00 corrected. Previously rows 010 to 170 did </w:t>
      </w:r>
      <w:r w:rsidRPr="00394670">
        <w:t>not appear to be chi</w:t>
      </w:r>
      <w:r w:rsidR="00024782">
        <w:t>ldren of row 180 but rather had</w:t>
      </w:r>
      <w:r w:rsidRPr="00394670">
        <w:t xml:space="preserve"> no par</w:t>
      </w:r>
      <w:r w:rsidR="00024782">
        <w:t xml:space="preserve">ent, and rows 190 to 310 appeared </w:t>
      </w:r>
      <w:r w:rsidRPr="00394670">
        <w:t xml:space="preserve">as </w:t>
      </w:r>
      <w:r w:rsidRPr="00394670">
        <w:lastRenderedPageBreak/>
        <w:t>children of row 180 ins</w:t>
      </w:r>
      <w:r w:rsidR="00C27FA7">
        <w:t xml:space="preserve">tead. Note this is the first use of a different value for </w:t>
      </w:r>
      <w:proofErr w:type="spellStart"/>
      <w:r w:rsidR="00C27FA7">
        <w:t>ParentBeforeChildren</w:t>
      </w:r>
      <w:proofErr w:type="spellEnd"/>
      <w:r w:rsidR="00C27FA7">
        <w:t xml:space="preserve"> field in </w:t>
      </w:r>
      <w:proofErr w:type="spellStart"/>
      <w:r w:rsidR="00C27FA7">
        <w:t>AxisOrdinate</w:t>
      </w:r>
      <w:proofErr w:type="spellEnd"/>
      <w:r w:rsidR="00AF39A0">
        <w:t xml:space="preserve"> table of DPM database.</w:t>
      </w:r>
    </w:p>
    <w:p w14:paraId="55B5EA6D" w14:textId="77777777" w:rsidR="00DD74C7" w:rsidRPr="00BC7A7F" w:rsidRDefault="00BC7A7F" w:rsidP="00BC7A7F">
      <w:pPr>
        <w:pStyle w:val="Titlelevel3"/>
      </w:pPr>
      <w:r w:rsidRPr="00BC7A7F">
        <w:t xml:space="preserve">Funding </w:t>
      </w:r>
      <w:r>
        <w:t>P</w:t>
      </w:r>
      <w:r w:rsidRPr="00BC7A7F">
        <w:t>lans</w:t>
      </w:r>
      <w:r w:rsidR="00AB25CF" w:rsidRPr="00BC7A7F">
        <w:tab/>
      </w:r>
    </w:p>
    <w:p w14:paraId="55B5EA6E" w14:textId="4135C94E" w:rsidR="00DD74C7" w:rsidRPr="0000662A" w:rsidRDefault="00DD74C7" w:rsidP="00183058">
      <w:pPr>
        <w:pStyle w:val="ListParagraph"/>
        <w:numPr>
          <w:ilvl w:val="0"/>
          <w:numId w:val="26"/>
        </w:numPr>
        <w:rPr>
          <w:rFonts w:ascii="Calibri" w:eastAsia="Times New Roman" w:hAnsi="Calibri" w:cs="Times New Roman"/>
          <w:color w:val="000000"/>
          <w:szCs w:val="22"/>
        </w:rPr>
      </w:pPr>
      <w:r w:rsidRPr="0000662A">
        <w:rPr>
          <w:rFonts w:ascii="Calibri" w:eastAsia="Times New Roman" w:hAnsi="Calibri" w:cs="Times New Roman"/>
          <w:color w:val="000000"/>
          <w:szCs w:val="22"/>
        </w:rPr>
        <w:t>Renumber</w:t>
      </w:r>
      <w:r w:rsidR="00AF39A0" w:rsidRPr="0000662A">
        <w:rPr>
          <w:rFonts w:ascii="Calibri" w:eastAsia="Times New Roman" w:hAnsi="Calibri" w:cs="Times New Roman"/>
          <w:color w:val="000000"/>
          <w:szCs w:val="22"/>
        </w:rPr>
        <w:t>ed</w:t>
      </w:r>
      <w:r w:rsidRPr="0000662A">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Default="00BC7A7F" w:rsidP="00BC7A7F">
      <w:pPr>
        <w:pStyle w:val="Titlelevel3"/>
        <w:rPr>
          <w:rFonts w:eastAsia="Times New Roman"/>
        </w:rPr>
      </w:pPr>
      <w:r>
        <w:rPr>
          <w:rFonts w:eastAsia="Times New Roman"/>
        </w:rPr>
        <w:t>Benchmarking (SBP)</w:t>
      </w:r>
    </w:p>
    <w:p w14:paraId="55B5EA70" w14:textId="47787E64" w:rsidR="00BC7A7F" w:rsidRPr="0000662A" w:rsidRDefault="00BC7A7F" w:rsidP="00183058">
      <w:pPr>
        <w:pStyle w:val="ListParagraph"/>
        <w:numPr>
          <w:ilvl w:val="0"/>
          <w:numId w:val="25"/>
        </w:numPr>
        <w:rPr>
          <w:rFonts w:ascii="Calibri" w:eastAsia="Times New Roman" w:hAnsi="Calibri" w:cs="Times New Roman"/>
          <w:color w:val="0070C0"/>
          <w:szCs w:val="22"/>
        </w:rPr>
      </w:pPr>
      <w:r w:rsidRPr="0000662A">
        <w:rPr>
          <w:rFonts w:ascii="Calibri" w:eastAsia="Times New Roman" w:hAnsi="Calibri" w:cs="Times New Roman"/>
          <w:color w:val="000000"/>
          <w:szCs w:val="22"/>
        </w:rPr>
        <w:t xml:space="preserve">Tables C101-103 </w:t>
      </w:r>
      <w:r w:rsidR="00AF39A0" w:rsidRPr="0000662A">
        <w:rPr>
          <w:rFonts w:ascii="Calibri" w:eastAsia="Times New Roman" w:hAnsi="Calibri" w:cs="Times New Roman"/>
          <w:color w:val="000000"/>
          <w:szCs w:val="22"/>
        </w:rPr>
        <w:t xml:space="preserve">are </w:t>
      </w:r>
      <w:r w:rsidRPr="0000662A">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Default="006E587D" w:rsidP="00BC7A7F">
      <w:pPr>
        <w:pStyle w:val="Titlelevel3"/>
      </w:pPr>
      <w:r>
        <w:t>Asset Encumbrance (AE)</w:t>
      </w:r>
    </w:p>
    <w:p w14:paraId="0146DBA8" w14:textId="2D3CB818" w:rsidR="0095121B" w:rsidRPr="0000662A" w:rsidRDefault="00C132AD"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Additional validation rules</w:t>
      </w:r>
      <w:r w:rsidR="0095121B" w:rsidRPr="0000662A">
        <w:rPr>
          <w:rFonts w:ascii="Calibri" w:eastAsia="Times New Roman" w:hAnsi="Calibri" w:cs="Times New Roman"/>
          <w:color w:val="000000"/>
          <w:szCs w:val="22"/>
        </w:rPr>
        <w:t xml:space="preserve"> (that were previously published but noted as not implemented in the XBRL taxonomy)</w:t>
      </w:r>
      <w:r w:rsidRPr="0000662A">
        <w:rPr>
          <w:rFonts w:ascii="Calibri" w:eastAsia="Times New Roman" w:hAnsi="Calibri" w:cs="Times New Roman"/>
          <w:color w:val="000000"/>
          <w:szCs w:val="22"/>
        </w:rPr>
        <w:t xml:space="preserve"> included at XBRL level. </w:t>
      </w:r>
    </w:p>
    <w:p w14:paraId="7F2E2132" w14:textId="097DACEE" w:rsidR="001A4D91" w:rsidRPr="0000662A" w:rsidRDefault="001A4D91"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Corrections to sign metadata on columns 100, 200 and 140 of F 35.00.</w:t>
      </w:r>
    </w:p>
    <w:p w14:paraId="55B5EA72" w14:textId="5B1D9724" w:rsidR="006E587D" w:rsidRPr="0000662A" w:rsidRDefault="00156A70"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w:t>
      </w:r>
      <w:r w:rsidR="006E587D" w:rsidRPr="0000662A">
        <w:rPr>
          <w:rFonts w:ascii="Calibri" w:eastAsia="Times New Roman" w:hAnsi="Calibri" w:cs="Times New Roman"/>
          <w:color w:val="000000"/>
          <w:szCs w:val="22"/>
        </w:rPr>
        <w:t xml:space="preserve"> to the currency codes noted below, impacting F </w:t>
      </w:r>
      <w:proofErr w:type="gramStart"/>
      <w:r w:rsidR="006E587D" w:rsidRPr="0000662A">
        <w:rPr>
          <w:rFonts w:ascii="Calibri" w:eastAsia="Times New Roman" w:hAnsi="Calibri" w:cs="Times New Roman"/>
          <w:color w:val="000000"/>
          <w:szCs w:val="22"/>
        </w:rPr>
        <w:t>34.00.c .</w:t>
      </w:r>
      <w:proofErr w:type="gramEnd"/>
      <w:r w:rsidR="006E587D" w:rsidRPr="0000662A">
        <w:rPr>
          <w:rFonts w:ascii="Calibri" w:eastAsia="Times New Roman" w:hAnsi="Calibri" w:cs="Times New Roman"/>
          <w:color w:val="000000"/>
          <w:szCs w:val="22"/>
        </w:rPr>
        <w:t xml:space="preserve"> </w:t>
      </w:r>
    </w:p>
    <w:p w14:paraId="55B5EA73" w14:textId="77777777" w:rsidR="00BC7A7F" w:rsidRPr="00BC7A7F" w:rsidRDefault="00BC7A7F" w:rsidP="00BC7A7F">
      <w:pPr>
        <w:pStyle w:val="Titlelevel3"/>
      </w:pPr>
      <w:r w:rsidRPr="00BC7A7F">
        <w:t>G</w:t>
      </w:r>
      <w:r>
        <w:t>e</w:t>
      </w:r>
      <w:r w:rsidRPr="00BC7A7F">
        <w:t>neral</w:t>
      </w:r>
    </w:p>
    <w:p w14:paraId="44ED4FFC" w14:textId="77777777" w:rsidR="00B2759E" w:rsidRPr="00B2759E" w:rsidRDefault="00BC7A7F" w:rsidP="00183058">
      <w:pPr>
        <w:pStyle w:val="ListParagraph"/>
        <w:numPr>
          <w:ilvl w:val="0"/>
          <w:numId w:val="29"/>
        </w:numPr>
        <w:rPr>
          <w:rFonts w:ascii="Calibri" w:eastAsia="Times New Roman" w:hAnsi="Calibri" w:cs="Times New Roman"/>
          <w:szCs w:val="22"/>
        </w:rPr>
      </w:pPr>
      <w:r>
        <w:t>Addition of new Eurostat International organisations fr</w:t>
      </w:r>
      <w:r w:rsidR="00675C65">
        <w:t xml:space="preserve">om 2015 </w:t>
      </w:r>
      <w:proofErr w:type="spellStart"/>
      <w:r w:rsidR="00675C65">
        <w:t>vandemecum</w:t>
      </w:r>
      <w:proofErr w:type="spellEnd"/>
      <w:r w:rsidR="00675C65">
        <w:t xml:space="preserve"> update</w:t>
      </w:r>
    </w:p>
    <w:p w14:paraId="39750C26" w14:textId="77777777" w:rsidR="00B2759E" w:rsidRDefault="00B2759E" w:rsidP="00B2759E"/>
    <w:p w14:paraId="55B5EA74" w14:textId="388AA1FC" w:rsidR="00BC7A7F" w:rsidRPr="00B2759E" w:rsidRDefault="00B2759E" w:rsidP="00B2759E">
      <w:pPr>
        <w:rPr>
          <w:rFonts w:ascii="Calibri" w:eastAsia="Times New Roman" w:hAnsi="Calibri" w:cs="Times New Roman"/>
          <w:szCs w:val="22"/>
        </w:rPr>
      </w:pPr>
      <w:r>
        <w:t>N</w:t>
      </w:r>
      <w:r w:rsidR="00675C65">
        <w:t xml:space="preserve">ote Eurostat’s </w:t>
      </w:r>
      <w:r w:rsidR="00BC7A7F">
        <w:t xml:space="preserve">change from </w:t>
      </w:r>
      <w:r w:rsidR="00675C65">
        <w:t xml:space="preserve">use of </w:t>
      </w:r>
      <w:r w:rsidR="00BC7A7F">
        <w:t>ESTAT</w:t>
      </w:r>
      <w:proofErr w:type="gramStart"/>
      <w:r w:rsidR="00BC7A7F">
        <w:t>:CL</w:t>
      </w:r>
      <w:proofErr w:type="gramEnd"/>
      <w:r w:rsidR="00BC7A7F">
        <w:t>_AREA_EE</w:t>
      </w:r>
      <w:r w:rsidR="00156A70">
        <w:t xml:space="preserve"> code list</w:t>
      </w:r>
      <w:r w:rsidR="00CE0618">
        <w:t xml:space="preserve"> to IMF:CL_AREA in 2015(2014</w:t>
      </w:r>
      <w:r w:rsidR="003006D2">
        <w:t>?</w:t>
      </w:r>
      <w:r w:rsidR="00BC7A7F">
        <w:t>)</w:t>
      </w:r>
      <w:r w:rsidR="003006D2">
        <w:t xml:space="preserve"> </w:t>
      </w:r>
      <w:proofErr w:type="gramStart"/>
      <w:r w:rsidR="003006D2">
        <w:t>Under BPM6</w:t>
      </w:r>
      <w:r w:rsidR="00BC7A7F">
        <w:t>.</w:t>
      </w:r>
      <w:proofErr w:type="gramEnd"/>
      <w:r w:rsidR="00BC7A7F">
        <w:t xml:space="preserve"> Several of the codes from the new country list clash with those from the old, in those cases the new countries have been given codes prefixed with “</w:t>
      </w:r>
      <w:r w:rsidR="00BC7A7F" w:rsidRPr="00B2759E">
        <w:rPr>
          <w:rFonts w:ascii="Calibri" w:eastAsia="Times New Roman" w:hAnsi="Calibri" w:cs="Times New Roman"/>
          <w:szCs w:val="22"/>
        </w:rPr>
        <w:t>IMF.CL_AREA.</w:t>
      </w:r>
      <w:r w:rsidR="00EA370A" w:rsidRPr="00B2759E">
        <w:rPr>
          <w:rFonts w:ascii="Calibri" w:eastAsia="Times New Roman" w:hAnsi="Calibri" w:cs="Times New Roman"/>
          <w:szCs w:val="22"/>
        </w:rPr>
        <w:t>”. Countries with pre-existing (CL_AREA_</w:t>
      </w:r>
      <w:r w:rsidR="00780161" w:rsidRPr="00B2759E">
        <w:rPr>
          <w:rFonts w:ascii="Calibri" w:eastAsia="Times New Roman" w:hAnsi="Calibri" w:cs="Times New Roman"/>
          <w:szCs w:val="22"/>
        </w:rPr>
        <w:t>EE) codes that are different in</w:t>
      </w:r>
      <w:r w:rsidR="00EA370A" w:rsidRPr="00B2759E">
        <w:rPr>
          <w:rFonts w:ascii="Calibri" w:eastAsia="Times New Roman" w:hAnsi="Calibri" w:cs="Times New Roman"/>
          <w:szCs w:val="22"/>
        </w:rPr>
        <w:t xml:space="preserve"> the new Eurostat list retain their previous codes.</w:t>
      </w:r>
    </w:p>
    <w:p w14:paraId="55B5EA75" w14:textId="77777777" w:rsidR="00BC7A7F" w:rsidRDefault="00BC7A7F" w:rsidP="00BC7A7F"/>
    <w:p w14:paraId="63099102" w14:textId="77777777" w:rsidR="00B2759E" w:rsidRDefault="00BC7A7F" w:rsidP="00183058">
      <w:pPr>
        <w:pStyle w:val="ListParagraph"/>
        <w:numPr>
          <w:ilvl w:val="0"/>
          <w:numId w:val="29"/>
        </w:numPr>
      </w:pPr>
      <w:r>
        <w:t>Addition of currency member (CU</w:t>
      </w:r>
      <w:proofErr w:type="gramStart"/>
      <w:r>
        <w:t>:</w:t>
      </w:r>
      <w:r w:rsidR="00780161">
        <w:t>BRN</w:t>
      </w:r>
      <w:proofErr w:type="gramEnd"/>
      <w:r>
        <w:t xml:space="preserve">) for planned new (“2009 series”) Belarus </w:t>
      </w:r>
      <w:proofErr w:type="spellStart"/>
      <w:r>
        <w:t>Ruble</w:t>
      </w:r>
      <w:proofErr w:type="spellEnd"/>
      <w:r>
        <w:t xml:space="preserve">, and “new” </w:t>
      </w:r>
      <w:r w:rsidR="00B2759E">
        <w:t>(2013) Zambian Kwacha (CU:ZMW).</w:t>
      </w:r>
    </w:p>
    <w:p w14:paraId="65FEF65F" w14:textId="77777777" w:rsidR="00B2759E" w:rsidRDefault="00B2759E" w:rsidP="00B2759E"/>
    <w:p w14:paraId="55B5EA76" w14:textId="013E89B6" w:rsidR="00BC7A7F" w:rsidRDefault="00BC7A7F" w:rsidP="00B2759E">
      <w:r>
        <w:t>Add</w:t>
      </w:r>
      <w:r w:rsidR="00B2759E">
        <w:t>ition of</w:t>
      </w:r>
      <w:r>
        <w:t xml:space="preserve"> these new currencies to CU3_1 (triggers knock on regeneration of </w:t>
      </w:r>
      <w:r w:rsidRPr="00B2759E">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t xml:space="preserve"> at XBRL level </w:t>
      </w:r>
      <w:r>
        <w:t>to add app</w:t>
      </w:r>
      <w:r w:rsidR="00DF1E50">
        <w:t xml:space="preserve">ropriated entries to the valid </w:t>
      </w:r>
      <w:proofErr w:type="spellStart"/>
      <w:r>
        <w:t>hypercubes</w:t>
      </w:r>
      <w:proofErr w:type="spellEnd"/>
      <w:r>
        <w:t>).</w:t>
      </w:r>
    </w:p>
    <w:p w14:paraId="3D75D189" w14:textId="77777777" w:rsidR="00F823CC" w:rsidRDefault="00F823CC" w:rsidP="00BC7A7F"/>
    <w:p w14:paraId="174D3EC7" w14:textId="77777777" w:rsidR="00F823CC" w:rsidRDefault="00F823CC" w:rsidP="00F823CC">
      <w:pPr>
        <w:pStyle w:val="Titlelevel2"/>
      </w:pPr>
      <w:r w:rsidRPr="002C21E9">
        <w:t>DPM</w:t>
      </w:r>
      <w:r>
        <w:t xml:space="preserve"> DB</w:t>
      </w:r>
      <w:r w:rsidRPr="002C21E9">
        <w:t xml:space="preserve"> Changes</w:t>
      </w:r>
    </w:p>
    <w:p w14:paraId="096E0D45" w14:textId="77777777" w:rsidR="00F823CC" w:rsidRDefault="00F823CC" w:rsidP="00183058">
      <w:pPr>
        <w:pStyle w:val="ListParagraph"/>
        <w:numPr>
          <w:ilvl w:val="0"/>
          <w:numId w:val="21"/>
        </w:numPr>
      </w:pPr>
      <w:r>
        <w:t xml:space="preserve">Use of new </w:t>
      </w:r>
      <w:proofErr w:type="spellStart"/>
      <w:r>
        <w:t>DatapointVersionTransition</w:t>
      </w:r>
      <w:proofErr w:type="spellEnd"/>
      <w:r>
        <w:t xml:space="preserve"> and </w:t>
      </w:r>
      <w:proofErr w:type="spellStart"/>
      <w:r>
        <w:t>DatapointVersionTransitionLink</w:t>
      </w:r>
      <w:proofErr w:type="spellEnd"/>
      <w:r>
        <w:t xml:space="preserve"> tables:</w:t>
      </w:r>
    </w:p>
    <w:p w14:paraId="5DFFD3A6" w14:textId="77777777" w:rsidR="00F823CC" w:rsidRDefault="00F823CC" w:rsidP="00F823CC">
      <w:pPr>
        <w:pStyle w:val="ListParagraph"/>
        <w:ind w:left="1080"/>
      </w:pPr>
      <w:r>
        <w:rPr>
          <w:noProof/>
        </w:rPr>
        <w:lastRenderedPageBreak/>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Default="00F823CC"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w:t>
      </w:r>
    </w:p>
    <w:p w14:paraId="2FDAA281" w14:textId="77777777" w:rsidR="00F823CC" w:rsidRDefault="00F823CC" w:rsidP="00183058">
      <w:pPr>
        <w:pStyle w:val="ListParagraph"/>
        <w:numPr>
          <w:ilvl w:val="1"/>
          <w:numId w:val="21"/>
        </w:numPr>
      </w:pPr>
      <w:r>
        <w:t>Note that at present the data in these tables is not an exhaustive documentation of historic changes. (I.e. it does not document all modelling changes that have previously happened).</w:t>
      </w:r>
    </w:p>
    <w:p w14:paraId="719900E8" w14:textId="77777777" w:rsidR="00F823CC" w:rsidRDefault="00F823CC" w:rsidP="00183058">
      <w:pPr>
        <w:pStyle w:val="ListParagraph"/>
        <w:numPr>
          <w:ilvl w:val="1"/>
          <w:numId w:val="21"/>
        </w:numPr>
      </w:pPr>
      <w:r>
        <w:t xml:space="preserve">This version currently documents </w:t>
      </w:r>
      <w:r w:rsidRPr="0000662A">
        <w:t>1841</w:t>
      </w:r>
      <w:r>
        <w:t xml:space="preserve"> </w:t>
      </w:r>
      <w:proofErr w:type="spellStart"/>
      <w:r>
        <w:t>Datapoints</w:t>
      </w:r>
      <w:proofErr w:type="spellEnd"/>
      <w:r>
        <w:t xml:space="preserve"> that stopped being reported at some point in time due to changes in tables, and one “merge” of two time series between version 2.4 and 2.5</w:t>
      </w:r>
      <w:r>
        <w:rPr>
          <w:rStyle w:val="FootnoteReference"/>
        </w:rPr>
        <w:footnoteReference w:id="1"/>
      </w:r>
      <w:r>
        <w:t>.</w:t>
      </w:r>
    </w:p>
    <w:p w14:paraId="51A13AD4" w14:textId="77777777" w:rsidR="00187BD9" w:rsidRDefault="00187BD9" w:rsidP="00AD231B"/>
    <w:p w14:paraId="60462DA3" w14:textId="77777777" w:rsidR="0000662A" w:rsidRDefault="0000662A" w:rsidP="0000662A">
      <w:pPr>
        <w:pStyle w:val="Titlelevel2"/>
      </w:pPr>
      <w:r>
        <w:t>XBRL</w:t>
      </w:r>
      <w:r w:rsidRPr="002C21E9">
        <w:t xml:space="preserve"> Changes</w:t>
      </w:r>
    </w:p>
    <w:p w14:paraId="6B77C2A7" w14:textId="77777777" w:rsidR="00F823CC" w:rsidRDefault="00F823CC" w:rsidP="00183058">
      <w:pPr>
        <w:pStyle w:val="ListParagraph"/>
        <w:numPr>
          <w:ilvl w:val="0"/>
          <w:numId w:val="21"/>
        </w:numPr>
      </w:pPr>
      <w:r>
        <w:t>All frameworks have new reporting taxonomy versions.</w:t>
      </w:r>
    </w:p>
    <w:p w14:paraId="6C73631F" w14:textId="77777777" w:rsidR="00F823CC" w:rsidRDefault="00F823CC" w:rsidP="00183058">
      <w:pPr>
        <w:pStyle w:val="ListParagraph"/>
        <w:numPr>
          <w:ilvl w:val="1"/>
          <w:numId w:val="21"/>
        </w:numPr>
      </w:pPr>
      <w:r>
        <w:t>N.B. FINREP and FINREP_IND are still identical in terms of tables.</w:t>
      </w:r>
    </w:p>
    <w:p w14:paraId="21AE9007" w14:textId="716F269C" w:rsidR="00F823CC" w:rsidRDefault="00F823CC" w:rsidP="00183058">
      <w:pPr>
        <w:pStyle w:val="ListParagraph"/>
        <w:numPr>
          <w:ilvl w:val="0"/>
          <w:numId w:val="21"/>
        </w:numPr>
      </w:pPr>
      <w:r>
        <w:t>Implement</w:t>
      </w:r>
      <w:r w:rsidR="00B2759E">
        <w:t>ation</w:t>
      </w:r>
      <w:r>
        <w:t xml:space="preserve"> in XBRL formulae </w:t>
      </w:r>
      <w:r w:rsidR="00B2759E">
        <w:t xml:space="preserve">of </w:t>
      </w:r>
      <w:r>
        <w:t>the additional Asset Encumbrance validation rules that were previously added to the validation rule spreadsheet in v2.4</w:t>
      </w:r>
    </w:p>
    <w:p w14:paraId="3E113DD3" w14:textId="111E4418" w:rsidR="00F823CC" w:rsidRDefault="00F823CC" w:rsidP="00183058">
      <w:pPr>
        <w:pStyle w:val="ListParagraph"/>
        <w:numPr>
          <w:ilvl w:val="0"/>
          <w:numId w:val="21"/>
        </w:numPr>
      </w:pPr>
      <w:r>
        <w:t>Change to allowable currencies on tables with currency z-axis</w:t>
      </w:r>
    </w:p>
    <w:p w14:paraId="2E592F6F" w14:textId="7F1B59D4" w:rsidR="00BC1FD0" w:rsidRDefault="00BC1FD0" w:rsidP="006C65AD">
      <w:pPr>
        <w:pStyle w:val="Titlelevel3"/>
      </w:pPr>
      <w:r>
        <w:t>XBRL Taxonomy structure</w:t>
      </w:r>
    </w:p>
    <w:p w14:paraId="02144CEB" w14:textId="77777777" w:rsidR="006C65AD" w:rsidRDefault="00A93E8D" w:rsidP="00AD231B">
      <w:r>
        <w:t>XBRL taxonomy constructed</w:t>
      </w:r>
      <w:r w:rsidR="002230AE">
        <w:t xml:space="preserve"> by</w:t>
      </w:r>
      <w:r w:rsidR="00823E7E">
        <w:t xml:space="preserve"> “delta” approach described under v2.4.1.0 below. Each of the new reporting taxonomy versions references unchanged elements of its</w:t>
      </w:r>
      <w:r w:rsidR="00AF1DDD">
        <w:t xml:space="preserve"> </w:t>
      </w:r>
      <w:r w:rsidR="00104E8B">
        <w:t xml:space="preserve">immediate </w:t>
      </w:r>
      <w:r w:rsidR="000753EF">
        <w:t>predecessor (generally v2.4.0.1)</w:t>
      </w:r>
      <w:r w:rsidR="00AF1DDD">
        <w:t xml:space="preserve"> </w:t>
      </w:r>
      <w:r w:rsidR="006C65AD">
        <w:t>and hence is dependent upon it.</w:t>
      </w:r>
    </w:p>
    <w:p w14:paraId="6B2BFB31" w14:textId="77777777" w:rsidR="006C65AD" w:rsidRDefault="006C65AD" w:rsidP="00AD231B"/>
    <w:p w14:paraId="55B5EA7D" w14:textId="6B1DA812" w:rsidR="00394670" w:rsidRDefault="00AF1DDD" w:rsidP="00AD231B">
      <w:r>
        <w:t xml:space="preserve">Note that the v2.5.0.0 </w:t>
      </w:r>
      <w:r w:rsidR="000753EF">
        <w:t xml:space="preserve">COREP entry points </w:t>
      </w:r>
      <w:r w:rsidR="00617050">
        <w:t>reference</w:t>
      </w:r>
      <w:r>
        <w:t xml:space="preserve"> both v2.4.1.0 </w:t>
      </w:r>
      <w:r w:rsidR="00FE66B8">
        <w:t>COREP</w:t>
      </w:r>
      <w:r w:rsidR="00F31A03">
        <w:t xml:space="preserve"> files (</w:t>
      </w:r>
      <w:r w:rsidR="00AB6DC8">
        <w:t>for items changed in 2.4.1.0 but not changed in 2.5.0.0) and v2.4.0</w:t>
      </w:r>
      <w:r w:rsidR="00B87A85">
        <w:t>.1 COREP (for items unchanged by 2.4.1.0 and 2.5.0.0)</w:t>
      </w:r>
      <w:r w:rsidR="00774202">
        <w:t xml:space="preserve">. As such v2.5.0.0 COREP entry points </w:t>
      </w:r>
      <w:r w:rsidR="001805E5">
        <w:t>will require</w:t>
      </w:r>
      <w:r w:rsidR="00C320E8">
        <w:t xml:space="preserve"> the</w:t>
      </w:r>
      <w:r w:rsidR="00CD4B4B">
        <w:t xml:space="preserve"> XBRL files from v2.5.0.0, v2.4.1.0 and v2.4.0.1 COREP</w:t>
      </w:r>
      <w:r w:rsidR="00C320E8">
        <w:t xml:space="preserve"> as well as the v2.5.0.0 dictionary files in order to be processed.</w:t>
      </w:r>
    </w:p>
    <w:p w14:paraId="55B5EAD9" w14:textId="77777777" w:rsidR="00F07268" w:rsidRDefault="00F07268" w:rsidP="00F07268"/>
    <w:p w14:paraId="55B5EADA" w14:textId="54D271CE" w:rsidR="00923CC5" w:rsidRDefault="00923CC5" w:rsidP="00923CC5">
      <w:pPr>
        <w:pStyle w:val="Titlelevel2"/>
      </w:pPr>
      <w:r>
        <w:t>Note</w:t>
      </w:r>
    </w:p>
    <w:p w14:paraId="55B5EADC" w14:textId="4716B715" w:rsidR="00F14EAF" w:rsidRDefault="0084357B">
      <w:r>
        <w:t>The appropriate c</w:t>
      </w:r>
      <w:r w:rsidR="00923CC5">
        <w:t xml:space="preserve">ode for “Normative Reference” </w:t>
      </w:r>
      <w:r w:rsidR="00F07268">
        <w:t xml:space="preserve">for 2.5 </w:t>
      </w:r>
      <w:r w:rsidR="008350C5">
        <w:t>was</w:t>
      </w:r>
      <w:r w:rsidR="00923CC5">
        <w:t xml:space="preserve"> not known </w:t>
      </w:r>
      <w:r w:rsidR="008350C5">
        <w:t xml:space="preserve">at the time of production of the taxonomy, as a result more generic values than usual </w:t>
      </w:r>
      <w:r>
        <w:t>(e.g. “</w:t>
      </w:r>
      <w:proofErr w:type="spellStart"/>
      <w:r>
        <w:t>its</w:t>
      </w:r>
      <w:proofErr w:type="spellEnd"/>
      <w:r w:rsidR="00F07268">
        <w:t>-2016-</w:t>
      </w:r>
      <w:r>
        <w:t>repxx</w:t>
      </w:r>
      <w:r w:rsidR="00F07268">
        <w:t>”</w:t>
      </w:r>
      <w:r w:rsidR="00F823CC">
        <w:t>)</w:t>
      </w:r>
      <w:r>
        <w:t xml:space="preserve"> </w:t>
      </w:r>
      <w:r w:rsidR="00F07268">
        <w:t>ha</w:t>
      </w:r>
      <w:r>
        <w:t>ve</w:t>
      </w:r>
      <w:r w:rsidR="00F07268">
        <w:t xml:space="preserve"> been </w:t>
      </w:r>
      <w:r w:rsidR="00923CC5">
        <w:t>used.</w:t>
      </w:r>
      <w:r w:rsidR="008350C5">
        <w:t xml:space="preserve"> This is a trivial XBRL level detail however, and unlikely to be of functional concern for any participants.</w:t>
      </w:r>
      <w:r w:rsidR="00923CC5">
        <w:t xml:space="preserve">  </w:t>
      </w:r>
      <w:r w:rsidR="00F14EAF">
        <w:br w:type="page"/>
      </w:r>
    </w:p>
    <w:p w14:paraId="01E2B3EA" w14:textId="45D1A639" w:rsidR="001444B4" w:rsidRDefault="001444B4" w:rsidP="001444B4">
      <w:pPr>
        <w:pStyle w:val="Titlelevel1"/>
        <w:rPr>
          <w:i/>
        </w:rPr>
      </w:pPr>
      <w:r>
        <w:rPr>
          <w:i/>
        </w:rPr>
        <w:lastRenderedPageBreak/>
        <w:t>v2.4</w:t>
      </w:r>
      <w:r w:rsidRPr="00E47786">
        <w:rPr>
          <w:i/>
        </w:rPr>
        <w:t>.</w:t>
      </w:r>
      <w:r>
        <w:rPr>
          <w:i/>
        </w:rPr>
        <w:t xml:space="preserve">1 </w:t>
      </w:r>
      <w:r w:rsidRPr="00E47786">
        <w:rPr>
          <w:i/>
        </w:rPr>
        <w:t>(“201</w:t>
      </w:r>
      <w:r>
        <w:rPr>
          <w:i/>
        </w:rPr>
        <w:t>5</w:t>
      </w:r>
      <w:r w:rsidRPr="00E47786">
        <w:rPr>
          <w:i/>
        </w:rPr>
        <w:t>-</w:t>
      </w:r>
      <w:r>
        <w:rPr>
          <w:i/>
        </w:rPr>
        <w:t>B-1”</w:t>
      </w:r>
      <w:proofErr w:type="gramStart"/>
      <w:r w:rsidRPr="00E47786">
        <w:rPr>
          <w:i/>
        </w:rPr>
        <w:t>)</w:t>
      </w:r>
      <w:r>
        <w:rPr>
          <w:i/>
        </w:rPr>
        <w:t xml:space="preserve"> </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w:t>
      </w:r>
      <w:proofErr w:type="gramEnd"/>
      <w:r>
        <w:rPr>
          <w:rFonts w:ascii="Arial" w:hAnsi="Arial" w:cs="Arial"/>
          <w:i/>
          <w:color w:val="696969"/>
          <w:sz w:val="18"/>
          <w:szCs w:val="18"/>
          <w:shd w:val="clear" w:color="auto" w:fill="FFFFFF"/>
        </w:rPr>
        <w:t>Incorporating v2.4.0.1, 02/02</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6</w:t>
      </w:r>
      <w:r w:rsidRPr="00E47786">
        <w:rPr>
          <w:rFonts w:ascii="Arial" w:hAnsi="Arial" w:cs="Arial"/>
          <w:i/>
          <w:color w:val="696969"/>
          <w:sz w:val="18"/>
          <w:szCs w:val="18"/>
          <w:shd w:val="clear" w:color="auto" w:fill="FFFFFF"/>
        </w:rPr>
        <w:t>)</w:t>
      </w:r>
    </w:p>
    <w:p w14:paraId="3889DD1C" w14:textId="77777777" w:rsidR="008350C5" w:rsidRDefault="008350C5" w:rsidP="008350C5">
      <w:pPr>
        <w:pStyle w:val="Titlelevel2"/>
      </w:pPr>
      <w:r>
        <w:t>Summary and Impact</w:t>
      </w:r>
    </w:p>
    <w:p w14:paraId="1BF44068" w14:textId="77777777" w:rsidR="008350C5" w:rsidRDefault="008350C5" w:rsidP="008350C5">
      <w:r>
        <w:t>This release corrects errors identified in the 2.4.0 release of the EBA taxonomy.</w:t>
      </w:r>
    </w:p>
    <w:p w14:paraId="0457A955" w14:textId="77777777" w:rsidR="008350C5" w:rsidRDefault="008350C5" w:rsidP="008350C5"/>
    <w:p w14:paraId="3207C34C" w14:textId="44D751EF" w:rsidR="008350C5" w:rsidRDefault="008350C5" w:rsidP="008350C5">
      <w:r>
        <w:t xml:space="preserve">The most significant of these would have led to an inability for </w:t>
      </w:r>
      <w:proofErr w:type="gramStart"/>
      <w:r>
        <w:t>filers  to</w:t>
      </w:r>
      <w:proofErr w:type="gramEnd"/>
      <w:r>
        <w:t xml:space="preserve"> report the “Leverage ratio calculation” summary table (C 47.00) in </w:t>
      </w:r>
      <w:r w:rsidR="009679C4">
        <w:t>individual</w:t>
      </w:r>
      <w:r>
        <w:t xml:space="preserve"> COREP reports. Correcting this issue requires a new set of “entry points” for COREP. </w:t>
      </w:r>
    </w:p>
    <w:p w14:paraId="6EDC14E5" w14:textId="77777777" w:rsidR="008350C5" w:rsidRDefault="008350C5" w:rsidP="008350C5"/>
    <w:p w14:paraId="0C1A90AD" w14:textId="7E0CB217" w:rsidR="008350C5" w:rsidRDefault="008350C5" w:rsidP="008350C5">
      <w:pPr>
        <w:ind w:left="720"/>
        <w:rPr>
          <w:i/>
        </w:rPr>
      </w:pPr>
      <w:r>
        <w:rPr>
          <w:i/>
        </w:rPr>
        <w:t xml:space="preserve">In practice this means that XBRL instance files that were produced targeting the 2.4.0 version of COREP modules will need the value of their </w:t>
      </w:r>
      <w:proofErr w:type="spellStart"/>
      <w:r>
        <w:rPr>
          <w:i/>
        </w:rPr>
        <w:t>SchemaRef</w:t>
      </w:r>
      <w:proofErr w:type="spellEnd"/>
      <w:r>
        <w:rPr>
          <w:i/>
        </w:rPr>
        <w:t xml:space="preserve"> element changed. For all modules other than COREP_</w:t>
      </w:r>
      <w:r w:rsidR="009679C4">
        <w:rPr>
          <w:i/>
        </w:rPr>
        <w:t>IND</w:t>
      </w:r>
      <w:r>
        <w:rPr>
          <w:i/>
        </w:rPr>
        <w:t xml:space="preserve"> this is the only required change. COREP_</w:t>
      </w:r>
      <w:r w:rsidR="009679C4">
        <w:rPr>
          <w:i/>
        </w:rPr>
        <w:t>IND</w:t>
      </w:r>
      <w:r>
        <w:rPr>
          <w:i/>
        </w:rPr>
        <w:t xml:space="preserve"> instances will also need to </w:t>
      </w:r>
      <w:r w:rsidR="009679C4">
        <w:rPr>
          <w:i/>
        </w:rPr>
        <w:t>include data</w:t>
      </w:r>
      <w:r>
        <w:rPr>
          <w:i/>
        </w:rPr>
        <w:t xml:space="preserve"> for C47.00</w:t>
      </w:r>
      <w:r w:rsidR="009679C4">
        <w:rPr>
          <w:i/>
        </w:rPr>
        <w:t xml:space="preserve"> where the reporter is required to submit this template</w:t>
      </w:r>
      <w:r>
        <w:rPr>
          <w:i/>
        </w:rPr>
        <w:t xml:space="preserve"> (as most reporters likely anyway expected to have been the case).</w:t>
      </w:r>
    </w:p>
    <w:p w14:paraId="722CFD82" w14:textId="77777777" w:rsidR="008350C5" w:rsidRDefault="008350C5" w:rsidP="008350C5">
      <w:pPr>
        <w:rPr>
          <w:i/>
        </w:rPr>
      </w:pPr>
    </w:p>
    <w:p w14:paraId="43065B10" w14:textId="77777777" w:rsidR="008350C5" w:rsidRDefault="008350C5" w:rsidP="008350C5">
      <w:r>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Default="008350C5" w:rsidP="008350C5"/>
    <w:p w14:paraId="69AEE8E8" w14:textId="77777777" w:rsidR="008350C5" w:rsidRDefault="008350C5" w:rsidP="008350C5">
      <w:pPr>
        <w:ind w:left="720"/>
        <w:rPr>
          <w:i/>
        </w:rPr>
      </w:pPr>
      <w:r>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Default="008350C5" w:rsidP="008350C5">
      <w:pPr>
        <w:rPr>
          <w:i/>
        </w:rPr>
      </w:pPr>
      <w:r>
        <w:rPr>
          <w:i/>
        </w:rPr>
        <w:t xml:space="preserve"> </w:t>
      </w:r>
    </w:p>
    <w:p w14:paraId="432B6561" w14:textId="77777777" w:rsidR="008350C5" w:rsidRDefault="008350C5" w:rsidP="008350C5">
      <w:r>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Default="008350C5" w:rsidP="008350C5"/>
    <w:p w14:paraId="251063AF" w14:textId="77777777" w:rsidR="008350C5" w:rsidRDefault="008350C5" w:rsidP="008350C5">
      <w:pPr>
        <w:ind w:left="720"/>
      </w:pPr>
      <w:r>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Default="008350C5" w:rsidP="008350C5"/>
    <w:p w14:paraId="50AE88E0" w14:textId="77777777" w:rsidR="008350C5" w:rsidRDefault="008350C5" w:rsidP="008350C5">
      <w:pPr>
        <w:ind w:left="720"/>
        <w:rPr>
          <w:b/>
          <w:i/>
        </w:rPr>
      </w:pPr>
      <w:r>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Default="008350C5" w:rsidP="008350C5">
      <w:pPr>
        <w:ind w:left="720"/>
        <w:rPr>
          <w:i/>
        </w:rPr>
      </w:pPr>
    </w:p>
    <w:p w14:paraId="1C4D3D25" w14:textId="77777777" w:rsidR="008350C5" w:rsidRDefault="008350C5" w:rsidP="008350C5">
      <w:pPr>
        <w:ind w:left="720"/>
        <w:rPr>
          <w:i/>
        </w:rPr>
      </w:pPr>
    </w:p>
    <w:p w14:paraId="5DBBF0A5" w14:textId="77777777" w:rsidR="00D62FD8" w:rsidRDefault="00D62FD8" w:rsidP="008350C5">
      <w:pPr>
        <w:pStyle w:val="Titlelevel2"/>
        <w:keepNext/>
      </w:pPr>
      <w:r w:rsidRPr="00AF5AA3">
        <w:lastRenderedPageBreak/>
        <w:t>Purpose</w:t>
      </w:r>
    </w:p>
    <w:p w14:paraId="48F4DE13" w14:textId="77777777" w:rsidR="001444B4" w:rsidRDefault="001444B4" w:rsidP="001444B4">
      <w:r>
        <w:t xml:space="preserve">Corrective release for v2.4: </w:t>
      </w:r>
    </w:p>
    <w:p w14:paraId="22E159DB" w14:textId="77777777" w:rsidR="00D62FD8" w:rsidRDefault="001444B4" w:rsidP="00183058">
      <w:pPr>
        <w:pStyle w:val="ListParagraph"/>
        <w:numPr>
          <w:ilvl w:val="0"/>
          <w:numId w:val="22"/>
        </w:numPr>
      </w:pPr>
      <w:r>
        <w:t>New COREP taxonomy c</w:t>
      </w:r>
      <w:r w:rsidR="00D62FD8">
        <w:t>orrecting version from 2.4.0.0</w:t>
      </w:r>
    </w:p>
    <w:p w14:paraId="6335367F" w14:textId="424B0C8F" w:rsidR="001444B4" w:rsidRDefault="001444B4" w:rsidP="00183058">
      <w:pPr>
        <w:pStyle w:val="ListParagraph"/>
        <w:numPr>
          <w:ilvl w:val="1"/>
          <w:numId w:val="22"/>
        </w:numPr>
      </w:pPr>
      <w:r w:rsidRPr="00394670">
        <w:t xml:space="preserve">Addition of missing C 47.00 to COREP </w:t>
      </w:r>
      <w:r w:rsidR="009679C4">
        <w:t>IND</w:t>
      </w:r>
      <w:r w:rsidRPr="00394670">
        <w:t xml:space="preserve"> in COREP 2.2.1 </w:t>
      </w:r>
      <w:r w:rsidR="00D62FD8">
        <w:t>(“</w:t>
      </w:r>
      <w:r w:rsidR="00D62FD8" w:rsidRPr="00D62FD8">
        <w:t>COREP 2015-B-1</w:t>
      </w:r>
      <w:r w:rsidR="00D62FD8">
        <w:t xml:space="preserve">”) </w:t>
      </w:r>
      <w:r w:rsidRPr="00394670">
        <w:t>fix version.</w:t>
      </w:r>
    </w:p>
    <w:p w14:paraId="355BD13D" w14:textId="46FCEC98" w:rsidR="001444B4" w:rsidRDefault="001444B4" w:rsidP="00183058">
      <w:pPr>
        <w:pStyle w:val="ListParagraph"/>
        <w:numPr>
          <w:ilvl w:val="0"/>
          <w:numId w:val="22"/>
        </w:numPr>
      </w:pPr>
      <w:r>
        <w:t>Correction to XBRL implementation</w:t>
      </w:r>
      <w:r w:rsidR="00F00500">
        <w:t xml:space="preserve"> of validation rules in COREP, FINREP, FINREP-IND and SBP</w:t>
      </w:r>
    </w:p>
    <w:p w14:paraId="700D6C91" w14:textId="42F2C0AB" w:rsidR="00F00500" w:rsidRDefault="001444B4" w:rsidP="00183058">
      <w:pPr>
        <w:pStyle w:val="ListParagraph"/>
        <w:numPr>
          <w:ilvl w:val="0"/>
          <w:numId w:val="22"/>
        </w:numPr>
      </w:pPr>
      <w:r>
        <w:t xml:space="preserve">Inclusion of corrected </w:t>
      </w:r>
      <w:proofErr w:type="spellStart"/>
      <w:r>
        <w:t>Eurofiling</w:t>
      </w:r>
      <w:proofErr w:type="spellEnd"/>
      <w:r>
        <w:t xml:space="preserve"> “interval-arithmetics.xml” file</w:t>
      </w:r>
    </w:p>
    <w:p w14:paraId="6291C5D1" w14:textId="77777777" w:rsidR="001444B4" w:rsidRDefault="001444B4" w:rsidP="001444B4">
      <w:pPr>
        <w:pStyle w:val="ListParagraph"/>
      </w:pPr>
    </w:p>
    <w:p w14:paraId="2C9B1FE9" w14:textId="4705A8E2" w:rsidR="001444B4" w:rsidRDefault="001444B4" w:rsidP="001444B4">
      <w:r>
        <w:t xml:space="preserve">Note that v2.4.1.0 replaces v2.4.0.0 (for COREP) and </w:t>
      </w:r>
      <w:r w:rsidRPr="001C6AD9">
        <w:rPr>
          <w:b/>
        </w:rPr>
        <w:t>v2.4.1.0 must be used for reporting of COREP entry points to the EBA under any “2.4” reporting requested</w:t>
      </w:r>
      <w:r>
        <w:t xml:space="preserve">. Similarly </w:t>
      </w:r>
      <w:r w:rsidR="00F00500">
        <w:rPr>
          <w:b/>
        </w:rPr>
        <w:t xml:space="preserve">v2.4.0.1 </w:t>
      </w:r>
      <w:r w:rsidRPr="001C6AD9">
        <w:rPr>
          <w:b/>
        </w:rPr>
        <w:t>should be used for entry points other than COREP</w:t>
      </w:r>
      <w:r>
        <w:t xml:space="preserve"> (though since v2.4.0.1 and v2.4.0.0 are “instance compatible” – use the same </w:t>
      </w:r>
      <w:proofErr w:type="spellStart"/>
      <w:r>
        <w:t>schemaRef</w:t>
      </w:r>
      <w:proofErr w:type="spellEnd"/>
      <w:r>
        <w:t xml:space="preserve"> URI and produce/define identical instance files - this is relevant only in terms of validation results).</w:t>
      </w:r>
    </w:p>
    <w:p w14:paraId="6879DB57" w14:textId="77777777" w:rsidR="00D62FD8" w:rsidRPr="002C21E9" w:rsidRDefault="00D62FD8" w:rsidP="00D62FD8">
      <w:pPr>
        <w:pStyle w:val="Titlelevel2"/>
      </w:pPr>
      <w:r w:rsidRPr="002C21E9">
        <w:t>DPM Changes</w:t>
      </w:r>
    </w:p>
    <w:p w14:paraId="79450911" w14:textId="5E4D07CF" w:rsidR="00D62FD8" w:rsidRDefault="00D62FD8" w:rsidP="001444B4">
      <w:r>
        <w:t>There are no substantive reporting requirement changes; all changes are corrective (i.e. to give effect to the reporting requirements as intended for v2.4).</w:t>
      </w:r>
    </w:p>
    <w:p w14:paraId="2702B299" w14:textId="06C9CA9D" w:rsidR="001444B4" w:rsidRDefault="00D62FD8" w:rsidP="001444B4">
      <w:pPr>
        <w:pStyle w:val="Titlelevel3"/>
      </w:pPr>
      <w:r>
        <w:t xml:space="preserve">DPM </w:t>
      </w:r>
      <w:r w:rsidR="001444B4">
        <w:t>DB corrections:</w:t>
      </w:r>
    </w:p>
    <w:p w14:paraId="547BC5C4" w14:textId="50DD7290" w:rsidR="00D62FD8" w:rsidRDefault="00D62FD8" w:rsidP="00183058">
      <w:pPr>
        <w:pStyle w:val="ListParagraph"/>
        <w:numPr>
          <w:ilvl w:val="0"/>
          <w:numId w:val="23"/>
        </w:numPr>
      </w:pPr>
      <w:r>
        <w:t>Additional taxonomy entry (“</w:t>
      </w:r>
      <w:r w:rsidRPr="00D62FD8">
        <w:t>COREP 2015-B-1</w:t>
      </w:r>
      <w:r>
        <w:t xml:space="preserve">”) and related entries </w:t>
      </w:r>
    </w:p>
    <w:p w14:paraId="6D88F2D0" w14:textId="0D884769" w:rsidR="00D62FD8" w:rsidRDefault="00D62FD8" w:rsidP="00183058">
      <w:pPr>
        <w:pStyle w:val="ListParagraph"/>
        <w:numPr>
          <w:ilvl w:val="1"/>
          <w:numId w:val="23"/>
        </w:numPr>
      </w:pPr>
      <w:r>
        <w:t>Only difference from “COREP 2015-B” is correct</w:t>
      </w:r>
      <w:r w:rsidR="009679C4">
        <w:t>ly linking C 47 table to COREP IND</w:t>
      </w:r>
      <w:bookmarkStart w:id="2" w:name="_GoBack"/>
      <w:bookmarkEnd w:id="2"/>
      <w:r>
        <w:t xml:space="preserve"> module.</w:t>
      </w:r>
    </w:p>
    <w:p w14:paraId="2DD8AB56" w14:textId="6DFE5235" w:rsidR="001444B4" w:rsidRDefault="00F00500" w:rsidP="00183058">
      <w:pPr>
        <w:pStyle w:val="ListParagraph"/>
        <w:numPr>
          <w:ilvl w:val="0"/>
          <w:numId w:val="23"/>
        </w:numPr>
      </w:pPr>
      <w:r>
        <w:t>A</w:t>
      </w:r>
      <w:r w:rsidR="001444B4" w:rsidRPr="00394670">
        <w:t xml:space="preserve">ddition of </w:t>
      </w:r>
      <w:proofErr w:type="spellStart"/>
      <w:r w:rsidR="001444B4" w:rsidRPr="00394670">
        <w:t>ToDate</w:t>
      </w:r>
      <w:proofErr w:type="spellEnd"/>
      <w:r w:rsidR="001444B4" w:rsidRPr="00394670">
        <w:t xml:space="preserve"> to </w:t>
      </w:r>
      <w:proofErr w:type="spellStart"/>
      <w:r w:rsidR="001444B4" w:rsidRPr="00394670">
        <w:t>TableVersions</w:t>
      </w:r>
      <w:proofErr w:type="spellEnd"/>
      <w:r w:rsidR="001444B4" w:rsidRPr="00394670">
        <w:t xml:space="preserve"> no longer in use</w:t>
      </w:r>
      <w:r w:rsidR="001444B4">
        <w:t>:</w:t>
      </w:r>
    </w:p>
    <w:p w14:paraId="6C31DC9A"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605,605,732,739 (C 08.01.c, C 08.01.d, C 06.02, C 06.01) with missing </w:t>
      </w:r>
      <w:proofErr w:type="spellStart"/>
      <w:r w:rsidRPr="00394670">
        <w:rPr>
          <w:sz w:val="16"/>
          <w:szCs w:val="16"/>
        </w:rPr>
        <w:t>ToDate</w:t>
      </w:r>
      <w:proofErr w:type="spellEnd"/>
      <w:r w:rsidRPr="00394670">
        <w:rPr>
          <w:sz w:val="16"/>
          <w:szCs w:val="16"/>
        </w:rPr>
        <w:t xml:space="preserve"> (29/06/201)</w:t>
      </w:r>
    </w:p>
    <w:p w14:paraId="4FE90265" w14:textId="77777777" w:rsidR="001444B4" w:rsidRPr="00394670" w:rsidRDefault="001444B4" w:rsidP="001444B4">
      <w:pPr>
        <w:ind w:left="720"/>
        <w:rPr>
          <w:sz w:val="16"/>
          <w:szCs w:val="16"/>
        </w:rPr>
      </w:pPr>
    </w:p>
    <w:p w14:paraId="390DBFAC" w14:textId="77777777" w:rsidR="001444B4" w:rsidRPr="00394670" w:rsidRDefault="001444B4" w:rsidP="001444B4">
      <w:pPr>
        <w:ind w:left="720"/>
        <w:rPr>
          <w:sz w:val="16"/>
          <w:szCs w:val="16"/>
        </w:rPr>
      </w:pPr>
      <w:r w:rsidRPr="00394670">
        <w:rPr>
          <w:sz w:val="16"/>
          <w:szCs w:val="16"/>
        </w:rPr>
        <w:t xml:space="preserve">UPDATE concept INNER JOIN </w:t>
      </w:r>
      <w:proofErr w:type="spellStart"/>
      <w:r w:rsidRPr="00394670">
        <w:rPr>
          <w:sz w:val="16"/>
          <w:szCs w:val="16"/>
        </w:rPr>
        <w:t>TableVersion</w:t>
      </w:r>
      <w:proofErr w:type="spellEnd"/>
      <w:r w:rsidRPr="00394670">
        <w:rPr>
          <w:sz w:val="16"/>
          <w:szCs w:val="16"/>
        </w:rPr>
        <w:t xml:space="preserve"> ON </w:t>
      </w:r>
      <w:proofErr w:type="spellStart"/>
      <w:r w:rsidRPr="00394670">
        <w:rPr>
          <w:sz w:val="16"/>
          <w:szCs w:val="16"/>
        </w:rPr>
        <w:t>Concept.ConceptID</w:t>
      </w:r>
      <w:proofErr w:type="spellEnd"/>
      <w:r w:rsidRPr="00394670">
        <w:rPr>
          <w:sz w:val="16"/>
          <w:szCs w:val="16"/>
        </w:rPr>
        <w:t xml:space="preserve"> = </w:t>
      </w:r>
      <w:proofErr w:type="spellStart"/>
      <w:r w:rsidRPr="00394670">
        <w:rPr>
          <w:sz w:val="16"/>
          <w:szCs w:val="16"/>
        </w:rPr>
        <w:t>TableVersion.ConceptID</w:t>
      </w:r>
      <w:proofErr w:type="spellEnd"/>
      <w:r w:rsidRPr="00394670">
        <w:rPr>
          <w:sz w:val="16"/>
          <w:szCs w:val="16"/>
        </w:rPr>
        <w:t xml:space="preserve"> </w:t>
      </w:r>
    </w:p>
    <w:p w14:paraId="5F7F014C" w14:textId="77777777" w:rsidR="001444B4" w:rsidRPr="00394670" w:rsidRDefault="001444B4" w:rsidP="001444B4">
      <w:pPr>
        <w:ind w:left="720"/>
        <w:rPr>
          <w:sz w:val="16"/>
          <w:szCs w:val="16"/>
        </w:rPr>
      </w:pPr>
      <w:r w:rsidRPr="00394670">
        <w:rPr>
          <w:sz w:val="16"/>
          <w:szCs w:val="16"/>
        </w:rPr>
        <w:t xml:space="preserve">SET </w:t>
      </w:r>
      <w:proofErr w:type="spellStart"/>
      <w:r w:rsidRPr="00394670">
        <w:rPr>
          <w:sz w:val="16"/>
          <w:szCs w:val="16"/>
        </w:rPr>
        <w:t>TableVersion.ToDate</w:t>
      </w:r>
      <w:proofErr w:type="spellEnd"/>
      <w:r w:rsidRPr="00394670">
        <w:rPr>
          <w:sz w:val="16"/>
          <w:szCs w:val="16"/>
        </w:rPr>
        <w:t xml:space="preserve"> = #06/29/2015#, </w:t>
      </w:r>
      <w:proofErr w:type="spellStart"/>
      <w:r w:rsidRPr="00394670">
        <w:rPr>
          <w:sz w:val="16"/>
          <w:szCs w:val="16"/>
        </w:rPr>
        <w:t>Concept.ModificationDate</w:t>
      </w:r>
      <w:proofErr w:type="spellEnd"/>
      <w:r w:rsidRPr="00394670">
        <w:rPr>
          <w:sz w:val="16"/>
          <w:szCs w:val="16"/>
        </w:rPr>
        <w:t xml:space="preserve"> =#1/15/2016#, </w:t>
      </w:r>
      <w:proofErr w:type="spellStart"/>
      <w:r w:rsidRPr="00394670">
        <w:rPr>
          <w:sz w:val="16"/>
          <w:szCs w:val="16"/>
        </w:rPr>
        <w:t>Concept.ToDate</w:t>
      </w:r>
      <w:proofErr w:type="spellEnd"/>
      <w:r w:rsidRPr="00394670">
        <w:rPr>
          <w:sz w:val="16"/>
          <w:szCs w:val="16"/>
        </w:rPr>
        <w:t>=#06/29/2015#</w:t>
      </w:r>
    </w:p>
    <w:p w14:paraId="2661BC51" w14:textId="77777777" w:rsidR="001444B4" w:rsidRPr="00394670" w:rsidRDefault="001444B4" w:rsidP="001444B4">
      <w:pPr>
        <w:ind w:left="720"/>
        <w:rPr>
          <w:sz w:val="16"/>
          <w:szCs w:val="16"/>
        </w:rPr>
      </w:pPr>
      <w:r w:rsidRPr="00394670">
        <w:rPr>
          <w:sz w:val="16"/>
          <w:szCs w:val="16"/>
        </w:rPr>
        <w:t>WHERE (((</w:t>
      </w:r>
      <w:proofErr w:type="spellStart"/>
      <w:r w:rsidRPr="00394670">
        <w:rPr>
          <w:sz w:val="16"/>
          <w:szCs w:val="16"/>
        </w:rPr>
        <w:t>TableVersion.TableVID</w:t>
      </w:r>
      <w:proofErr w:type="spellEnd"/>
      <w:r w:rsidRPr="00394670">
        <w:rPr>
          <w:sz w:val="16"/>
          <w:szCs w:val="16"/>
        </w:rPr>
        <w:t>) In (605,606,732,739)));</w:t>
      </w:r>
    </w:p>
    <w:p w14:paraId="0E8244FF" w14:textId="77777777" w:rsidR="001444B4" w:rsidRPr="00394670" w:rsidRDefault="001444B4" w:rsidP="001444B4">
      <w:pPr>
        <w:ind w:left="720"/>
        <w:rPr>
          <w:sz w:val="16"/>
          <w:szCs w:val="16"/>
        </w:rPr>
      </w:pPr>
    </w:p>
    <w:p w14:paraId="369DAEBF"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642,643,644,646,819 (C 45.00.a, C 45.00.b, C 46.00.a, C 46.00.c, C 46.00.b) with missing </w:t>
      </w:r>
      <w:proofErr w:type="spellStart"/>
      <w:r w:rsidRPr="00394670">
        <w:rPr>
          <w:sz w:val="16"/>
          <w:szCs w:val="16"/>
        </w:rPr>
        <w:t>ToDates</w:t>
      </w:r>
      <w:proofErr w:type="spellEnd"/>
    </w:p>
    <w:p w14:paraId="5A45B37F" w14:textId="77777777" w:rsidR="001444B4" w:rsidRPr="00394670" w:rsidRDefault="001444B4" w:rsidP="001444B4">
      <w:pPr>
        <w:ind w:left="720"/>
        <w:rPr>
          <w:sz w:val="16"/>
          <w:szCs w:val="16"/>
        </w:rPr>
      </w:pPr>
    </w:p>
    <w:p w14:paraId="3F03EE5F" w14:textId="77777777" w:rsidR="001444B4" w:rsidRPr="00394670" w:rsidRDefault="001444B4" w:rsidP="001444B4">
      <w:pPr>
        <w:ind w:left="720"/>
        <w:rPr>
          <w:sz w:val="16"/>
          <w:szCs w:val="16"/>
        </w:rPr>
      </w:pPr>
      <w:r w:rsidRPr="00394670">
        <w:rPr>
          <w:sz w:val="16"/>
          <w:szCs w:val="16"/>
        </w:rPr>
        <w:t xml:space="preserve">UPDATE concept INNER JOIN </w:t>
      </w:r>
      <w:proofErr w:type="spellStart"/>
      <w:r w:rsidRPr="00394670">
        <w:rPr>
          <w:sz w:val="16"/>
          <w:szCs w:val="16"/>
        </w:rPr>
        <w:t>TableVersion</w:t>
      </w:r>
      <w:proofErr w:type="spellEnd"/>
      <w:r w:rsidRPr="00394670">
        <w:rPr>
          <w:sz w:val="16"/>
          <w:szCs w:val="16"/>
        </w:rPr>
        <w:t xml:space="preserve"> ON </w:t>
      </w:r>
      <w:proofErr w:type="spellStart"/>
      <w:r w:rsidRPr="00394670">
        <w:rPr>
          <w:sz w:val="16"/>
          <w:szCs w:val="16"/>
        </w:rPr>
        <w:t>Concept.ConceptID</w:t>
      </w:r>
      <w:proofErr w:type="spellEnd"/>
      <w:r w:rsidRPr="00394670">
        <w:rPr>
          <w:sz w:val="16"/>
          <w:szCs w:val="16"/>
        </w:rPr>
        <w:t xml:space="preserve"> = </w:t>
      </w:r>
      <w:proofErr w:type="spellStart"/>
      <w:r w:rsidRPr="00394670">
        <w:rPr>
          <w:sz w:val="16"/>
          <w:szCs w:val="16"/>
        </w:rPr>
        <w:t>TableVersion.ConceptID</w:t>
      </w:r>
      <w:proofErr w:type="spellEnd"/>
      <w:r w:rsidRPr="00394670">
        <w:rPr>
          <w:sz w:val="16"/>
          <w:szCs w:val="16"/>
        </w:rPr>
        <w:t xml:space="preserve"> </w:t>
      </w:r>
    </w:p>
    <w:p w14:paraId="14DC872F" w14:textId="77777777" w:rsidR="001444B4" w:rsidRPr="00394670" w:rsidRDefault="001444B4" w:rsidP="001444B4">
      <w:pPr>
        <w:ind w:left="720"/>
        <w:rPr>
          <w:sz w:val="16"/>
          <w:szCs w:val="16"/>
        </w:rPr>
      </w:pPr>
      <w:r w:rsidRPr="00394670">
        <w:rPr>
          <w:sz w:val="16"/>
          <w:szCs w:val="16"/>
        </w:rPr>
        <w:t xml:space="preserve">SET </w:t>
      </w:r>
      <w:proofErr w:type="spellStart"/>
      <w:r w:rsidRPr="00394670">
        <w:rPr>
          <w:sz w:val="16"/>
          <w:szCs w:val="16"/>
        </w:rPr>
        <w:t>TableVersion.ToDate</w:t>
      </w:r>
      <w:proofErr w:type="spellEnd"/>
      <w:r w:rsidRPr="00394670">
        <w:rPr>
          <w:sz w:val="16"/>
          <w:szCs w:val="16"/>
        </w:rPr>
        <w:t xml:space="preserve"> = #03/30/2016#, </w:t>
      </w:r>
      <w:proofErr w:type="spellStart"/>
      <w:r w:rsidRPr="00394670">
        <w:rPr>
          <w:sz w:val="16"/>
          <w:szCs w:val="16"/>
        </w:rPr>
        <w:t>Concept.ModificationDate</w:t>
      </w:r>
      <w:proofErr w:type="spellEnd"/>
      <w:r w:rsidRPr="00394670">
        <w:rPr>
          <w:sz w:val="16"/>
          <w:szCs w:val="16"/>
        </w:rPr>
        <w:t xml:space="preserve"> =#1/15/2016#, </w:t>
      </w:r>
      <w:proofErr w:type="spellStart"/>
      <w:r w:rsidRPr="00394670">
        <w:rPr>
          <w:sz w:val="16"/>
          <w:szCs w:val="16"/>
        </w:rPr>
        <w:t>Concept.ToDate</w:t>
      </w:r>
      <w:proofErr w:type="spellEnd"/>
      <w:r w:rsidRPr="00394670">
        <w:rPr>
          <w:sz w:val="16"/>
          <w:szCs w:val="16"/>
        </w:rPr>
        <w:t>=#03/30/2016#</w:t>
      </w:r>
    </w:p>
    <w:p w14:paraId="6B3AD34A" w14:textId="77777777" w:rsidR="001444B4" w:rsidRDefault="001444B4" w:rsidP="001444B4">
      <w:pPr>
        <w:ind w:left="720"/>
        <w:rPr>
          <w:sz w:val="16"/>
          <w:szCs w:val="16"/>
        </w:rPr>
      </w:pPr>
      <w:r w:rsidRPr="00394670">
        <w:rPr>
          <w:sz w:val="16"/>
          <w:szCs w:val="16"/>
        </w:rPr>
        <w:t>WHERE (((</w:t>
      </w:r>
      <w:proofErr w:type="spellStart"/>
      <w:r w:rsidRPr="00394670">
        <w:rPr>
          <w:sz w:val="16"/>
          <w:szCs w:val="16"/>
        </w:rPr>
        <w:t>TableVersion.TableVID</w:t>
      </w:r>
      <w:proofErr w:type="spellEnd"/>
      <w:r w:rsidRPr="00394670">
        <w:rPr>
          <w:sz w:val="16"/>
          <w:szCs w:val="16"/>
        </w:rPr>
        <w:t>) In (642,643,644,646,819)));</w:t>
      </w:r>
    </w:p>
    <w:p w14:paraId="4AC8A715" w14:textId="77777777" w:rsidR="001444B4" w:rsidRPr="00394670" w:rsidRDefault="001444B4" w:rsidP="001444B4">
      <w:pPr>
        <w:ind w:left="720"/>
        <w:rPr>
          <w:sz w:val="16"/>
          <w:szCs w:val="16"/>
        </w:rPr>
      </w:pPr>
    </w:p>
    <w:p w14:paraId="0EBEAB5F" w14:textId="77777777" w:rsidR="001444B4" w:rsidRDefault="001444B4" w:rsidP="00183058">
      <w:pPr>
        <w:pStyle w:val="ListParagraph"/>
        <w:numPr>
          <w:ilvl w:val="0"/>
          <w:numId w:val="23"/>
        </w:numPr>
      </w:pPr>
      <w:r>
        <w:t>Removal of incorrect links between validation rule and previous table versions (for metric allowed value rules)</w:t>
      </w:r>
    </w:p>
    <w:p w14:paraId="43C10DB7" w14:textId="77777777" w:rsidR="001444B4" w:rsidRDefault="001444B4" w:rsidP="001444B4">
      <w:pPr>
        <w:rPr>
          <w:sz w:val="16"/>
          <w:szCs w:val="16"/>
        </w:rPr>
      </w:pPr>
    </w:p>
    <w:p w14:paraId="6037F3C7" w14:textId="77777777" w:rsidR="001444B4" w:rsidRDefault="001444B4" w:rsidP="00183058">
      <w:pPr>
        <w:pStyle w:val="ListParagraph"/>
        <w:numPr>
          <w:ilvl w:val="0"/>
          <w:numId w:val="23"/>
        </w:numPr>
      </w:pPr>
      <w:r w:rsidRPr="00406EBB">
        <w:t xml:space="preserve">Remove misleading severity information from validation rule </w:t>
      </w:r>
      <w:r>
        <w:t>(basically this never actually provided reliable information, since EBA publishes changes to the status of rules in between taxonomy releases).</w:t>
      </w:r>
    </w:p>
    <w:p w14:paraId="5D901260" w14:textId="77777777" w:rsidR="001444B4" w:rsidRDefault="001444B4" w:rsidP="001444B4"/>
    <w:p w14:paraId="7B1DDB17" w14:textId="77777777" w:rsidR="001444B4" w:rsidRDefault="001444B4" w:rsidP="001444B4">
      <w:pPr>
        <w:ind w:left="720"/>
        <w:rPr>
          <w:sz w:val="16"/>
          <w:szCs w:val="16"/>
        </w:rPr>
      </w:pPr>
      <w:r w:rsidRPr="005F6D8A">
        <w:rPr>
          <w:sz w:val="16"/>
          <w:szCs w:val="16"/>
        </w:rPr>
        <w:t xml:space="preserve">UPDATE </w:t>
      </w:r>
      <w:proofErr w:type="spellStart"/>
      <w:r w:rsidRPr="005F6D8A">
        <w:rPr>
          <w:sz w:val="16"/>
          <w:szCs w:val="16"/>
        </w:rPr>
        <w:t>ValidationRule</w:t>
      </w:r>
      <w:proofErr w:type="spellEnd"/>
      <w:r w:rsidRPr="005F6D8A">
        <w:rPr>
          <w:sz w:val="16"/>
          <w:szCs w:val="16"/>
        </w:rPr>
        <w:t xml:space="preserve"> SET </w:t>
      </w:r>
      <w:proofErr w:type="spellStart"/>
      <w:r w:rsidRPr="005F6D8A">
        <w:rPr>
          <w:sz w:val="16"/>
          <w:szCs w:val="16"/>
        </w:rPr>
        <w:t>ValidationRule.Severity</w:t>
      </w:r>
      <w:proofErr w:type="spellEnd"/>
      <w:r w:rsidRPr="005F6D8A">
        <w:rPr>
          <w:sz w:val="16"/>
          <w:szCs w:val="16"/>
        </w:rPr>
        <w:t xml:space="preserve"> = Null;</w:t>
      </w:r>
    </w:p>
    <w:p w14:paraId="44D98C79" w14:textId="77777777" w:rsidR="0084357B" w:rsidRPr="000321C4" w:rsidRDefault="0084357B" w:rsidP="00183058">
      <w:pPr>
        <w:pStyle w:val="ListParagraph"/>
        <w:numPr>
          <w:ilvl w:val="0"/>
          <w:numId w:val="21"/>
        </w:numPr>
      </w:pPr>
      <w:r>
        <w:t>Clarified status of the old/orphaned C 06.01 and C06.02 tables which used the filing indicator “C 06.00” (</w:t>
      </w:r>
      <w:proofErr w:type="spellStart"/>
      <w:r>
        <w:t>TableVersionIDs</w:t>
      </w:r>
      <w:proofErr w:type="spellEnd"/>
      <w:r>
        <w:t xml:space="preserve"> 732 and 739) by </w:t>
      </w:r>
      <w:r w:rsidRPr="000321C4">
        <w:t>set</w:t>
      </w:r>
      <w:r>
        <w:t>ting</w:t>
      </w:r>
      <w:r w:rsidRPr="000321C4">
        <w:t xml:space="preserve"> </w:t>
      </w:r>
      <w:proofErr w:type="spellStart"/>
      <w:r>
        <w:t>ToD</w:t>
      </w:r>
      <w:r w:rsidRPr="000321C4">
        <w:t>ate</w:t>
      </w:r>
      <w:proofErr w:type="spellEnd"/>
      <w:r w:rsidRPr="000321C4">
        <w:t xml:space="preserve"> to 29/06/2015</w:t>
      </w:r>
      <w:r>
        <w:t>.</w:t>
      </w:r>
    </w:p>
    <w:p w14:paraId="68EEDDB7" w14:textId="77777777" w:rsidR="0084357B" w:rsidRDefault="0084357B" w:rsidP="00183058">
      <w:pPr>
        <w:pStyle w:val="ListParagraph"/>
        <w:numPr>
          <w:ilvl w:val="0"/>
          <w:numId w:val="21"/>
        </w:numPr>
      </w:pPr>
      <w:r>
        <w:t>Corrected the version number of taxonomy SBP 2015-B to 1.0.2</w:t>
      </w:r>
    </w:p>
    <w:p w14:paraId="2EBC9491" w14:textId="77777777" w:rsidR="0084357B" w:rsidRDefault="0084357B" w:rsidP="00183058">
      <w:pPr>
        <w:pStyle w:val="ListParagraph"/>
        <w:numPr>
          <w:ilvl w:val="0"/>
          <w:numId w:val="21"/>
        </w:numPr>
      </w:pPr>
      <w:r>
        <w:t xml:space="preserve">Corrected </w:t>
      </w:r>
      <w:proofErr w:type="spellStart"/>
      <w:r>
        <w:t>OpenMemberRestriction</w:t>
      </w:r>
      <w:proofErr w:type="spellEnd"/>
      <w:r>
        <w:t xml:space="preserve"> records, all records with </w:t>
      </w:r>
      <w:proofErr w:type="spellStart"/>
      <w:r>
        <w:t>MemberIncluded</w:t>
      </w:r>
      <w:proofErr w:type="spellEnd"/>
      <w:r>
        <w:t xml:space="preserve">=true should also have had the (slightly redundant) </w:t>
      </w:r>
      <w:proofErr w:type="spellStart"/>
      <w:r>
        <w:t>AllowsDefaultMember</w:t>
      </w:r>
      <w:proofErr w:type="spellEnd"/>
      <w:r>
        <w:t xml:space="preserve"> field set to true as well</w:t>
      </w:r>
    </w:p>
    <w:p w14:paraId="142D6947" w14:textId="320F2AD1" w:rsidR="0084357B" w:rsidRDefault="0084357B" w:rsidP="0084357B">
      <w:pPr>
        <w:pStyle w:val="Titlelevel3"/>
      </w:pPr>
      <w:r>
        <w:lastRenderedPageBreak/>
        <w:t>DPM DB structure changes:</w:t>
      </w:r>
    </w:p>
    <w:p w14:paraId="139C4569" w14:textId="77777777" w:rsidR="0084357B" w:rsidRDefault="0084357B" w:rsidP="00183058">
      <w:pPr>
        <w:pStyle w:val="ListParagraph"/>
        <w:numPr>
          <w:ilvl w:val="0"/>
          <w:numId w:val="21"/>
        </w:numPr>
      </w:pPr>
      <w:r>
        <w:t xml:space="preserve">Added new </w:t>
      </w:r>
      <w:proofErr w:type="spellStart"/>
      <w:r>
        <w:t>DatapointVersionTransition</w:t>
      </w:r>
      <w:proofErr w:type="spellEnd"/>
      <w:r>
        <w:t xml:space="preserve"> and </w:t>
      </w:r>
      <w:proofErr w:type="spellStart"/>
      <w:r>
        <w:t>DatapointVersionTransitionLink</w:t>
      </w:r>
      <w:proofErr w:type="spellEnd"/>
      <w:r>
        <w:t xml:space="preserve"> tables:</w:t>
      </w:r>
    </w:p>
    <w:p w14:paraId="6D1F929A" w14:textId="77777777" w:rsidR="0084357B" w:rsidRDefault="0084357B" w:rsidP="0084357B">
      <w:pPr>
        <w:pStyle w:val="ListParagraph"/>
        <w:ind w:left="1080"/>
      </w:pPr>
      <w:r>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Default="0084357B"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 xml:space="preserve">). </w:t>
      </w:r>
    </w:p>
    <w:p w14:paraId="0AEA5F88" w14:textId="5BE7D889" w:rsidR="0084357B" w:rsidRDefault="0084357B" w:rsidP="00183058">
      <w:pPr>
        <w:pStyle w:val="ListParagraph"/>
        <w:numPr>
          <w:ilvl w:val="1"/>
          <w:numId w:val="21"/>
        </w:numPr>
      </w:pPr>
      <w:r>
        <w:t>Note they contain no records in this version.</w:t>
      </w:r>
    </w:p>
    <w:p w14:paraId="104BBE8B" w14:textId="77777777" w:rsidR="0084357B" w:rsidRDefault="0084357B" w:rsidP="001444B4">
      <w:pPr>
        <w:ind w:left="720"/>
        <w:rPr>
          <w:sz w:val="16"/>
          <w:szCs w:val="16"/>
        </w:rPr>
      </w:pPr>
    </w:p>
    <w:p w14:paraId="1FE4182E" w14:textId="77777777" w:rsidR="00D62FD8" w:rsidRDefault="00D62FD8" w:rsidP="001444B4">
      <w:pPr>
        <w:ind w:left="720"/>
        <w:rPr>
          <w:sz w:val="16"/>
          <w:szCs w:val="16"/>
        </w:rPr>
      </w:pPr>
    </w:p>
    <w:p w14:paraId="3C105FA0" w14:textId="77777777" w:rsidR="00D62FD8" w:rsidRPr="00AF5AA3" w:rsidRDefault="00D62FD8" w:rsidP="00D62FD8">
      <w:pPr>
        <w:pStyle w:val="Titlelevel2"/>
        <w:keepNext/>
      </w:pPr>
      <w:r>
        <w:t>XBRL c</w:t>
      </w:r>
      <w:r w:rsidRPr="00AF5AA3">
        <w:t>hanges</w:t>
      </w:r>
    </w:p>
    <w:p w14:paraId="34AA7AEB" w14:textId="5B3151A5" w:rsidR="00D62FD8" w:rsidRDefault="00D62FD8" w:rsidP="00D62FD8">
      <w:pPr>
        <w:pStyle w:val="Titlelevel3"/>
      </w:pPr>
      <w:r>
        <w:t xml:space="preserve"> “Changes only” XBRL taxonomy structure</w:t>
      </w:r>
    </w:p>
    <w:p w14:paraId="0B3A5889" w14:textId="77777777" w:rsidR="00D62FD8" w:rsidRDefault="00D62FD8" w:rsidP="00D62FD8">
      <w:r>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Default="00D62FD8" w:rsidP="00D62FD8"/>
    <w:p w14:paraId="73035EDA" w14:textId="77777777" w:rsidR="00D62FD8" w:rsidRDefault="00D62FD8" w:rsidP="00D62FD8">
      <w:r>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Default="00D62FD8" w:rsidP="00D62FD8">
      <w:pPr>
        <w:pStyle w:val="Titlelevel3"/>
      </w:pPr>
      <w:r>
        <w:t>Validation rule implementation corrections</w:t>
      </w:r>
    </w:p>
    <w:p w14:paraId="27F94223" w14:textId="055A8740" w:rsidR="00D62FD8" w:rsidRDefault="00D62FD8" w:rsidP="00D62FD8">
      <w:pPr>
        <w:pStyle w:val="ListParagraph"/>
        <w:ind w:left="0"/>
      </w:pPr>
      <w:r>
        <w:t>As a result of a technical error in the taxonomy production process, validation rules intended to be of the form “</w:t>
      </w:r>
      <w:r w:rsidRPr="000F3477">
        <w:rPr>
          <w:i/>
        </w:rPr>
        <w:t>if a then b</w:t>
      </w:r>
      <w:r w:rsidR="000F3477">
        <w:rPr>
          <w:i/>
        </w:rPr>
        <w:t>”</w:t>
      </w:r>
      <w:r>
        <w:t xml:space="preserve"> were incorrectly implemented in the original release of the 2.4 XBRL taxonomy, and would always result in </w:t>
      </w:r>
      <w:r w:rsidR="000F3477">
        <w:t>a “failed” rule.</w:t>
      </w:r>
    </w:p>
    <w:p w14:paraId="15A1F052" w14:textId="77777777" w:rsidR="000F3477" w:rsidRDefault="000F3477" w:rsidP="00D62FD8">
      <w:pPr>
        <w:pStyle w:val="ListParagraph"/>
        <w:ind w:left="0"/>
      </w:pPr>
    </w:p>
    <w:p w14:paraId="008D46BF" w14:textId="4A7188F5" w:rsidR="000F3477" w:rsidRDefault="000F3477" w:rsidP="00D62FD8">
      <w:pPr>
        <w:pStyle w:val="ListParagraph"/>
        <w:ind w:left="0"/>
      </w:pPr>
      <w:r>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versions of these taxonomies may be directly validated against the new taxonomy files without needing any changes (i.e. the </w:t>
      </w:r>
      <w:proofErr w:type="spellStart"/>
      <w:r>
        <w:t>schemaRef</w:t>
      </w:r>
      <w:proofErr w:type="spellEnd"/>
      <w:r>
        <w:t xml:space="preserve"> URIs needed are unchanged), or indeed vice versa.</w:t>
      </w:r>
    </w:p>
    <w:p w14:paraId="15612267" w14:textId="77777777" w:rsidR="000F3477" w:rsidRDefault="000F3477" w:rsidP="00D62FD8">
      <w:pPr>
        <w:pStyle w:val="ListParagraph"/>
        <w:ind w:left="0"/>
      </w:pPr>
    </w:p>
    <w:p w14:paraId="009FFA0C" w14:textId="083ACB3B" w:rsidR="000F3477" w:rsidRDefault="000F3477" w:rsidP="00D62FD8">
      <w:pPr>
        <w:pStyle w:val="ListParagraph"/>
        <w:ind w:left="0"/>
      </w:pPr>
      <w:r>
        <w:lastRenderedPageBreak/>
        <w:t xml:space="preserve">This applies to the v2.4 SBP and FINREP, for which updated versions 2.1.4.1 and 1.0.2.1 are supplied. In addition a correction for this error in the v2.4 COREP </w:t>
      </w:r>
      <w:r w:rsidR="00172A38">
        <w:t xml:space="preserve">files </w:t>
      </w:r>
      <w:r>
        <w:t xml:space="preserve">is also included, though this is superseded by the </w:t>
      </w:r>
      <w:r w:rsidR="00172A38">
        <w:t>new entry points required for the correction in the v2.4.1.0 COREP noted above</w:t>
      </w:r>
      <w:r w:rsidR="00172A38">
        <w:rPr>
          <w:rStyle w:val="FootnoteReference"/>
        </w:rPr>
        <w:footnoteReference w:id="2"/>
      </w:r>
      <w:r>
        <w:t>,</w:t>
      </w:r>
      <w:r w:rsidR="00172A38">
        <w:t xml:space="preserve"> and should not be used for any reporting to the EBA.</w:t>
      </w:r>
      <w:r>
        <w:t xml:space="preserve"> </w:t>
      </w:r>
      <w:r w:rsidR="00172A38">
        <w:t xml:space="preserve">These corrections form </w:t>
      </w:r>
      <w:r>
        <w:t xml:space="preserve">a notional </w:t>
      </w:r>
      <w:r>
        <w:rPr>
          <w:b/>
        </w:rPr>
        <w:t xml:space="preserve">v2.4.0.1 </w:t>
      </w:r>
      <w:r w:rsidRPr="000F3477">
        <w:t>release</w:t>
      </w:r>
      <w:r w:rsidR="00172A38">
        <w:t>.</w:t>
      </w:r>
    </w:p>
    <w:p w14:paraId="2A2395A4" w14:textId="77777777" w:rsidR="00D62FD8" w:rsidRDefault="00D62FD8" w:rsidP="00D62FD8">
      <w:pPr>
        <w:pStyle w:val="Titlelevel3"/>
      </w:pPr>
      <w:r>
        <w:t>Additional metadata files</w:t>
      </w:r>
    </w:p>
    <w:p w14:paraId="32306CC7" w14:textId="00DF67E8" w:rsidR="00D62FD8" w:rsidRDefault="00D62FD8" w:rsidP="00D62FD8">
      <w:pPr>
        <w:pStyle w:val="ListParagraph"/>
        <w:ind w:left="0"/>
      </w:pPr>
      <w:r>
        <w:t>Inclusion of DPM architect format “tax-inf.xml” files to provide metadata on required precision</w:t>
      </w:r>
      <w:r w:rsidR="000F3477">
        <w:t>.</w:t>
      </w:r>
      <w:r>
        <w:t xml:space="preserve"> </w:t>
      </w:r>
      <w:r w:rsidR="000F3477">
        <w:t>N.B.</w:t>
      </w:r>
      <w:r>
        <w:t xml:space="preserve"> these are merely complementary to existing information in filing rules, not directly referenced by any entry point, not crucial for any XBRL processing, and provided only in case they are useful to some consumers</w:t>
      </w:r>
      <w:r w:rsidR="000F3477">
        <w:t>.</w:t>
      </w:r>
    </w:p>
    <w:p w14:paraId="436B08FA" w14:textId="77777777" w:rsidR="001444B4" w:rsidRDefault="001444B4" w:rsidP="001444B4">
      <w:pPr>
        <w:rPr>
          <w:sz w:val="16"/>
          <w:szCs w:val="16"/>
        </w:rPr>
      </w:pPr>
    </w:p>
    <w:p w14:paraId="7C442FD0" w14:textId="77777777" w:rsidR="001444B4" w:rsidRDefault="001444B4" w:rsidP="001444B4">
      <w:pPr>
        <w:pStyle w:val="Titlelevel3"/>
      </w:pPr>
      <w:r w:rsidRPr="00394670">
        <w:t>Known Errors:</w:t>
      </w:r>
    </w:p>
    <w:p w14:paraId="488DC59B" w14:textId="00D832CA" w:rsidR="001444B4" w:rsidRDefault="00F00500" w:rsidP="001444B4">
      <w:pPr>
        <w:rPr>
          <w:rFonts w:asciiTheme="majorHAnsi" w:eastAsiaTheme="majorEastAsia" w:hAnsiTheme="majorHAnsi" w:cstheme="majorBidi"/>
          <w:bCs/>
          <w:color w:val="2F5773" w:themeColor="text2"/>
          <w:sz w:val="32"/>
        </w:rPr>
      </w:pPr>
      <w:r>
        <w:t>There is</w:t>
      </w:r>
      <w:r w:rsidR="001444B4" w:rsidRPr="00394670">
        <w:t xml:space="preserve"> an error in the table layout for P 02.06 in DPM/XBRL. </w:t>
      </w:r>
      <w:r>
        <w:t>R</w:t>
      </w:r>
      <w:r w:rsidR="001444B4" w:rsidRPr="00394670">
        <w:t xml:space="preserve">ow 040 </w:t>
      </w:r>
      <w:r>
        <w:t>is positioned i</w:t>
      </w:r>
      <w:r w:rsidR="001444B4" w:rsidRPr="00394670">
        <w:t>n the first section (under the first header) in the DPM/XBRL, but should fall into the second section. This is a display issue not a categorization one, i.e. the dimensional attributes and label of the row is still correct, but please be aware.</w:t>
      </w:r>
      <w:r>
        <w:t xml:space="preserve"> [This is corrected in v2.5]</w:t>
      </w:r>
    </w:p>
    <w:p w14:paraId="39AE2F27" w14:textId="77777777" w:rsidR="00F00500" w:rsidRDefault="00F00500">
      <w:pPr>
        <w:rPr>
          <w:rFonts w:asciiTheme="majorHAnsi" w:eastAsiaTheme="majorEastAsia" w:hAnsiTheme="majorHAnsi" w:cstheme="majorBidi"/>
          <w:i/>
          <w:color w:val="2F5773" w:themeColor="text2"/>
          <w:spacing w:val="5"/>
          <w:kern w:val="28"/>
          <w:sz w:val="52"/>
          <w:szCs w:val="52"/>
        </w:rPr>
      </w:pPr>
      <w:r>
        <w:rPr>
          <w:i/>
        </w:rPr>
        <w:br w:type="page"/>
      </w:r>
    </w:p>
    <w:p w14:paraId="55B5EADD" w14:textId="228A9621" w:rsidR="00DC113D" w:rsidRDefault="00DC113D" w:rsidP="00DC113D">
      <w:pPr>
        <w:pStyle w:val="Titlelevel1"/>
        <w:rPr>
          <w:i/>
        </w:rPr>
      </w:pPr>
      <w:r>
        <w:rPr>
          <w:i/>
        </w:rPr>
        <w:lastRenderedPageBreak/>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(11/08</w:t>
      </w:r>
      <w:r w:rsidRPr="00E47786">
        <w:rPr>
          <w:rFonts w:ascii="Arial" w:hAnsi="Arial" w:cs="Arial"/>
          <w:i/>
          <w:color w:val="696969"/>
          <w:sz w:val="18"/>
          <w:szCs w:val="18"/>
          <w:shd w:val="clear" w:color="auto" w:fill="FFFFFF"/>
        </w:rPr>
        <w:t>/2015)</w:t>
      </w:r>
    </w:p>
    <w:p w14:paraId="55B5EADE" w14:textId="77777777" w:rsidR="00D77280" w:rsidRDefault="00D77280" w:rsidP="00D77280">
      <w:pPr>
        <w:pStyle w:val="Titlelevel2"/>
      </w:pPr>
      <w:r w:rsidRPr="00AF5AA3">
        <w:t>Purpose</w:t>
      </w:r>
    </w:p>
    <w:p w14:paraId="55B5EADF" w14:textId="77777777" w:rsidR="00D77280" w:rsidRDefault="00D77280" w:rsidP="00183058">
      <w:pPr>
        <w:pStyle w:val="ListParagraph"/>
        <w:numPr>
          <w:ilvl w:val="0"/>
          <w:numId w:val="21"/>
        </w:numPr>
      </w:pPr>
      <w:r>
        <w:t>Alignment of LR and LCR reporting with respective Commission delegated acts.</w:t>
      </w:r>
    </w:p>
    <w:p w14:paraId="55B5EAE0" w14:textId="77777777" w:rsidR="00D77280" w:rsidRDefault="00D77280" w:rsidP="00183058">
      <w:pPr>
        <w:pStyle w:val="ListParagraph"/>
        <w:numPr>
          <w:ilvl w:val="0"/>
          <w:numId w:val="21"/>
        </w:numPr>
      </w:pPr>
      <w:r>
        <w:t xml:space="preserve">Introduction of true Multicurrency reporting to COREP and ALM per QA 1042.  </w:t>
      </w:r>
    </w:p>
    <w:p w14:paraId="55B5EAE1" w14:textId="77777777" w:rsidR="00D77280" w:rsidRDefault="00D77280" w:rsidP="00D77280"/>
    <w:p w14:paraId="55B5EAE2" w14:textId="77777777" w:rsidR="00D77280" w:rsidRPr="002C21E9" w:rsidRDefault="00D77280" w:rsidP="00D77280">
      <w:pPr>
        <w:pStyle w:val="Titlelevel2"/>
      </w:pPr>
      <w:r w:rsidRPr="002C21E9">
        <w:t>DPM Changes</w:t>
      </w:r>
    </w:p>
    <w:p w14:paraId="55B5EAE3" w14:textId="77777777" w:rsidR="00D77280" w:rsidRPr="00360446" w:rsidRDefault="00D77280" w:rsidP="00D77280">
      <w:pPr>
        <w:pStyle w:val="Titlelevel3"/>
      </w:pPr>
      <w:r w:rsidRPr="00360446">
        <w:t>Leverage Ratio</w:t>
      </w:r>
    </w:p>
    <w:p w14:paraId="55B5EAE4" w14:textId="77777777"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Default="00D77280" w:rsidP="00D77280"/>
    <w:p w14:paraId="55B5EAE6" w14:textId="77777777" w:rsidR="00D77280" w:rsidRPr="002D2F3D" w:rsidRDefault="00D77280" w:rsidP="00D77280">
      <w:pPr>
        <w:pStyle w:val="Titlelevel3"/>
      </w:pPr>
      <w:r w:rsidRPr="002D2F3D">
        <w:t>Liquidity Coverage Ratio</w:t>
      </w:r>
    </w:p>
    <w:p w14:paraId="55B5EAE7" w14:textId="77777777"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2D2F3D" w:rsidRDefault="00D77280" w:rsidP="00D77280">
      <w:pPr>
        <w:pStyle w:val="Titlelevel3"/>
      </w:pPr>
      <w:r w:rsidRPr="002D2F3D">
        <w:t>QA 1042</w:t>
      </w:r>
      <w:r>
        <w:t xml:space="preserve"> - Multicurrency</w:t>
      </w:r>
    </w:p>
    <w:p w14:paraId="55B5EAE9" w14:textId="77777777" w:rsidR="00D77280" w:rsidRDefault="00D77280" w:rsidP="00D77280">
      <w:r>
        <w:t>Significant implementation changes have been made to the data model and XBRL reporting mechanics regarding the reporting of currency breakdowns (and other non-reporting currency figures).</w:t>
      </w:r>
    </w:p>
    <w:p w14:paraId="55B5EAEA" w14:textId="77777777" w:rsidR="00D77280" w:rsidRDefault="00D77280" w:rsidP="00D77280"/>
    <w:p w14:paraId="55B5EAEB" w14:textId="77777777" w:rsidR="00D77280" w:rsidRDefault="00D77280" w:rsidP="00D77280">
      <w:proofErr w:type="gramStart"/>
      <w:r>
        <w:t xml:space="preserve">On </w:t>
      </w:r>
      <w:r w:rsidRPr="002D2F3D">
        <w:t>29/05/2015</w:t>
      </w:r>
      <w:r>
        <w:t xml:space="preserve"> the question #1042 on the EBA Single Rulebook Q&amp;A</w:t>
      </w:r>
      <w:r w:rsidRPr="003F60D3">
        <w:rPr>
          <w:vertAlign w:val="superscript"/>
        </w:rPr>
        <w:footnoteReference w:id="3"/>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w:t>
      </w:r>
      <w:proofErr w:type="gramEnd"/>
      <w:r w:rsidRPr="003F60D3">
        <w:rPr>
          <w:rFonts w:ascii="Arial" w:hAnsi="Arial" w:cs="Arial"/>
          <w:color w:val="303A40"/>
          <w:sz w:val="18"/>
          <w:szCs w:val="18"/>
          <w:shd w:val="clear" w:color="auto" w:fill="FFFFFF"/>
        </w:rPr>
        <w:t xml:space="preserve"> 415 (2) [LCR and NSFR templates]</w:t>
      </w:r>
      <w:r>
        <w:t>”) was answered thus:</w:t>
      </w:r>
    </w:p>
    <w:p w14:paraId="55B5EAEC" w14:textId="77777777" w:rsidR="00D77280" w:rsidRDefault="00D77280" w:rsidP="00D77280"/>
    <w:p w14:paraId="55B5EAED" w14:textId="77777777"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14:paraId="55B5EAEE" w14:textId="77777777" w:rsidR="00D77280" w:rsidRDefault="00D77280" w:rsidP="00D77280"/>
    <w:p w14:paraId="55B5EAEF" w14:textId="77777777"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Default="00D77280" w:rsidP="00D77280">
      <w:pPr>
        <w:pStyle w:val="Titlelevel4"/>
      </w:pPr>
      <w:r>
        <w:t>Currency breakdown sheets in LCR and NSFR</w:t>
      </w:r>
    </w:p>
    <w:p w14:paraId="55B5EAF1" w14:textId="77777777" w:rsidR="00D77280" w:rsidRDefault="00D77280" w:rsidP="00D77280">
      <w:r>
        <w:t xml:space="preserve">The existing tables </w:t>
      </w:r>
      <w:r w:rsidRPr="00A14D23">
        <w:t>C.51.00.w, C.51.00.x, C.52.00.w, C.52.00.x, C.52.00.y, C.52.00.z, C.53.00.w, C.53.00.x, C.53.00.y, C.54.00.a, C54.00.w</w:t>
      </w:r>
      <w:r>
        <w:t xml:space="preserve">, C 60.00.w, C 60.00.x, C 61.00.w, </w:t>
      </w:r>
      <w:proofErr w:type="gramStart"/>
      <w:r>
        <w:t>C</w:t>
      </w:r>
      <w:proofErr w:type="gramEnd"/>
      <w:r>
        <w:t xml:space="preserve"> 61.00.x (LCR and NSFR) have been altered.</w:t>
      </w:r>
    </w:p>
    <w:p w14:paraId="55B5EAF2" w14:textId="77777777" w:rsidR="00D77280" w:rsidRDefault="00D77280" w:rsidP="00D77280"/>
    <w:p w14:paraId="55B5EAF3" w14:textId="77777777" w:rsidR="00D77280" w:rsidRDefault="00D77280" w:rsidP="00D77280">
      <w:r>
        <w:t xml:space="preserve">Each of the monetary data items on these tables has had the member </w:t>
      </w:r>
      <w:r w:rsidRPr="007C4AD7">
        <w:rPr>
          <w:b/>
        </w:rPr>
        <w:t>eba_CA</w:t>
      </w:r>
      <w:proofErr w:type="gramStart"/>
      <w:r w:rsidRPr="007C4AD7">
        <w:rPr>
          <w:b/>
        </w:rPr>
        <w:t>:x1</w:t>
      </w:r>
      <w:proofErr w:type="gramEnd"/>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Default="00D77280" w:rsidP="00D77280"/>
    <w:p w14:paraId="55B5EAF5" w14:textId="77777777"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4"/>
      </w:r>
      <w:r>
        <w:t xml:space="preserve"> with the value given for this dimension. This is the dimension used on the open z axis to identify to which sheet of the currency breakdown tables each fact relates.</w:t>
      </w:r>
    </w:p>
    <w:p w14:paraId="55B5EAF6" w14:textId="77777777" w:rsidR="00D77280" w:rsidRDefault="00D77280" w:rsidP="00D77280"/>
    <w:p w14:paraId="55B5EAF7" w14:textId="77777777" w:rsidR="00D77280" w:rsidRDefault="00D77280" w:rsidP="00D77280">
      <w:r>
        <w:t>The new LCR delegated act tables are also modelled in this way.</w:t>
      </w:r>
    </w:p>
    <w:p w14:paraId="55B5EAF8" w14:textId="77777777" w:rsidR="00D77280" w:rsidRDefault="00D77280" w:rsidP="00D77280"/>
    <w:p w14:paraId="55B5EAF9" w14:textId="77777777"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Default="00D77280" w:rsidP="00D77280">
      <w:pPr>
        <w:pStyle w:val="Titlelevel4"/>
      </w:pPr>
      <w:r>
        <w:t>Benchmarking</w:t>
      </w:r>
    </w:p>
    <w:p w14:paraId="55B5EAFB" w14:textId="77777777" w:rsidR="00D77280" w:rsidRDefault="00D77280" w:rsidP="00D77280">
      <w:r>
        <w:t>The tables in benchmarking that previously used “decimal” primary items to report figures in various currencies without mentioning the currency have been remodelled to instead use normal monetary primary items.</w:t>
      </w:r>
    </w:p>
    <w:p w14:paraId="55B5EAFC" w14:textId="77777777" w:rsidR="00D77280" w:rsidRDefault="00D77280" w:rsidP="00D77280"/>
    <w:p w14:paraId="55B5EAFD" w14:textId="77777777" w:rsidR="00D77280" w:rsidRDefault="00D77280" w:rsidP="00D77280">
      <w:r>
        <w:t xml:space="preserve">The dimensional attributes of these data items in the DPM again contain the </w:t>
      </w:r>
      <w:r w:rsidRPr="007C4AD7">
        <w:rPr>
          <w:b/>
        </w:rPr>
        <w:t>eba_CA</w:t>
      </w:r>
      <w:proofErr w:type="gramStart"/>
      <w:r w:rsidRPr="007C4AD7">
        <w:rPr>
          <w:b/>
        </w:rPr>
        <w:t>:x1</w:t>
      </w:r>
      <w:proofErr w:type="gramEnd"/>
      <w:r>
        <w:t xml:space="preserve"> member of the </w:t>
      </w:r>
      <w:r w:rsidRPr="007C4AD7">
        <w:rPr>
          <w:b/>
        </w:rPr>
        <w:t>C</w:t>
      </w:r>
      <w:r>
        <w:rPr>
          <w:b/>
        </w:rPr>
        <w:t>CA</w:t>
      </w:r>
      <w:r>
        <w:t xml:space="preserve"> dimension to indicate they can (must) be reported with currencies other than the reporting currency where relevant.</w:t>
      </w:r>
    </w:p>
    <w:p w14:paraId="55B5EAFE" w14:textId="77777777" w:rsidR="00D77280" w:rsidRDefault="00D77280" w:rsidP="00D77280"/>
    <w:p w14:paraId="55B5EAFF" w14:textId="77777777" w:rsidR="00D77280" w:rsidRDefault="00D77280" w:rsidP="00D77280">
      <w:r>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lastRenderedPageBreak/>
        <w:t>benchmarking exercise</w:t>
      </w:r>
      <w:r>
        <w:rPr>
          <w:rStyle w:val="FootnoteReference"/>
        </w:rPr>
        <w:footnoteReference w:id="5"/>
      </w:r>
      <w:r>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Default="00D77280" w:rsidP="00D77280"/>
    <w:p w14:paraId="55B5EB01" w14:textId="77777777" w:rsidR="00AE7465" w:rsidRDefault="00AE7465" w:rsidP="00AE7465">
      <w:pPr>
        <w:pStyle w:val="Titlelevel3"/>
      </w:pPr>
      <w:proofErr w:type="spellStart"/>
      <w:r>
        <w:t>Finrep</w:t>
      </w:r>
      <w:proofErr w:type="spellEnd"/>
      <w:r>
        <w:t xml:space="preserve"> Individual</w:t>
      </w:r>
    </w:p>
    <w:p w14:paraId="55B5EB02" w14:textId="77777777" w:rsidR="00AE7465" w:rsidRPr="002D2F3D" w:rsidRDefault="00AE7465" w:rsidP="00AE7465">
      <w:r>
        <w:t xml:space="preserve">Please note that in order to facilitate implementation the </w:t>
      </w:r>
      <w:proofErr w:type="spellStart"/>
      <w:r>
        <w:t>Finrep</w:t>
      </w:r>
      <w:proofErr w:type="spellEnd"/>
      <w:r>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Default="00D77280" w:rsidP="00D77280">
      <w:pPr>
        <w:pStyle w:val="Titlelevel3"/>
      </w:pPr>
      <w:r>
        <w:t>Validation rules</w:t>
      </w:r>
    </w:p>
    <w:p w14:paraId="55B5EB04" w14:textId="77777777" w:rsidR="00D77280" w:rsidRDefault="00D77280" w:rsidP="00D77280">
      <w:r>
        <w:t xml:space="preserve">The “severity” attribute of validation rules is no longer populated in the DPM database (since it is essentially out of date as soon as the taxonomy is </w:t>
      </w:r>
      <w:proofErr w:type="gramStart"/>
      <w:r>
        <w:t>published,</w:t>
      </w:r>
      <w:proofErr w:type="gramEnd"/>
      <w:r>
        <w:t xml:space="preserve">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Default="00D77280" w:rsidP="00D77280"/>
    <w:p w14:paraId="55B5EB06" w14:textId="77777777" w:rsidR="00D77280" w:rsidRDefault="00D77280" w:rsidP="00D77280">
      <w:r>
        <w:t xml:space="preserve">The accompanying validation spreadsheet includes additional rules for Asset Encumbrance, which </w:t>
      </w:r>
      <w:proofErr w:type="gramStart"/>
      <w:r>
        <w:t>are</w:t>
      </w:r>
      <w:proofErr w:type="gramEnd"/>
      <w:r>
        <w:t xml:space="preserve"> not represented in the XBRL taxonomy, being marked as “Not implemented in XBRL”. There is no new Asset Encumbrance taxonomy version in this release.</w:t>
      </w:r>
    </w:p>
    <w:p w14:paraId="55B5EB07" w14:textId="77777777" w:rsidR="00D77280" w:rsidRDefault="00D77280" w:rsidP="00D77280"/>
    <w:p w14:paraId="55B5EB08" w14:textId="77777777" w:rsidR="00D77280" w:rsidRDefault="00D77280" w:rsidP="00D77280">
      <w:r>
        <w:t>The function “min” is used for the first time in validation rules in this release.</w:t>
      </w:r>
    </w:p>
    <w:p w14:paraId="55B5EB09" w14:textId="77777777" w:rsidR="00D77280" w:rsidRPr="000818EE" w:rsidRDefault="00D77280" w:rsidP="00D77280">
      <w:pPr>
        <w:pStyle w:val="Titlelevel4"/>
        <w:ind w:left="720" w:right="711"/>
      </w:pPr>
      <w:proofErr w:type="gramStart"/>
      <w:r w:rsidRPr="000818EE">
        <w:t>A quick clarification regarding the “</w:t>
      </w:r>
      <w:proofErr w:type="spellStart"/>
      <w:r w:rsidRPr="000818EE">
        <w:t>xsum</w:t>
      </w:r>
      <w:proofErr w:type="spellEnd"/>
      <w:r w:rsidRPr="000818EE">
        <w:t>” function.</w:t>
      </w:r>
      <w:proofErr w:type="gramEnd"/>
    </w:p>
    <w:p w14:paraId="55B5EB0A" w14:textId="77777777" w:rsidR="00D77280" w:rsidRPr="00055C2E" w:rsidRDefault="00D77280" w:rsidP="00D77280">
      <w:pPr>
        <w:ind w:left="720" w:right="711"/>
        <w:jc w:val="both"/>
      </w:pPr>
      <w:r>
        <w:t xml:space="preserve">Used in the EBA validation rule formulae, </w:t>
      </w:r>
      <w:r w:rsidRPr="00055C2E">
        <w:t>“</w:t>
      </w:r>
      <w:proofErr w:type="spellStart"/>
      <w:r w:rsidRPr="00055C2E">
        <w:t>xsum</w:t>
      </w:r>
      <w:proofErr w:type="spellEnd"/>
      <w:r w:rsidRPr="00055C2E">
        <w:t>” indicates that the value of all the cells at intersections of the listed co-ordinates should be summed. I.e. if a formula stated “</w:t>
      </w:r>
      <w:proofErr w:type="spellStart"/>
      <w:proofErr w:type="gramStart"/>
      <w:r w:rsidRPr="00055C2E">
        <w:t>xsum</w:t>
      </w:r>
      <w:proofErr w:type="spellEnd"/>
      <w:r w:rsidRPr="00055C2E">
        <w:t>(</w:t>
      </w:r>
      <w:proofErr w:type="gramEnd"/>
      <w:r w:rsidRPr="00055C2E">
        <w:t>{TABLECODE, (r010, r030, c010, 030, 040)})”, then it would indicate the sum of the six cells labelled A-F in the illustration below</w:t>
      </w:r>
    </w:p>
    <w:p w14:paraId="55B5EB0B" w14:textId="77777777"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Default="00D77280" w:rsidP="00923CC5">
            <w:pPr>
              <w:rPr>
                <w:rFonts w:ascii="Calibri" w:hAnsi="Calibri"/>
                <w:b/>
                <w:bCs/>
                <w:color w:val="44546A"/>
                <w:szCs w:val="22"/>
              </w:rPr>
            </w:pPr>
            <w:r>
              <w:rPr>
                <w:rFonts w:ascii="Calibri" w:hAnsi="Calibri"/>
                <w:b/>
                <w:bCs/>
                <w:color w:val="44546A"/>
                <w:szCs w:val="22"/>
              </w:rPr>
              <w:t>050</w:t>
            </w:r>
          </w:p>
        </w:tc>
      </w:tr>
      <w:tr w:rsidR="00D77280"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Default="00D77280" w:rsidP="00923CC5">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055C2E" w:rsidRDefault="00D77280" w:rsidP="00923CC5">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Default="00D77280" w:rsidP="00923CC5">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Default="00D77280" w:rsidP="00923CC5">
            <w:pPr>
              <w:rPr>
                <w:rFonts w:ascii="Calibri" w:hAnsi="Calibri"/>
                <w:color w:val="44546A"/>
                <w:szCs w:val="22"/>
              </w:rPr>
            </w:pPr>
          </w:p>
        </w:tc>
      </w:tr>
      <w:tr w:rsidR="00D77280"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Default="00D77280" w:rsidP="00923CC5">
            <w:pPr>
              <w:rPr>
                <w:rFonts w:ascii="Calibri" w:eastAsiaTheme="minorHAnsi" w:hAnsi="Calibri"/>
                <w:color w:val="44546A"/>
                <w:szCs w:val="22"/>
              </w:rPr>
            </w:pPr>
          </w:p>
        </w:tc>
      </w:tr>
      <w:tr w:rsidR="00D77280"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Default="00D77280" w:rsidP="00923CC5">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Default="00D77280" w:rsidP="00923CC5">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Default="00D77280" w:rsidP="00923CC5">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Default="00D77280" w:rsidP="00923CC5">
            <w:pPr>
              <w:rPr>
                <w:rFonts w:ascii="Calibri" w:hAnsi="Calibri"/>
                <w:color w:val="44546A"/>
                <w:szCs w:val="22"/>
              </w:rPr>
            </w:pPr>
          </w:p>
        </w:tc>
      </w:tr>
      <w:tr w:rsidR="00D77280"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Default="00D77280" w:rsidP="00923CC5">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055C2E"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055C2E"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055C2E" w:rsidRDefault="00D77280" w:rsidP="00923CC5">
            <w:pPr>
              <w:rPr>
                <w:rFonts w:ascii="Calibri" w:hAnsi="Calibri"/>
                <w:b/>
                <w:bCs/>
                <w:color w:val="44546A"/>
                <w:szCs w:val="22"/>
              </w:rPr>
            </w:pPr>
          </w:p>
        </w:tc>
      </w:tr>
    </w:tbl>
    <w:p w14:paraId="55B5EB2F" w14:textId="77777777" w:rsidR="00D77280" w:rsidRDefault="00D77280" w:rsidP="00D77280"/>
    <w:p w14:paraId="55B5EB30" w14:textId="77777777" w:rsidR="00D77280" w:rsidRPr="00AF5AA3" w:rsidRDefault="00D77280" w:rsidP="00D77280">
      <w:pPr>
        <w:pStyle w:val="Titlelevel2"/>
        <w:keepNext/>
      </w:pPr>
      <w:r>
        <w:lastRenderedPageBreak/>
        <w:t>XBRL c</w:t>
      </w:r>
      <w:r w:rsidRPr="00AF5AA3">
        <w:t>hanges</w:t>
      </w:r>
    </w:p>
    <w:p w14:paraId="55B5EB31" w14:textId="77777777" w:rsidR="00D77280" w:rsidRDefault="00D77280" w:rsidP="00D77280">
      <w:pPr>
        <w:pStyle w:val="Titlelevel3"/>
      </w:pPr>
      <w:r>
        <w:t>Validation rules</w:t>
      </w:r>
    </w:p>
    <w:p w14:paraId="55B5EB32" w14:textId="77777777"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Default="00D77280" w:rsidP="00D77280"/>
    <w:p w14:paraId="55B5EB34" w14:textId="77777777" w:rsidR="00D77280" w:rsidRPr="002D2F3D" w:rsidRDefault="00D77280" w:rsidP="00D77280">
      <w:pPr>
        <w:pStyle w:val="Titlelevel3"/>
      </w:pPr>
      <w:r w:rsidRPr="002D2F3D">
        <w:t>QA 1042</w:t>
      </w:r>
      <w:r>
        <w:t xml:space="preserve"> - Multicurrency</w:t>
      </w:r>
    </w:p>
    <w:p w14:paraId="55B5EB35" w14:textId="77777777"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w:t>
      </w:r>
      <w:proofErr w:type="gramStart"/>
      <w:r w:rsidRPr="007C4AD7">
        <w:rPr>
          <w:b/>
        </w:rPr>
        <w:t>:x1</w:t>
      </w:r>
      <w:proofErr w:type="gramEnd"/>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14:paraId="55B5EB36" w14:textId="77777777" w:rsidR="00A2385B" w:rsidRDefault="00A2385B" w:rsidP="00D77280"/>
    <w:p w14:paraId="55B5EB37" w14:textId="77777777" w:rsidR="00A2385B" w:rsidRDefault="00A2385B" w:rsidP="00A2385B">
      <w:pPr>
        <w:pStyle w:val="Titlelevel3"/>
      </w:pPr>
      <w:r>
        <w:t>LEI Scheme URI</w:t>
      </w:r>
    </w:p>
    <w:p w14:paraId="55B5EB38" w14:textId="77777777" w:rsidR="00A2385B" w:rsidRDefault="00A2385B" w:rsidP="00A2385B">
      <w:r>
        <w:t>Previous editions of the EBA filing rules have sadly erroneously specified a scheme URI of “http://standard.iso.org/</w:t>
      </w:r>
      <w:proofErr w:type="spellStart"/>
      <w:r>
        <w:t>iso</w:t>
      </w:r>
      <w:proofErr w:type="spellEnd"/>
      <w:r>
        <w:t xml:space="preserve">/17442” for (pre)LEI codes (note the missing </w:t>
      </w:r>
      <w:proofErr w:type="spellStart"/>
      <w:r>
        <w:t>final s</w:t>
      </w:r>
      <w:proofErr w:type="spellEnd"/>
      <w:r>
        <w:t xml:space="preserve"> of “standards”). RFC5141 however specifies the plural form.</w:t>
      </w:r>
    </w:p>
    <w:p w14:paraId="55B5EB39" w14:textId="77777777" w:rsidR="00A2385B" w:rsidRDefault="00A2385B" w:rsidP="00A2385B"/>
    <w:p w14:paraId="55B5EB3A" w14:textId="77777777" w:rsidR="00A2385B" w:rsidRDefault="00A2385B" w:rsidP="00A2385B">
      <w:r>
        <w:t>Producers of instance documents are encouraged to switch as quickly as possible to producing the correct form “http://standards.iso.org/</w:t>
      </w:r>
      <w:proofErr w:type="spellStart"/>
      <w:r>
        <w:t>iso</w:t>
      </w:r>
      <w:proofErr w:type="spellEnd"/>
      <w:r>
        <w:t>/17442”. The EBA will (and consumers of instance documents are strongly encouraged also to) in practice accept either form from submitters.</w:t>
      </w:r>
    </w:p>
    <w:p w14:paraId="55B5EB3B" w14:textId="77777777" w:rsidR="00D77280" w:rsidRPr="000818EE" w:rsidRDefault="00D77280" w:rsidP="00D77280">
      <w:pPr>
        <w:pStyle w:val="Titlelevel2"/>
        <w:keepNext/>
      </w:pPr>
      <w:r w:rsidRPr="000818EE">
        <w:t>Correction of Outstanding Known Issues</w:t>
      </w:r>
    </w:p>
    <w:p w14:paraId="55B5EB3C" w14:textId="77777777"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F5AA3" w:rsidRDefault="00360446" w:rsidP="00060ADA"/>
    <w:p w14:paraId="55B5EB3E" w14:textId="77777777" w:rsidR="00360446" w:rsidRDefault="00360446" w:rsidP="00360446"/>
    <w:p w14:paraId="55B5EB3F" w14:textId="77777777"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14:paraId="55B5EB40" w14:textId="77777777"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14:paraId="55B5EB41" w14:textId="77777777" w:rsidR="00E47786" w:rsidRPr="00AF5AA3" w:rsidRDefault="00E47786" w:rsidP="00E47786">
      <w:pPr>
        <w:pStyle w:val="Titlelevel2"/>
      </w:pPr>
      <w:r w:rsidRPr="00AF5AA3">
        <w:t>Purpose</w:t>
      </w:r>
    </w:p>
    <w:p w14:paraId="55B5EB42" w14:textId="77777777"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14:paraId="55B5EB43" w14:textId="77777777" w:rsidR="00587A42" w:rsidRPr="00AF5AA3" w:rsidRDefault="00587A42" w:rsidP="00587A42"/>
    <w:p w14:paraId="55B5EB44" w14:textId="77777777"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Default="005A683A" w:rsidP="005A683A"/>
    <w:p w14:paraId="55B5EB46" w14:textId="77777777"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14:paraId="55B5EB47" w14:textId="77777777" w:rsidR="00DA19C1" w:rsidRDefault="00DA19C1" w:rsidP="00587A42"/>
    <w:p w14:paraId="55B5EB48" w14:textId="77777777"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14:paraId="55B5EB49" w14:textId="77777777" w:rsidR="00413725" w:rsidRDefault="00413725" w:rsidP="00587A42"/>
    <w:p w14:paraId="55B5EB4A" w14:textId="77777777" w:rsidR="00E47786" w:rsidRPr="00AF5AA3" w:rsidRDefault="00E47786" w:rsidP="00E47786">
      <w:pPr>
        <w:pStyle w:val="Titlelevel2"/>
      </w:pPr>
      <w:r w:rsidRPr="00AF5AA3">
        <w:t>DPM Changes</w:t>
      </w:r>
    </w:p>
    <w:p w14:paraId="55B5EB4B" w14:textId="77777777" w:rsidR="00E47786" w:rsidRPr="00AF5AA3" w:rsidRDefault="00587A42" w:rsidP="00183058">
      <w:pPr>
        <w:pStyle w:val="ListParagraph"/>
        <w:numPr>
          <w:ilvl w:val="0"/>
          <w:numId w:val="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F5AA3" w:rsidRDefault="00AF5AA3" w:rsidP="00587A42">
            <w:pPr>
              <w:keepNext/>
              <w:keepLines/>
              <w:rPr>
                <w:b/>
              </w:rPr>
            </w:pPr>
            <w:r w:rsidRPr="00AF5AA3">
              <w:rPr>
                <w:b/>
              </w:rPr>
              <w:t>Introduced In</w:t>
            </w:r>
          </w:p>
        </w:tc>
        <w:tc>
          <w:tcPr>
            <w:tcW w:w="3402" w:type="dxa"/>
            <w:tcMar>
              <w:left w:w="57" w:type="dxa"/>
              <w:right w:w="57" w:type="dxa"/>
            </w:tcMar>
          </w:tcPr>
          <w:p w14:paraId="55B5EB4D" w14:textId="77777777" w:rsidR="00AF5AA3" w:rsidRPr="00AF5AA3" w:rsidRDefault="00AF5AA3" w:rsidP="00587A42">
            <w:pPr>
              <w:keepNext/>
              <w:keepLines/>
              <w:rPr>
                <w:b/>
              </w:rPr>
            </w:pPr>
            <w:r w:rsidRPr="00AF5AA3">
              <w:rPr>
                <w:b/>
              </w:rPr>
              <w:t>Report</w:t>
            </w:r>
          </w:p>
        </w:tc>
        <w:tc>
          <w:tcPr>
            <w:tcW w:w="4312" w:type="dxa"/>
            <w:tcMar>
              <w:left w:w="57" w:type="dxa"/>
              <w:right w:w="57" w:type="dxa"/>
            </w:tcMar>
          </w:tcPr>
          <w:p w14:paraId="55B5EB4E" w14:textId="77777777" w:rsidR="00AF5AA3" w:rsidRPr="00AF5AA3" w:rsidRDefault="00AF5AA3" w:rsidP="00587A42">
            <w:pPr>
              <w:keepNext/>
              <w:keepLines/>
              <w:rPr>
                <w:b/>
              </w:rPr>
            </w:pPr>
            <w:proofErr w:type="spellStart"/>
            <w:r w:rsidRPr="00AF5AA3">
              <w:rPr>
                <w:b/>
              </w:rPr>
              <w:t>SchemaRef</w:t>
            </w:r>
            <w:proofErr w:type="spellEnd"/>
          </w:p>
        </w:tc>
      </w:tr>
      <w:tr w:rsidR="00AF5AA3" w:rsidRPr="00AF5AA3" w14:paraId="55B5EB53" w14:textId="77777777" w:rsidTr="00AF5AA3">
        <w:trPr>
          <w:cantSplit/>
          <w:trHeight w:val="195"/>
        </w:trPr>
        <w:tc>
          <w:tcPr>
            <w:tcW w:w="1475" w:type="dxa"/>
          </w:tcPr>
          <w:p w14:paraId="55B5EB50"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1" w14:textId="77777777"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14:paraId="55B5EB52"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14:paraId="55B5EB57" w14:textId="77777777" w:rsidTr="00AF5AA3">
        <w:trPr>
          <w:cantSplit/>
          <w:trHeight w:val="195"/>
        </w:trPr>
        <w:tc>
          <w:tcPr>
            <w:tcW w:w="1475" w:type="dxa"/>
          </w:tcPr>
          <w:p w14:paraId="55B5EB54"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5" w14:textId="77777777"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14:paraId="55B5EB56"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14:paraId="55B5EB5B" w14:textId="77777777" w:rsidTr="00AF5AA3">
        <w:trPr>
          <w:cantSplit/>
          <w:trHeight w:val="195"/>
        </w:trPr>
        <w:tc>
          <w:tcPr>
            <w:tcW w:w="1475" w:type="dxa"/>
          </w:tcPr>
          <w:p w14:paraId="55B5EB58" w14:textId="77777777"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14:paraId="55B5EB59" w14:textId="77777777"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14:paraId="55B5EB5A" w14:textId="77777777"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14:paraId="55B5EB5F" w14:textId="77777777" w:rsidTr="00AF5AA3">
        <w:trPr>
          <w:trHeight w:val="195"/>
        </w:trPr>
        <w:tc>
          <w:tcPr>
            <w:tcW w:w="1475" w:type="dxa"/>
          </w:tcPr>
          <w:p w14:paraId="55B5EB5C" w14:textId="77777777" w:rsidR="00AF5AA3" w:rsidRPr="00AF5AA3" w:rsidRDefault="00AF5AA3" w:rsidP="00587A42">
            <w:pPr>
              <w:keepLines/>
              <w:rPr>
                <w:b/>
                <w:sz w:val="16"/>
              </w:rPr>
            </w:pPr>
            <w:r w:rsidRPr="00AF5AA3">
              <w:rPr>
                <w:b/>
                <w:sz w:val="16"/>
              </w:rPr>
              <w:t>2.3.2</w:t>
            </w:r>
          </w:p>
        </w:tc>
        <w:tc>
          <w:tcPr>
            <w:tcW w:w="3402" w:type="dxa"/>
            <w:tcMar>
              <w:left w:w="57" w:type="dxa"/>
              <w:right w:w="57" w:type="dxa"/>
            </w:tcMar>
          </w:tcPr>
          <w:p w14:paraId="55B5EB5D" w14:textId="77777777"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14:paraId="55B5EB5E" w14:textId="77777777"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14:paraId="55B5EB60" w14:textId="77777777" w:rsidR="00E47786" w:rsidRPr="00AF5AA3" w:rsidRDefault="00E47786" w:rsidP="00E47786">
      <w:pPr>
        <w:pStyle w:val="Titlelevel3"/>
      </w:pPr>
      <w:r w:rsidRPr="00AF5AA3">
        <w:t>Validation Rule Changes</w:t>
      </w:r>
    </w:p>
    <w:p w14:paraId="55B5EB61" w14:textId="77777777" w:rsidR="00AF5AA3" w:rsidRDefault="00AF5AA3" w:rsidP="00183058">
      <w:pPr>
        <w:pStyle w:val="ListParagraph"/>
        <w:numPr>
          <w:ilvl w:val="0"/>
          <w:numId w:val="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14:paraId="55B5EB62" w14:textId="77777777" w:rsidR="00AF5AA3" w:rsidRDefault="00AF5AA3" w:rsidP="00183058">
      <w:pPr>
        <w:pStyle w:val="ListParagraph"/>
        <w:numPr>
          <w:ilvl w:val="0"/>
          <w:numId w:val="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14:paraId="55B5EB63" w14:textId="77777777" w:rsidR="00AF5AA3" w:rsidRPr="00AF5AA3" w:rsidRDefault="00AF5AA3" w:rsidP="007D121B">
      <w:pPr>
        <w:pStyle w:val="Titlelevel3"/>
      </w:pPr>
      <w:r>
        <w:lastRenderedPageBreak/>
        <w:t>DPM DB</w:t>
      </w:r>
      <w:r w:rsidRPr="00AF5AA3">
        <w:t xml:space="preserve"> Changes</w:t>
      </w:r>
    </w:p>
    <w:p w14:paraId="55B5EB64" w14:textId="77777777" w:rsidR="00772008" w:rsidRDefault="00772008" w:rsidP="00183058">
      <w:pPr>
        <w:pStyle w:val="ListParagraph"/>
        <w:numPr>
          <w:ilvl w:val="0"/>
          <w:numId w:val="20"/>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14:paraId="55B5EB65" w14:textId="77777777" w:rsidR="0022111D" w:rsidRDefault="0022111D" w:rsidP="00183058">
      <w:pPr>
        <w:pStyle w:val="ListParagraph"/>
        <w:numPr>
          <w:ilvl w:val="0"/>
          <w:numId w:val="20"/>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14:paraId="55B5EB66" w14:textId="77777777" w:rsidR="00C92C09" w:rsidRDefault="00C92C09" w:rsidP="00183058">
      <w:pPr>
        <w:pStyle w:val="ListParagraph"/>
        <w:numPr>
          <w:ilvl w:val="0"/>
          <w:numId w:val="20"/>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14:paraId="55B5EB67" w14:textId="77777777" w:rsidR="00C92C09" w:rsidRDefault="00C92C09" w:rsidP="00183058">
      <w:pPr>
        <w:pStyle w:val="ListParagraph"/>
        <w:numPr>
          <w:ilvl w:val="0"/>
          <w:numId w:val="20"/>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14:paraId="55B5EB68" w14:textId="77777777" w:rsidR="00C92C09" w:rsidRDefault="00C92C09" w:rsidP="00183058">
      <w:pPr>
        <w:pStyle w:val="ListParagraph"/>
        <w:numPr>
          <w:ilvl w:val="0"/>
          <w:numId w:val="20"/>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14:paraId="55B5EB69" w14:textId="77777777" w:rsidR="00C05123" w:rsidRPr="0022111D" w:rsidRDefault="00C92C09" w:rsidP="00183058">
      <w:pPr>
        <w:pStyle w:val="ListParagraph"/>
        <w:numPr>
          <w:ilvl w:val="0"/>
          <w:numId w:val="20"/>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14:paraId="55B5EB6A" w14:textId="77777777" w:rsidR="007D121B" w:rsidRPr="00AF5AA3" w:rsidRDefault="007D121B" w:rsidP="007C6692">
      <w:pPr>
        <w:pStyle w:val="Titlelevel2"/>
        <w:keepNext/>
      </w:pPr>
      <w:r>
        <w:t xml:space="preserve">XBRL </w:t>
      </w:r>
      <w:r w:rsidRPr="00AF5AA3">
        <w:t>Changes</w:t>
      </w:r>
    </w:p>
    <w:p w14:paraId="55B5EB6B" w14:textId="77777777"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14:paraId="55B5EB6C" w14:textId="77777777" w:rsidR="00E47786" w:rsidRPr="00E75446" w:rsidRDefault="00E47786" w:rsidP="00E75446">
      <w:pPr>
        <w:pStyle w:val="Titlelevel2"/>
        <w:keepNext/>
      </w:pPr>
      <w:r w:rsidRPr="00E75446">
        <w:t>Known Issues</w:t>
      </w:r>
    </w:p>
    <w:p w14:paraId="55B5EB6D" w14:textId="77777777"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14:paraId="55B5EB6E" w14:textId="77777777" w:rsidR="00E75446" w:rsidRDefault="00E75446">
      <w:pPr>
        <w:rPr>
          <w:rFonts w:asciiTheme="majorHAnsi" w:eastAsiaTheme="majorEastAsia" w:hAnsiTheme="majorHAnsi" w:cstheme="majorBidi"/>
          <w:color w:val="2F5773" w:themeColor="text2"/>
          <w:spacing w:val="5"/>
          <w:kern w:val="28"/>
          <w:sz w:val="52"/>
          <w:szCs w:val="52"/>
        </w:rPr>
      </w:pPr>
      <w:r>
        <w:br w:type="page"/>
      </w:r>
    </w:p>
    <w:p w14:paraId="55B5EB6F" w14:textId="77777777"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14:paraId="55B5EB70" w14:textId="77777777" w:rsidR="00B000E3" w:rsidRDefault="00B000E3" w:rsidP="00D515AE">
      <w:pPr>
        <w:pStyle w:val="Titlelevel2"/>
      </w:pPr>
      <w:r>
        <w:t>Purpose</w:t>
      </w:r>
    </w:p>
    <w:p w14:paraId="55B5EB71" w14:textId="77777777"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14:paraId="55B5EB72" w14:textId="77777777"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14:paraId="55B5EB74" w14:textId="77777777" w:rsidR="00B000E3" w:rsidRDefault="00B000E3" w:rsidP="00B000E3">
      <w:r>
        <w:t xml:space="preserve">The main data dictionary and the other reporting taxonomies (COREP, FINREP, </w:t>
      </w:r>
      <w:proofErr w:type="gramStart"/>
      <w:r>
        <w:t>AE</w:t>
      </w:r>
      <w:proofErr w:type="gramEnd"/>
      <w:r>
        <w:t>) are unchanged compared to the 2.3 release.</w:t>
      </w:r>
    </w:p>
    <w:p w14:paraId="55B5EB75" w14:textId="77777777" w:rsidR="00B000E3" w:rsidRDefault="006A5AC9" w:rsidP="00D515AE">
      <w:pPr>
        <w:pStyle w:val="Titlelevel2"/>
      </w:pPr>
      <w:r>
        <w:t xml:space="preserve">DPM </w:t>
      </w:r>
      <w:r w:rsidR="00B000E3">
        <w:t>Changes</w:t>
      </w:r>
    </w:p>
    <w:p w14:paraId="55B5EB76" w14:textId="77777777" w:rsidR="00B000E3" w:rsidRDefault="00534F52" w:rsidP="00183058">
      <w:pPr>
        <w:pStyle w:val="ListParagraph"/>
        <w:numPr>
          <w:ilvl w:val="0"/>
          <w:numId w:val="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4F52" w:rsidRDefault="00534F52" w:rsidP="00B939D1">
            <w:pPr>
              <w:keepLines/>
              <w:rPr>
                <w:b/>
              </w:rPr>
            </w:pPr>
            <w:r w:rsidRPr="00534F52">
              <w:rPr>
                <w:b/>
              </w:rPr>
              <w:t>Was</w:t>
            </w:r>
          </w:p>
        </w:tc>
        <w:tc>
          <w:tcPr>
            <w:tcW w:w="3261" w:type="dxa"/>
            <w:tcMar>
              <w:left w:w="57" w:type="dxa"/>
              <w:right w:w="57" w:type="dxa"/>
            </w:tcMar>
          </w:tcPr>
          <w:p w14:paraId="55B5EB78" w14:textId="77777777" w:rsidR="00534F52" w:rsidRPr="00534F52" w:rsidRDefault="002E6BE9" w:rsidP="00B939D1">
            <w:pPr>
              <w:keepLines/>
              <w:rPr>
                <w:b/>
              </w:rPr>
            </w:pPr>
            <w:r>
              <w:rPr>
                <w:b/>
              </w:rPr>
              <w:t xml:space="preserve">Old </w:t>
            </w:r>
            <w:proofErr w:type="spellStart"/>
            <w:r>
              <w:rPr>
                <w:b/>
              </w:rPr>
              <w:t>SchemaRef</w:t>
            </w:r>
            <w:proofErr w:type="spellEnd"/>
          </w:p>
        </w:tc>
        <w:tc>
          <w:tcPr>
            <w:tcW w:w="1134" w:type="dxa"/>
            <w:tcMar>
              <w:left w:w="57" w:type="dxa"/>
              <w:right w:w="57" w:type="dxa"/>
            </w:tcMar>
          </w:tcPr>
          <w:p w14:paraId="55B5EB79" w14:textId="77777777" w:rsidR="00534F52" w:rsidRPr="00534F52" w:rsidRDefault="00534F52" w:rsidP="00B939D1">
            <w:pPr>
              <w:keepLines/>
              <w:rPr>
                <w:b/>
              </w:rPr>
            </w:pPr>
            <w:r w:rsidRPr="00534F52">
              <w:rPr>
                <w:b/>
              </w:rPr>
              <w:t>Now</w:t>
            </w:r>
          </w:p>
        </w:tc>
        <w:tc>
          <w:tcPr>
            <w:tcW w:w="3574" w:type="dxa"/>
            <w:tcMar>
              <w:left w:w="57" w:type="dxa"/>
              <w:right w:w="57" w:type="dxa"/>
            </w:tcMar>
          </w:tcPr>
          <w:p w14:paraId="55B5EB7A" w14:textId="77777777" w:rsidR="00534F52" w:rsidRPr="00534F52" w:rsidRDefault="002E6BE9" w:rsidP="00B939D1">
            <w:pPr>
              <w:keepLines/>
              <w:rPr>
                <w:b/>
              </w:rPr>
            </w:pPr>
            <w:r>
              <w:rPr>
                <w:b/>
              </w:rPr>
              <w:t xml:space="preserve">New </w:t>
            </w:r>
            <w:proofErr w:type="spellStart"/>
            <w:r>
              <w:rPr>
                <w:b/>
              </w:rPr>
              <w:t>SchemaRef</w:t>
            </w:r>
            <w:proofErr w:type="spellEnd"/>
          </w:p>
        </w:tc>
      </w:tr>
      <w:tr w:rsidR="00AA0EE8" w14:paraId="55B5EB80" w14:textId="77777777" w:rsidTr="00766D0C">
        <w:tc>
          <w:tcPr>
            <w:tcW w:w="1162" w:type="dxa"/>
            <w:vMerge w:val="restart"/>
            <w:tcMar>
              <w:left w:w="57" w:type="dxa"/>
              <w:right w:w="57" w:type="dxa"/>
            </w:tcMar>
          </w:tcPr>
          <w:p w14:paraId="55B5EB7C" w14:textId="77777777"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14:paraId="55B5EB7D"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14:paraId="55B5EB7E" w14:textId="77777777"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14:paraId="55B5EB7F"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14:paraId="55B5EB85" w14:textId="77777777" w:rsidTr="00766D0C">
        <w:tc>
          <w:tcPr>
            <w:tcW w:w="1162" w:type="dxa"/>
            <w:vMerge/>
            <w:tcMar>
              <w:left w:w="57" w:type="dxa"/>
              <w:right w:w="57" w:type="dxa"/>
            </w:tcMar>
          </w:tcPr>
          <w:p w14:paraId="55B5EB81" w14:textId="77777777" w:rsidR="00AA0EE8" w:rsidRPr="00AA0EE8" w:rsidRDefault="00AA0EE8" w:rsidP="00B939D1">
            <w:pPr>
              <w:keepLines/>
              <w:rPr>
                <w:sz w:val="16"/>
              </w:rPr>
            </w:pPr>
          </w:p>
        </w:tc>
        <w:tc>
          <w:tcPr>
            <w:tcW w:w="3261" w:type="dxa"/>
            <w:vMerge/>
            <w:tcMar>
              <w:left w:w="57" w:type="dxa"/>
              <w:right w:w="57" w:type="dxa"/>
            </w:tcMar>
          </w:tcPr>
          <w:p w14:paraId="55B5EB82"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3" w14:textId="77777777" w:rsidR="00AA0EE8" w:rsidRPr="00AA0EE8" w:rsidRDefault="00AA0EE8" w:rsidP="00B939D1">
            <w:pPr>
              <w:keepLines/>
              <w:rPr>
                <w:sz w:val="16"/>
              </w:rPr>
            </w:pPr>
            <w:r w:rsidRPr="00AA0EE8">
              <w:rPr>
                <w:sz w:val="16"/>
              </w:rPr>
              <w:t>FP Consolidated</w:t>
            </w:r>
          </w:p>
        </w:tc>
        <w:tc>
          <w:tcPr>
            <w:tcW w:w="3574" w:type="dxa"/>
            <w:tcMar>
              <w:left w:w="57" w:type="dxa"/>
              <w:right w:w="57" w:type="dxa"/>
            </w:tcMar>
          </w:tcPr>
          <w:p w14:paraId="55B5EB84" w14:textId="77777777"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14:paraId="55B5EB8A" w14:textId="77777777" w:rsidTr="00766D0C">
        <w:tc>
          <w:tcPr>
            <w:tcW w:w="1162" w:type="dxa"/>
            <w:vMerge w:val="restart"/>
            <w:tcMar>
              <w:left w:w="57" w:type="dxa"/>
              <w:right w:w="57" w:type="dxa"/>
            </w:tcMar>
          </w:tcPr>
          <w:p w14:paraId="55B5EB86" w14:textId="77777777"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14:paraId="55B5EB87"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14:paraId="55B5EB88" w14:textId="77777777"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14:paraId="55B5EB89"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14:paraId="55B5EB8F" w14:textId="77777777" w:rsidTr="00766D0C">
        <w:tc>
          <w:tcPr>
            <w:tcW w:w="1162" w:type="dxa"/>
            <w:vMerge/>
            <w:tcMar>
              <w:left w:w="57" w:type="dxa"/>
              <w:right w:w="57" w:type="dxa"/>
            </w:tcMar>
          </w:tcPr>
          <w:p w14:paraId="55B5EB8B" w14:textId="77777777" w:rsidR="00AA0EE8" w:rsidRPr="00AA0EE8" w:rsidRDefault="00AA0EE8" w:rsidP="00B939D1">
            <w:pPr>
              <w:keepLines/>
              <w:rPr>
                <w:sz w:val="16"/>
              </w:rPr>
            </w:pPr>
          </w:p>
        </w:tc>
        <w:tc>
          <w:tcPr>
            <w:tcW w:w="3261" w:type="dxa"/>
            <w:vMerge/>
            <w:tcMar>
              <w:left w:w="57" w:type="dxa"/>
              <w:right w:w="57" w:type="dxa"/>
            </w:tcMar>
          </w:tcPr>
          <w:p w14:paraId="55B5EB8C"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D" w14:textId="77777777"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14:paraId="55B5EB8E"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14:paraId="55B5EB94" w14:textId="77777777" w:rsidTr="00766D0C">
        <w:tc>
          <w:tcPr>
            <w:tcW w:w="1162" w:type="dxa"/>
            <w:vMerge w:val="restart"/>
            <w:tcMar>
              <w:left w:w="57" w:type="dxa"/>
              <w:right w:w="57" w:type="dxa"/>
            </w:tcMar>
          </w:tcPr>
          <w:p w14:paraId="55B5EB90" w14:textId="77777777"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14:paraId="55B5EB91"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14:paraId="55B5EB92" w14:textId="77777777" w:rsidR="00AA0EE8" w:rsidRPr="00AA0EE8" w:rsidRDefault="00AA0EE8" w:rsidP="00B939D1">
            <w:pPr>
              <w:keepLines/>
              <w:rPr>
                <w:sz w:val="16"/>
              </w:rPr>
            </w:pPr>
            <w:r w:rsidRPr="00AA0EE8">
              <w:rPr>
                <w:sz w:val="16"/>
              </w:rPr>
              <w:t>IMV Individual</w:t>
            </w:r>
          </w:p>
        </w:tc>
        <w:tc>
          <w:tcPr>
            <w:tcW w:w="3574" w:type="dxa"/>
            <w:tcMar>
              <w:left w:w="57" w:type="dxa"/>
              <w:right w:w="57" w:type="dxa"/>
            </w:tcMar>
          </w:tcPr>
          <w:p w14:paraId="55B5EB93"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14:paraId="55B5EB99" w14:textId="77777777" w:rsidTr="00766D0C">
        <w:tc>
          <w:tcPr>
            <w:tcW w:w="1162" w:type="dxa"/>
            <w:vMerge/>
            <w:tcMar>
              <w:left w:w="57" w:type="dxa"/>
              <w:right w:w="57" w:type="dxa"/>
            </w:tcMar>
          </w:tcPr>
          <w:p w14:paraId="55B5EB95" w14:textId="77777777" w:rsidR="00AA0EE8" w:rsidRPr="00AA0EE8" w:rsidRDefault="00AA0EE8" w:rsidP="00B939D1">
            <w:pPr>
              <w:keepLines/>
              <w:rPr>
                <w:sz w:val="16"/>
              </w:rPr>
            </w:pPr>
          </w:p>
        </w:tc>
        <w:tc>
          <w:tcPr>
            <w:tcW w:w="3261" w:type="dxa"/>
            <w:vMerge/>
            <w:tcMar>
              <w:left w:w="57" w:type="dxa"/>
              <w:right w:w="57" w:type="dxa"/>
            </w:tcMar>
          </w:tcPr>
          <w:p w14:paraId="55B5EB96" w14:textId="77777777" w:rsidR="00AA0EE8" w:rsidRPr="00AA0EE8" w:rsidRDefault="00AA0EE8" w:rsidP="00B939D1">
            <w:pPr>
              <w:keepLines/>
              <w:rPr>
                <w:sz w:val="16"/>
              </w:rPr>
            </w:pPr>
          </w:p>
        </w:tc>
        <w:tc>
          <w:tcPr>
            <w:tcW w:w="1134" w:type="dxa"/>
            <w:tcMar>
              <w:left w:w="57" w:type="dxa"/>
              <w:right w:w="57" w:type="dxa"/>
            </w:tcMar>
          </w:tcPr>
          <w:p w14:paraId="55B5EB97" w14:textId="77777777"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14:paraId="55B5EB98"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14:paraId="55B5EB9A" w14:textId="77777777" w:rsidR="00534F52" w:rsidRDefault="00534F52" w:rsidP="00B000E3"/>
    <w:p w14:paraId="55B5EB9B"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14:paraId="55B5EB9C" w14:textId="77777777"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14:paraId="55B5EB9D"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 xml:space="preserve">replacing the </w:t>
      </w:r>
      <w:proofErr w:type="spellStart"/>
      <w:r w:rsidR="00AA0EE8">
        <w:t>schemaR</w:t>
      </w:r>
      <w:r>
        <w:t>ef</w:t>
      </w:r>
      <w:proofErr w:type="spellEnd"/>
      <w:r>
        <w:t xml:space="preserve"> of a valid 2.3 instance file </w:t>
      </w:r>
      <w:r w:rsidR="00AA0EE8">
        <w:t>with the appropriate i</w:t>
      </w:r>
      <w:r>
        <w:t xml:space="preserve">ndividual or </w:t>
      </w:r>
      <w:r w:rsidR="00AA0EE8">
        <w:t>c</w:t>
      </w:r>
      <w:r>
        <w:t xml:space="preserve">onsolidated </w:t>
      </w:r>
      <w:proofErr w:type="spellStart"/>
      <w:r>
        <w:t>schemaRef</w:t>
      </w:r>
      <w:proofErr w:type="spellEnd"/>
      <w:r>
        <w:t xml:space="preserve"> for 2.3.1 would converted the file to a valid 2.3.1 Instance.</w:t>
      </w:r>
    </w:p>
    <w:p w14:paraId="55B5EB9E"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xml:space="preserve">, as well as mapping the </w:t>
      </w:r>
      <w:proofErr w:type="spellStart"/>
      <w:r w:rsidR="00AA0EE8">
        <w:t>schemaR</w:t>
      </w:r>
      <w:r>
        <w:t>ef</w:t>
      </w:r>
      <w:proofErr w:type="spellEnd"/>
      <w:r>
        <w:t xml:space="preserve"> to the appropriate value based on the consolidation nature of the report</w:t>
      </w:r>
      <w:r w:rsidR="00AA0EE8">
        <w:t>, this data point should be added, i.e. either:</w:t>
      </w:r>
    </w:p>
    <w:p w14:paraId="55B5EB9F"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14:paraId="55B5EBA0"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14:paraId="55B5EBA1"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14:paraId="55B5EBA2" w14:textId="77777777"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14:paraId="55B5EBA3" w14:textId="77777777" w:rsidR="00D515AE" w:rsidRDefault="00D515AE" w:rsidP="00B000E3">
      <w:pPr>
        <w:rPr>
          <w:b/>
        </w:rPr>
      </w:pPr>
    </w:p>
    <w:p w14:paraId="55B5EBA4" w14:textId="77777777" w:rsidR="00534F52" w:rsidRDefault="00B939D1" w:rsidP="00D515AE">
      <w:pPr>
        <w:pStyle w:val="Titlelevel3"/>
      </w:pPr>
      <w:r w:rsidRPr="00B939D1">
        <w:t>Table Changes</w:t>
      </w:r>
    </w:p>
    <w:p w14:paraId="55B5EBA5" w14:textId="77777777" w:rsidR="00B939D1" w:rsidRPr="00B939D1" w:rsidRDefault="00B939D1" w:rsidP="00183058">
      <w:pPr>
        <w:pStyle w:val="ListParagraph"/>
        <w:numPr>
          <w:ilvl w:val="0"/>
          <w:numId w:val="5"/>
        </w:numPr>
      </w:pPr>
      <w:r w:rsidRPr="00B939D1">
        <w:t>As noted above, row 020 “</w:t>
      </w:r>
      <w:r w:rsidR="001F0E7F" w:rsidRPr="001F0E7F">
        <w:t>Reporting Level</w:t>
      </w:r>
      <w:r w:rsidRPr="00B939D1">
        <w:t>” added to P 00.01.</w:t>
      </w:r>
    </w:p>
    <w:p w14:paraId="55B5EBA6" w14:textId="77777777" w:rsidR="00B939D1" w:rsidRPr="00B939D1" w:rsidRDefault="00B939D1" w:rsidP="00183058">
      <w:pPr>
        <w:pStyle w:val="ListParagraph"/>
        <w:numPr>
          <w:ilvl w:val="0"/>
          <w:numId w:val="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14:paraId="55B5EBA7" w14:textId="77777777" w:rsidR="00B939D1" w:rsidRDefault="00057CFC" w:rsidP="00D515AE">
      <w:pPr>
        <w:pStyle w:val="Titlelevel3"/>
      </w:pPr>
      <w:r>
        <w:t>Validation Rule Changes</w:t>
      </w:r>
    </w:p>
    <w:p w14:paraId="55B5EBA8" w14:textId="77777777" w:rsidR="006A5AC9" w:rsidRDefault="006A5AC9" w:rsidP="00183058">
      <w:pPr>
        <w:pStyle w:val="ListParagraph"/>
        <w:numPr>
          <w:ilvl w:val="0"/>
          <w:numId w:val="5"/>
        </w:numPr>
      </w:pPr>
      <w:r>
        <w:t>Added check on existence of value for P 00.01 row 020 (e4437_e), and checks that the values of P 00.01 and S 00.01 are agree with the Individual/Consolidated nature of the report (v4438_c - v4441_c).</w:t>
      </w:r>
    </w:p>
    <w:p w14:paraId="55B5EBA9" w14:textId="77777777" w:rsidR="00766D0C" w:rsidRDefault="00766D0C" w:rsidP="00766D0C">
      <w:pPr>
        <w:pStyle w:val="Titlelevel3"/>
      </w:pPr>
      <w:r>
        <w:t>Documentation</w:t>
      </w:r>
      <w:r w:rsidR="00057CFC">
        <w:t xml:space="preserve"> Changes</w:t>
      </w:r>
    </w:p>
    <w:p w14:paraId="55B5EBAA" w14:textId="77777777" w:rsidR="001F0E7F" w:rsidRDefault="001F0E7F" w:rsidP="00183058">
      <w:pPr>
        <w:pStyle w:val="ListParagraph"/>
        <w:numPr>
          <w:ilvl w:val="0"/>
          <w:numId w:val="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14:paraId="55B5EBAB" w14:textId="77777777" w:rsidR="00057CFC" w:rsidRDefault="00057CFC" w:rsidP="00057CFC"/>
    <w:p w14:paraId="55B5EBAC" w14:textId="77777777" w:rsidR="00057CFC" w:rsidRDefault="00057CFC" w:rsidP="00057CFC">
      <w:pPr>
        <w:pStyle w:val="Titlelevel3"/>
      </w:pPr>
      <w:r>
        <w:t>Unchanged</w:t>
      </w:r>
    </w:p>
    <w:p w14:paraId="55B5EBAD" w14:textId="77777777" w:rsidR="00057CFC" w:rsidRDefault="00057CFC" w:rsidP="00183058">
      <w:pPr>
        <w:pStyle w:val="ListParagraph"/>
        <w:numPr>
          <w:ilvl w:val="0"/>
          <w:numId w:val="5"/>
        </w:numPr>
      </w:pPr>
      <w:r>
        <w:t>Asset Encumbrance remains unchanged from version 2.2 (i.e. v2.2 entry point/taxonomy should continue to be used)</w:t>
      </w:r>
    </w:p>
    <w:p w14:paraId="55B5EBAE" w14:textId="77777777" w:rsidR="00057CFC" w:rsidRDefault="00057CFC" w:rsidP="00183058">
      <w:pPr>
        <w:pStyle w:val="ListParagraph"/>
        <w:numPr>
          <w:ilvl w:val="0"/>
          <w:numId w:val="5"/>
        </w:numPr>
      </w:pPr>
      <w:r>
        <w:t>FINREP remains unchanged from version 2.3</w:t>
      </w:r>
    </w:p>
    <w:p w14:paraId="55B5EBAF" w14:textId="77777777" w:rsidR="00057CFC" w:rsidRDefault="00057CFC" w:rsidP="00183058">
      <w:pPr>
        <w:pStyle w:val="ListParagraph"/>
        <w:numPr>
          <w:ilvl w:val="0"/>
          <w:numId w:val="5"/>
        </w:numPr>
      </w:pPr>
      <w:r>
        <w:t>COREP remains unchanged from version 2.3 (however see Known Issues section below)</w:t>
      </w:r>
    </w:p>
    <w:p w14:paraId="55B5EBB0" w14:textId="77777777" w:rsidR="00057CFC" w:rsidRPr="001F0E7F" w:rsidRDefault="00057CFC" w:rsidP="00057CFC">
      <w:pPr>
        <w:pStyle w:val="ListParagraph"/>
      </w:pPr>
    </w:p>
    <w:p w14:paraId="55B5EBB1" w14:textId="77777777" w:rsidR="00057CFC" w:rsidRPr="00057CFC" w:rsidRDefault="00057CFC" w:rsidP="00057CFC">
      <w:pPr>
        <w:pStyle w:val="Titlelevel2"/>
        <w:keepNext/>
        <w:keepLines/>
        <w:rPr>
          <w:b/>
        </w:rPr>
      </w:pPr>
      <w:r w:rsidRPr="00057CFC">
        <w:rPr>
          <w:b/>
        </w:rPr>
        <w:lastRenderedPageBreak/>
        <w:t>Known Issues</w:t>
      </w:r>
    </w:p>
    <w:p w14:paraId="55B5EBB2" w14:textId="77777777" w:rsidR="00057CFC" w:rsidRDefault="00057CFC" w:rsidP="00183058">
      <w:pPr>
        <w:pStyle w:val="ListParagraph"/>
        <w:keepNext/>
        <w:keepLines/>
        <w:numPr>
          <w:ilvl w:val="0"/>
          <w:numId w:val="5"/>
        </w:numPr>
      </w:pPr>
      <w:r>
        <w:t>The metrics assigned to COREP C 06.02 column 040, and FINREP F 40.01 column 150 are incorrect in v2.3 (and 2.3.1), have been mistakenly swapped over.</w:t>
      </w:r>
    </w:p>
    <w:p w14:paraId="55B5EBB3" w14:textId="77777777" w:rsidR="00057CFC" w:rsidRDefault="00057CFC" w:rsidP="00183058">
      <w:pPr>
        <w:pStyle w:val="ListParagraph"/>
        <w:keepNext/>
        <w:keepLines/>
        <w:numPr>
          <w:ilvl w:val="1"/>
          <w:numId w:val="5"/>
        </w:numPr>
      </w:pPr>
      <w:r>
        <w:t xml:space="preserve">This error has </w:t>
      </w:r>
      <w:r w:rsidRPr="006A5AC9">
        <w:rPr>
          <w:b/>
        </w:rPr>
        <w:t>NOT</w:t>
      </w:r>
      <w:r>
        <w:t xml:space="preserve"> been corrected in v2.3.1, so as to avoid impacting the FINREP or COREP taxonomies</w:t>
      </w:r>
    </w:p>
    <w:p w14:paraId="55B5EBB4" w14:textId="77777777" w:rsidR="00057CFC" w:rsidRDefault="00057CFC" w:rsidP="00183058">
      <w:pPr>
        <w:pStyle w:val="ListParagraph"/>
        <w:keepNext/>
        <w:keepLines/>
        <w:numPr>
          <w:ilvl w:val="1"/>
          <w:numId w:val="5"/>
        </w:numPr>
      </w:pPr>
      <w:r>
        <w:t>F 40.01 col 150 remains a string metric as it was in previous versions, reporters should continue to report this as they have done previously</w:t>
      </w:r>
    </w:p>
    <w:p w14:paraId="55B5EBB5" w14:textId="77777777" w:rsidR="00057CFC" w:rsidRDefault="00057CFC" w:rsidP="00183058">
      <w:pPr>
        <w:pStyle w:val="ListParagraph"/>
        <w:keepNext/>
        <w:keepLines/>
        <w:numPr>
          <w:ilvl w:val="1"/>
          <w:numId w:val="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14:paraId="55B5EBB6" w14:textId="77777777"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D515AE" w:rsidRDefault="00057CFC" w:rsidP="00587A42">
            <w:pPr>
              <w:rPr>
                <w:rFonts w:ascii="Arial" w:hAnsi="Arial" w:cs="Arial"/>
                <w:b/>
              </w:rPr>
            </w:pPr>
            <w:r>
              <w:rPr>
                <w:rFonts w:ascii="Arial" w:hAnsi="Arial" w:cs="Arial"/>
                <w:b/>
              </w:rPr>
              <w:t>Member</w:t>
            </w:r>
          </w:p>
        </w:tc>
        <w:tc>
          <w:tcPr>
            <w:tcW w:w="3984" w:type="dxa"/>
          </w:tcPr>
          <w:p w14:paraId="55B5EBB8" w14:textId="77777777" w:rsidR="00057CFC" w:rsidRPr="00D515AE" w:rsidRDefault="00057CFC" w:rsidP="00587A42">
            <w:pPr>
              <w:rPr>
                <w:rFonts w:ascii="Arial" w:hAnsi="Arial" w:cs="Arial"/>
                <w:b/>
              </w:rPr>
            </w:pPr>
            <w:r w:rsidRPr="00D515AE">
              <w:rPr>
                <w:rFonts w:ascii="Arial" w:hAnsi="Arial" w:cs="Arial"/>
                <w:b/>
              </w:rPr>
              <w:t>Label</w:t>
            </w:r>
          </w:p>
        </w:tc>
        <w:tc>
          <w:tcPr>
            <w:tcW w:w="4070" w:type="dxa"/>
          </w:tcPr>
          <w:p w14:paraId="55B5EBB9" w14:textId="77777777"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14:paraId="55B5EBBE" w14:textId="77777777" w:rsidTr="00587A42">
        <w:tc>
          <w:tcPr>
            <w:tcW w:w="1126" w:type="dxa"/>
          </w:tcPr>
          <w:p w14:paraId="55B5EBBB" w14:textId="77777777"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14:paraId="55B5EBBC" w14:textId="77777777" w:rsidR="00057CFC" w:rsidRPr="00D515AE" w:rsidRDefault="00057CFC" w:rsidP="00587A42">
            <w:pPr>
              <w:rPr>
                <w:rFonts w:ascii="Arial" w:hAnsi="Arial" w:cs="Arial"/>
              </w:rPr>
            </w:pPr>
            <w:r w:rsidRPr="00D515AE">
              <w:rPr>
                <w:rFonts w:ascii="Arial" w:hAnsi="Arial" w:cs="Arial"/>
              </w:rPr>
              <w:t>Full consolidation</w:t>
            </w:r>
          </w:p>
        </w:tc>
        <w:tc>
          <w:tcPr>
            <w:tcW w:w="4070" w:type="dxa"/>
          </w:tcPr>
          <w:p w14:paraId="55B5EBBD" w14:textId="77777777"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14:paraId="55B5EBC2" w14:textId="77777777" w:rsidTr="00587A42">
        <w:tc>
          <w:tcPr>
            <w:tcW w:w="1126" w:type="dxa"/>
          </w:tcPr>
          <w:p w14:paraId="55B5EBBF" w14:textId="77777777" w:rsidR="00057CFC" w:rsidRPr="00766D0C" w:rsidRDefault="00057CFC" w:rsidP="00587A42">
            <w:pPr>
              <w:rPr>
                <w:rFonts w:ascii="Arial" w:hAnsi="Arial" w:cs="Arial"/>
              </w:rPr>
            </w:pPr>
            <w:r w:rsidRPr="00766D0C">
              <w:rPr>
                <w:rFonts w:ascii="Arial" w:hAnsi="Arial" w:cs="Arial"/>
              </w:rPr>
              <w:t>eba_ZZ:x30</w:t>
            </w:r>
          </w:p>
        </w:tc>
        <w:tc>
          <w:tcPr>
            <w:tcW w:w="3984" w:type="dxa"/>
          </w:tcPr>
          <w:p w14:paraId="55B5EBC0" w14:textId="77777777"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14:paraId="55B5EBC1"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6" w14:textId="77777777" w:rsidTr="00587A42">
        <w:tc>
          <w:tcPr>
            <w:tcW w:w="1126" w:type="dxa"/>
          </w:tcPr>
          <w:p w14:paraId="55B5EBC3" w14:textId="77777777" w:rsidR="00057CFC" w:rsidRPr="00766D0C" w:rsidRDefault="00057CFC" w:rsidP="00587A42">
            <w:pPr>
              <w:rPr>
                <w:rFonts w:ascii="Arial" w:hAnsi="Arial" w:cs="Arial"/>
              </w:rPr>
            </w:pPr>
            <w:r w:rsidRPr="00766D0C">
              <w:rPr>
                <w:rFonts w:ascii="Arial" w:hAnsi="Arial" w:cs="Arial"/>
              </w:rPr>
              <w:t>eba_ZZ:x31</w:t>
            </w:r>
          </w:p>
        </w:tc>
        <w:tc>
          <w:tcPr>
            <w:tcW w:w="3984" w:type="dxa"/>
          </w:tcPr>
          <w:p w14:paraId="55B5EBC4" w14:textId="77777777" w:rsidR="00057CFC" w:rsidRPr="00766D0C" w:rsidRDefault="00057CFC" w:rsidP="00587A42">
            <w:pPr>
              <w:rPr>
                <w:rFonts w:ascii="Arial" w:hAnsi="Arial" w:cs="Arial"/>
              </w:rPr>
            </w:pPr>
            <w:r w:rsidRPr="00766D0C">
              <w:rPr>
                <w:rFonts w:ascii="Arial" w:hAnsi="Arial" w:cs="Arial"/>
              </w:rPr>
              <w:t>Equity method</w:t>
            </w:r>
          </w:p>
        </w:tc>
        <w:tc>
          <w:tcPr>
            <w:tcW w:w="4070" w:type="dxa"/>
          </w:tcPr>
          <w:p w14:paraId="55B5EBC5"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A" w14:textId="77777777" w:rsidTr="00587A42">
        <w:tc>
          <w:tcPr>
            <w:tcW w:w="1126" w:type="dxa"/>
          </w:tcPr>
          <w:p w14:paraId="55B5EBC7" w14:textId="77777777"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14:paraId="55B5EBC8" w14:textId="77777777"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14:paraId="55B5EBC9" w14:textId="77777777" w:rsidR="00057CFC" w:rsidRPr="00D515AE" w:rsidRDefault="00057CFC" w:rsidP="00587A42">
            <w:pPr>
              <w:rPr>
                <w:rFonts w:ascii="Arial" w:hAnsi="Arial" w:cs="Arial"/>
              </w:rPr>
            </w:pPr>
            <w:r w:rsidRPr="00D515AE">
              <w:rPr>
                <w:rFonts w:ascii="Arial" w:hAnsi="Arial" w:cs="Arial"/>
              </w:rPr>
              <w:t>Usable to report value “partially consolidated” ("SP")</w:t>
            </w:r>
          </w:p>
        </w:tc>
      </w:tr>
    </w:tbl>
    <w:p w14:paraId="55B5EBCB" w14:textId="77777777" w:rsidR="00057CFC" w:rsidRDefault="00057CFC" w:rsidP="00057CFC"/>
    <w:p w14:paraId="55B5EBCC" w14:textId="77777777" w:rsidR="004A28AD" w:rsidRPr="00AC2556" w:rsidRDefault="004A28AD" w:rsidP="004A28AD">
      <w:pPr>
        <w:pStyle w:val="Heading1"/>
      </w:pPr>
      <w:r w:rsidRPr="00AC2556">
        <w:t>2.</w:t>
      </w:r>
      <w:r>
        <w:t>3</w:t>
      </w:r>
      <w:r w:rsidRPr="00AC2556">
        <w:t>.0 (“201</w:t>
      </w:r>
      <w:r>
        <w:t>5-A</w:t>
      </w:r>
      <w:r w:rsidRPr="00AC2556">
        <w:t xml:space="preserve">” Package) </w:t>
      </w:r>
    </w:p>
    <w:p w14:paraId="55B5EBCD" w14:textId="77777777" w:rsidR="00766D0C" w:rsidRDefault="00766D0C">
      <w:pPr>
        <w:rPr>
          <w:rFonts w:asciiTheme="majorHAnsi" w:eastAsiaTheme="majorEastAsia" w:hAnsiTheme="majorHAnsi" w:cstheme="majorBidi"/>
          <w:color w:val="2F5773" w:themeColor="text2"/>
          <w:spacing w:val="5"/>
          <w:kern w:val="28"/>
          <w:sz w:val="52"/>
          <w:szCs w:val="52"/>
        </w:rPr>
      </w:pPr>
      <w:r>
        <w:br w:type="page"/>
      </w:r>
    </w:p>
    <w:p w14:paraId="55B5EBCE" w14:textId="77777777"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14:paraId="55B5EBCF" w14:textId="77777777" w:rsidR="004A28AD" w:rsidRDefault="00D515AE" w:rsidP="00D515AE">
      <w:pPr>
        <w:pStyle w:val="Titlelevel2"/>
      </w:pPr>
      <w:r>
        <w:t>DPM changes</w:t>
      </w:r>
    </w:p>
    <w:p w14:paraId="55B5EBD0" w14:textId="77777777" w:rsidR="006A3920" w:rsidRDefault="006A3920" w:rsidP="00183058">
      <w:pPr>
        <w:pStyle w:val="ListParagraph"/>
        <w:numPr>
          <w:ilvl w:val="0"/>
          <w:numId w:val="5"/>
        </w:numPr>
      </w:pPr>
      <w:r>
        <w:t>New version of Funding Plans taxonomy – replacing previous version which will not be used.</w:t>
      </w:r>
    </w:p>
    <w:p w14:paraId="55B5EBD1" w14:textId="77777777" w:rsidR="0049741E" w:rsidRDefault="0049741E" w:rsidP="00183058">
      <w:pPr>
        <w:pStyle w:val="ListParagraph"/>
        <w:numPr>
          <w:ilvl w:val="1"/>
          <w:numId w:val="5"/>
        </w:numPr>
      </w:pPr>
      <w:r>
        <w:t>Correction of erroneous modelling of tables P 02.07 and P02.08 (column 010 marked identical to P 01.02</w:t>
      </w:r>
      <w:r w:rsidR="0089263A">
        <w:t>)</w:t>
      </w:r>
      <w:r w:rsidR="007D6736">
        <w:t xml:space="preserve"> </w:t>
      </w:r>
      <w:r>
        <w:t xml:space="preserve"> </w:t>
      </w:r>
    </w:p>
    <w:p w14:paraId="55B5EBD2" w14:textId="77777777" w:rsidR="006A3920" w:rsidRDefault="006A3920" w:rsidP="00183058">
      <w:pPr>
        <w:pStyle w:val="ListParagraph"/>
        <w:numPr>
          <w:ilvl w:val="0"/>
          <w:numId w:val="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14:paraId="55B5EBD3" w14:textId="77777777" w:rsidR="00BA6A8E" w:rsidRDefault="00BA6A8E" w:rsidP="00183058">
      <w:pPr>
        <w:pStyle w:val="ListParagraph"/>
        <w:numPr>
          <w:ilvl w:val="1"/>
          <w:numId w:val="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14:paraId="55B5EBD4" w14:textId="77777777" w:rsidR="00291461" w:rsidRDefault="00291461" w:rsidP="00183058">
      <w:pPr>
        <w:pStyle w:val="ListParagraph"/>
        <w:numPr>
          <w:ilvl w:val="1"/>
          <w:numId w:val="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14:paraId="55B5EBD5" w14:textId="77777777" w:rsidR="00291461" w:rsidRDefault="006A3920" w:rsidP="00183058">
      <w:pPr>
        <w:pStyle w:val="ListParagraph"/>
        <w:numPr>
          <w:ilvl w:val="0"/>
          <w:numId w:val="5"/>
        </w:numPr>
      </w:pPr>
      <w:r>
        <w:t>Mi</w:t>
      </w:r>
      <w:r w:rsidR="00273419">
        <w:t>nor changes to COREP and FINREP, including</w:t>
      </w:r>
    </w:p>
    <w:p w14:paraId="55B5EBD6" w14:textId="77777777" w:rsidR="00291461" w:rsidRDefault="00291461" w:rsidP="00183058">
      <w:pPr>
        <w:pStyle w:val="ListParagraph"/>
        <w:numPr>
          <w:ilvl w:val="1"/>
          <w:numId w:val="5"/>
        </w:numPr>
      </w:pPr>
      <w:r w:rsidRPr="00B000E3">
        <w:rPr>
          <w:b/>
        </w:rPr>
        <w:t xml:space="preserve">Tables F 19.00.e and .f removed, </w:t>
      </w:r>
      <w:r>
        <w:t>C 18 sheets 010 and 011 removed, F 19.00.b and .c row 340 added.</w:t>
      </w:r>
    </w:p>
    <w:p w14:paraId="55B5EBD7" w14:textId="77777777" w:rsidR="00237B31" w:rsidRDefault="006A3920" w:rsidP="00183058">
      <w:pPr>
        <w:pStyle w:val="ListParagraph"/>
        <w:numPr>
          <w:ilvl w:val="0"/>
          <w:numId w:val="5"/>
        </w:numPr>
      </w:pPr>
      <w:r>
        <w:t>Asset Encumbrance is unchanged.</w:t>
      </w:r>
    </w:p>
    <w:p w14:paraId="55B5EBD8" w14:textId="77777777" w:rsidR="004A28AD" w:rsidRDefault="007D6736" w:rsidP="00183058">
      <w:pPr>
        <w:pStyle w:val="ListParagraph"/>
        <w:numPr>
          <w:ilvl w:val="0"/>
          <w:numId w:val="5"/>
        </w:numPr>
      </w:pPr>
      <w:r>
        <w:t xml:space="preserve">Changed or Corrected many validation rules, </w:t>
      </w:r>
      <w:r w:rsidR="004A28AD">
        <w:t>"Reacti</w:t>
      </w:r>
      <w:r w:rsidR="00237B31">
        <w:t>vated" several validation rules</w:t>
      </w:r>
    </w:p>
    <w:p w14:paraId="55B5EBD9" w14:textId="77777777" w:rsidR="00237B31" w:rsidRDefault="00237B31" w:rsidP="00237B31">
      <w:pPr>
        <w:pStyle w:val="ListParagraph"/>
      </w:pPr>
    </w:p>
    <w:p w14:paraId="55B5EBDA" w14:textId="77777777" w:rsidR="007D6736" w:rsidRDefault="007D6736" w:rsidP="004A28AD">
      <w:r>
        <w:t>See accompanying documentation for more detail of changes.</w:t>
      </w:r>
    </w:p>
    <w:p w14:paraId="55B5EBDB" w14:textId="77777777" w:rsidR="004A28AD" w:rsidRDefault="004A28AD" w:rsidP="004A28AD"/>
    <w:p w14:paraId="55B5EBDC" w14:textId="77777777" w:rsidR="004A28AD" w:rsidRPr="00D515AE" w:rsidRDefault="00237B31" w:rsidP="00D515AE">
      <w:pPr>
        <w:pStyle w:val="Titlelevel2"/>
      </w:pPr>
      <w:r>
        <w:t>XBRL changes</w:t>
      </w:r>
    </w:p>
    <w:p w14:paraId="55B5EBDD" w14:textId="77777777" w:rsidR="004A28AD" w:rsidRDefault="004A28AD" w:rsidP="00183058">
      <w:pPr>
        <w:pStyle w:val="ListParagraph"/>
        <w:numPr>
          <w:ilvl w:val="0"/>
          <w:numId w:val="9"/>
        </w:numPr>
      </w:pPr>
      <w:r>
        <w:t xml:space="preserve">Decimal metrics are mapped to primary items starting </w:t>
      </w:r>
      <w:r w:rsidR="00BA6A8E">
        <w:t>r</w:t>
      </w:r>
      <w:r>
        <w:t xml:space="preserve"> (i.e. </w:t>
      </w:r>
      <w:r w:rsidR="00BA6A8E">
        <w:t>r</w:t>
      </w:r>
      <w:r>
        <w:t xml:space="preserve">i128). </w:t>
      </w:r>
    </w:p>
    <w:p w14:paraId="55B5EBDE" w14:textId="77777777" w:rsidR="004A28AD" w:rsidRDefault="004A28AD" w:rsidP="00183058">
      <w:pPr>
        <w:pStyle w:val="ListParagraph"/>
        <w:numPr>
          <w:ilvl w:val="0"/>
          <w:numId w:val="9"/>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14:paraId="55B5EBDF" w14:textId="77777777" w:rsidR="00F441B8" w:rsidRDefault="00F441B8" w:rsidP="00183058">
      <w:pPr>
        <w:pStyle w:val="ListParagraph"/>
        <w:numPr>
          <w:ilvl w:val="0"/>
          <w:numId w:val="9"/>
        </w:numPr>
      </w:pPr>
      <w:r>
        <w:t xml:space="preserve">Addition of existence rules ("e****_e") requiring the reporting of cells on tables </w:t>
      </w:r>
      <w:proofErr w:type="gramStart"/>
      <w:r>
        <w:t>00.01 .</w:t>
      </w:r>
      <w:proofErr w:type="gramEnd"/>
      <w:r>
        <w:t xml:space="preserve"> </w:t>
      </w:r>
    </w:p>
    <w:p w14:paraId="55B5EBE0" w14:textId="77777777" w:rsidR="00F441B8" w:rsidRDefault="004A28AD" w:rsidP="00183058">
      <w:pPr>
        <w:pStyle w:val="ListParagraph"/>
        <w:numPr>
          <w:ilvl w:val="1"/>
          <w:numId w:val="9"/>
        </w:numPr>
      </w:pPr>
      <w:r>
        <w:t xml:space="preserve">Note that </w:t>
      </w:r>
      <w:r w:rsidR="00DD121A">
        <w:t>the</w:t>
      </w:r>
      <w:r w:rsidR="00F441B8">
        <w:t>se</w:t>
      </w:r>
      <w:r w:rsidR="00DD121A">
        <w:t xml:space="preserve"> </w:t>
      </w:r>
      <w:r>
        <w:t>do not depend on any filing indicators and run whatever.</w:t>
      </w:r>
    </w:p>
    <w:p w14:paraId="55B5EBE1" w14:textId="77777777" w:rsidR="004A28AD" w:rsidRPr="00D515AE" w:rsidRDefault="00237B31" w:rsidP="00D515AE">
      <w:pPr>
        <w:pStyle w:val="Titlelevel2"/>
      </w:pPr>
      <w:r>
        <w:t>Documentation changes</w:t>
      </w:r>
    </w:p>
    <w:p w14:paraId="55B5EBE2" w14:textId="77777777" w:rsidR="004A28AD" w:rsidRDefault="004A28AD" w:rsidP="00183058">
      <w:pPr>
        <w:pStyle w:val="ListParagraph"/>
        <w:numPr>
          <w:ilvl w:val="0"/>
          <w:numId w:val="10"/>
        </w:numPr>
      </w:pPr>
      <w:r>
        <w:t>Changed Taxonomy Architecture</w:t>
      </w:r>
      <w:r w:rsidR="00DD121A">
        <w:t xml:space="preserve"> document</w:t>
      </w:r>
      <w:r>
        <w:t xml:space="preserve"> to list the prefix for decimal types as "</w:t>
      </w:r>
      <w:r w:rsidR="00BA6A8E">
        <w:t>r</w:t>
      </w:r>
      <w:r>
        <w:t>".</w:t>
      </w:r>
    </w:p>
    <w:p w14:paraId="55B5EBE3" w14:textId="77777777" w:rsidR="004A28AD" w:rsidRDefault="004A28AD" w:rsidP="00183058">
      <w:pPr>
        <w:pStyle w:val="ListParagraph"/>
        <w:numPr>
          <w:ilvl w:val="0"/>
          <w:numId w:val="10"/>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14:paraId="55B5EBE4" w14:textId="77777777" w:rsidR="00F441B8" w:rsidRDefault="00F441B8" w:rsidP="00F441B8">
      <w:pPr>
        <w:pStyle w:val="ListParagraph"/>
      </w:pPr>
    </w:p>
    <w:p w14:paraId="55B5EBE5" w14:textId="77777777" w:rsidR="00E56F2E" w:rsidRDefault="00E56F2E" w:rsidP="00D515AE">
      <w:pPr>
        <w:pStyle w:val="Titlelevel2"/>
      </w:pPr>
      <w:bookmarkStart w:id="3" w:name="OLE_LINK3"/>
      <w:bookmarkStart w:id="4" w:name="OLE_LINK4"/>
      <w:r w:rsidRPr="00D515AE">
        <w:t xml:space="preserve">Tables </w:t>
      </w:r>
      <w:proofErr w:type="gramStart"/>
      <w:r w:rsidRPr="00D515AE">
        <w:t>C  06.01</w:t>
      </w:r>
      <w:proofErr w:type="gramEnd"/>
      <w:r w:rsidRPr="00D515AE">
        <w:t xml:space="preserve"> and C 06.02</w:t>
      </w:r>
    </w:p>
    <w:p w14:paraId="55B5EBE6" w14:textId="77777777"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14:paraId="55B5EBE7" w14:textId="77777777" w:rsidR="00E56F2E" w:rsidRDefault="00E56F2E"/>
    <w:p w14:paraId="55B5EBE8" w14:textId="77777777"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14:paraId="55B5EBE9" w14:textId="77777777" w:rsidR="00E56F2E" w:rsidRDefault="00E56F2E"/>
    <w:p w14:paraId="55B5EBEA" w14:textId="77777777"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3"/>
    <w:bookmarkEnd w:id="4"/>
    <w:p w14:paraId="55B5EBEB" w14:textId="77777777"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14:paraId="55B5EBEC" w14:textId="77777777"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14:paraId="55B5EBED" w14:textId="77777777" w:rsidR="00237B31" w:rsidRPr="002C36C9" w:rsidRDefault="00237B31" w:rsidP="002C36C9">
      <w:pPr>
        <w:jc w:val="center"/>
        <w:rPr>
          <w:b/>
        </w:rPr>
      </w:pPr>
    </w:p>
    <w:p w14:paraId="55B5EBEE" w14:textId="77777777" w:rsidR="00B677D6" w:rsidRPr="00AC2556" w:rsidRDefault="00B677D6" w:rsidP="00B677D6">
      <w:bookmarkStart w:id="5" w:name="OLE_LINK5"/>
      <w:bookmarkStart w:id="6" w:name="OLE_LINK6"/>
      <w:bookmarkStart w:id="7" w:name="OLE_LINK7"/>
      <w:r w:rsidRPr="00AC2556">
        <w:t xml:space="preserve">Includes first release </w:t>
      </w:r>
      <w:bookmarkEnd w:id="5"/>
      <w:bookmarkEnd w:id="6"/>
      <w:bookmarkEnd w:id="7"/>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14:paraId="55B5EBEF" w14:textId="77777777" w:rsidR="00B677D6" w:rsidRPr="00AC2556" w:rsidRDefault="00B677D6" w:rsidP="00D515AE">
      <w:pPr>
        <w:pStyle w:val="Titlelevel2"/>
      </w:pPr>
      <w:r w:rsidRPr="00AC2556">
        <w:t>DPM Changes</w:t>
      </w:r>
    </w:p>
    <w:p w14:paraId="55B5EBF0" w14:textId="77777777" w:rsidR="00B677D6" w:rsidRPr="00AC2556" w:rsidRDefault="00B677D6" w:rsidP="00183058">
      <w:pPr>
        <w:pStyle w:val="ListParagraph"/>
        <w:numPr>
          <w:ilvl w:val="0"/>
          <w:numId w:val="5"/>
        </w:numPr>
      </w:pPr>
      <w:r w:rsidRPr="00AC2556">
        <w:t>Addition of set of Funding Plans templates (P 00.01 to P 03.00)</w:t>
      </w:r>
    </w:p>
    <w:p w14:paraId="55B5EBF1" w14:textId="77777777" w:rsidR="00B677D6" w:rsidRPr="00AC2556" w:rsidRDefault="00B677D6" w:rsidP="00183058">
      <w:pPr>
        <w:pStyle w:val="ListParagraph"/>
        <w:numPr>
          <w:ilvl w:val="1"/>
          <w:numId w:val="5"/>
        </w:numPr>
      </w:pPr>
      <w:r w:rsidRPr="00AC2556">
        <w:t>includes additional DPM/XBRL only table P00.01 (report wide info - Similar to C/F/A 00.01)</w:t>
      </w:r>
    </w:p>
    <w:p w14:paraId="55B5EBF2" w14:textId="77777777" w:rsidR="00B677D6" w:rsidRPr="00AC2556" w:rsidRDefault="00B677D6" w:rsidP="00183058">
      <w:pPr>
        <w:pStyle w:val="ListParagraph"/>
        <w:numPr>
          <w:ilvl w:val="1"/>
          <w:numId w:val="5"/>
        </w:numPr>
      </w:pPr>
      <w:r w:rsidRPr="00AC2556">
        <w:t>Note that this P 00.01 has only details on accounting standard, detailed reporting / consolidation scope of Funding Templates is specified on template P 03.00</w:t>
      </w:r>
    </w:p>
    <w:p w14:paraId="55B5EBF3" w14:textId="77777777" w:rsidR="00B677D6" w:rsidRPr="00AC2556" w:rsidRDefault="00B677D6" w:rsidP="00183058">
      <w:pPr>
        <w:pStyle w:val="ListParagraph"/>
        <w:numPr>
          <w:ilvl w:val="1"/>
          <w:numId w:val="5"/>
        </w:numPr>
      </w:pPr>
      <w:r w:rsidRPr="00AC2556">
        <w:t>N.B header row 009 from P03.00 *not* included in DPM/XBRL (technical constraint).</w:t>
      </w:r>
    </w:p>
    <w:p w14:paraId="55B5EBF4" w14:textId="77777777" w:rsidR="00B677D6" w:rsidRPr="00AC2556" w:rsidRDefault="00B677D6" w:rsidP="00183058">
      <w:pPr>
        <w:pStyle w:val="ListParagraph"/>
        <w:numPr>
          <w:ilvl w:val="0"/>
          <w:numId w:val="5"/>
        </w:numPr>
      </w:pPr>
      <w:r w:rsidRPr="00AC2556">
        <w:t>Add C 06.01 (total summary for some columns of group solvency)</w:t>
      </w:r>
    </w:p>
    <w:p w14:paraId="55B5EBF5" w14:textId="77777777" w:rsidR="00B677D6" w:rsidRPr="00AC2556" w:rsidRDefault="00B677D6" w:rsidP="00183058">
      <w:pPr>
        <w:pStyle w:val="ListParagraph"/>
        <w:numPr>
          <w:ilvl w:val="0"/>
          <w:numId w:val="5"/>
        </w:numPr>
      </w:pPr>
      <w:r w:rsidRPr="00AC2556">
        <w:t>Change table number of C06.00 to C 06.02, label of open row to Entity Code for consistency</w:t>
      </w:r>
    </w:p>
    <w:p w14:paraId="55B5EBF6" w14:textId="77777777" w:rsidR="00B677D6" w:rsidRPr="00AC2556" w:rsidRDefault="00B677D6" w:rsidP="00183058">
      <w:pPr>
        <w:pStyle w:val="ListParagraph"/>
        <w:numPr>
          <w:ilvl w:val="0"/>
          <w:numId w:val="5"/>
        </w:numPr>
      </w:pPr>
      <w:r w:rsidRPr="00AC2556">
        <w:t>Add "Total" member to BT - used in C 06.01</w:t>
      </w:r>
    </w:p>
    <w:p w14:paraId="55B5EBF7" w14:textId="77777777" w:rsidR="00B677D6" w:rsidRPr="00AC2556" w:rsidRDefault="00B677D6" w:rsidP="00183058">
      <w:pPr>
        <w:pStyle w:val="ListParagraph"/>
        <w:numPr>
          <w:ilvl w:val="0"/>
          <w:numId w:val="5"/>
        </w:numPr>
      </w:pPr>
      <w:r w:rsidRPr="00AC2556">
        <w:t xml:space="preserve">C 22.00 row 260 ("Latvian </w:t>
      </w:r>
      <w:proofErr w:type="spellStart"/>
      <w:r w:rsidRPr="00AC2556">
        <w:t>Lats</w:t>
      </w:r>
      <w:proofErr w:type="spellEnd"/>
      <w:r w:rsidRPr="00AC2556">
        <w:t>") removed (old change)</w:t>
      </w:r>
    </w:p>
    <w:p w14:paraId="55B5EBF8" w14:textId="77777777" w:rsidR="00B677D6" w:rsidRPr="00AC2556" w:rsidRDefault="00B677D6" w:rsidP="00183058">
      <w:pPr>
        <w:pStyle w:val="ListParagraph"/>
        <w:numPr>
          <w:ilvl w:val="0"/>
          <w:numId w:val="5"/>
        </w:numPr>
      </w:pPr>
      <w:r w:rsidRPr="00AC2556">
        <w:t>F 16.07.a and F16.07.b row 145 ("Other" (impairments)) added</w:t>
      </w:r>
    </w:p>
    <w:p w14:paraId="55B5EBF9" w14:textId="77777777" w:rsidR="00B677D6" w:rsidRPr="00AC2556" w:rsidRDefault="00B677D6" w:rsidP="00183058">
      <w:pPr>
        <w:pStyle w:val="ListParagraph"/>
        <w:numPr>
          <w:ilvl w:val="0"/>
          <w:numId w:val="5"/>
        </w:numPr>
      </w:pPr>
      <w:r w:rsidRPr="00AC2556">
        <w:t>Delete restrictions in C 08.01a (c260, rows 040 - 060)</w:t>
      </w:r>
    </w:p>
    <w:p w14:paraId="55B5EBFA" w14:textId="77777777" w:rsidR="00B677D6" w:rsidRPr="00AC2556" w:rsidRDefault="00B677D6" w:rsidP="00183058">
      <w:pPr>
        <w:pStyle w:val="ListParagraph"/>
        <w:numPr>
          <w:ilvl w:val="0"/>
          <w:numId w:val="5"/>
        </w:numPr>
      </w:pPr>
      <w:r w:rsidRPr="00AC2556">
        <w:t>Shaded C12 column 360, rows 110 to 240</w:t>
      </w:r>
    </w:p>
    <w:p w14:paraId="55B5EBFB" w14:textId="77777777" w:rsidR="00B677D6" w:rsidRPr="00AC2556" w:rsidRDefault="00B677D6" w:rsidP="00183058">
      <w:pPr>
        <w:pStyle w:val="ListParagraph"/>
        <w:numPr>
          <w:ilvl w:val="0"/>
          <w:numId w:val="5"/>
        </w:numPr>
      </w:pPr>
      <w:r w:rsidRPr="00AC2556">
        <w:t>Shaded F07 col 110, rows 010-050</w:t>
      </w:r>
    </w:p>
    <w:p w14:paraId="55B5EBFC" w14:textId="77777777" w:rsidR="00B677D6" w:rsidRPr="00AC2556" w:rsidRDefault="00B677D6" w:rsidP="00183058">
      <w:pPr>
        <w:pStyle w:val="ListParagraph"/>
        <w:numPr>
          <w:ilvl w:val="0"/>
          <w:numId w:val="5"/>
        </w:numPr>
      </w:pPr>
      <w:r w:rsidRPr="00AC2556">
        <w:t>F 32.04.b, r060, c040-c050  greyed-out and  F 32.04.b, r070, c040-c050 whitened (unrestricted)</w:t>
      </w:r>
    </w:p>
    <w:p w14:paraId="55B5EBFD" w14:textId="77777777" w:rsidR="00B677D6" w:rsidRPr="00AC2556" w:rsidRDefault="00B677D6" w:rsidP="00183058">
      <w:pPr>
        <w:pStyle w:val="ListParagraph"/>
        <w:numPr>
          <w:ilvl w:val="0"/>
          <w:numId w:val="5"/>
        </w:numPr>
      </w:pPr>
      <w:r w:rsidRPr="00AC2556">
        <w:t>Change labels on C01.00 rows 350 &amp; 400 , C 06.02 Columns 140,170,200</w:t>
      </w:r>
    </w:p>
    <w:p w14:paraId="55B5EBFE" w14:textId="77777777" w:rsidR="00B677D6" w:rsidRPr="00AC2556" w:rsidRDefault="00B677D6" w:rsidP="00183058">
      <w:pPr>
        <w:pStyle w:val="ListParagraph"/>
        <w:numPr>
          <w:ilvl w:val="0"/>
          <w:numId w:val="5"/>
        </w:numPr>
      </w:pPr>
      <w:r w:rsidRPr="00AC2556">
        <w:t>Change labels on F01.01 r010, F04.04 c030 c040 , F07.00 c080 c090,F12.00 r020 r160, F20.04 r210</w:t>
      </w:r>
    </w:p>
    <w:p w14:paraId="55B5EBFF" w14:textId="77777777" w:rsidR="00AC2556" w:rsidRPr="00AC2556" w:rsidRDefault="00B677D6" w:rsidP="00183058">
      <w:pPr>
        <w:pStyle w:val="ListParagraph"/>
        <w:numPr>
          <w:ilvl w:val="0"/>
          <w:numId w:val="5"/>
        </w:numPr>
      </w:pPr>
      <w:r w:rsidRPr="00AC2556">
        <w:t>Change label on F 18.00.b c170</w:t>
      </w:r>
    </w:p>
    <w:p w14:paraId="55B5EC00" w14:textId="77777777" w:rsidR="00B677D6" w:rsidRPr="00AC2556" w:rsidRDefault="00AC2556" w:rsidP="00183058">
      <w:pPr>
        <w:pStyle w:val="ListParagraph"/>
        <w:numPr>
          <w:ilvl w:val="0"/>
          <w:numId w:val="5"/>
        </w:numPr>
      </w:pPr>
      <w:r w:rsidRPr="00AC2556">
        <w:lastRenderedPageBreak/>
        <w:t>Various v</w:t>
      </w:r>
      <w:r w:rsidR="00B677D6" w:rsidRPr="00AC2556">
        <w:t>alidation rule changes</w:t>
      </w:r>
      <w:r w:rsidRPr="00AC2556">
        <w:t>.</w:t>
      </w:r>
    </w:p>
    <w:p w14:paraId="55B5EC01" w14:textId="77777777" w:rsidR="00B677D6" w:rsidRPr="00AC2556" w:rsidRDefault="00B677D6" w:rsidP="00B677D6">
      <w:r w:rsidRPr="00AC2556">
        <w:t>N.B. Deactivations not necessarily perfectly up to date with published lists, additional deactivation list for 2.2 (and 2.1) to bring in line to be published shortly.</w:t>
      </w:r>
    </w:p>
    <w:p w14:paraId="55B5EC02" w14:textId="77777777" w:rsidR="00B677D6" w:rsidRPr="00AC2556" w:rsidRDefault="00B677D6" w:rsidP="00D515AE">
      <w:pPr>
        <w:pStyle w:val="Titlelevel2"/>
      </w:pPr>
      <w:r w:rsidRPr="00AC2556">
        <w:t>Taxonomy Changes</w:t>
      </w:r>
    </w:p>
    <w:p w14:paraId="55B5EC03" w14:textId="77777777" w:rsidR="00B677D6" w:rsidRPr="00AC2556" w:rsidRDefault="00B677D6" w:rsidP="00183058">
      <w:pPr>
        <w:pStyle w:val="ListParagraph"/>
        <w:numPr>
          <w:ilvl w:val="0"/>
          <w:numId w:val="5"/>
        </w:numPr>
      </w:pPr>
      <w:r w:rsidRPr="00AC2556">
        <w:t>Addition of FP reporting taxonomy.</w:t>
      </w:r>
    </w:p>
    <w:p w14:paraId="55B5EC04" w14:textId="77777777" w:rsidR="00B677D6" w:rsidRPr="00AC2556" w:rsidRDefault="00B677D6" w:rsidP="00183058">
      <w:pPr>
        <w:pStyle w:val="ListParagraph"/>
        <w:numPr>
          <w:ilvl w:val="0"/>
          <w:numId w:val="5"/>
        </w:numPr>
      </w:pPr>
      <w:r w:rsidRPr="00AC2556">
        <w:t>Creation of x.x.x.1 version of old taxonomies to include suitable non-breaking changes (i.e. could be used interchangeably with x.x.x.0 versions)</w:t>
      </w:r>
    </w:p>
    <w:p w14:paraId="55B5EC05" w14:textId="77777777" w:rsidR="00B677D6" w:rsidRPr="00AC2556" w:rsidRDefault="00B677D6" w:rsidP="00183058">
      <w:pPr>
        <w:pStyle w:val="ListParagraph"/>
        <w:numPr>
          <w:ilvl w:val="1"/>
          <w:numId w:val="5"/>
        </w:numPr>
      </w:pPr>
      <w:r w:rsidRPr="00AC2556">
        <w:t>Simple label corrections</w:t>
      </w:r>
    </w:p>
    <w:p w14:paraId="55B5EC06" w14:textId="77777777" w:rsidR="00B677D6" w:rsidRPr="00AC2556" w:rsidRDefault="00B677D6" w:rsidP="00183058">
      <w:pPr>
        <w:pStyle w:val="ListParagraph"/>
        <w:numPr>
          <w:ilvl w:val="1"/>
          <w:numId w:val="5"/>
        </w:numPr>
      </w:pPr>
      <w:r w:rsidRPr="00AC2556">
        <w:t>Addition of taxonomy end dates (and change of notional date for AE 1.0.0)</w:t>
      </w:r>
    </w:p>
    <w:p w14:paraId="55B5EC07" w14:textId="77777777" w:rsidR="00B677D6" w:rsidRPr="00AC2556" w:rsidRDefault="00B677D6" w:rsidP="00183058">
      <w:pPr>
        <w:pStyle w:val="ListParagraph"/>
        <w:numPr>
          <w:ilvl w:val="1"/>
          <w:numId w:val="5"/>
        </w:numPr>
      </w:pPr>
      <w:r w:rsidRPr="00AC2556">
        <w:t>N.B. these x.x.x.1 versions have the same dictionary package requirements as the originally released x.x.x.0 versions.</w:t>
      </w:r>
    </w:p>
    <w:p w14:paraId="55B5EC08" w14:textId="77777777" w:rsidR="00B677D6" w:rsidRPr="00AC2556" w:rsidRDefault="00B677D6" w:rsidP="00183058">
      <w:pPr>
        <w:pStyle w:val="ListParagraph"/>
        <w:numPr>
          <w:ilvl w:val="1"/>
          <w:numId w:val="5"/>
        </w:numPr>
      </w:pPr>
      <w:r w:rsidRPr="00AC2556">
        <w:t>There is no requirement to adapt system to utilise these versions rather than the x.x.x.0 versions.</w:t>
      </w:r>
    </w:p>
    <w:p w14:paraId="55B5EC09" w14:textId="77777777" w:rsidR="00A55E27" w:rsidRDefault="00A55E27" w:rsidP="00D515AE">
      <w:pPr>
        <w:pStyle w:val="Titlelevel3"/>
      </w:pPr>
      <w:r>
        <w:t xml:space="preserve">Change of XBRL Taxonomy Package labelling pattern </w:t>
      </w:r>
    </w:p>
    <w:p w14:paraId="55B5EC0A" w14:textId="77777777"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14:paraId="55B5EC0B" w14:textId="77777777"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14:paraId="55B5EC0C" w14:textId="77777777"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14:paraId="55B5EC0D" w14:textId="77777777"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B4BEF" w:rsidRDefault="00A55E27" w:rsidP="00AA0EE8">
            <w:pPr>
              <w:pStyle w:val="Tableheader"/>
            </w:pPr>
            <w:r>
              <w:t>Old</w:t>
            </w:r>
          </w:p>
        </w:tc>
        <w:tc>
          <w:tcPr>
            <w:tcW w:w="5267" w:type="dxa"/>
          </w:tcPr>
          <w:p w14:paraId="55B5EC0F" w14:textId="77777777" w:rsidR="00A55E27" w:rsidRPr="005B4BEF" w:rsidRDefault="00A55E27" w:rsidP="00AA0EE8">
            <w:pPr>
              <w:pStyle w:val="Tableheader"/>
            </w:pPr>
            <w:r w:rsidRPr="005B4BEF">
              <w:t>Becomes</w:t>
            </w:r>
            <w:r w:rsidR="005909B9">
              <w:t>/New in 2.2</w:t>
            </w:r>
          </w:p>
        </w:tc>
      </w:tr>
      <w:tr w:rsidR="00A55E27" w:rsidRPr="005B4BEF" w14:paraId="55B5EC13" w14:textId="77777777" w:rsidTr="00AA0EE8">
        <w:trPr>
          <w:trHeight w:val="170"/>
        </w:trPr>
        <w:tc>
          <w:tcPr>
            <w:tcW w:w="3975" w:type="dxa"/>
          </w:tcPr>
          <w:p w14:paraId="55B5EC11" w14:textId="77777777" w:rsidR="00A55E27" w:rsidRPr="005B4BEF" w:rsidRDefault="00A55E27" w:rsidP="00AA0EE8">
            <w:pPr>
              <w:pStyle w:val="Tabledata"/>
            </w:pPr>
            <w:r w:rsidRPr="005B4BEF">
              <w:t>eba_finrep_2.0.1.1.zip</w:t>
            </w:r>
          </w:p>
        </w:tc>
        <w:tc>
          <w:tcPr>
            <w:tcW w:w="5267" w:type="dxa"/>
          </w:tcPr>
          <w:p w14:paraId="55B5EC12" w14:textId="77777777" w:rsidR="00A55E27" w:rsidRPr="005B4BEF" w:rsidRDefault="00A55E27" w:rsidP="00AA0EE8">
            <w:pPr>
              <w:pStyle w:val="Tabledata"/>
            </w:pPr>
            <w:r w:rsidRPr="005B4BEF">
              <w:t>eba_</w:t>
            </w:r>
            <w:r>
              <w:t>2.0_</w:t>
            </w:r>
            <w:r w:rsidRPr="005B4BEF">
              <w:t>finrep_2.0.1.1.zip</w:t>
            </w:r>
          </w:p>
        </w:tc>
      </w:tr>
      <w:tr w:rsidR="00A55E27" w:rsidRPr="005B4BEF" w14:paraId="55B5EC16" w14:textId="77777777" w:rsidTr="00AA0EE8">
        <w:trPr>
          <w:trHeight w:val="170"/>
        </w:trPr>
        <w:tc>
          <w:tcPr>
            <w:tcW w:w="3975" w:type="dxa"/>
          </w:tcPr>
          <w:p w14:paraId="55B5EC14" w14:textId="77777777" w:rsidR="00A55E27" w:rsidRPr="005B4BEF" w:rsidRDefault="00A55E27" w:rsidP="00AA0EE8">
            <w:pPr>
              <w:pStyle w:val="Tabledata"/>
            </w:pPr>
            <w:r w:rsidRPr="005B4BEF">
              <w:t xml:space="preserve">eba_corep_2.0.1.1.zip </w:t>
            </w:r>
          </w:p>
        </w:tc>
        <w:tc>
          <w:tcPr>
            <w:tcW w:w="5267" w:type="dxa"/>
          </w:tcPr>
          <w:p w14:paraId="55B5EC15" w14:textId="77777777" w:rsidR="00A55E27" w:rsidRPr="005B4BEF" w:rsidRDefault="00A55E27" w:rsidP="00AA0EE8">
            <w:pPr>
              <w:pStyle w:val="Tabledata"/>
            </w:pPr>
            <w:r w:rsidRPr="005B4BEF">
              <w:t>eba_</w:t>
            </w:r>
            <w:r>
              <w:t>2.0_</w:t>
            </w:r>
            <w:r w:rsidRPr="005B4BEF">
              <w:t xml:space="preserve">corep_2.0.1.1.zip </w:t>
            </w:r>
          </w:p>
        </w:tc>
      </w:tr>
      <w:tr w:rsidR="00A55E27" w:rsidRPr="005B4BEF" w14:paraId="55B5EC19" w14:textId="77777777" w:rsidTr="00A55E27">
        <w:trPr>
          <w:trHeight w:val="170"/>
        </w:trPr>
        <w:tc>
          <w:tcPr>
            <w:tcW w:w="3975" w:type="dxa"/>
          </w:tcPr>
          <w:p w14:paraId="55B5EC17" w14:textId="77777777" w:rsidR="00A55E27" w:rsidRPr="005B4BEF" w:rsidRDefault="00A55E27" w:rsidP="00AA0EE8">
            <w:pPr>
              <w:pStyle w:val="Tabledata"/>
            </w:pPr>
            <w:r w:rsidRPr="005B4BEF">
              <w:t>eba_ae_1.0.0.1.zip</w:t>
            </w:r>
          </w:p>
        </w:tc>
        <w:tc>
          <w:tcPr>
            <w:tcW w:w="5267" w:type="dxa"/>
          </w:tcPr>
          <w:p w14:paraId="55B5EC18" w14:textId="77777777" w:rsidR="00A55E27" w:rsidRPr="005B4BEF" w:rsidRDefault="00A55E27" w:rsidP="00AA0EE8">
            <w:pPr>
              <w:pStyle w:val="Tabledata"/>
            </w:pPr>
            <w:r w:rsidRPr="005B4BEF">
              <w:t>eba_</w:t>
            </w:r>
            <w:r>
              <w:t>2.1_</w:t>
            </w:r>
            <w:r w:rsidRPr="005B4BEF">
              <w:t>ae_1.0.0.1.zip</w:t>
            </w:r>
          </w:p>
        </w:tc>
      </w:tr>
      <w:tr w:rsidR="00A55E27" w:rsidRPr="005B4BEF" w14:paraId="55B5EC1C" w14:textId="77777777" w:rsidTr="00A55E27">
        <w:trPr>
          <w:trHeight w:val="170"/>
        </w:trPr>
        <w:tc>
          <w:tcPr>
            <w:tcW w:w="3975" w:type="dxa"/>
          </w:tcPr>
          <w:p w14:paraId="55B5EC1A" w14:textId="77777777" w:rsidR="00A55E27" w:rsidRPr="005B4BEF" w:rsidRDefault="00A55E27" w:rsidP="00AA0EE8">
            <w:pPr>
              <w:pStyle w:val="Tabledata"/>
            </w:pPr>
            <w:r w:rsidRPr="005B4BEF">
              <w:t>eba_corep_2.0.2.1.zip</w:t>
            </w:r>
          </w:p>
        </w:tc>
        <w:tc>
          <w:tcPr>
            <w:tcW w:w="5267" w:type="dxa"/>
          </w:tcPr>
          <w:p w14:paraId="55B5EC1B" w14:textId="77777777" w:rsidR="00A55E27" w:rsidRPr="005B4BEF" w:rsidRDefault="00A55E27" w:rsidP="00AA0EE8">
            <w:pPr>
              <w:pStyle w:val="Tabledata"/>
            </w:pPr>
            <w:r w:rsidRPr="005B4BEF">
              <w:t>eba_</w:t>
            </w:r>
            <w:r>
              <w:t>2.1_</w:t>
            </w:r>
            <w:r w:rsidRPr="005B4BEF">
              <w:t>corep_2.0.2.1.zip</w:t>
            </w:r>
          </w:p>
        </w:tc>
      </w:tr>
      <w:tr w:rsidR="00A55E27" w:rsidRPr="005B4BEF" w14:paraId="55B5EC1F" w14:textId="77777777" w:rsidTr="00A55E27">
        <w:trPr>
          <w:trHeight w:val="170"/>
        </w:trPr>
        <w:tc>
          <w:tcPr>
            <w:tcW w:w="3975" w:type="dxa"/>
          </w:tcPr>
          <w:p w14:paraId="55B5EC1D" w14:textId="77777777" w:rsidR="00A55E27" w:rsidRPr="005B4BEF" w:rsidRDefault="00A55E27" w:rsidP="00AA0EE8">
            <w:pPr>
              <w:pStyle w:val="Tabledata"/>
            </w:pPr>
            <w:r w:rsidRPr="005B4BEF">
              <w:t>eba_finrep_2.1.0.1.zip</w:t>
            </w:r>
          </w:p>
        </w:tc>
        <w:tc>
          <w:tcPr>
            <w:tcW w:w="5267" w:type="dxa"/>
          </w:tcPr>
          <w:p w14:paraId="55B5EC1E" w14:textId="77777777" w:rsidR="00A55E27" w:rsidRPr="005B4BEF" w:rsidRDefault="00A55E27" w:rsidP="00AA0EE8">
            <w:pPr>
              <w:pStyle w:val="Tabledata"/>
            </w:pPr>
            <w:r w:rsidRPr="005B4BEF">
              <w:t>eba_</w:t>
            </w:r>
            <w:r>
              <w:t>2.1_</w:t>
            </w:r>
            <w:r w:rsidRPr="005B4BEF">
              <w:t>finrep_2.1.0.1.zip</w:t>
            </w:r>
          </w:p>
        </w:tc>
      </w:tr>
      <w:tr w:rsidR="00A55E27" w:rsidRPr="005B4BEF" w14:paraId="55B5EC22" w14:textId="77777777" w:rsidTr="00AA0EE8">
        <w:trPr>
          <w:trHeight w:val="170"/>
        </w:trPr>
        <w:tc>
          <w:tcPr>
            <w:tcW w:w="3975" w:type="dxa"/>
          </w:tcPr>
          <w:p w14:paraId="55B5EC20" w14:textId="77777777" w:rsidR="00A55E27" w:rsidRPr="005909B9" w:rsidRDefault="00A55E27" w:rsidP="00AA0EE8">
            <w:pPr>
              <w:pStyle w:val="Tabledata"/>
              <w:rPr>
                <w:i/>
              </w:rPr>
            </w:pPr>
          </w:p>
        </w:tc>
        <w:tc>
          <w:tcPr>
            <w:tcW w:w="5267" w:type="dxa"/>
          </w:tcPr>
          <w:p w14:paraId="55B5EC21" w14:textId="77777777" w:rsidR="00A55E27" w:rsidRPr="005B4BEF" w:rsidRDefault="00A55E27" w:rsidP="00AA0EE8">
            <w:pPr>
              <w:pStyle w:val="Tabledata"/>
            </w:pPr>
            <w:r w:rsidRPr="005B4BEF">
              <w:t>eba_</w:t>
            </w:r>
            <w:r>
              <w:t>2.2_</w:t>
            </w:r>
            <w:r w:rsidRPr="005B4BEF">
              <w:t>ae_1.0.1.0.zip</w:t>
            </w:r>
          </w:p>
        </w:tc>
      </w:tr>
      <w:tr w:rsidR="00A55E27" w:rsidRPr="005B4BEF" w14:paraId="55B5EC25" w14:textId="77777777" w:rsidTr="00AA0EE8">
        <w:trPr>
          <w:trHeight w:val="170"/>
        </w:trPr>
        <w:tc>
          <w:tcPr>
            <w:tcW w:w="3975" w:type="dxa"/>
          </w:tcPr>
          <w:p w14:paraId="55B5EC23" w14:textId="77777777" w:rsidR="00A55E27" w:rsidRPr="005909B9" w:rsidRDefault="00A55E27" w:rsidP="00AA0EE8">
            <w:pPr>
              <w:pStyle w:val="Tabledata"/>
              <w:rPr>
                <w:i/>
              </w:rPr>
            </w:pPr>
          </w:p>
        </w:tc>
        <w:tc>
          <w:tcPr>
            <w:tcW w:w="5267" w:type="dxa"/>
          </w:tcPr>
          <w:p w14:paraId="55B5EC24" w14:textId="77777777" w:rsidR="00A55E27" w:rsidRPr="005B4BEF" w:rsidRDefault="00A55E27" w:rsidP="00AA0EE8">
            <w:pPr>
              <w:pStyle w:val="Tabledata"/>
            </w:pPr>
            <w:r w:rsidRPr="005B4BEF">
              <w:t>eba_</w:t>
            </w:r>
            <w:r>
              <w:t>2.2_</w:t>
            </w:r>
            <w:r w:rsidRPr="005B4BEF">
              <w:t>corep_2.0.3.0.zip</w:t>
            </w:r>
          </w:p>
        </w:tc>
      </w:tr>
      <w:tr w:rsidR="00A55E27" w:rsidRPr="005B4BEF" w14:paraId="55B5EC28" w14:textId="77777777" w:rsidTr="00AA0EE8">
        <w:trPr>
          <w:trHeight w:val="170"/>
        </w:trPr>
        <w:tc>
          <w:tcPr>
            <w:tcW w:w="3975" w:type="dxa"/>
          </w:tcPr>
          <w:p w14:paraId="55B5EC26" w14:textId="77777777" w:rsidR="00A55E27" w:rsidRPr="005909B9" w:rsidRDefault="00A55E27" w:rsidP="00AA0EE8">
            <w:pPr>
              <w:pStyle w:val="Tabledata"/>
              <w:rPr>
                <w:i/>
              </w:rPr>
            </w:pPr>
          </w:p>
        </w:tc>
        <w:tc>
          <w:tcPr>
            <w:tcW w:w="5267" w:type="dxa"/>
          </w:tcPr>
          <w:p w14:paraId="55B5EC27" w14:textId="77777777" w:rsidR="00A55E27" w:rsidRPr="005B4BEF" w:rsidRDefault="00A55E27" w:rsidP="00AA0EE8">
            <w:pPr>
              <w:pStyle w:val="Tabledata"/>
            </w:pPr>
            <w:r w:rsidRPr="005B4BEF">
              <w:t>eba_</w:t>
            </w:r>
            <w:r>
              <w:t>2.2_</w:t>
            </w:r>
            <w:r w:rsidRPr="005B4BEF">
              <w:t>finrep_2.1.1.0.zip</w:t>
            </w:r>
          </w:p>
        </w:tc>
      </w:tr>
      <w:tr w:rsidR="00A55E27" w:rsidRPr="005B4BEF" w14:paraId="55B5EC2B" w14:textId="77777777" w:rsidTr="00AA0EE8">
        <w:trPr>
          <w:trHeight w:val="170"/>
        </w:trPr>
        <w:tc>
          <w:tcPr>
            <w:tcW w:w="3975" w:type="dxa"/>
          </w:tcPr>
          <w:p w14:paraId="55B5EC29" w14:textId="77777777" w:rsidR="00A55E27" w:rsidRPr="005909B9" w:rsidRDefault="00A55E27" w:rsidP="00AA0EE8">
            <w:pPr>
              <w:pStyle w:val="Tabledata"/>
              <w:rPr>
                <w:i/>
              </w:rPr>
            </w:pPr>
          </w:p>
        </w:tc>
        <w:tc>
          <w:tcPr>
            <w:tcW w:w="5267" w:type="dxa"/>
          </w:tcPr>
          <w:p w14:paraId="55B5EC2A" w14:textId="77777777" w:rsidR="00A55E27" w:rsidRPr="005B4BEF" w:rsidRDefault="00A55E27" w:rsidP="00AA0EE8">
            <w:pPr>
              <w:pStyle w:val="Tabledata"/>
            </w:pPr>
            <w:r w:rsidRPr="005B4BEF">
              <w:t>eba_</w:t>
            </w:r>
            <w:r>
              <w:t>2.2_</w:t>
            </w:r>
            <w:r w:rsidRPr="005B4BEF">
              <w:t>fp_1.0.0.0.zip</w:t>
            </w:r>
          </w:p>
        </w:tc>
      </w:tr>
      <w:tr w:rsidR="00A55E27" w:rsidRPr="005B4BEF" w14:paraId="55B5EC2E" w14:textId="77777777" w:rsidTr="00AA0EE8">
        <w:trPr>
          <w:trHeight w:val="170"/>
        </w:trPr>
        <w:tc>
          <w:tcPr>
            <w:tcW w:w="3975" w:type="dxa"/>
          </w:tcPr>
          <w:p w14:paraId="55B5EC2C" w14:textId="77777777" w:rsidR="00A55E27" w:rsidRPr="005909B9" w:rsidRDefault="00A55E27" w:rsidP="00AA0EE8">
            <w:pPr>
              <w:pStyle w:val="Tabledata"/>
              <w:rPr>
                <w:i/>
              </w:rPr>
            </w:pPr>
          </w:p>
        </w:tc>
        <w:tc>
          <w:tcPr>
            <w:tcW w:w="5267" w:type="dxa"/>
          </w:tcPr>
          <w:p w14:paraId="55B5EC2D" w14:textId="77777777" w:rsidR="00A55E27" w:rsidRPr="005B4BEF" w:rsidRDefault="00A55E27" w:rsidP="00AA0EE8">
            <w:pPr>
              <w:pStyle w:val="Tabledata"/>
            </w:pPr>
            <w:r w:rsidRPr="005B4BEF">
              <w:t>eba_</w:t>
            </w:r>
            <w:r>
              <w:t>2.2_</w:t>
            </w:r>
            <w:r w:rsidRPr="005B4BEF">
              <w:t>dict_2.2.0.0.zip</w:t>
            </w:r>
          </w:p>
        </w:tc>
      </w:tr>
    </w:tbl>
    <w:p w14:paraId="55B5EC2F" w14:textId="77777777" w:rsidR="00AC2556" w:rsidRDefault="00AC2556" w:rsidP="00AC2556"/>
    <w:p w14:paraId="55B5EC30" w14:textId="77777777"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14:paraId="55B5EC31" w14:textId="77777777"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14:paraId="55B5EC32" w14:textId="77777777"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Default="005909B9" w:rsidP="005909B9">
      <w:r>
        <w:t xml:space="preserve">This will now trigger an XBRL dimensional validation failure, achieved by: </w:t>
      </w:r>
    </w:p>
    <w:p w14:paraId="55B5EC34" w14:textId="77777777" w:rsidR="005909B9" w:rsidRDefault="005909B9" w:rsidP="00183058">
      <w:pPr>
        <w:pStyle w:val="ListParagraph"/>
        <w:numPr>
          <w:ilvl w:val="0"/>
          <w:numId w:val="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14:paraId="55B5EC35" w14:textId="77777777" w:rsidR="005909B9" w:rsidRDefault="005909B9" w:rsidP="00183058">
      <w:pPr>
        <w:pStyle w:val="ListParagraph"/>
        <w:numPr>
          <w:ilvl w:val="0"/>
          <w:numId w:val="5"/>
        </w:numPr>
      </w:pPr>
      <w:r>
        <w:t>Creation of a met-def.xml file that links all metrics to a hypercube linked to this null dimension (but not to any members).</w:t>
      </w:r>
    </w:p>
    <w:p w14:paraId="55B5EC36" w14:textId="77777777" w:rsidR="00237B31" w:rsidRDefault="005909B9" w:rsidP="00183058">
      <w:pPr>
        <w:pStyle w:val="ListParagraph"/>
        <w:numPr>
          <w:ilvl w:val="0"/>
          <w:numId w:val="5"/>
        </w:numPr>
      </w:pPr>
      <w:r>
        <w:t>Linking from each of the new entry points to this met-def.xml file.</w:t>
      </w:r>
    </w:p>
    <w:p w14:paraId="55B5EC37" w14:textId="77777777" w:rsidR="00237B31" w:rsidRDefault="00237B31" w:rsidP="00237B31"/>
    <w:p w14:paraId="55B5EC38" w14:textId="77777777"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14:paraId="55B5EC39" w14:textId="77777777" w:rsidR="00237B31" w:rsidRDefault="00237B31" w:rsidP="00237B31"/>
    <w:p w14:paraId="55B5EC3A" w14:textId="77777777"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14:paraId="55B5EC3B" w14:textId="77777777" w:rsidR="00AC2556" w:rsidRPr="003D5718" w:rsidRDefault="00237B31" w:rsidP="00237B31">
      <w:pPr>
        <w:pStyle w:val="Subtitle"/>
      </w:pPr>
      <w:r w:rsidRPr="00237B31">
        <w:t>Correction of minor errors in DPM Database</w:t>
      </w:r>
      <w:r w:rsidR="003D5718">
        <w:t xml:space="preserve"> </w:t>
      </w:r>
    </w:p>
    <w:p w14:paraId="55B5EC3C" w14:textId="77777777" w:rsidR="00AC2556" w:rsidRPr="003D5718" w:rsidRDefault="00AC2556" w:rsidP="00AC2556"/>
    <w:p w14:paraId="55B5EC3D" w14:textId="77777777"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14:paraId="55B5EC3E" w14:textId="77777777" w:rsidR="00AC2556" w:rsidRPr="000F3810" w:rsidRDefault="000F3810" w:rsidP="00D515AE">
      <w:pPr>
        <w:pStyle w:val="Titlelevel2"/>
        <w:rPr>
          <w:b/>
        </w:rPr>
      </w:pPr>
      <w:r w:rsidRPr="000F3810">
        <w:t>Table</w:t>
      </w:r>
      <w:r w:rsidRPr="000F3810">
        <w:rPr>
          <w:b/>
        </w:rPr>
        <w:t xml:space="preserve"> </w:t>
      </w:r>
      <w:r w:rsidRPr="000F3810">
        <w:t>Layouts</w:t>
      </w:r>
    </w:p>
    <w:p w14:paraId="55B5EC3F" w14:textId="77777777" w:rsidR="00AC2556" w:rsidRPr="003D5718" w:rsidRDefault="00AC2556" w:rsidP="00AC2556">
      <w:r w:rsidRPr="003D5718">
        <w:t>Annotations of cells in row 100 of Table F31.01 corrected.</w:t>
      </w:r>
    </w:p>
    <w:p w14:paraId="55B5EC40" w14:textId="77777777"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14:paraId="55B5EC41" w14:textId="77777777" w:rsidR="00AC2556" w:rsidRPr="003D5718" w:rsidRDefault="00AC2556" w:rsidP="00AC2556">
      <w:r w:rsidRPr="003D5718">
        <w:t>See correction to database for more details</w:t>
      </w:r>
    </w:p>
    <w:p w14:paraId="55B5EC42" w14:textId="77777777" w:rsidR="00AC2556" w:rsidRPr="000F3810" w:rsidRDefault="00AC2556" w:rsidP="00D515AE">
      <w:pPr>
        <w:pStyle w:val="Titlelevel2"/>
      </w:pPr>
      <w:r w:rsidRPr="000F3810">
        <w:t>DPM Database</w:t>
      </w:r>
    </w:p>
    <w:p w14:paraId="55B5EC43" w14:textId="77777777"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14:paraId="55B5EC44" w14:textId="77777777" w:rsidR="00AC2556" w:rsidRPr="003D5718" w:rsidRDefault="00AC2556" w:rsidP="00AC2556">
      <w:r w:rsidRPr="003D5718">
        <w:t>Correction of errors in Contexts for 6 data points on F31.01</w:t>
      </w:r>
    </w:p>
    <w:p w14:paraId="55B5EC45" w14:textId="77777777"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3D5718" w:rsidRDefault="003D5718" w:rsidP="00AA0EE8">
            <w:pPr>
              <w:pStyle w:val="Tableheader"/>
            </w:pPr>
            <w:proofErr w:type="spellStart"/>
            <w:r w:rsidRPr="003D5718">
              <w:t>ContextID</w:t>
            </w:r>
            <w:proofErr w:type="spellEnd"/>
          </w:p>
        </w:tc>
        <w:tc>
          <w:tcPr>
            <w:tcW w:w="2764" w:type="dxa"/>
          </w:tcPr>
          <w:p w14:paraId="55B5EC47" w14:textId="77777777" w:rsidR="003D5718" w:rsidRPr="003D5718" w:rsidRDefault="003D5718" w:rsidP="00AA0EE8">
            <w:pPr>
              <w:pStyle w:val="Tableheader"/>
            </w:pPr>
            <w:r w:rsidRPr="003D5718">
              <w:tab/>
            </w:r>
            <w:proofErr w:type="spellStart"/>
            <w:r w:rsidRPr="003D5718">
              <w:t>ContextKey</w:t>
            </w:r>
            <w:proofErr w:type="spellEnd"/>
          </w:p>
        </w:tc>
        <w:tc>
          <w:tcPr>
            <w:tcW w:w="5285" w:type="dxa"/>
          </w:tcPr>
          <w:p w14:paraId="55B5EC48" w14:textId="77777777" w:rsidR="003D5718" w:rsidRPr="003D5718" w:rsidRDefault="003D5718" w:rsidP="00AA0EE8">
            <w:pPr>
              <w:pStyle w:val="Tableheader"/>
            </w:pPr>
            <w:r w:rsidRPr="003D5718">
              <w:tab/>
            </w:r>
            <w:proofErr w:type="spellStart"/>
            <w:r w:rsidRPr="003D5718">
              <w:t>XbrlContextKey</w:t>
            </w:r>
            <w:proofErr w:type="spellEnd"/>
          </w:p>
        </w:tc>
      </w:tr>
      <w:tr w:rsidR="003D5718" w:rsidRPr="003D5718" w14:paraId="55B5EC4D" w14:textId="77777777" w:rsidTr="00AA0EE8">
        <w:tc>
          <w:tcPr>
            <w:tcW w:w="1242" w:type="dxa"/>
          </w:tcPr>
          <w:p w14:paraId="55B5EC4A" w14:textId="77777777" w:rsidR="003D5718" w:rsidRPr="003D5718" w:rsidRDefault="003D5718" w:rsidP="00AA0EE8">
            <w:pPr>
              <w:pStyle w:val="Tabledata"/>
              <w:rPr>
                <w:b/>
              </w:rPr>
            </w:pPr>
            <w:r w:rsidRPr="003D5718">
              <w:rPr>
                <w:b/>
              </w:rPr>
              <w:t>63000</w:t>
            </w:r>
          </w:p>
        </w:tc>
        <w:tc>
          <w:tcPr>
            <w:tcW w:w="2764" w:type="dxa"/>
          </w:tcPr>
          <w:p w14:paraId="55B5EC4B" w14:textId="77777777" w:rsidR="003D5718" w:rsidRPr="003D5718" w:rsidRDefault="003D5718" w:rsidP="00AA0EE8">
            <w:pPr>
              <w:pStyle w:val="Tabledata"/>
              <w:rPr>
                <w:b/>
              </w:rPr>
            </w:pPr>
            <w:r w:rsidRPr="003D5718">
              <w:rPr>
                <w:b/>
              </w:rPr>
              <w:t>BAS1516IMS1801MCY2255RPR2672</w:t>
            </w:r>
          </w:p>
        </w:tc>
        <w:tc>
          <w:tcPr>
            <w:tcW w:w="5285" w:type="dxa"/>
          </w:tcPr>
          <w:p w14:paraId="55B5EC4C" w14:textId="77777777" w:rsidR="003D5718" w:rsidRPr="003D5718" w:rsidRDefault="003D5718" w:rsidP="00AA0EE8">
            <w:pPr>
              <w:pStyle w:val="Tabledata"/>
              <w:rPr>
                <w:b/>
              </w:rPr>
            </w:pPr>
            <w:r w:rsidRPr="003D5718">
              <w:rPr>
                <w:b/>
              </w:rPr>
              <w:t>BAS=eba_BA:x10,IMS=eba_IM:x3,MCY=eba_MC:x251,RPR=eba_RP:x4</w:t>
            </w:r>
          </w:p>
        </w:tc>
      </w:tr>
      <w:tr w:rsidR="003D5718" w:rsidRPr="003D5718" w14:paraId="55B5EC51" w14:textId="77777777" w:rsidTr="00AA0EE8">
        <w:tc>
          <w:tcPr>
            <w:tcW w:w="1242" w:type="dxa"/>
          </w:tcPr>
          <w:p w14:paraId="55B5EC4E" w14:textId="77777777" w:rsidR="003D5718" w:rsidRPr="003D5718" w:rsidRDefault="003D5718" w:rsidP="00AA0EE8">
            <w:pPr>
              <w:pStyle w:val="Tabledata"/>
              <w:rPr>
                <w:b/>
              </w:rPr>
            </w:pPr>
            <w:r w:rsidRPr="003D5718">
              <w:rPr>
                <w:b/>
              </w:rPr>
              <w:lastRenderedPageBreak/>
              <w:t>63001</w:t>
            </w:r>
          </w:p>
        </w:tc>
        <w:tc>
          <w:tcPr>
            <w:tcW w:w="2764" w:type="dxa"/>
          </w:tcPr>
          <w:p w14:paraId="55B5EC4F" w14:textId="77777777" w:rsidR="003D5718" w:rsidRPr="003D5718" w:rsidRDefault="003D5718" w:rsidP="00AA0EE8">
            <w:pPr>
              <w:pStyle w:val="Tabledata"/>
              <w:rPr>
                <w:b/>
              </w:rPr>
            </w:pPr>
            <w:r w:rsidRPr="003D5718">
              <w:rPr>
                <w:b/>
              </w:rPr>
              <w:t>BAS1516IMS1801MCY2255RPR2673</w:t>
            </w:r>
          </w:p>
        </w:tc>
        <w:tc>
          <w:tcPr>
            <w:tcW w:w="5285" w:type="dxa"/>
          </w:tcPr>
          <w:p w14:paraId="55B5EC50" w14:textId="77777777" w:rsidR="003D5718" w:rsidRPr="003D5718" w:rsidRDefault="003D5718" w:rsidP="00AA0EE8">
            <w:pPr>
              <w:pStyle w:val="Tabledata"/>
              <w:rPr>
                <w:b/>
              </w:rPr>
            </w:pPr>
            <w:r w:rsidRPr="003D5718">
              <w:rPr>
                <w:b/>
              </w:rPr>
              <w:t>BAS=eba_BA:x10,IMS=eba_IM:x3,MCY=eba_MC:x251,RPR=eba_RP:x5</w:t>
            </w:r>
          </w:p>
        </w:tc>
      </w:tr>
      <w:tr w:rsidR="003D5718" w:rsidRPr="003D5718" w14:paraId="55B5EC55" w14:textId="77777777" w:rsidTr="00AA0EE8">
        <w:tc>
          <w:tcPr>
            <w:tcW w:w="1242" w:type="dxa"/>
          </w:tcPr>
          <w:p w14:paraId="55B5EC52" w14:textId="77777777" w:rsidR="003D5718" w:rsidRPr="003D5718" w:rsidRDefault="003D5718" w:rsidP="00AA0EE8">
            <w:pPr>
              <w:pStyle w:val="Tabledata"/>
              <w:rPr>
                <w:b/>
              </w:rPr>
            </w:pPr>
            <w:r w:rsidRPr="003D5718">
              <w:rPr>
                <w:b/>
              </w:rPr>
              <w:t>63002</w:t>
            </w:r>
          </w:p>
        </w:tc>
        <w:tc>
          <w:tcPr>
            <w:tcW w:w="2764" w:type="dxa"/>
          </w:tcPr>
          <w:p w14:paraId="55B5EC53" w14:textId="77777777" w:rsidR="003D5718" w:rsidRPr="003D5718" w:rsidRDefault="003D5718" w:rsidP="00AA0EE8">
            <w:pPr>
              <w:pStyle w:val="Tabledata"/>
              <w:rPr>
                <w:b/>
              </w:rPr>
            </w:pPr>
            <w:r w:rsidRPr="003D5718">
              <w:rPr>
                <w:b/>
              </w:rPr>
              <w:t>BAS1516IMS1801MCY2255RPR2676</w:t>
            </w:r>
          </w:p>
        </w:tc>
        <w:tc>
          <w:tcPr>
            <w:tcW w:w="5285" w:type="dxa"/>
          </w:tcPr>
          <w:p w14:paraId="55B5EC54" w14:textId="77777777" w:rsidR="003D5718" w:rsidRPr="003D5718" w:rsidRDefault="003D5718" w:rsidP="00AA0EE8">
            <w:pPr>
              <w:pStyle w:val="Tabledata"/>
              <w:rPr>
                <w:b/>
              </w:rPr>
            </w:pPr>
            <w:r w:rsidRPr="003D5718">
              <w:rPr>
                <w:b/>
              </w:rPr>
              <w:t>BAS=eba_BA:x10,IMS=eba_IM:x3,MCY=eba_MC:x251,RPR=eba_RP:x8</w:t>
            </w:r>
          </w:p>
        </w:tc>
      </w:tr>
      <w:tr w:rsidR="003D5718" w:rsidRPr="003D5718" w14:paraId="55B5EC59" w14:textId="77777777" w:rsidTr="00AA0EE8">
        <w:tc>
          <w:tcPr>
            <w:tcW w:w="1242" w:type="dxa"/>
          </w:tcPr>
          <w:p w14:paraId="55B5EC56" w14:textId="77777777" w:rsidR="003D5718" w:rsidRPr="003D5718" w:rsidRDefault="003D5718" w:rsidP="00AA0EE8">
            <w:pPr>
              <w:pStyle w:val="Tabledata"/>
              <w:rPr>
                <w:b/>
              </w:rPr>
            </w:pPr>
            <w:r w:rsidRPr="003D5718">
              <w:rPr>
                <w:b/>
              </w:rPr>
              <w:t>63003</w:t>
            </w:r>
          </w:p>
        </w:tc>
        <w:tc>
          <w:tcPr>
            <w:tcW w:w="2764" w:type="dxa"/>
          </w:tcPr>
          <w:p w14:paraId="55B5EC57" w14:textId="77777777" w:rsidR="003D5718" w:rsidRPr="003D5718" w:rsidRDefault="003D5718" w:rsidP="00AA0EE8">
            <w:pPr>
              <w:pStyle w:val="Tabledata"/>
              <w:rPr>
                <w:b/>
              </w:rPr>
            </w:pPr>
            <w:r w:rsidRPr="003D5718">
              <w:rPr>
                <w:b/>
              </w:rPr>
              <w:t>BAS1516IMS1801MCY2255RPR2679</w:t>
            </w:r>
          </w:p>
        </w:tc>
        <w:tc>
          <w:tcPr>
            <w:tcW w:w="5285" w:type="dxa"/>
          </w:tcPr>
          <w:p w14:paraId="55B5EC58" w14:textId="77777777" w:rsidR="003D5718" w:rsidRPr="003D5718" w:rsidRDefault="003D5718" w:rsidP="00AA0EE8">
            <w:pPr>
              <w:pStyle w:val="Tabledata"/>
              <w:rPr>
                <w:b/>
              </w:rPr>
            </w:pPr>
            <w:r w:rsidRPr="003D5718">
              <w:rPr>
                <w:b/>
              </w:rPr>
              <w:t>BAS=eba_BA:x10,IMS=eba_IM:x3,MCY=eba_MC:x251,RPR=eba_RP:x10</w:t>
            </w:r>
          </w:p>
        </w:tc>
      </w:tr>
      <w:tr w:rsidR="003D5718" w:rsidRPr="003D5718" w14:paraId="55B5EC5D" w14:textId="77777777" w:rsidTr="00AA0EE8">
        <w:tc>
          <w:tcPr>
            <w:tcW w:w="1242" w:type="dxa"/>
          </w:tcPr>
          <w:p w14:paraId="55B5EC5A" w14:textId="77777777" w:rsidR="003D5718" w:rsidRPr="003D5718" w:rsidRDefault="003D5718" w:rsidP="00AA0EE8">
            <w:pPr>
              <w:pStyle w:val="Tabledata"/>
              <w:rPr>
                <w:b/>
              </w:rPr>
            </w:pPr>
            <w:r w:rsidRPr="003D5718">
              <w:rPr>
                <w:b/>
              </w:rPr>
              <w:t>63004</w:t>
            </w:r>
          </w:p>
        </w:tc>
        <w:tc>
          <w:tcPr>
            <w:tcW w:w="2764" w:type="dxa"/>
          </w:tcPr>
          <w:p w14:paraId="55B5EC5B" w14:textId="77777777" w:rsidR="003D5718" w:rsidRPr="003D5718" w:rsidRDefault="003D5718" w:rsidP="00AA0EE8">
            <w:pPr>
              <w:pStyle w:val="Tabledata"/>
              <w:rPr>
                <w:b/>
              </w:rPr>
            </w:pPr>
            <w:r w:rsidRPr="003D5718">
              <w:rPr>
                <w:b/>
              </w:rPr>
              <w:t>BAS1516IMS1801MCY2255RPR2680</w:t>
            </w:r>
          </w:p>
        </w:tc>
        <w:tc>
          <w:tcPr>
            <w:tcW w:w="5285" w:type="dxa"/>
          </w:tcPr>
          <w:p w14:paraId="55B5EC5C" w14:textId="77777777" w:rsidR="003D5718" w:rsidRPr="003D5718" w:rsidRDefault="003D5718" w:rsidP="00AA0EE8">
            <w:pPr>
              <w:pStyle w:val="Tabledata"/>
              <w:rPr>
                <w:b/>
              </w:rPr>
            </w:pPr>
            <w:r w:rsidRPr="003D5718">
              <w:rPr>
                <w:b/>
              </w:rPr>
              <w:t>BAS=eba_BA:x10,IMS=eba_IM:x3,MCY=eba_MC:x251,RPR=eba_RP:x1</w:t>
            </w:r>
          </w:p>
        </w:tc>
      </w:tr>
    </w:tbl>
    <w:p w14:paraId="55B5EC5E" w14:textId="77777777" w:rsidR="00AC2556" w:rsidRPr="003D5718" w:rsidRDefault="00AC2556" w:rsidP="00AC2556"/>
    <w:p w14:paraId="55B5EC5F" w14:textId="77777777"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A77ED" w:rsidRDefault="003D5718" w:rsidP="00AA0EE8">
            <w:pPr>
              <w:pStyle w:val="Tableheader"/>
            </w:pPr>
            <w:proofErr w:type="spellStart"/>
            <w:r w:rsidRPr="005A77ED">
              <w:t>ContextID</w:t>
            </w:r>
            <w:proofErr w:type="spellEnd"/>
          </w:p>
        </w:tc>
        <w:tc>
          <w:tcPr>
            <w:tcW w:w="3097" w:type="dxa"/>
          </w:tcPr>
          <w:p w14:paraId="55B5EC61" w14:textId="77777777" w:rsidR="003D5718" w:rsidRPr="005A77ED" w:rsidRDefault="003D5718" w:rsidP="00AA0EE8">
            <w:pPr>
              <w:pStyle w:val="Tableheader"/>
            </w:pPr>
            <w:proofErr w:type="spellStart"/>
            <w:r w:rsidRPr="005A77ED">
              <w:t>DimensionID</w:t>
            </w:r>
            <w:proofErr w:type="spellEnd"/>
          </w:p>
        </w:tc>
        <w:tc>
          <w:tcPr>
            <w:tcW w:w="3097" w:type="dxa"/>
          </w:tcPr>
          <w:p w14:paraId="55B5EC62" w14:textId="77777777" w:rsidR="003D5718" w:rsidRPr="005A77ED" w:rsidRDefault="003D5718" w:rsidP="00AA0EE8">
            <w:pPr>
              <w:pStyle w:val="Tableheader"/>
            </w:pPr>
            <w:proofErr w:type="spellStart"/>
            <w:r w:rsidRPr="005A77ED">
              <w:t>MemberID</w:t>
            </w:r>
            <w:proofErr w:type="spellEnd"/>
          </w:p>
        </w:tc>
      </w:tr>
      <w:tr w:rsidR="003D5718" w:rsidRPr="005A77ED" w14:paraId="55B5EC67" w14:textId="77777777" w:rsidTr="00AA0EE8">
        <w:tc>
          <w:tcPr>
            <w:tcW w:w="3097" w:type="dxa"/>
          </w:tcPr>
          <w:p w14:paraId="55B5EC64" w14:textId="77777777" w:rsidR="003D5718" w:rsidRPr="005A77ED" w:rsidRDefault="003D5718" w:rsidP="00AA0EE8">
            <w:pPr>
              <w:pStyle w:val="Tabledata"/>
            </w:pPr>
            <w:r w:rsidRPr="005A77ED">
              <w:t>63000</w:t>
            </w:r>
          </w:p>
        </w:tc>
        <w:tc>
          <w:tcPr>
            <w:tcW w:w="3097" w:type="dxa"/>
          </w:tcPr>
          <w:p w14:paraId="55B5EC65" w14:textId="77777777" w:rsidR="003D5718" w:rsidRPr="005A77ED" w:rsidRDefault="003D5718" w:rsidP="00AA0EE8">
            <w:pPr>
              <w:pStyle w:val="Tabledata"/>
            </w:pPr>
            <w:r w:rsidRPr="005A77ED">
              <w:t>110</w:t>
            </w:r>
          </w:p>
        </w:tc>
        <w:tc>
          <w:tcPr>
            <w:tcW w:w="3097" w:type="dxa"/>
          </w:tcPr>
          <w:p w14:paraId="55B5EC66" w14:textId="77777777" w:rsidR="003D5718" w:rsidRPr="005A77ED" w:rsidRDefault="003D5718" w:rsidP="00AA0EE8">
            <w:pPr>
              <w:pStyle w:val="Tabledata"/>
            </w:pPr>
            <w:r w:rsidRPr="005A77ED">
              <w:t>1516</w:t>
            </w:r>
          </w:p>
        </w:tc>
      </w:tr>
      <w:tr w:rsidR="003D5718" w:rsidRPr="005A77ED" w14:paraId="55B5EC6B" w14:textId="77777777" w:rsidTr="00AA0EE8">
        <w:tc>
          <w:tcPr>
            <w:tcW w:w="3097" w:type="dxa"/>
          </w:tcPr>
          <w:p w14:paraId="55B5EC68" w14:textId="77777777" w:rsidR="003D5718" w:rsidRPr="005A77ED" w:rsidRDefault="003D5718" w:rsidP="00AA0EE8">
            <w:pPr>
              <w:pStyle w:val="Tabledata"/>
            </w:pPr>
            <w:r w:rsidRPr="005A77ED">
              <w:t>63000</w:t>
            </w:r>
          </w:p>
        </w:tc>
        <w:tc>
          <w:tcPr>
            <w:tcW w:w="3097" w:type="dxa"/>
          </w:tcPr>
          <w:p w14:paraId="55B5EC69" w14:textId="77777777" w:rsidR="003D5718" w:rsidRPr="005A77ED" w:rsidRDefault="003D5718" w:rsidP="00AA0EE8">
            <w:pPr>
              <w:pStyle w:val="Tabledata"/>
            </w:pPr>
            <w:r w:rsidRPr="005A77ED">
              <w:t>120</w:t>
            </w:r>
          </w:p>
        </w:tc>
        <w:tc>
          <w:tcPr>
            <w:tcW w:w="3097" w:type="dxa"/>
          </w:tcPr>
          <w:p w14:paraId="55B5EC6A" w14:textId="77777777" w:rsidR="003D5718" w:rsidRPr="005A77ED" w:rsidRDefault="003D5718" w:rsidP="00AA0EE8">
            <w:pPr>
              <w:pStyle w:val="Tabledata"/>
            </w:pPr>
            <w:r w:rsidRPr="005A77ED">
              <w:t>2255</w:t>
            </w:r>
          </w:p>
        </w:tc>
      </w:tr>
      <w:tr w:rsidR="003D5718" w:rsidRPr="005A77ED" w14:paraId="55B5EC6F" w14:textId="77777777" w:rsidTr="00AA0EE8">
        <w:tc>
          <w:tcPr>
            <w:tcW w:w="3097" w:type="dxa"/>
          </w:tcPr>
          <w:p w14:paraId="55B5EC6C" w14:textId="77777777" w:rsidR="003D5718" w:rsidRPr="005A77ED" w:rsidRDefault="003D5718" w:rsidP="00AA0EE8">
            <w:pPr>
              <w:pStyle w:val="Tabledata"/>
            </w:pPr>
            <w:r w:rsidRPr="005A77ED">
              <w:t>63000</w:t>
            </w:r>
          </w:p>
        </w:tc>
        <w:tc>
          <w:tcPr>
            <w:tcW w:w="3097" w:type="dxa"/>
          </w:tcPr>
          <w:p w14:paraId="55B5EC6D" w14:textId="77777777" w:rsidR="003D5718" w:rsidRPr="005A77ED" w:rsidRDefault="003D5718" w:rsidP="00AA0EE8">
            <w:pPr>
              <w:pStyle w:val="Tabledata"/>
            </w:pPr>
            <w:r w:rsidRPr="005A77ED">
              <w:t>390</w:t>
            </w:r>
          </w:p>
        </w:tc>
        <w:tc>
          <w:tcPr>
            <w:tcW w:w="3097" w:type="dxa"/>
          </w:tcPr>
          <w:p w14:paraId="55B5EC6E" w14:textId="77777777" w:rsidR="003D5718" w:rsidRPr="005A77ED" w:rsidRDefault="003D5718" w:rsidP="00AA0EE8">
            <w:pPr>
              <w:pStyle w:val="Tabledata"/>
            </w:pPr>
            <w:r w:rsidRPr="005A77ED">
              <w:t>1801</w:t>
            </w:r>
          </w:p>
        </w:tc>
      </w:tr>
      <w:tr w:rsidR="003D5718" w:rsidRPr="005A77ED" w14:paraId="55B5EC73" w14:textId="77777777" w:rsidTr="00AA0EE8">
        <w:tc>
          <w:tcPr>
            <w:tcW w:w="3097" w:type="dxa"/>
          </w:tcPr>
          <w:p w14:paraId="55B5EC70" w14:textId="77777777" w:rsidR="003D5718" w:rsidRPr="005A77ED" w:rsidRDefault="003D5718" w:rsidP="00AA0EE8">
            <w:pPr>
              <w:pStyle w:val="Tabledata"/>
            </w:pPr>
            <w:r w:rsidRPr="005A77ED">
              <w:t>63000</w:t>
            </w:r>
          </w:p>
        </w:tc>
        <w:tc>
          <w:tcPr>
            <w:tcW w:w="3097" w:type="dxa"/>
          </w:tcPr>
          <w:p w14:paraId="55B5EC71" w14:textId="77777777" w:rsidR="003D5718" w:rsidRPr="005A77ED" w:rsidRDefault="003D5718" w:rsidP="00AA0EE8">
            <w:pPr>
              <w:pStyle w:val="Tabledata"/>
            </w:pPr>
            <w:r w:rsidRPr="005A77ED">
              <w:t>525</w:t>
            </w:r>
          </w:p>
        </w:tc>
        <w:tc>
          <w:tcPr>
            <w:tcW w:w="3097" w:type="dxa"/>
          </w:tcPr>
          <w:p w14:paraId="55B5EC72" w14:textId="77777777" w:rsidR="003D5718" w:rsidRPr="005A77ED" w:rsidRDefault="003D5718" w:rsidP="00AA0EE8">
            <w:pPr>
              <w:pStyle w:val="Tabledata"/>
            </w:pPr>
            <w:r w:rsidRPr="005A77ED">
              <w:t>2672</w:t>
            </w:r>
          </w:p>
        </w:tc>
      </w:tr>
      <w:tr w:rsidR="003D5718" w:rsidRPr="005A77ED" w14:paraId="55B5EC77" w14:textId="77777777" w:rsidTr="00AA0EE8">
        <w:tc>
          <w:tcPr>
            <w:tcW w:w="3097" w:type="dxa"/>
          </w:tcPr>
          <w:p w14:paraId="55B5EC74" w14:textId="77777777" w:rsidR="003D5718" w:rsidRPr="005A77ED" w:rsidRDefault="003D5718" w:rsidP="00AA0EE8">
            <w:pPr>
              <w:pStyle w:val="Tabledata"/>
            </w:pPr>
            <w:r w:rsidRPr="005A77ED">
              <w:t>63001</w:t>
            </w:r>
          </w:p>
        </w:tc>
        <w:tc>
          <w:tcPr>
            <w:tcW w:w="3097" w:type="dxa"/>
          </w:tcPr>
          <w:p w14:paraId="55B5EC75" w14:textId="77777777" w:rsidR="003D5718" w:rsidRPr="005A77ED" w:rsidRDefault="003D5718" w:rsidP="00AA0EE8">
            <w:pPr>
              <w:pStyle w:val="Tabledata"/>
            </w:pPr>
            <w:r w:rsidRPr="005A77ED">
              <w:t>110</w:t>
            </w:r>
          </w:p>
        </w:tc>
        <w:tc>
          <w:tcPr>
            <w:tcW w:w="3097" w:type="dxa"/>
          </w:tcPr>
          <w:p w14:paraId="55B5EC76" w14:textId="77777777" w:rsidR="003D5718" w:rsidRPr="005A77ED" w:rsidRDefault="003D5718" w:rsidP="00AA0EE8">
            <w:pPr>
              <w:pStyle w:val="Tabledata"/>
            </w:pPr>
            <w:r w:rsidRPr="005A77ED">
              <w:t>1516</w:t>
            </w:r>
          </w:p>
        </w:tc>
      </w:tr>
      <w:tr w:rsidR="003D5718" w:rsidRPr="005A77ED" w14:paraId="55B5EC7B" w14:textId="77777777" w:rsidTr="00AA0EE8">
        <w:tc>
          <w:tcPr>
            <w:tcW w:w="3097" w:type="dxa"/>
          </w:tcPr>
          <w:p w14:paraId="55B5EC78" w14:textId="77777777" w:rsidR="003D5718" w:rsidRPr="005A77ED" w:rsidRDefault="003D5718" w:rsidP="00AA0EE8">
            <w:pPr>
              <w:pStyle w:val="Tabledata"/>
            </w:pPr>
            <w:r w:rsidRPr="005A77ED">
              <w:t>63001</w:t>
            </w:r>
          </w:p>
        </w:tc>
        <w:tc>
          <w:tcPr>
            <w:tcW w:w="3097" w:type="dxa"/>
          </w:tcPr>
          <w:p w14:paraId="55B5EC79" w14:textId="77777777" w:rsidR="003D5718" w:rsidRPr="005A77ED" w:rsidRDefault="003D5718" w:rsidP="00AA0EE8">
            <w:pPr>
              <w:pStyle w:val="Tabledata"/>
            </w:pPr>
            <w:r w:rsidRPr="005A77ED">
              <w:t>120</w:t>
            </w:r>
          </w:p>
        </w:tc>
        <w:tc>
          <w:tcPr>
            <w:tcW w:w="3097" w:type="dxa"/>
          </w:tcPr>
          <w:p w14:paraId="55B5EC7A" w14:textId="77777777" w:rsidR="003D5718" w:rsidRPr="005A77ED" w:rsidRDefault="003D5718" w:rsidP="00AA0EE8">
            <w:pPr>
              <w:pStyle w:val="Tabledata"/>
            </w:pPr>
            <w:r w:rsidRPr="005A77ED">
              <w:t>2255</w:t>
            </w:r>
          </w:p>
        </w:tc>
      </w:tr>
      <w:tr w:rsidR="003D5718" w:rsidRPr="005A77ED" w14:paraId="55B5EC7F" w14:textId="77777777" w:rsidTr="00AA0EE8">
        <w:tc>
          <w:tcPr>
            <w:tcW w:w="3097" w:type="dxa"/>
          </w:tcPr>
          <w:p w14:paraId="55B5EC7C" w14:textId="77777777" w:rsidR="003D5718" w:rsidRPr="005A77ED" w:rsidRDefault="003D5718" w:rsidP="00AA0EE8">
            <w:pPr>
              <w:pStyle w:val="Tabledata"/>
            </w:pPr>
            <w:r w:rsidRPr="005A77ED">
              <w:t>63001</w:t>
            </w:r>
          </w:p>
        </w:tc>
        <w:tc>
          <w:tcPr>
            <w:tcW w:w="3097" w:type="dxa"/>
          </w:tcPr>
          <w:p w14:paraId="55B5EC7D" w14:textId="77777777" w:rsidR="003D5718" w:rsidRPr="005A77ED" w:rsidRDefault="003D5718" w:rsidP="00AA0EE8">
            <w:pPr>
              <w:pStyle w:val="Tabledata"/>
            </w:pPr>
            <w:r w:rsidRPr="005A77ED">
              <w:t>390</w:t>
            </w:r>
          </w:p>
        </w:tc>
        <w:tc>
          <w:tcPr>
            <w:tcW w:w="3097" w:type="dxa"/>
          </w:tcPr>
          <w:p w14:paraId="55B5EC7E" w14:textId="77777777" w:rsidR="003D5718" w:rsidRPr="005A77ED" w:rsidRDefault="003D5718" w:rsidP="00AA0EE8">
            <w:pPr>
              <w:pStyle w:val="Tabledata"/>
            </w:pPr>
            <w:r w:rsidRPr="005A77ED">
              <w:t>1801</w:t>
            </w:r>
          </w:p>
        </w:tc>
      </w:tr>
      <w:tr w:rsidR="003D5718" w:rsidRPr="005A77ED" w14:paraId="55B5EC83" w14:textId="77777777" w:rsidTr="00AA0EE8">
        <w:tc>
          <w:tcPr>
            <w:tcW w:w="3097" w:type="dxa"/>
          </w:tcPr>
          <w:p w14:paraId="55B5EC80" w14:textId="77777777" w:rsidR="003D5718" w:rsidRPr="005A77ED" w:rsidRDefault="003D5718" w:rsidP="00AA0EE8">
            <w:pPr>
              <w:pStyle w:val="Tabledata"/>
            </w:pPr>
            <w:r w:rsidRPr="005A77ED">
              <w:t>63001</w:t>
            </w:r>
          </w:p>
        </w:tc>
        <w:tc>
          <w:tcPr>
            <w:tcW w:w="3097" w:type="dxa"/>
          </w:tcPr>
          <w:p w14:paraId="55B5EC81" w14:textId="77777777" w:rsidR="003D5718" w:rsidRPr="005A77ED" w:rsidRDefault="003D5718" w:rsidP="00AA0EE8">
            <w:pPr>
              <w:pStyle w:val="Tabledata"/>
            </w:pPr>
            <w:r w:rsidRPr="005A77ED">
              <w:t>525</w:t>
            </w:r>
          </w:p>
        </w:tc>
        <w:tc>
          <w:tcPr>
            <w:tcW w:w="3097" w:type="dxa"/>
          </w:tcPr>
          <w:p w14:paraId="55B5EC82" w14:textId="77777777" w:rsidR="003D5718" w:rsidRPr="005A77ED" w:rsidRDefault="003D5718" w:rsidP="00AA0EE8">
            <w:pPr>
              <w:pStyle w:val="Tabledata"/>
            </w:pPr>
            <w:r w:rsidRPr="005A77ED">
              <w:t>2673</w:t>
            </w:r>
          </w:p>
        </w:tc>
      </w:tr>
      <w:tr w:rsidR="003D5718" w:rsidRPr="005A77ED" w14:paraId="55B5EC87" w14:textId="77777777" w:rsidTr="00AA0EE8">
        <w:tc>
          <w:tcPr>
            <w:tcW w:w="3097" w:type="dxa"/>
          </w:tcPr>
          <w:p w14:paraId="55B5EC84" w14:textId="77777777" w:rsidR="003D5718" w:rsidRPr="005A77ED" w:rsidRDefault="003D5718" w:rsidP="00AA0EE8">
            <w:pPr>
              <w:pStyle w:val="Tabledata"/>
            </w:pPr>
            <w:r w:rsidRPr="005A77ED">
              <w:t>63002</w:t>
            </w:r>
          </w:p>
        </w:tc>
        <w:tc>
          <w:tcPr>
            <w:tcW w:w="3097" w:type="dxa"/>
          </w:tcPr>
          <w:p w14:paraId="55B5EC85" w14:textId="77777777" w:rsidR="003D5718" w:rsidRPr="005A77ED" w:rsidRDefault="003D5718" w:rsidP="00AA0EE8">
            <w:pPr>
              <w:pStyle w:val="Tabledata"/>
            </w:pPr>
            <w:r w:rsidRPr="005A77ED">
              <w:t>110</w:t>
            </w:r>
          </w:p>
        </w:tc>
        <w:tc>
          <w:tcPr>
            <w:tcW w:w="3097" w:type="dxa"/>
          </w:tcPr>
          <w:p w14:paraId="55B5EC86" w14:textId="77777777" w:rsidR="003D5718" w:rsidRPr="005A77ED" w:rsidRDefault="003D5718" w:rsidP="00AA0EE8">
            <w:pPr>
              <w:pStyle w:val="Tabledata"/>
            </w:pPr>
            <w:r w:rsidRPr="005A77ED">
              <w:t>1516</w:t>
            </w:r>
          </w:p>
        </w:tc>
      </w:tr>
      <w:tr w:rsidR="003D5718" w:rsidRPr="005A77ED" w14:paraId="55B5EC8B" w14:textId="77777777" w:rsidTr="00AA0EE8">
        <w:tc>
          <w:tcPr>
            <w:tcW w:w="3097" w:type="dxa"/>
          </w:tcPr>
          <w:p w14:paraId="55B5EC88" w14:textId="77777777" w:rsidR="003D5718" w:rsidRPr="005A77ED" w:rsidRDefault="003D5718" w:rsidP="00AA0EE8">
            <w:pPr>
              <w:pStyle w:val="Tabledata"/>
            </w:pPr>
            <w:r w:rsidRPr="005A77ED">
              <w:t>63002</w:t>
            </w:r>
          </w:p>
        </w:tc>
        <w:tc>
          <w:tcPr>
            <w:tcW w:w="3097" w:type="dxa"/>
          </w:tcPr>
          <w:p w14:paraId="55B5EC89" w14:textId="77777777" w:rsidR="003D5718" w:rsidRPr="005A77ED" w:rsidRDefault="003D5718" w:rsidP="00AA0EE8">
            <w:pPr>
              <w:pStyle w:val="Tabledata"/>
            </w:pPr>
            <w:r w:rsidRPr="005A77ED">
              <w:t>120</w:t>
            </w:r>
          </w:p>
        </w:tc>
        <w:tc>
          <w:tcPr>
            <w:tcW w:w="3097" w:type="dxa"/>
          </w:tcPr>
          <w:p w14:paraId="55B5EC8A" w14:textId="77777777" w:rsidR="003D5718" w:rsidRPr="005A77ED" w:rsidRDefault="003D5718" w:rsidP="00AA0EE8">
            <w:pPr>
              <w:pStyle w:val="Tabledata"/>
            </w:pPr>
            <w:r w:rsidRPr="005A77ED">
              <w:t>2255</w:t>
            </w:r>
          </w:p>
        </w:tc>
      </w:tr>
      <w:tr w:rsidR="003D5718" w:rsidRPr="005A77ED" w14:paraId="55B5EC8F" w14:textId="77777777" w:rsidTr="00AA0EE8">
        <w:tc>
          <w:tcPr>
            <w:tcW w:w="3097" w:type="dxa"/>
          </w:tcPr>
          <w:p w14:paraId="55B5EC8C" w14:textId="77777777" w:rsidR="003D5718" w:rsidRPr="005A77ED" w:rsidRDefault="003D5718" w:rsidP="00AA0EE8">
            <w:pPr>
              <w:pStyle w:val="Tabledata"/>
            </w:pPr>
            <w:r w:rsidRPr="005A77ED">
              <w:t>63002</w:t>
            </w:r>
          </w:p>
        </w:tc>
        <w:tc>
          <w:tcPr>
            <w:tcW w:w="3097" w:type="dxa"/>
          </w:tcPr>
          <w:p w14:paraId="55B5EC8D" w14:textId="77777777" w:rsidR="003D5718" w:rsidRPr="005A77ED" w:rsidRDefault="003D5718" w:rsidP="00AA0EE8">
            <w:pPr>
              <w:pStyle w:val="Tabledata"/>
            </w:pPr>
            <w:r w:rsidRPr="005A77ED">
              <w:t>390</w:t>
            </w:r>
          </w:p>
        </w:tc>
        <w:tc>
          <w:tcPr>
            <w:tcW w:w="3097" w:type="dxa"/>
          </w:tcPr>
          <w:p w14:paraId="55B5EC8E" w14:textId="77777777" w:rsidR="003D5718" w:rsidRPr="005A77ED" w:rsidRDefault="003D5718" w:rsidP="00AA0EE8">
            <w:pPr>
              <w:pStyle w:val="Tabledata"/>
            </w:pPr>
            <w:r w:rsidRPr="005A77ED">
              <w:t>1801</w:t>
            </w:r>
          </w:p>
        </w:tc>
      </w:tr>
      <w:tr w:rsidR="003D5718" w:rsidRPr="005A77ED" w14:paraId="55B5EC93" w14:textId="77777777" w:rsidTr="00AA0EE8">
        <w:tc>
          <w:tcPr>
            <w:tcW w:w="3097" w:type="dxa"/>
          </w:tcPr>
          <w:p w14:paraId="55B5EC90" w14:textId="77777777" w:rsidR="003D5718" w:rsidRPr="005A77ED" w:rsidRDefault="003D5718" w:rsidP="00AA0EE8">
            <w:pPr>
              <w:pStyle w:val="Tabledata"/>
            </w:pPr>
            <w:r w:rsidRPr="005A77ED">
              <w:t>63002</w:t>
            </w:r>
          </w:p>
        </w:tc>
        <w:tc>
          <w:tcPr>
            <w:tcW w:w="3097" w:type="dxa"/>
          </w:tcPr>
          <w:p w14:paraId="55B5EC91" w14:textId="77777777" w:rsidR="003D5718" w:rsidRPr="005A77ED" w:rsidRDefault="003D5718" w:rsidP="00AA0EE8">
            <w:pPr>
              <w:pStyle w:val="Tabledata"/>
            </w:pPr>
            <w:r w:rsidRPr="005A77ED">
              <w:t>525</w:t>
            </w:r>
          </w:p>
        </w:tc>
        <w:tc>
          <w:tcPr>
            <w:tcW w:w="3097" w:type="dxa"/>
          </w:tcPr>
          <w:p w14:paraId="55B5EC92" w14:textId="77777777" w:rsidR="003D5718" w:rsidRPr="005A77ED" w:rsidRDefault="003D5718" w:rsidP="00AA0EE8">
            <w:pPr>
              <w:pStyle w:val="Tabledata"/>
            </w:pPr>
            <w:r w:rsidRPr="005A77ED">
              <w:t>2676</w:t>
            </w:r>
          </w:p>
        </w:tc>
      </w:tr>
      <w:tr w:rsidR="003D5718" w:rsidRPr="005A77ED" w14:paraId="55B5EC97" w14:textId="77777777" w:rsidTr="00AA0EE8">
        <w:tc>
          <w:tcPr>
            <w:tcW w:w="3097" w:type="dxa"/>
          </w:tcPr>
          <w:p w14:paraId="55B5EC94" w14:textId="77777777" w:rsidR="003D5718" w:rsidRPr="005A77ED" w:rsidRDefault="003D5718" w:rsidP="00AA0EE8">
            <w:pPr>
              <w:pStyle w:val="Tabledata"/>
            </w:pPr>
            <w:r w:rsidRPr="005A77ED">
              <w:t>63003</w:t>
            </w:r>
          </w:p>
        </w:tc>
        <w:tc>
          <w:tcPr>
            <w:tcW w:w="3097" w:type="dxa"/>
          </w:tcPr>
          <w:p w14:paraId="55B5EC95" w14:textId="77777777" w:rsidR="003D5718" w:rsidRPr="005A77ED" w:rsidRDefault="003D5718" w:rsidP="00AA0EE8">
            <w:pPr>
              <w:pStyle w:val="Tabledata"/>
            </w:pPr>
            <w:r w:rsidRPr="005A77ED">
              <w:t>110</w:t>
            </w:r>
          </w:p>
        </w:tc>
        <w:tc>
          <w:tcPr>
            <w:tcW w:w="3097" w:type="dxa"/>
          </w:tcPr>
          <w:p w14:paraId="55B5EC96" w14:textId="77777777" w:rsidR="003D5718" w:rsidRPr="005A77ED" w:rsidRDefault="003D5718" w:rsidP="00AA0EE8">
            <w:pPr>
              <w:pStyle w:val="Tabledata"/>
            </w:pPr>
            <w:r w:rsidRPr="005A77ED">
              <w:t>1516</w:t>
            </w:r>
          </w:p>
        </w:tc>
      </w:tr>
      <w:tr w:rsidR="003D5718" w:rsidRPr="005A77ED" w14:paraId="55B5EC9B" w14:textId="77777777" w:rsidTr="00AA0EE8">
        <w:tc>
          <w:tcPr>
            <w:tcW w:w="3097" w:type="dxa"/>
          </w:tcPr>
          <w:p w14:paraId="55B5EC98" w14:textId="77777777" w:rsidR="003D5718" w:rsidRPr="005A77ED" w:rsidRDefault="003D5718" w:rsidP="00AA0EE8">
            <w:pPr>
              <w:pStyle w:val="Tabledata"/>
            </w:pPr>
            <w:r w:rsidRPr="005A77ED">
              <w:t>63003</w:t>
            </w:r>
          </w:p>
        </w:tc>
        <w:tc>
          <w:tcPr>
            <w:tcW w:w="3097" w:type="dxa"/>
          </w:tcPr>
          <w:p w14:paraId="55B5EC99" w14:textId="77777777" w:rsidR="003D5718" w:rsidRPr="005A77ED" w:rsidRDefault="003D5718" w:rsidP="00AA0EE8">
            <w:pPr>
              <w:pStyle w:val="Tabledata"/>
            </w:pPr>
            <w:r w:rsidRPr="005A77ED">
              <w:t>120</w:t>
            </w:r>
          </w:p>
        </w:tc>
        <w:tc>
          <w:tcPr>
            <w:tcW w:w="3097" w:type="dxa"/>
          </w:tcPr>
          <w:p w14:paraId="55B5EC9A" w14:textId="77777777" w:rsidR="003D5718" w:rsidRPr="005A77ED" w:rsidRDefault="003D5718" w:rsidP="00AA0EE8">
            <w:pPr>
              <w:pStyle w:val="Tabledata"/>
            </w:pPr>
            <w:r w:rsidRPr="005A77ED">
              <w:t>2255</w:t>
            </w:r>
          </w:p>
        </w:tc>
      </w:tr>
      <w:tr w:rsidR="003D5718" w:rsidRPr="005A77ED" w14:paraId="55B5EC9F" w14:textId="77777777" w:rsidTr="00AA0EE8">
        <w:tc>
          <w:tcPr>
            <w:tcW w:w="3097" w:type="dxa"/>
          </w:tcPr>
          <w:p w14:paraId="55B5EC9C" w14:textId="77777777" w:rsidR="003D5718" w:rsidRPr="005A77ED" w:rsidRDefault="003D5718" w:rsidP="00AA0EE8">
            <w:pPr>
              <w:pStyle w:val="Tabledata"/>
            </w:pPr>
            <w:r w:rsidRPr="005A77ED">
              <w:t>63003</w:t>
            </w:r>
          </w:p>
        </w:tc>
        <w:tc>
          <w:tcPr>
            <w:tcW w:w="3097" w:type="dxa"/>
          </w:tcPr>
          <w:p w14:paraId="55B5EC9D" w14:textId="77777777" w:rsidR="003D5718" w:rsidRPr="005A77ED" w:rsidRDefault="003D5718" w:rsidP="00AA0EE8">
            <w:pPr>
              <w:pStyle w:val="Tabledata"/>
            </w:pPr>
            <w:r w:rsidRPr="005A77ED">
              <w:t>390</w:t>
            </w:r>
          </w:p>
        </w:tc>
        <w:tc>
          <w:tcPr>
            <w:tcW w:w="3097" w:type="dxa"/>
          </w:tcPr>
          <w:p w14:paraId="55B5EC9E" w14:textId="77777777" w:rsidR="003D5718" w:rsidRPr="005A77ED" w:rsidRDefault="003D5718" w:rsidP="00AA0EE8">
            <w:pPr>
              <w:pStyle w:val="Tabledata"/>
            </w:pPr>
            <w:r w:rsidRPr="005A77ED">
              <w:t>1801</w:t>
            </w:r>
          </w:p>
        </w:tc>
      </w:tr>
      <w:tr w:rsidR="003D5718" w:rsidRPr="005A77ED" w14:paraId="55B5ECA3" w14:textId="77777777" w:rsidTr="00AA0EE8">
        <w:tc>
          <w:tcPr>
            <w:tcW w:w="3097" w:type="dxa"/>
          </w:tcPr>
          <w:p w14:paraId="55B5ECA0" w14:textId="77777777" w:rsidR="003D5718" w:rsidRPr="005A77ED" w:rsidRDefault="003D5718" w:rsidP="00AA0EE8">
            <w:pPr>
              <w:pStyle w:val="Tabledata"/>
            </w:pPr>
            <w:r w:rsidRPr="005A77ED">
              <w:t>63003</w:t>
            </w:r>
          </w:p>
        </w:tc>
        <w:tc>
          <w:tcPr>
            <w:tcW w:w="3097" w:type="dxa"/>
          </w:tcPr>
          <w:p w14:paraId="55B5ECA1" w14:textId="77777777" w:rsidR="003D5718" w:rsidRPr="005A77ED" w:rsidRDefault="003D5718" w:rsidP="00AA0EE8">
            <w:pPr>
              <w:pStyle w:val="Tabledata"/>
            </w:pPr>
            <w:r w:rsidRPr="005A77ED">
              <w:t>525</w:t>
            </w:r>
          </w:p>
        </w:tc>
        <w:tc>
          <w:tcPr>
            <w:tcW w:w="3097" w:type="dxa"/>
          </w:tcPr>
          <w:p w14:paraId="55B5ECA2" w14:textId="77777777" w:rsidR="003D5718" w:rsidRPr="005A77ED" w:rsidRDefault="003D5718" w:rsidP="00AA0EE8">
            <w:pPr>
              <w:pStyle w:val="Tabledata"/>
            </w:pPr>
            <w:r w:rsidRPr="005A77ED">
              <w:t>2679</w:t>
            </w:r>
          </w:p>
        </w:tc>
      </w:tr>
      <w:tr w:rsidR="003D5718" w:rsidRPr="005A77ED" w14:paraId="55B5ECA7" w14:textId="77777777" w:rsidTr="00AA0EE8">
        <w:tc>
          <w:tcPr>
            <w:tcW w:w="3097" w:type="dxa"/>
          </w:tcPr>
          <w:p w14:paraId="55B5ECA4" w14:textId="77777777" w:rsidR="003D5718" w:rsidRPr="005A77ED" w:rsidRDefault="003D5718" w:rsidP="00AA0EE8">
            <w:pPr>
              <w:pStyle w:val="Tabledata"/>
            </w:pPr>
            <w:r w:rsidRPr="005A77ED">
              <w:t>63004</w:t>
            </w:r>
          </w:p>
        </w:tc>
        <w:tc>
          <w:tcPr>
            <w:tcW w:w="3097" w:type="dxa"/>
          </w:tcPr>
          <w:p w14:paraId="55B5ECA5" w14:textId="77777777" w:rsidR="003D5718" w:rsidRPr="005A77ED" w:rsidRDefault="003D5718" w:rsidP="00AA0EE8">
            <w:pPr>
              <w:pStyle w:val="Tabledata"/>
            </w:pPr>
            <w:r w:rsidRPr="005A77ED">
              <w:t>110</w:t>
            </w:r>
          </w:p>
        </w:tc>
        <w:tc>
          <w:tcPr>
            <w:tcW w:w="3097" w:type="dxa"/>
          </w:tcPr>
          <w:p w14:paraId="55B5ECA6" w14:textId="77777777" w:rsidR="003D5718" w:rsidRPr="005A77ED" w:rsidRDefault="003D5718" w:rsidP="00AA0EE8">
            <w:pPr>
              <w:pStyle w:val="Tabledata"/>
            </w:pPr>
            <w:r w:rsidRPr="005A77ED">
              <w:t>1516</w:t>
            </w:r>
          </w:p>
        </w:tc>
      </w:tr>
      <w:tr w:rsidR="003D5718" w:rsidRPr="005A77ED" w14:paraId="55B5ECAB" w14:textId="77777777" w:rsidTr="00AA0EE8">
        <w:tc>
          <w:tcPr>
            <w:tcW w:w="3097" w:type="dxa"/>
          </w:tcPr>
          <w:p w14:paraId="55B5ECA8" w14:textId="77777777" w:rsidR="003D5718" w:rsidRPr="005A77ED" w:rsidRDefault="003D5718" w:rsidP="00AA0EE8">
            <w:pPr>
              <w:pStyle w:val="Tabledata"/>
            </w:pPr>
            <w:r w:rsidRPr="005A77ED">
              <w:t>63004</w:t>
            </w:r>
          </w:p>
        </w:tc>
        <w:tc>
          <w:tcPr>
            <w:tcW w:w="3097" w:type="dxa"/>
          </w:tcPr>
          <w:p w14:paraId="55B5ECA9" w14:textId="77777777" w:rsidR="003D5718" w:rsidRPr="005A77ED" w:rsidRDefault="003D5718" w:rsidP="00AA0EE8">
            <w:pPr>
              <w:pStyle w:val="Tabledata"/>
            </w:pPr>
            <w:r w:rsidRPr="005A77ED">
              <w:t>120</w:t>
            </w:r>
          </w:p>
        </w:tc>
        <w:tc>
          <w:tcPr>
            <w:tcW w:w="3097" w:type="dxa"/>
          </w:tcPr>
          <w:p w14:paraId="55B5ECAA" w14:textId="77777777" w:rsidR="003D5718" w:rsidRPr="005A77ED" w:rsidRDefault="003D5718" w:rsidP="00AA0EE8">
            <w:pPr>
              <w:pStyle w:val="Tabledata"/>
            </w:pPr>
            <w:r w:rsidRPr="005A77ED">
              <w:t>2255</w:t>
            </w:r>
          </w:p>
        </w:tc>
      </w:tr>
      <w:tr w:rsidR="003D5718" w:rsidRPr="005A77ED" w14:paraId="55B5ECAF" w14:textId="77777777" w:rsidTr="00AA0EE8">
        <w:tc>
          <w:tcPr>
            <w:tcW w:w="3097" w:type="dxa"/>
          </w:tcPr>
          <w:p w14:paraId="55B5ECAC" w14:textId="77777777" w:rsidR="003D5718" w:rsidRPr="005A77ED" w:rsidRDefault="003D5718" w:rsidP="00AA0EE8">
            <w:pPr>
              <w:pStyle w:val="Tabledata"/>
            </w:pPr>
            <w:r w:rsidRPr="005A77ED">
              <w:lastRenderedPageBreak/>
              <w:t>63004</w:t>
            </w:r>
          </w:p>
        </w:tc>
        <w:tc>
          <w:tcPr>
            <w:tcW w:w="3097" w:type="dxa"/>
          </w:tcPr>
          <w:p w14:paraId="55B5ECAD" w14:textId="77777777" w:rsidR="003D5718" w:rsidRPr="005A77ED" w:rsidRDefault="003D5718" w:rsidP="00AA0EE8">
            <w:pPr>
              <w:pStyle w:val="Tabledata"/>
            </w:pPr>
            <w:r w:rsidRPr="005A77ED">
              <w:t>390</w:t>
            </w:r>
          </w:p>
        </w:tc>
        <w:tc>
          <w:tcPr>
            <w:tcW w:w="3097" w:type="dxa"/>
          </w:tcPr>
          <w:p w14:paraId="55B5ECAE" w14:textId="77777777" w:rsidR="003D5718" w:rsidRPr="005A77ED" w:rsidRDefault="003D5718" w:rsidP="00AA0EE8">
            <w:pPr>
              <w:pStyle w:val="Tabledata"/>
            </w:pPr>
            <w:r w:rsidRPr="005A77ED">
              <w:t>1801</w:t>
            </w:r>
          </w:p>
        </w:tc>
      </w:tr>
      <w:tr w:rsidR="003D5718" w14:paraId="55B5ECB3" w14:textId="77777777" w:rsidTr="00AA0EE8">
        <w:tc>
          <w:tcPr>
            <w:tcW w:w="3097" w:type="dxa"/>
          </w:tcPr>
          <w:p w14:paraId="55B5ECB0" w14:textId="77777777" w:rsidR="003D5718" w:rsidRPr="005A77ED" w:rsidRDefault="003D5718" w:rsidP="00AA0EE8">
            <w:pPr>
              <w:pStyle w:val="Tabledata"/>
            </w:pPr>
            <w:r w:rsidRPr="005A77ED">
              <w:t>63004</w:t>
            </w:r>
          </w:p>
        </w:tc>
        <w:tc>
          <w:tcPr>
            <w:tcW w:w="3097" w:type="dxa"/>
          </w:tcPr>
          <w:p w14:paraId="55B5ECB1" w14:textId="77777777" w:rsidR="003D5718" w:rsidRPr="005A77ED" w:rsidRDefault="003D5718" w:rsidP="00AA0EE8">
            <w:pPr>
              <w:pStyle w:val="Tabledata"/>
            </w:pPr>
            <w:r w:rsidRPr="005A77ED">
              <w:t>525</w:t>
            </w:r>
          </w:p>
        </w:tc>
        <w:tc>
          <w:tcPr>
            <w:tcW w:w="3097" w:type="dxa"/>
          </w:tcPr>
          <w:p w14:paraId="55B5ECB2" w14:textId="77777777" w:rsidR="003D5718" w:rsidRPr="005A77ED" w:rsidRDefault="003D5718" w:rsidP="00AA0EE8">
            <w:pPr>
              <w:pStyle w:val="Tabledata"/>
            </w:pPr>
            <w:r w:rsidRPr="005A77ED">
              <w:t>2680</w:t>
            </w:r>
          </w:p>
        </w:tc>
      </w:tr>
    </w:tbl>
    <w:p w14:paraId="55B5ECB4" w14:textId="77777777" w:rsidR="003D5718" w:rsidRDefault="003D5718" w:rsidP="003D5718"/>
    <w:p w14:paraId="55B5ECB5" w14:textId="77777777"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A77ED" w:rsidRDefault="003D5718" w:rsidP="00AA0EE8">
            <w:pPr>
              <w:pStyle w:val="Tableheader"/>
            </w:pPr>
            <w:proofErr w:type="spellStart"/>
            <w:r w:rsidRPr="005A77ED">
              <w:t>DataPointVID</w:t>
            </w:r>
            <w:proofErr w:type="spellEnd"/>
          </w:p>
        </w:tc>
        <w:tc>
          <w:tcPr>
            <w:tcW w:w="4646" w:type="dxa"/>
          </w:tcPr>
          <w:p w14:paraId="55B5ECB7" w14:textId="77777777" w:rsidR="003D5718" w:rsidRPr="005A77ED" w:rsidRDefault="003D5718" w:rsidP="00AA0EE8">
            <w:pPr>
              <w:pStyle w:val="Tableheader"/>
            </w:pPr>
            <w:proofErr w:type="spellStart"/>
            <w:r w:rsidRPr="005A77ED">
              <w:t>ContextID</w:t>
            </w:r>
            <w:proofErr w:type="spellEnd"/>
          </w:p>
        </w:tc>
      </w:tr>
      <w:tr w:rsidR="003D5718" w:rsidRPr="005A77ED" w14:paraId="55B5ECBB" w14:textId="77777777" w:rsidTr="000F3810">
        <w:tc>
          <w:tcPr>
            <w:tcW w:w="4645" w:type="dxa"/>
          </w:tcPr>
          <w:p w14:paraId="55B5ECB9" w14:textId="77777777" w:rsidR="003D5718" w:rsidRPr="005A77ED" w:rsidRDefault="003D5718" w:rsidP="00AA0EE8">
            <w:pPr>
              <w:pStyle w:val="Tabledata"/>
            </w:pPr>
            <w:r w:rsidRPr="005A77ED">
              <w:t>110964</w:t>
            </w:r>
          </w:p>
        </w:tc>
        <w:tc>
          <w:tcPr>
            <w:tcW w:w="4646" w:type="dxa"/>
          </w:tcPr>
          <w:p w14:paraId="55B5ECBA" w14:textId="77777777" w:rsidR="003D5718" w:rsidRPr="005A77ED" w:rsidRDefault="003D5718" w:rsidP="00AA0EE8">
            <w:pPr>
              <w:pStyle w:val="Tabledata"/>
            </w:pPr>
            <w:r w:rsidRPr="005A77ED">
              <w:t>63000</w:t>
            </w:r>
          </w:p>
        </w:tc>
      </w:tr>
      <w:tr w:rsidR="003D5718" w:rsidRPr="005A77ED" w14:paraId="55B5ECBE" w14:textId="77777777" w:rsidTr="000F3810">
        <w:tc>
          <w:tcPr>
            <w:tcW w:w="4645" w:type="dxa"/>
          </w:tcPr>
          <w:p w14:paraId="55B5ECBC" w14:textId="77777777" w:rsidR="003D5718" w:rsidRPr="005A77ED" w:rsidRDefault="003D5718" w:rsidP="00AA0EE8">
            <w:pPr>
              <w:pStyle w:val="Tabledata"/>
            </w:pPr>
            <w:r w:rsidRPr="005A77ED">
              <w:t>110965</w:t>
            </w:r>
          </w:p>
        </w:tc>
        <w:tc>
          <w:tcPr>
            <w:tcW w:w="4646" w:type="dxa"/>
          </w:tcPr>
          <w:p w14:paraId="55B5ECBD" w14:textId="77777777" w:rsidR="003D5718" w:rsidRPr="005A77ED" w:rsidRDefault="003D5718" w:rsidP="00AA0EE8">
            <w:pPr>
              <w:pStyle w:val="Tabledata"/>
            </w:pPr>
            <w:r w:rsidRPr="005A77ED">
              <w:t>63001</w:t>
            </w:r>
          </w:p>
        </w:tc>
      </w:tr>
      <w:tr w:rsidR="003D5718" w:rsidRPr="005A77ED" w14:paraId="55B5ECC1" w14:textId="77777777" w:rsidTr="000F3810">
        <w:tc>
          <w:tcPr>
            <w:tcW w:w="4645" w:type="dxa"/>
          </w:tcPr>
          <w:p w14:paraId="55B5ECBF" w14:textId="77777777" w:rsidR="003D5718" w:rsidRPr="005A77ED" w:rsidRDefault="003D5718" w:rsidP="00AA0EE8">
            <w:pPr>
              <w:pStyle w:val="Tabledata"/>
            </w:pPr>
            <w:r w:rsidRPr="005A77ED">
              <w:t>110966</w:t>
            </w:r>
          </w:p>
        </w:tc>
        <w:tc>
          <w:tcPr>
            <w:tcW w:w="4646" w:type="dxa"/>
          </w:tcPr>
          <w:p w14:paraId="55B5ECC0" w14:textId="77777777" w:rsidR="003D5718" w:rsidRPr="005A77ED" w:rsidRDefault="003D5718" w:rsidP="00AA0EE8">
            <w:pPr>
              <w:pStyle w:val="Tabledata"/>
            </w:pPr>
            <w:r w:rsidRPr="005A77ED">
              <w:t>63002</w:t>
            </w:r>
          </w:p>
        </w:tc>
      </w:tr>
      <w:tr w:rsidR="003D5718" w:rsidRPr="005A77ED" w14:paraId="55B5ECC4" w14:textId="77777777" w:rsidTr="000F3810">
        <w:tc>
          <w:tcPr>
            <w:tcW w:w="4645" w:type="dxa"/>
          </w:tcPr>
          <w:p w14:paraId="55B5ECC2" w14:textId="77777777" w:rsidR="003D5718" w:rsidRPr="005A77ED" w:rsidRDefault="003D5718" w:rsidP="00AA0EE8">
            <w:pPr>
              <w:pStyle w:val="Tabledata"/>
            </w:pPr>
            <w:r w:rsidRPr="005A77ED">
              <w:t>110967</w:t>
            </w:r>
          </w:p>
        </w:tc>
        <w:tc>
          <w:tcPr>
            <w:tcW w:w="4646" w:type="dxa"/>
          </w:tcPr>
          <w:p w14:paraId="55B5ECC3" w14:textId="77777777" w:rsidR="003D5718" w:rsidRPr="005A77ED" w:rsidRDefault="003D5718" w:rsidP="00AA0EE8">
            <w:pPr>
              <w:pStyle w:val="Tabledata"/>
            </w:pPr>
            <w:r w:rsidRPr="005A77ED">
              <w:t>63003</w:t>
            </w:r>
          </w:p>
        </w:tc>
      </w:tr>
      <w:tr w:rsidR="003D5718" w:rsidRPr="005A77ED" w14:paraId="55B5ECC7" w14:textId="77777777" w:rsidTr="000F3810">
        <w:tc>
          <w:tcPr>
            <w:tcW w:w="4645" w:type="dxa"/>
          </w:tcPr>
          <w:p w14:paraId="55B5ECC5" w14:textId="77777777" w:rsidR="003D5718" w:rsidRPr="005A77ED" w:rsidRDefault="003D5718" w:rsidP="00AA0EE8">
            <w:pPr>
              <w:pStyle w:val="Tabledata"/>
            </w:pPr>
            <w:r w:rsidRPr="005A77ED">
              <w:t>110968</w:t>
            </w:r>
          </w:p>
        </w:tc>
        <w:tc>
          <w:tcPr>
            <w:tcW w:w="4646" w:type="dxa"/>
          </w:tcPr>
          <w:p w14:paraId="55B5ECC6" w14:textId="77777777" w:rsidR="003D5718" w:rsidRPr="005A77ED" w:rsidRDefault="003D5718" w:rsidP="00AA0EE8">
            <w:pPr>
              <w:pStyle w:val="Tabledata"/>
            </w:pPr>
            <w:r w:rsidRPr="005A77ED">
              <w:t>63004</w:t>
            </w:r>
          </w:p>
        </w:tc>
      </w:tr>
    </w:tbl>
    <w:p w14:paraId="55B5ECC8" w14:textId="77777777" w:rsidR="00237B31"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14:paraId="55B5ECCA" w14:textId="77777777" w:rsidR="003D5718" w:rsidRDefault="003D5718" w:rsidP="003D5718"/>
    <w:p w14:paraId="55B5ECCB" w14:textId="77777777" w:rsidR="003D5718" w:rsidRDefault="003D5718" w:rsidP="003D5718">
      <w:r>
        <w:t>Sadly the previously published version included a technical error in the label files for the GA and CU hierarchies</w:t>
      </w:r>
      <w:r>
        <w:rPr>
          <w:rStyle w:val="FootnoteReference"/>
        </w:rPr>
        <w:footnoteReference w:id="6"/>
      </w:r>
      <w:r>
        <w:t>. As a result the taxonomy was not in fact valid XBRL.</w:t>
      </w:r>
    </w:p>
    <w:p w14:paraId="55B5ECCC" w14:textId="77777777"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14:paraId="55B5ECCE" w14:textId="77777777" w:rsidR="000378E5" w:rsidRDefault="000378E5" w:rsidP="00D515AE">
      <w:pPr>
        <w:pStyle w:val="Titlelevel2"/>
      </w:pPr>
      <w:r>
        <w:t>Arrangement into discrete “components” for distribution:</w:t>
      </w:r>
    </w:p>
    <w:p w14:paraId="55B5ECCF" w14:textId="77777777" w:rsidR="000378E5" w:rsidRPr="00953BEF" w:rsidRDefault="000378E5" w:rsidP="000378E5">
      <w:r>
        <w:t>The taxonomy has been packaged into discrete chunks to aid distribution, usage, and clarity of purpose and changes</w:t>
      </w:r>
      <w:r w:rsidR="00105BA1">
        <w:rPr>
          <w:rStyle w:val="FootnoteReference"/>
        </w:rPr>
        <w:footnoteReference w:id="7"/>
      </w:r>
      <w:r>
        <w:t xml:space="preserve">. The different chunks are </w:t>
      </w:r>
    </w:p>
    <w:p w14:paraId="55B5ECD0" w14:textId="77777777" w:rsidR="000378E5" w:rsidRDefault="000378E5" w:rsidP="00183058">
      <w:pPr>
        <w:pStyle w:val="ListParagraph"/>
        <w:numPr>
          <w:ilvl w:val="0"/>
          <w:numId w:val="8"/>
        </w:numPr>
      </w:pPr>
      <w:r>
        <w:t>(5 archives) Reporting Taxonomy versions (e.g. eba_corep_2.1.0.0.zip)</w:t>
      </w:r>
    </w:p>
    <w:p w14:paraId="55B5ECD1" w14:textId="77777777" w:rsidR="000378E5" w:rsidRDefault="000378E5" w:rsidP="00183058">
      <w:pPr>
        <w:pStyle w:val="ListParagraph"/>
        <w:numPr>
          <w:ilvl w:val="0"/>
          <w:numId w:val="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14:paraId="55B5ECD2" w14:textId="77777777" w:rsidR="000378E5" w:rsidRDefault="000378E5" w:rsidP="00183058">
      <w:pPr>
        <w:pStyle w:val="ListParagraph"/>
        <w:numPr>
          <w:ilvl w:val="0"/>
          <w:numId w:val="8"/>
        </w:numPr>
      </w:pPr>
      <w:r>
        <w:lastRenderedPageBreak/>
        <w:t>(2 archives) Non-EBA files supplied for purely convenience (file sets from eurofiling.info and xbrl.org)</w:t>
      </w:r>
      <w:r>
        <w:rPr>
          <w:rStyle w:val="FootnoteReference"/>
        </w:rPr>
        <w:footnoteReference w:id="8"/>
      </w:r>
      <w:r>
        <w:t>.</w:t>
      </w:r>
    </w:p>
    <w:p w14:paraId="55B5ECD3" w14:textId="77777777" w:rsidR="000378E5" w:rsidRDefault="000378E5" w:rsidP="000378E5"/>
    <w:p w14:paraId="55B5ECD4" w14:textId="77777777"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14:paraId="55B5ECD5" w14:textId="77777777" w:rsidR="000378E5" w:rsidRDefault="000378E5" w:rsidP="000378E5">
      <w:r>
        <w:t>Dictionary components are intended to be incremental, such that later versions may be safely used in place of earlier versions (and are released on the website as “in place” updates/overwrites and additions).</w:t>
      </w:r>
    </w:p>
    <w:p w14:paraId="55B5ECD6" w14:textId="77777777"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Default="000378E5" w:rsidP="000378E5">
      <w:r>
        <w:t>To recover the complete set of taxonomy files, simply extract/unzip all the components into the same location.</w:t>
      </w:r>
    </w:p>
    <w:p w14:paraId="55B5ECD8" w14:textId="77777777" w:rsidR="000378E5" w:rsidRDefault="000378E5" w:rsidP="00D515AE">
      <w:pPr>
        <w:pStyle w:val="Titlelevel2"/>
      </w:pPr>
      <w:r>
        <w:t>Change of semantics for versioning numbers:</w:t>
      </w:r>
    </w:p>
    <w:p w14:paraId="55B5ECD9" w14:textId="77777777" w:rsidR="000378E5" w:rsidRDefault="000378E5" w:rsidP="000378E5">
      <w:r>
        <w:t xml:space="preserve">Old System – </w:t>
      </w:r>
      <w:proofErr w:type="spellStart"/>
      <w:r>
        <w:t>a.b.c</w:t>
      </w:r>
      <w:proofErr w:type="spellEnd"/>
      <w:r>
        <w:t xml:space="preserve"> where: </w:t>
      </w:r>
    </w:p>
    <w:p w14:paraId="55B5ECDA" w14:textId="77777777" w:rsidR="000378E5" w:rsidRDefault="000378E5" w:rsidP="00183058">
      <w:pPr>
        <w:pStyle w:val="ListParagraph"/>
        <w:numPr>
          <w:ilvl w:val="0"/>
          <w:numId w:val="6"/>
        </w:numPr>
      </w:pPr>
      <w:r>
        <w:t>major breaking version (i.e. regulatory framework renewal or complete dictionary change)</w:t>
      </w:r>
    </w:p>
    <w:p w14:paraId="55B5ECDB" w14:textId="77777777" w:rsidR="000378E5" w:rsidRDefault="000378E5" w:rsidP="00183058">
      <w:pPr>
        <w:pStyle w:val="ListParagraph"/>
        <w:numPr>
          <w:ilvl w:val="0"/>
          <w:numId w:val="6"/>
        </w:numPr>
      </w:pPr>
      <w:r>
        <w:t>minor breaking version (i.e. new business content or corrections),</w:t>
      </w:r>
    </w:p>
    <w:p w14:paraId="55B5ECDC" w14:textId="77777777" w:rsidR="000378E5" w:rsidRDefault="000378E5" w:rsidP="00183058">
      <w:pPr>
        <w:pStyle w:val="ListParagraph"/>
        <w:numPr>
          <w:ilvl w:val="0"/>
          <w:numId w:val="6"/>
        </w:numPr>
      </w:pPr>
      <w:r>
        <w:t xml:space="preserve">non-breaking revision (primarily validation rule and label changes and technical level fixes) </w:t>
      </w:r>
    </w:p>
    <w:p w14:paraId="55B5ECDD" w14:textId="77777777" w:rsidR="000378E5" w:rsidRDefault="000378E5" w:rsidP="000378E5">
      <w:r>
        <w:t xml:space="preserve">New system </w:t>
      </w:r>
      <w:proofErr w:type="spellStart"/>
      <w:r>
        <w:t>a.b.c.d.e</w:t>
      </w:r>
      <w:proofErr w:type="spellEnd"/>
      <w:r>
        <w:t xml:space="preserve"> where:</w:t>
      </w:r>
    </w:p>
    <w:p w14:paraId="55B5ECDE" w14:textId="77777777" w:rsidR="000378E5" w:rsidRDefault="000378E5" w:rsidP="00183058">
      <w:pPr>
        <w:pStyle w:val="ListParagraph"/>
        <w:numPr>
          <w:ilvl w:val="0"/>
          <w:numId w:val="7"/>
        </w:numPr>
      </w:pPr>
      <w:r>
        <w:t>major breaking version (i.e. regulatory framework renewal or complete dictionary change)</w:t>
      </w:r>
    </w:p>
    <w:p w14:paraId="55B5ECDF" w14:textId="77777777" w:rsidR="000378E5" w:rsidRDefault="000378E5" w:rsidP="00183058">
      <w:pPr>
        <w:pStyle w:val="ListParagraph"/>
        <w:numPr>
          <w:ilvl w:val="0"/>
          <w:numId w:val="7"/>
        </w:numPr>
      </w:pPr>
      <w:r>
        <w:t>significant business content change (e.g. new templates) – breaking change</w:t>
      </w:r>
    </w:p>
    <w:p w14:paraId="55B5ECE0" w14:textId="77777777" w:rsidR="000378E5" w:rsidRDefault="000378E5" w:rsidP="00183058">
      <w:pPr>
        <w:pStyle w:val="ListParagraph"/>
        <w:numPr>
          <w:ilvl w:val="0"/>
          <w:numId w:val="7"/>
        </w:numPr>
      </w:pPr>
      <w:r>
        <w:t xml:space="preserve">minor breaking changes - business content corrections and technical corrections/changes </w:t>
      </w:r>
    </w:p>
    <w:p w14:paraId="55B5ECE1" w14:textId="77777777" w:rsidR="000378E5" w:rsidRDefault="000378E5" w:rsidP="00183058">
      <w:pPr>
        <w:pStyle w:val="ListParagraph"/>
        <w:numPr>
          <w:ilvl w:val="0"/>
          <w:numId w:val="7"/>
        </w:numPr>
      </w:pPr>
      <w:r>
        <w:t>non-breaking revisions (primarily validation rule and label changes and technical level fixes)</w:t>
      </w:r>
      <w:r>
        <w:rPr>
          <w:rStyle w:val="FootnoteReference"/>
        </w:rPr>
        <w:footnoteReference w:id="9"/>
      </w:r>
    </w:p>
    <w:p w14:paraId="55B5ECE2" w14:textId="77777777" w:rsidR="000378E5" w:rsidRDefault="000378E5" w:rsidP="00183058">
      <w:pPr>
        <w:pStyle w:val="ListParagraph"/>
        <w:numPr>
          <w:ilvl w:val="0"/>
          <w:numId w:val="7"/>
        </w:numPr>
      </w:pPr>
      <w:r>
        <w:t>possible modifier for internal and public working versions</w:t>
      </w:r>
      <w:r>
        <w:rPr>
          <w:rStyle w:val="FootnoteReference"/>
        </w:rPr>
        <w:footnoteReference w:id="10"/>
      </w:r>
      <w:r>
        <w:t xml:space="preserve"> </w:t>
      </w:r>
    </w:p>
    <w:p w14:paraId="55B5ECE3" w14:textId="77777777"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14:paraId="55B5ECE4" w14:textId="77777777" w:rsidR="000378E5" w:rsidRDefault="000378E5" w:rsidP="000378E5">
      <w:r>
        <w:t>The components of the composite taxonomy (dictionary and individual reporting taxonomy versions) are numbered individually based on this system.</w:t>
      </w:r>
    </w:p>
    <w:p w14:paraId="55B5ECE5" w14:textId="77777777" w:rsidR="00B107EE" w:rsidRDefault="00B107EE" w:rsidP="000378E5"/>
    <w:p w14:paraId="55B5ECE6" w14:textId="77777777" w:rsidR="00B107EE" w:rsidRDefault="00B107EE" w:rsidP="00D515AE">
      <w:pPr>
        <w:pStyle w:val="Titlelevel2"/>
      </w:pPr>
      <w:r>
        <w:t>DPM Changes</w:t>
      </w:r>
    </w:p>
    <w:p w14:paraId="55B5ECE7" w14:textId="77777777" w:rsidR="00B107EE" w:rsidRDefault="00B107EE" w:rsidP="00183058">
      <w:pPr>
        <w:pStyle w:val="ListParagraph"/>
        <w:numPr>
          <w:ilvl w:val="0"/>
          <w:numId w:val="5"/>
        </w:numPr>
      </w:pPr>
      <w:r>
        <w:t>Open axis of F34.00.c changed from column to sheet as per Consultation feedback</w:t>
      </w:r>
    </w:p>
    <w:p w14:paraId="55B5ECE8" w14:textId="77777777" w:rsidR="00B107EE" w:rsidRDefault="00B107EE" w:rsidP="00183058">
      <w:pPr>
        <w:pStyle w:val="ListParagraph"/>
        <w:numPr>
          <w:ilvl w:val="0"/>
          <w:numId w:val="5"/>
        </w:numPr>
      </w:pPr>
      <w:r>
        <w:t>Hierarchies CU3 and GA5 replaced by CU3_1 and GA5_1 respectively. GA5_1 contains "Other Countries", CU3_1 contains "Other Currencies" (not currently to be used).</w:t>
      </w:r>
    </w:p>
    <w:p w14:paraId="55B5ECE9" w14:textId="77777777" w:rsidR="00B107EE" w:rsidRDefault="00B107EE" w:rsidP="00183058">
      <w:pPr>
        <w:pStyle w:val="ListParagraph"/>
        <w:numPr>
          <w:ilvl w:val="0"/>
          <w:numId w:val="5"/>
        </w:numPr>
      </w:pPr>
      <w:r>
        <w:t>Adjusted hierarchy in GA4 to indicate that non-geographic entities fall under/form part of "Other Countries"</w:t>
      </w:r>
    </w:p>
    <w:p w14:paraId="55B5ECEA" w14:textId="77777777" w:rsidR="00B107EE" w:rsidRDefault="00B107EE" w:rsidP="00183058">
      <w:pPr>
        <w:pStyle w:val="ListParagraph"/>
        <w:numPr>
          <w:ilvl w:val="0"/>
          <w:numId w:val="5"/>
        </w:numPr>
      </w:pPr>
      <w:r>
        <w:t>Removed erroneous restrictions on rows 320-340, col 110 on F 19.00.a (as reported in Public Consultation)</w:t>
      </w:r>
    </w:p>
    <w:p w14:paraId="55B5ECEB" w14:textId="77777777" w:rsidR="00B107EE" w:rsidRDefault="00B107EE" w:rsidP="00183058">
      <w:pPr>
        <w:pStyle w:val="ListParagraph"/>
        <w:numPr>
          <w:ilvl w:val="0"/>
          <w:numId w:val="5"/>
        </w:numPr>
      </w:pPr>
      <w:r>
        <w:lastRenderedPageBreak/>
        <w:t>Added missing restrictions on rows 020-440, col 037 on F 08.01.a (as reported in Public Consultation)</w:t>
      </w:r>
    </w:p>
    <w:p w14:paraId="55B5ECEC" w14:textId="77777777" w:rsidR="00B107EE" w:rsidRDefault="00B107EE" w:rsidP="00183058">
      <w:pPr>
        <w:pStyle w:val="ListParagraph"/>
        <w:numPr>
          <w:ilvl w:val="0"/>
          <w:numId w:val="5"/>
        </w:numPr>
      </w:pPr>
      <w:r>
        <w:t>Added missing restrictions on rows 020 and 030, column 022 in F 20.5</w:t>
      </w:r>
    </w:p>
    <w:p w14:paraId="55B5ECED" w14:textId="77777777" w:rsidR="00B107EE" w:rsidRDefault="00B107EE" w:rsidP="00183058">
      <w:pPr>
        <w:pStyle w:val="ListParagraph"/>
        <w:numPr>
          <w:ilvl w:val="0"/>
          <w:numId w:val="5"/>
        </w:numPr>
      </w:pPr>
      <w:r>
        <w:t>Label for F 18 column 070 changed from "…past-due &lt; 90" to "…past-due &lt;= 90"</w:t>
      </w:r>
    </w:p>
    <w:p w14:paraId="55B5ECEE" w14:textId="77777777" w:rsidR="00B107EE" w:rsidRDefault="00B107EE" w:rsidP="00183058">
      <w:pPr>
        <w:pStyle w:val="ListParagraph"/>
        <w:numPr>
          <w:ilvl w:val="0"/>
          <w:numId w:val="5"/>
        </w:numPr>
      </w:pPr>
      <w:r>
        <w:t>Additional attributes applied to column 170 in tables F 19 and F 18 to distinguish the data in these columns (as reported in Public Consultation)</w:t>
      </w:r>
    </w:p>
    <w:p w14:paraId="55B5ECEF" w14:textId="77777777" w:rsidR="00B107EE" w:rsidRDefault="00B107EE" w:rsidP="00183058">
      <w:pPr>
        <w:pStyle w:val="ListParagraph"/>
        <w:numPr>
          <w:ilvl w:val="0"/>
          <w:numId w:val="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14:paraId="55B5ECF0" w14:textId="77777777" w:rsidR="00B107EE" w:rsidRDefault="00B107EE" w:rsidP="00183058">
      <w:pPr>
        <w:pStyle w:val="ListParagraph"/>
        <w:numPr>
          <w:ilvl w:val="0"/>
          <w:numId w:val="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14:paraId="55B5ECF1" w14:textId="77777777" w:rsidR="00B107EE" w:rsidRDefault="00B107EE" w:rsidP="00183058">
      <w:pPr>
        <w:pStyle w:val="ListParagraph"/>
        <w:numPr>
          <w:ilvl w:val="0"/>
          <w:numId w:val="5"/>
        </w:numPr>
      </w:pPr>
      <w:r>
        <w:t>More explicitly indicate which open axis tables the “All” member is allowed (only C 15).</w:t>
      </w:r>
    </w:p>
    <w:p w14:paraId="55B5ECF2" w14:textId="77777777" w:rsidR="00B107EE" w:rsidRDefault="00B107EE" w:rsidP="00183058">
      <w:pPr>
        <w:pStyle w:val="ListParagraph"/>
        <w:numPr>
          <w:ilvl w:val="0"/>
          <w:numId w:val="5"/>
        </w:numPr>
      </w:pPr>
      <w:r>
        <w:t xml:space="preserve">Concepts added for </w:t>
      </w:r>
      <w:proofErr w:type="spellStart"/>
      <w:r>
        <w:t>hierarchyNodes</w:t>
      </w:r>
      <w:proofErr w:type="spellEnd"/>
      <w:r>
        <w:t xml:space="preserve"> so as to indicate currency period (i.e. “from” and “to” dates for changes)</w:t>
      </w:r>
    </w:p>
    <w:p w14:paraId="55B5ECF3" w14:textId="77777777" w:rsidR="00B107EE" w:rsidRDefault="00B107EE" w:rsidP="00237B31">
      <w:pPr>
        <w:pStyle w:val="Titlelevel3"/>
      </w:pPr>
      <w:r>
        <w:t>Known Issues:</w:t>
      </w:r>
    </w:p>
    <w:p w14:paraId="55B5ECF4" w14:textId="77777777" w:rsidR="00B107EE" w:rsidRDefault="00B107EE" w:rsidP="00183058">
      <w:pPr>
        <w:pStyle w:val="ListParagraph"/>
        <w:numPr>
          <w:ilvl w:val="0"/>
          <w:numId w:val="5"/>
        </w:numPr>
      </w:pPr>
      <w:r>
        <w:t xml:space="preserve">C 06.00 Group Solvency - the Excel "template" includes a first line total section which is not represented in the DPM or XBRL reporting. Data for this line is not to be reported. </w:t>
      </w:r>
    </w:p>
    <w:p w14:paraId="55B5ECF5" w14:textId="77777777" w:rsidR="00B107EE" w:rsidRDefault="00B107EE" w:rsidP="00183058">
      <w:pPr>
        <w:pStyle w:val="ListParagraph"/>
        <w:numPr>
          <w:ilvl w:val="0"/>
          <w:numId w:val="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Default="00B107EE" w:rsidP="00183058">
      <w:pPr>
        <w:pStyle w:val="ListParagraph"/>
        <w:numPr>
          <w:ilvl w:val="0"/>
          <w:numId w:val="5"/>
        </w:numPr>
      </w:pPr>
      <w:r>
        <w:t>Hierarchies GA1, GA2 and GA3 are not currently used anywhere</w:t>
      </w:r>
    </w:p>
    <w:p w14:paraId="55B5ECF7" w14:textId="77777777" w:rsidR="00B107EE" w:rsidRDefault="00B107EE" w:rsidP="00D515AE">
      <w:pPr>
        <w:pStyle w:val="Titlelevel2"/>
      </w:pPr>
      <w:r>
        <w:t>Other Taxonomy Changes</w:t>
      </w:r>
    </w:p>
    <w:p w14:paraId="55B5ECF8" w14:textId="77777777" w:rsidR="00B107EE" w:rsidRDefault="00B107EE" w:rsidP="00D515AE">
      <w:pPr>
        <w:pStyle w:val="Titlelevel3"/>
      </w:pPr>
      <w:r>
        <w:t>Bug Fixes:</w:t>
      </w:r>
    </w:p>
    <w:p w14:paraId="55B5ECF9" w14:textId="77777777" w:rsidR="00B107EE" w:rsidRDefault="00B107EE" w:rsidP="00183058">
      <w:pPr>
        <w:pStyle w:val="ListParagraph"/>
        <w:numPr>
          <w:ilvl w:val="0"/>
          <w:numId w:val="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14:paraId="55B5ECFA" w14:textId="77777777" w:rsidR="00B107EE" w:rsidRDefault="00B107EE" w:rsidP="00183058">
      <w:pPr>
        <w:pStyle w:val="ListParagraph"/>
        <w:numPr>
          <w:ilvl w:val="0"/>
          <w:numId w:val="5"/>
        </w:numPr>
      </w:pPr>
      <w:r>
        <w:t>Systematic mapping error for sums over an open axis in validation rules corrected (several rules reactivated as a result)</w:t>
      </w:r>
    </w:p>
    <w:p w14:paraId="55B5ECFB" w14:textId="77777777" w:rsidR="00B107EE" w:rsidRDefault="00B107EE" w:rsidP="00183058">
      <w:pPr>
        <w:pStyle w:val="ListParagraph"/>
        <w:numPr>
          <w:ilvl w:val="0"/>
          <w:numId w:val="5"/>
        </w:numPr>
      </w:pPr>
      <w:r>
        <w:t>Incorrect inclusion of some tables in modules via incorrectly defined assertion sets corrected.</w:t>
      </w:r>
    </w:p>
    <w:p w14:paraId="55B5ECFC" w14:textId="77777777" w:rsidR="00B107EE" w:rsidRDefault="00B107EE" w:rsidP="00183058">
      <w:pPr>
        <w:pStyle w:val="ListParagraph"/>
        <w:numPr>
          <w:ilvl w:val="0"/>
          <w:numId w:val="5"/>
        </w:numPr>
      </w:pPr>
      <w:r>
        <w:t xml:space="preserve">Corrected exclusion of default member from open axis </w:t>
      </w:r>
      <w:proofErr w:type="spellStart"/>
      <w:r>
        <w:t>hypercubes</w:t>
      </w:r>
      <w:proofErr w:type="spellEnd"/>
      <w:r>
        <w:t xml:space="preserve"> (where required)</w:t>
      </w:r>
    </w:p>
    <w:p w14:paraId="55B5ECFD" w14:textId="77777777" w:rsidR="00B107EE" w:rsidRDefault="00B107EE" w:rsidP="00D515AE">
      <w:pPr>
        <w:pStyle w:val="Titlelevel3"/>
      </w:pPr>
      <w:r>
        <w:t>Changes</w:t>
      </w:r>
    </w:p>
    <w:p w14:paraId="55B5ECFE" w14:textId="77777777"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14:paraId="55B5ECFF" w14:textId="77777777" w:rsidR="00237B31" w:rsidRDefault="00237B31" w:rsidP="00237B31">
      <w:pPr>
        <w:pStyle w:val="Heading2"/>
      </w:pPr>
      <w:r w:rsidRPr="00237B31">
        <w:lastRenderedPageBreak/>
        <w:t xml:space="preserve">v2.1.0 (“2014/03” Package) </w:t>
      </w:r>
    </w:p>
    <w:p w14:paraId="55B5ED00" w14:textId="77777777" w:rsidR="00237B31" w:rsidRDefault="00237B31" w:rsidP="00237B31">
      <w:pPr>
        <w:pStyle w:val="Subtitle"/>
      </w:pPr>
      <w:r w:rsidRPr="00237B31">
        <w:t>Public Consultation</w:t>
      </w:r>
    </w:p>
    <w:p w14:paraId="55B5ED01" w14:textId="77777777" w:rsidR="000378E5" w:rsidRDefault="000378E5" w:rsidP="000378E5">
      <w:pPr>
        <w:pStyle w:val="Heading1"/>
      </w:pPr>
      <w:r>
        <w:t>v2.1.0 (“2014/03” Package) Public Consultation</w:t>
      </w:r>
    </w:p>
    <w:p w14:paraId="55B5ED02" w14:textId="77777777" w:rsidR="000378E5" w:rsidRDefault="000378E5" w:rsidP="00D515AE">
      <w:pPr>
        <w:pStyle w:val="Titlelevel3"/>
      </w:pPr>
      <w:r>
        <w:t xml:space="preserve">Differences c.f. DPMs </w:t>
      </w:r>
      <w:r w:rsidRPr="00F37007">
        <w:t>published</w:t>
      </w:r>
      <w:r>
        <w:t xml:space="preserve"> accompanying ITS.</w:t>
      </w:r>
    </w:p>
    <w:p w14:paraId="55B5ED03" w14:textId="77777777" w:rsidR="000378E5" w:rsidRDefault="000378E5" w:rsidP="00183058">
      <w:pPr>
        <w:pStyle w:val="ListParagraph"/>
        <w:numPr>
          <w:ilvl w:val="0"/>
          <w:numId w:val="5"/>
        </w:numPr>
      </w:pPr>
      <w:r>
        <w:t>Addition of general information table A00.01 (equivalent to C00.01 and F00.01, to be reported with all Asset encumbrance instances).</w:t>
      </w:r>
    </w:p>
    <w:p w14:paraId="55B5ED04" w14:textId="77777777"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14:paraId="55B5ED05" w14:textId="77777777" w:rsidR="000378E5" w:rsidRDefault="000378E5" w:rsidP="00183058">
      <w:pPr>
        <w:pStyle w:val="ListParagraph"/>
        <w:numPr>
          <w:ilvl w:val="0"/>
          <w:numId w:val="4"/>
        </w:numPr>
      </w:pPr>
      <w:r>
        <w:t>C02.00 r210 (“Equity”) changed MC member used in order to align with C07.00a</w:t>
      </w:r>
      <w:r>
        <w:tab/>
      </w:r>
    </w:p>
    <w:p w14:paraId="55B5ED06" w14:textId="77777777" w:rsidR="000378E5" w:rsidRPr="005A5FF7" w:rsidRDefault="000378E5" w:rsidP="00183058">
      <w:pPr>
        <w:pStyle w:val="ListParagraph"/>
        <w:numPr>
          <w:ilvl w:val="0"/>
          <w:numId w:val="4"/>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14:paraId="55B5ED07" w14:textId="77777777" w:rsidR="000378E5" w:rsidRDefault="000378E5" w:rsidP="00183058">
      <w:pPr>
        <w:pStyle w:val="ListParagraph"/>
        <w:numPr>
          <w:ilvl w:val="0"/>
          <w:numId w:val="4"/>
        </w:numPr>
      </w:pPr>
      <w:r>
        <w:t>C09.01 restriction (grey shading) removed for c050 to c060 of r100</w:t>
      </w:r>
    </w:p>
    <w:p w14:paraId="55B5ED08" w14:textId="77777777" w:rsidR="000378E5" w:rsidRDefault="000378E5" w:rsidP="00183058">
      <w:pPr>
        <w:pStyle w:val="ListParagraph"/>
        <w:numPr>
          <w:ilvl w:val="0"/>
          <w:numId w:val="4"/>
        </w:numPr>
      </w:pPr>
      <w:r>
        <w:t>C25.00 added restriction (grey shading) to {r030, c110} and {r040, c110}</w:t>
      </w:r>
      <w:r>
        <w:tab/>
      </w:r>
    </w:p>
    <w:p w14:paraId="55B5ED09" w14:textId="77777777" w:rsidR="000378E5" w:rsidRDefault="000378E5" w:rsidP="00183058">
      <w:pPr>
        <w:pStyle w:val="ListParagraph"/>
        <w:numPr>
          <w:ilvl w:val="0"/>
          <w:numId w:val="4"/>
        </w:numPr>
      </w:pPr>
      <w:r>
        <w:t>F08.01 (</w:t>
      </w:r>
      <w:proofErr w:type="spellStart"/>
      <w:r>
        <w:t>a+b</w:t>
      </w:r>
      <w:proofErr w:type="spellEnd"/>
      <w:r>
        <w:t>) missing column 037 (“Hedge Accounting”) added (identical to F1.2 row 150)</w:t>
      </w:r>
    </w:p>
    <w:p w14:paraId="55B5ED0A" w14:textId="77777777" w:rsidR="000378E5" w:rsidRPr="005A5FF7" w:rsidRDefault="000378E5" w:rsidP="00183058">
      <w:pPr>
        <w:pStyle w:val="ListParagraph"/>
        <w:numPr>
          <w:ilvl w:val="0"/>
          <w:numId w:val="4"/>
        </w:numPr>
        <w:rPr>
          <w:i/>
        </w:rPr>
      </w:pPr>
      <w:r>
        <w:t>F40.01 missing column 095 added (modelled similarly to C27.00 counterparty sector)</w:t>
      </w:r>
    </w:p>
    <w:p w14:paraId="55B5ED0B" w14:textId="77777777" w:rsidR="000378E5" w:rsidRDefault="000378E5" w:rsidP="00183058">
      <w:pPr>
        <w:pStyle w:val="ListParagraph"/>
        <w:numPr>
          <w:ilvl w:val="0"/>
          <w:numId w:val="4"/>
        </w:numPr>
      </w:pPr>
      <w:r>
        <w:t>F41.02 deleted restriction of {r020, c030}</w:t>
      </w:r>
      <w:r>
        <w:tab/>
      </w:r>
    </w:p>
    <w:p w14:paraId="55B5ED0C" w14:textId="77777777" w:rsidR="000378E5" w:rsidRDefault="000378E5" w:rsidP="00183058">
      <w:pPr>
        <w:pStyle w:val="ListParagraph"/>
        <w:numPr>
          <w:ilvl w:val="0"/>
          <w:numId w:val="4"/>
        </w:numPr>
      </w:pPr>
      <w:r>
        <w:t>PL members' names corrected. The term “designated” deleted in the following cases:</w:t>
      </w:r>
      <w:r>
        <w:tab/>
      </w:r>
    </w:p>
    <w:p w14:paraId="55B5ED0D" w14:textId="77777777" w:rsidR="000378E5" w:rsidRPr="00E05D74" w:rsidRDefault="000378E5" w:rsidP="00183058">
      <w:pPr>
        <w:pStyle w:val="ListParagraph"/>
        <w:numPr>
          <w:ilvl w:val="1"/>
          <w:numId w:val="4"/>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14:paraId="55B5ED0E" w14:textId="77777777" w:rsidR="000378E5" w:rsidRPr="00E05D74" w:rsidRDefault="000378E5" w:rsidP="00183058">
      <w:pPr>
        <w:pStyle w:val="ListParagraph"/>
        <w:numPr>
          <w:ilvl w:val="1"/>
          <w:numId w:val="4"/>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14:paraId="55B5ED0F" w14:textId="77777777" w:rsidR="000378E5" w:rsidRDefault="000378E5" w:rsidP="00183058">
      <w:pPr>
        <w:pStyle w:val="ListParagraph"/>
        <w:numPr>
          <w:ilvl w:val="1"/>
          <w:numId w:val="4"/>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14:paraId="55B5ED10" w14:textId="77777777" w:rsidR="000378E5" w:rsidRDefault="000378E5" w:rsidP="00D515AE">
      <w:pPr>
        <w:pStyle w:val="Titlelevel3"/>
      </w:pPr>
      <w:r>
        <w:t>Incremental addition of Asset Encumbrance reporting requirements:</w:t>
      </w:r>
    </w:p>
    <w:p w14:paraId="55B5ED11" w14:textId="77777777" w:rsidR="000378E5" w:rsidRDefault="000378E5" w:rsidP="00183058">
      <w:pPr>
        <w:pStyle w:val="ListParagraph"/>
        <w:numPr>
          <w:ilvl w:val="0"/>
          <w:numId w:val="4"/>
        </w:numPr>
      </w:pPr>
      <w:r>
        <w:t>New framework and taxonomy</w:t>
      </w:r>
    </w:p>
    <w:p w14:paraId="55B5ED12" w14:textId="77777777" w:rsidR="000378E5" w:rsidRDefault="000378E5" w:rsidP="00183058">
      <w:pPr>
        <w:pStyle w:val="ListParagraph"/>
        <w:numPr>
          <w:ilvl w:val="0"/>
          <w:numId w:val="4"/>
        </w:numPr>
      </w:pPr>
      <w:r>
        <w:t>New tables F32.xx-F36.xx</w:t>
      </w:r>
    </w:p>
    <w:p w14:paraId="55B5ED13" w14:textId="77777777" w:rsidR="000378E5" w:rsidRDefault="000378E5" w:rsidP="00183058">
      <w:pPr>
        <w:pStyle w:val="ListParagraph"/>
        <w:numPr>
          <w:ilvl w:val="0"/>
          <w:numId w:val="4"/>
        </w:numPr>
      </w:pPr>
      <w:r>
        <w:t>Additional members in TI, MC and AT</w:t>
      </w:r>
    </w:p>
    <w:p w14:paraId="55B5ED14" w14:textId="77777777" w:rsidR="00237B31" w:rsidRDefault="00237B31" w:rsidP="00237B31">
      <w:pPr>
        <w:pStyle w:val="ListParagraph"/>
      </w:pPr>
    </w:p>
    <w:p w14:paraId="55B5ED15" w14:textId="77777777" w:rsidR="000378E5" w:rsidRDefault="000378E5" w:rsidP="00237B31">
      <w:pPr>
        <w:pStyle w:val="Titlelevel3"/>
      </w:pPr>
      <w:r>
        <w:t>Addition of Forbearance and Non-performing Exposures, and consequent adjustments to existing FINREP tables:</w:t>
      </w:r>
    </w:p>
    <w:p w14:paraId="55B5ED16" w14:textId="77777777" w:rsidR="000378E5" w:rsidRDefault="000378E5" w:rsidP="00183058">
      <w:pPr>
        <w:pStyle w:val="ListParagraph"/>
        <w:numPr>
          <w:ilvl w:val="0"/>
          <w:numId w:val="4"/>
        </w:numPr>
      </w:pPr>
      <w:r>
        <w:t>New tables in FINREP part 1, F18.xx and F19.xx</w:t>
      </w:r>
    </w:p>
    <w:p w14:paraId="55B5ED17" w14:textId="77777777" w:rsidR="000378E5" w:rsidRDefault="000378E5" w:rsidP="00183058">
      <w:pPr>
        <w:pStyle w:val="ListParagraph"/>
        <w:numPr>
          <w:ilvl w:val="0"/>
          <w:numId w:val="4"/>
        </w:numPr>
      </w:pPr>
      <w:r>
        <w:t>F06.00 added c012(“Of which: non-performing”)</w:t>
      </w:r>
    </w:p>
    <w:p w14:paraId="55B5ED18" w14:textId="77777777" w:rsidR="000378E5" w:rsidRDefault="000378E5" w:rsidP="00183058">
      <w:pPr>
        <w:pStyle w:val="ListParagraph"/>
        <w:numPr>
          <w:ilvl w:val="0"/>
          <w:numId w:val="4"/>
        </w:numPr>
      </w:pPr>
      <w:r>
        <w:t>F09.01 added r021,r101,r181 (“Of which: non-performing”), removed r020,r100,r180</w:t>
      </w:r>
      <w:r>
        <w:tab/>
        <w:t>(“Of which: Defaulted”)</w:t>
      </w:r>
    </w:p>
    <w:p w14:paraId="55B5ED19" w14:textId="77777777" w:rsidR="000378E5" w:rsidRDefault="000378E5" w:rsidP="00183058">
      <w:pPr>
        <w:pStyle w:val="ListParagraph"/>
        <w:numPr>
          <w:ilvl w:val="0"/>
          <w:numId w:val="4"/>
        </w:numPr>
      </w:pPr>
      <w:r>
        <w:lastRenderedPageBreak/>
        <w:t>F20.04 removed c020 (“Of which: defaulted”), added c022 (“Of which: debt forbearance”), c025 (“Of which: non performing”)</w:t>
      </w:r>
    </w:p>
    <w:p w14:paraId="55B5ED1A" w14:textId="77777777" w:rsidR="000378E5" w:rsidRDefault="000378E5" w:rsidP="00183058">
      <w:pPr>
        <w:pStyle w:val="ListParagraph"/>
        <w:numPr>
          <w:ilvl w:val="0"/>
          <w:numId w:val="4"/>
        </w:numPr>
      </w:pPr>
      <w:r>
        <w:t>F20.05a removed c020</w:t>
      </w:r>
      <w:r w:rsidRPr="0055681B">
        <w:t xml:space="preserve"> </w:t>
      </w:r>
      <w:proofErr w:type="spellStart"/>
      <w:r>
        <w:t>c020</w:t>
      </w:r>
      <w:proofErr w:type="spellEnd"/>
      <w:r>
        <w:t xml:space="preserve"> (“Of which: defaulted”), added c022 (“Of which: debt forbearance”), c025 (“Of which: non performing”)</w:t>
      </w:r>
    </w:p>
    <w:p w14:paraId="55B5ED1B" w14:textId="77777777" w:rsidR="000378E5" w:rsidRDefault="000378E5" w:rsidP="00183058">
      <w:pPr>
        <w:pStyle w:val="ListParagraph"/>
        <w:numPr>
          <w:ilvl w:val="0"/>
          <w:numId w:val="4"/>
        </w:numPr>
      </w:pPr>
      <w:r>
        <w:t>F20.07 add r012 (“Of which: non performing”)</w:t>
      </w:r>
      <w:r>
        <w:tab/>
      </w:r>
    </w:p>
    <w:p w14:paraId="55B5ED1C" w14:textId="77777777" w:rsidR="000378E5" w:rsidRDefault="000378E5" w:rsidP="00183058">
      <w:pPr>
        <w:pStyle w:val="ListParagraph"/>
        <w:numPr>
          <w:ilvl w:val="0"/>
          <w:numId w:val="4"/>
        </w:numPr>
      </w:pPr>
      <w:r>
        <w:t>F30.02 removed r020 (“of which: non performing”),r130 (“of which: defaulted”),  added r021, r131 (both “of which: non performing”)</w:t>
      </w:r>
    </w:p>
    <w:p w14:paraId="55B5ED1D" w14:textId="77777777" w:rsidR="000378E5" w:rsidRDefault="000378E5" w:rsidP="00183058">
      <w:pPr>
        <w:pStyle w:val="ListParagraph"/>
        <w:numPr>
          <w:ilvl w:val="0"/>
          <w:numId w:val="4"/>
        </w:numPr>
      </w:pPr>
      <w:r>
        <w:t>F31.01 changed categorisation of r100 (“of which: defaulted”)</w:t>
      </w:r>
    </w:p>
    <w:p w14:paraId="55B5ED1E" w14:textId="77777777" w:rsidR="000378E5" w:rsidRDefault="000378E5" w:rsidP="00183058">
      <w:pPr>
        <w:pStyle w:val="ListParagraph"/>
        <w:numPr>
          <w:ilvl w:val="0"/>
          <w:numId w:val="4"/>
        </w:numPr>
      </w:pPr>
      <w:r>
        <w:t>New Dimensions PFS (performing status) and FBS (Forbearance status)</w:t>
      </w:r>
    </w:p>
    <w:p w14:paraId="55B5ED1F" w14:textId="77777777" w:rsidR="000378E5" w:rsidRDefault="000378E5" w:rsidP="00183058">
      <w:pPr>
        <w:pStyle w:val="ListParagraph"/>
        <w:numPr>
          <w:ilvl w:val="0"/>
          <w:numId w:val="4"/>
        </w:numPr>
      </w:pPr>
      <w:r>
        <w:t>Additional members in IM and PL</w:t>
      </w:r>
    </w:p>
    <w:p w14:paraId="55B5ED20" w14:textId="77777777" w:rsidR="00237B31" w:rsidRDefault="00237B31" w:rsidP="00237B31">
      <w:pPr>
        <w:pStyle w:val="ListParagraph"/>
      </w:pPr>
    </w:p>
    <w:p w14:paraId="55B5ED21" w14:textId="77777777" w:rsidR="000378E5" w:rsidRDefault="000378E5" w:rsidP="00237B31">
      <w:pPr>
        <w:pStyle w:val="Titlelevel3"/>
      </w:pPr>
      <w:r>
        <w:t xml:space="preserve">Minor corrections to labelling to align with EC publication of </w:t>
      </w:r>
      <w:proofErr w:type="gramStart"/>
      <w:r>
        <w:t>ITS</w:t>
      </w:r>
      <w:proofErr w:type="gramEnd"/>
      <w:r>
        <w:t>:</w:t>
      </w:r>
    </w:p>
    <w:p w14:paraId="55B5ED22" w14:textId="77777777" w:rsidR="000378E5" w:rsidRPr="00867180" w:rsidRDefault="000378E5" w:rsidP="00183058">
      <w:pPr>
        <w:pStyle w:val="ListParagraph"/>
        <w:numPr>
          <w:ilvl w:val="0"/>
          <w:numId w:val="4"/>
        </w:numPr>
      </w:pPr>
      <w:r w:rsidRPr="00867180">
        <w:t>C05.02 corrected label of r090 and r120 to r140</w:t>
      </w:r>
    </w:p>
    <w:p w14:paraId="55B5ED23" w14:textId="77777777" w:rsidR="00237B31" w:rsidRDefault="000378E5" w:rsidP="00183058">
      <w:pPr>
        <w:pStyle w:val="ListParagraph"/>
        <w:numPr>
          <w:ilvl w:val="0"/>
          <w:numId w:val="4"/>
        </w:numPr>
      </w:pPr>
      <w:r w:rsidRPr="00867180">
        <w:t>F40.0</w:t>
      </w:r>
      <w:r w:rsidR="00237B31">
        <w:t>1 corrected label of column 090</w:t>
      </w:r>
    </w:p>
    <w:p w14:paraId="55B5ED24" w14:textId="77777777" w:rsidR="00237B31" w:rsidRDefault="00237B31" w:rsidP="00237B31">
      <w:pPr>
        <w:pStyle w:val="Heading2"/>
      </w:pPr>
      <w:r w:rsidRPr="00237B31">
        <w:t>v2.0.1 (Technical correction release)</w:t>
      </w:r>
    </w:p>
    <w:p w14:paraId="55B5ED25" w14:textId="77777777" w:rsidR="000378E5" w:rsidRDefault="000378E5" w:rsidP="00237B31">
      <w:r>
        <w:t xml:space="preserve">Bug Fix – duplicate locator links in some files </w:t>
      </w:r>
    </w:p>
    <w:p w14:paraId="55B5ED26" w14:textId="77777777" w:rsidR="00237B31" w:rsidRPr="001F59D5" w:rsidRDefault="00237B31" w:rsidP="00237B31">
      <w:pPr>
        <w:pStyle w:val="Heading2"/>
      </w:pPr>
      <w:r>
        <w:t>v2.0.0 (Public Release)</w:t>
      </w:r>
    </w:p>
    <w:p w14:paraId="55B5ED27" w14:textId="77777777" w:rsidR="000378E5" w:rsidRDefault="000378E5" w:rsidP="00D515AE">
      <w:pPr>
        <w:pStyle w:val="Titlelevel3"/>
      </w:pPr>
      <w:r>
        <w:t>Bug Fixes:</w:t>
      </w:r>
    </w:p>
    <w:p w14:paraId="55B5ED28" w14:textId="77777777" w:rsidR="000378E5" w:rsidRDefault="000378E5" w:rsidP="00183058">
      <w:pPr>
        <w:pStyle w:val="ListParagraph"/>
        <w:numPr>
          <w:ilvl w:val="0"/>
          <w:numId w:val="4"/>
        </w:numPr>
      </w:pPr>
      <w:r>
        <w:t>Systematic mapping error affecting many Hierarchies (resulting in them being out of order) corrected.</w:t>
      </w:r>
    </w:p>
    <w:p w14:paraId="55B5ED29" w14:textId="77777777" w:rsidR="000378E5" w:rsidRDefault="000378E5" w:rsidP="00183058">
      <w:pPr>
        <w:pStyle w:val="ListParagraph"/>
        <w:numPr>
          <w:ilvl w:val="0"/>
          <w:numId w:val="4"/>
        </w:numPr>
      </w:pPr>
      <w:r>
        <w:t xml:space="preserve">Inclusion of </w:t>
      </w:r>
      <w:proofErr w:type="spellStart"/>
      <w:r>
        <w:t>RewriteUri</w:t>
      </w:r>
      <w:proofErr w:type="spellEnd"/>
      <w:r>
        <w:t xml:space="preserve"> element in catalog.xml</w:t>
      </w:r>
    </w:p>
    <w:p w14:paraId="55B5ED2A" w14:textId="77777777" w:rsidR="000378E5" w:rsidRDefault="000378E5" w:rsidP="00183058">
      <w:pPr>
        <w:pStyle w:val="ListParagraph"/>
        <w:numPr>
          <w:ilvl w:val="0"/>
          <w:numId w:val="4"/>
        </w:numPr>
      </w:pPr>
      <w:r>
        <w:t>Removal of .taxonomyPackage.xml file</w:t>
      </w:r>
    </w:p>
    <w:p w14:paraId="55B5ED2B" w14:textId="77777777" w:rsidR="000378E5" w:rsidRDefault="000378E5" w:rsidP="00183058">
      <w:pPr>
        <w:pStyle w:val="ListParagraph"/>
        <w:numPr>
          <w:ilvl w:val="0"/>
          <w:numId w:val="4"/>
        </w:numPr>
      </w:pPr>
      <w:r>
        <w:t>Interval Arithmetic libraries updated</w:t>
      </w:r>
    </w:p>
    <w:p w14:paraId="55B5ED2C" w14:textId="77777777" w:rsidR="000378E5" w:rsidRDefault="000378E5" w:rsidP="00183058">
      <w:pPr>
        <w:pStyle w:val="ListParagraph"/>
        <w:numPr>
          <w:ilvl w:val="1"/>
          <w:numId w:val="4"/>
        </w:numPr>
      </w:pPr>
      <w:r>
        <w:t>Handle “INF” for decimal attributes</w:t>
      </w:r>
    </w:p>
    <w:p w14:paraId="55B5ED2D" w14:textId="77777777" w:rsidR="000378E5" w:rsidRDefault="000378E5" w:rsidP="00183058">
      <w:pPr>
        <w:pStyle w:val="ListParagraph"/>
        <w:numPr>
          <w:ilvl w:val="1"/>
          <w:numId w:val="4"/>
        </w:numPr>
      </w:pPr>
      <w:r>
        <w:t xml:space="preserve">Handle empty sequences </w:t>
      </w:r>
    </w:p>
    <w:p w14:paraId="55B5ED2E" w14:textId="77777777" w:rsidR="000378E5" w:rsidRDefault="000378E5" w:rsidP="00D515AE">
      <w:pPr>
        <w:pStyle w:val="Titlelevel3"/>
      </w:pPr>
      <w:r>
        <w:t>DPM Corrections</w:t>
      </w:r>
    </w:p>
    <w:p w14:paraId="55B5ED2F" w14:textId="77777777" w:rsidR="000378E5" w:rsidRDefault="000378E5" w:rsidP="00183058">
      <w:pPr>
        <w:pStyle w:val="ListParagraph"/>
        <w:numPr>
          <w:ilvl w:val="0"/>
          <w:numId w:val="4"/>
        </w:numPr>
      </w:pPr>
      <w:r>
        <w:t xml:space="preserve">Correction of naming of two flow type members, which were missing the “(flow)” required by naming convention used for metrics: </w:t>
      </w:r>
    </w:p>
    <w:p w14:paraId="55B5ED30" w14:textId="77777777" w:rsidR="00237B31" w:rsidRDefault="00237B31" w:rsidP="00237B31">
      <w:pPr>
        <w:pStyle w:val="ListParagraph"/>
      </w:pPr>
    </w:p>
    <w:p w14:paraId="55B5ED31" w14:textId="77777777"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14:paraId="55B5ED32" w14:textId="77777777" w:rsidR="00237B31" w:rsidRDefault="00237B31" w:rsidP="000378E5"/>
    <w:p w14:paraId="55B5ED33" w14:textId="77777777" w:rsidR="00A011A3" w:rsidRDefault="000378E5" w:rsidP="00237B31">
      <w:pPr>
        <w:rPr>
          <w:i/>
        </w:rPr>
      </w:pPr>
      <w:r>
        <w:t>1190 (md72)</w:t>
      </w:r>
      <w:r>
        <w:tab/>
        <w:t xml:space="preserve">Changes in equity other than those explicitly reported </w:t>
      </w:r>
      <w:r w:rsidRPr="00174A17">
        <w:rPr>
          <w:i/>
        </w:rPr>
        <w:t>(flow)</w:t>
      </w:r>
    </w:p>
    <w:p w14:paraId="55B5ED34" w14:textId="77777777" w:rsidR="00237B31" w:rsidRDefault="00237B31" w:rsidP="00237B31">
      <w:pPr>
        <w:rPr>
          <w:i/>
        </w:rPr>
      </w:pPr>
    </w:p>
    <w:p w14:paraId="55B5ED35" w14:textId="77777777" w:rsidR="00237B31" w:rsidRPr="00237B31" w:rsidRDefault="00237B31" w:rsidP="00237B31">
      <w:pPr>
        <w:pStyle w:val="Heading2"/>
      </w:pPr>
      <w:r w:rsidRPr="00237B31">
        <w:t>V2.0.0 (Public Consultation)</w:t>
      </w:r>
    </w:p>
    <w:p w14:paraId="55B5ED36" w14:textId="77777777" w:rsidR="00237B31" w:rsidRPr="00237B31" w:rsidRDefault="00237B31" w:rsidP="00237B31">
      <w:r w:rsidRPr="00237B31">
        <w:t>Baseline</w:t>
      </w:r>
    </w:p>
    <w:sectPr w:rsidR="00237B31" w:rsidRPr="00237B31" w:rsidSect="00D515AE">
      <w:footerReference w:type="default" r:id="rId11"/>
      <w:headerReference w:type="first" r:id="rId12"/>
      <w:footerReference w:type="first" r:id="rId13"/>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4B3E0C" w14:textId="77777777" w:rsidR="00172335" w:rsidRDefault="00172335">
      <w:r>
        <w:separator/>
      </w:r>
    </w:p>
  </w:endnote>
  <w:endnote w:type="continuationSeparator" w:id="0">
    <w:p w14:paraId="50DC80A0" w14:textId="77777777" w:rsidR="00172335" w:rsidRDefault="0017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D" w14:textId="77777777" w:rsidR="001444B4" w:rsidRPr="00F4602F" w:rsidRDefault="001444B4"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9679C4">
      <w:rPr>
        <w:rFonts w:ascii="Times New Roman" w:hAnsi="Times New Roman" w:cs="Times New Roman"/>
        <w:noProof/>
        <w:sz w:val="20"/>
        <w:szCs w:val="20"/>
      </w:rPr>
      <w:t>8</w:t>
    </w:r>
    <w:r w:rsidRPr="00F4602F">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40" w14:textId="77777777" w:rsidR="001444B4" w:rsidRDefault="001444B4" w:rsidP="00D9244A">
    <w:pPr>
      <w:pStyle w:val="Footer"/>
      <w:jc w:val="center"/>
    </w:pPr>
    <w:r>
      <w:rPr>
        <w:rStyle w:val="PageNumber"/>
      </w:rPr>
      <w:fldChar w:fldCharType="begin"/>
    </w:r>
    <w:r>
      <w:rPr>
        <w:rStyle w:val="PageNumber"/>
      </w:rPr>
      <w:instrText xml:space="preserve"> PAGE </w:instrText>
    </w:r>
    <w:r>
      <w:rPr>
        <w:rStyle w:val="PageNumber"/>
      </w:rPr>
      <w:fldChar w:fldCharType="separate"/>
    </w:r>
    <w:r w:rsidR="009679C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1D870" w14:textId="77777777" w:rsidR="00172335" w:rsidRDefault="00172335">
      <w:r>
        <w:separator/>
      </w:r>
    </w:p>
  </w:footnote>
  <w:footnote w:type="continuationSeparator" w:id="0">
    <w:p w14:paraId="3F919394" w14:textId="77777777" w:rsidR="00172335" w:rsidRDefault="00172335">
      <w:r>
        <w:continuationSeparator/>
      </w:r>
    </w:p>
  </w:footnote>
  <w:footnote w:id="1">
    <w:p w14:paraId="62527207" w14:textId="77777777" w:rsidR="00F823CC" w:rsidRDefault="00F823CC" w:rsidP="00F823CC">
      <w:pPr>
        <w:pStyle w:val="FootnoteText"/>
      </w:pPr>
      <w:r>
        <w:rPr>
          <w:rStyle w:val="FootnoteReference"/>
        </w:rPr>
        <w:footnoteRef/>
      </w:r>
      <w:r>
        <w:t xml:space="preserve"> where {C 02.00,r060,c010,s000} previously with </w:t>
      </w:r>
      <w:proofErr w:type="spellStart"/>
      <w:r>
        <w:t>DataPointVID</w:t>
      </w:r>
      <w:proofErr w:type="spellEnd"/>
      <w:r>
        <w:t xml:space="preserve"> 78020 (and </w:t>
      </w:r>
      <w:proofErr w:type="spellStart"/>
      <w:r>
        <w:t>DataPointID</w:t>
      </w:r>
      <w:proofErr w:type="spellEnd"/>
      <w:r>
        <w:t xml:space="preserve"> 78020) has been deliberately remodelled to exactly match the existing modelling of cell {C 07.00.a,r010,c220,s001} with </w:t>
      </w:r>
      <w:proofErr w:type="spellStart"/>
      <w:r>
        <w:t>DataPointVID</w:t>
      </w:r>
      <w:proofErr w:type="spellEnd"/>
      <w:r>
        <w:t xml:space="preserve"> 78917 (and </w:t>
      </w:r>
      <w:proofErr w:type="spellStart"/>
      <w:r>
        <w:t>DataPointID</w:t>
      </w:r>
      <w:proofErr w:type="spellEnd"/>
      <w:r>
        <w:t xml:space="preserve"> 78917) so that in future only one figure will be reported representing both of these cells).</w:t>
      </w:r>
    </w:p>
  </w:footnote>
  <w:footnote w:id="2">
    <w:p w14:paraId="5293590B" w14:textId="1BFB7F68" w:rsidR="00172A38" w:rsidRDefault="00172A38">
      <w:pPr>
        <w:pStyle w:val="FootnoteText"/>
      </w:pPr>
      <w:r>
        <w:rPr>
          <w:rStyle w:val="FootnoteReference"/>
        </w:rPr>
        <w:footnoteRef/>
      </w:r>
      <w:r>
        <w:t xml:space="preserve"> Which also independently include this correction to validation rule </w:t>
      </w:r>
      <w:proofErr w:type="gramStart"/>
      <w:r>
        <w:t>implementations.</w:t>
      </w:r>
      <w:proofErr w:type="gramEnd"/>
    </w:p>
  </w:footnote>
  <w:footnote w:id="3">
    <w:p w14:paraId="55B5ED43" w14:textId="77777777" w:rsidR="001444B4" w:rsidRDefault="001444B4" w:rsidP="00D77280">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4">
    <w:p w14:paraId="55B5ED44" w14:textId="77777777" w:rsidR="001444B4" w:rsidRDefault="001444B4" w:rsidP="00D77280">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5">
    <w:p w14:paraId="55B5ED45" w14:textId="77777777" w:rsidR="001444B4" w:rsidRDefault="001444B4" w:rsidP="00D77280">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6">
    <w:p w14:paraId="55B5ED46" w14:textId="77777777" w:rsidR="001444B4" w:rsidRDefault="001444B4"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7">
    <w:p w14:paraId="55B5ED47" w14:textId="77777777" w:rsidR="001444B4" w:rsidRDefault="001444B4">
      <w:pPr>
        <w:pStyle w:val="FootnoteText"/>
      </w:pPr>
      <w:r>
        <w:rPr>
          <w:rStyle w:val="FootnoteReference"/>
        </w:rPr>
        <w:footnoteRef/>
      </w:r>
      <w:r>
        <w:t xml:space="preserve"> </w:t>
      </w:r>
      <w:r w:rsidRPr="006E696D">
        <w:t>The original 2.0.1 taxonomy is supplied similarly packaged for reference</w:t>
      </w:r>
    </w:p>
  </w:footnote>
  <w:footnote w:id="8">
    <w:p w14:paraId="55B5ED48" w14:textId="77777777" w:rsidR="001444B4" w:rsidRDefault="001444B4" w:rsidP="000378E5">
      <w:pPr>
        <w:pStyle w:val="FootnoteText"/>
      </w:pPr>
      <w:r>
        <w:rPr>
          <w:rStyle w:val="FootnoteReference"/>
        </w:rPr>
        <w:footnoteRef/>
      </w:r>
      <w:r>
        <w:t xml:space="preserve"> N.B. the respective organisations and their websites remain the authoritative sources for these files.</w:t>
      </w:r>
    </w:p>
  </w:footnote>
  <w:footnote w:id="9">
    <w:p w14:paraId="55B5ED49" w14:textId="77777777" w:rsidR="001444B4" w:rsidRDefault="001444B4" w:rsidP="000378E5">
      <w:pPr>
        <w:pStyle w:val="FootnoteText"/>
      </w:pPr>
      <w:r>
        <w:rPr>
          <w:rStyle w:val="FootnoteReference"/>
        </w:rPr>
        <w:footnoteRef/>
      </w:r>
      <w:r>
        <w:t xml:space="preserve"> N.B. previous 2.0.1 release would under the new system  have been labelled 2.0.0.1</w:t>
      </w:r>
    </w:p>
    <w:p w14:paraId="55B5ED4A" w14:textId="77777777" w:rsidR="001444B4" w:rsidRDefault="001444B4" w:rsidP="000378E5">
      <w:pPr>
        <w:pStyle w:val="FootnoteText"/>
      </w:pPr>
    </w:p>
  </w:footnote>
  <w:footnote w:id="10">
    <w:p w14:paraId="55B5ED4B" w14:textId="77777777" w:rsidR="001444B4" w:rsidRDefault="001444B4"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E" w14:textId="77777777" w:rsidR="001444B4" w:rsidRDefault="001444B4"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14:paraId="55B5ED3F" w14:textId="77777777" w:rsidR="001444B4" w:rsidRDefault="001444B4"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5">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6">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4"/>
  </w:num>
  <w:num w:numId="4">
    <w:abstractNumId w:val="16"/>
  </w:num>
  <w:num w:numId="5">
    <w:abstractNumId w:val="14"/>
  </w:num>
  <w:num w:numId="6">
    <w:abstractNumId w:val="27"/>
  </w:num>
  <w:num w:numId="7">
    <w:abstractNumId w:val="9"/>
  </w:num>
  <w:num w:numId="8">
    <w:abstractNumId w:val="21"/>
  </w:num>
  <w:num w:numId="9">
    <w:abstractNumId w:val="13"/>
  </w:num>
  <w:num w:numId="10">
    <w:abstractNumId w:val="19"/>
  </w:num>
  <w:num w:numId="11">
    <w:abstractNumId w:val="8"/>
  </w:num>
  <w:num w:numId="12">
    <w:abstractNumId w:val="1"/>
  </w:num>
  <w:num w:numId="13">
    <w:abstractNumId w:val="0"/>
  </w:num>
  <w:num w:numId="14">
    <w:abstractNumId w:val="24"/>
  </w:num>
  <w:num w:numId="15">
    <w:abstractNumId w:val="2"/>
  </w:num>
  <w:num w:numId="16">
    <w:abstractNumId w:val="15"/>
  </w:num>
  <w:num w:numId="17">
    <w:abstractNumId w:val="22"/>
  </w:num>
  <w:num w:numId="18">
    <w:abstractNumId w:val="11"/>
  </w:num>
  <w:num w:numId="19">
    <w:abstractNumId w:val="17"/>
  </w:num>
  <w:num w:numId="20">
    <w:abstractNumId w:val="18"/>
  </w:num>
  <w:num w:numId="21">
    <w:abstractNumId w:val="25"/>
  </w:num>
  <w:num w:numId="22">
    <w:abstractNumId w:val="26"/>
  </w:num>
  <w:num w:numId="23">
    <w:abstractNumId w:val="12"/>
  </w:num>
  <w:num w:numId="24">
    <w:abstractNumId w:val="23"/>
  </w:num>
  <w:num w:numId="25">
    <w:abstractNumId w:val="7"/>
  </w:num>
  <w:num w:numId="26">
    <w:abstractNumId w:val="6"/>
  </w:num>
  <w:num w:numId="27">
    <w:abstractNumId w:val="20"/>
  </w:num>
  <w:num w:numId="28">
    <w:abstractNumId w:val="3"/>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3476"/>
    <w:rsid w:val="00046440"/>
    <w:rsid w:val="00047117"/>
    <w:rsid w:val="000475EA"/>
    <w:rsid w:val="00047CC4"/>
    <w:rsid w:val="00050EBA"/>
    <w:rsid w:val="00052EBD"/>
    <w:rsid w:val="0005423A"/>
    <w:rsid w:val="00054E71"/>
    <w:rsid w:val="00055164"/>
    <w:rsid w:val="00055C2E"/>
    <w:rsid w:val="00055D0A"/>
    <w:rsid w:val="000568A5"/>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53EF"/>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C8F"/>
    <w:rsid w:val="000A0789"/>
    <w:rsid w:val="000A1BBF"/>
    <w:rsid w:val="000A1C83"/>
    <w:rsid w:val="000A4B87"/>
    <w:rsid w:val="000A563C"/>
    <w:rsid w:val="000A7467"/>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477"/>
    <w:rsid w:val="000F3810"/>
    <w:rsid w:val="000F3EE5"/>
    <w:rsid w:val="000F4CA7"/>
    <w:rsid w:val="000F5B02"/>
    <w:rsid w:val="000F6C55"/>
    <w:rsid w:val="000F744C"/>
    <w:rsid w:val="000F7D02"/>
    <w:rsid w:val="000F7DB3"/>
    <w:rsid w:val="00100107"/>
    <w:rsid w:val="00103354"/>
    <w:rsid w:val="0010417E"/>
    <w:rsid w:val="0010463B"/>
    <w:rsid w:val="00104E8B"/>
    <w:rsid w:val="00105BA1"/>
    <w:rsid w:val="00107717"/>
    <w:rsid w:val="00110189"/>
    <w:rsid w:val="001103A6"/>
    <w:rsid w:val="00110A58"/>
    <w:rsid w:val="00110E3E"/>
    <w:rsid w:val="00111E7D"/>
    <w:rsid w:val="00112465"/>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44B4"/>
    <w:rsid w:val="0014526E"/>
    <w:rsid w:val="00145B79"/>
    <w:rsid w:val="00146507"/>
    <w:rsid w:val="00152FE2"/>
    <w:rsid w:val="001531BB"/>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335"/>
    <w:rsid w:val="00172537"/>
    <w:rsid w:val="00172A38"/>
    <w:rsid w:val="00172AFC"/>
    <w:rsid w:val="00174124"/>
    <w:rsid w:val="00174560"/>
    <w:rsid w:val="00174A17"/>
    <w:rsid w:val="00176011"/>
    <w:rsid w:val="001776D7"/>
    <w:rsid w:val="00180184"/>
    <w:rsid w:val="001805E5"/>
    <w:rsid w:val="001810BC"/>
    <w:rsid w:val="001810F5"/>
    <w:rsid w:val="00181420"/>
    <w:rsid w:val="0018149B"/>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6AD9"/>
    <w:rsid w:val="001C7D77"/>
    <w:rsid w:val="001D0B90"/>
    <w:rsid w:val="001D1280"/>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0B75"/>
    <w:rsid w:val="0022111D"/>
    <w:rsid w:val="00222815"/>
    <w:rsid w:val="002230AE"/>
    <w:rsid w:val="002231ED"/>
    <w:rsid w:val="0022391F"/>
    <w:rsid w:val="00224421"/>
    <w:rsid w:val="002258CF"/>
    <w:rsid w:val="002261B6"/>
    <w:rsid w:val="00226A98"/>
    <w:rsid w:val="00226F9B"/>
    <w:rsid w:val="00230716"/>
    <w:rsid w:val="00230B33"/>
    <w:rsid w:val="0023149E"/>
    <w:rsid w:val="002315CE"/>
    <w:rsid w:val="0023187E"/>
    <w:rsid w:val="00231CC7"/>
    <w:rsid w:val="00232517"/>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2F3D"/>
    <w:rsid w:val="002D3377"/>
    <w:rsid w:val="002D44E0"/>
    <w:rsid w:val="002D678C"/>
    <w:rsid w:val="002E18AF"/>
    <w:rsid w:val="002E1BEB"/>
    <w:rsid w:val="002E3B8B"/>
    <w:rsid w:val="002E3C58"/>
    <w:rsid w:val="002E4614"/>
    <w:rsid w:val="002E5450"/>
    <w:rsid w:val="002E6BE9"/>
    <w:rsid w:val="002E7EC5"/>
    <w:rsid w:val="002F0AA6"/>
    <w:rsid w:val="002F0F2C"/>
    <w:rsid w:val="002F11CC"/>
    <w:rsid w:val="002F1C5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76D"/>
    <w:rsid w:val="00310FA0"/>
    <w:rsid w:val="00312927"/>
    <w:rsid w:val="003129B6"/>
    <w:rsid w:val="00313342"/>
    <w:rsid w:val="003140BE"/>
    <w:rsid w:val="003143A4"/>
    <w:rsid w:val="00314F35"/>
    <w:rsid w:val="003156F0"/>
    <w:rsid w:val="00316840"/>
    <w:rsid w:val="00317173"/>
    <w:rsid w:val="00317C74"/>
    <w:rsid w:val="00320BB6"/>
    <w:rsid w:val="00324AC7"/>
    <w:rsid w:val="00324D85"/>
    <w:rsid w:val="00325199"/>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4582"/>
    <w:rsid w:val="00354982"/>
    <w:rsid w:val="00354F47"/>
    <w:rsid w:val="00355396"/>
    <w:rsid w:val="003556B2"/>
    <w:rsid w:val="003557C0"/>
    <w:rsid w:val="00356638"/>
    <w:rsid w:val="003576B5"/>
    <w:rsid w:val="00357A61"/>
    <w:rsid w:val="00360446"/>
    <w:rsid w:val="003607D6"/>
    <w:rsid w:val="00363880"/>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F4"/>
    <w:rsid w:val="00435B21"/>
    <w:rsid w:val="004369DA"/>
    <w:rsid w:val="00437836"/>
    <w:rsid w:val="00437C12"/>
    <w:rsid w:val="00437F29"/>
    <w:rsid w:val="00440DBC"/>
    <w:rsid w:val="00441845"/>
    <w:rsid w:val="004419F4"/>
    <w:rsid w:val="00442A09"/>
    <w:rsid w:val="00444A3D"/>
    <w:rsid w:val="004450DE"/>
    <w:rsid w:val="0044632F"/>
    <w:rsid w:val="00446FEC"/>
    <w:rsid w:val="0045131A"/>
    <w:rsid w:val="004517C4"/>
    <w:rsid w:val="0045413F"/>
    <w:rsid w:val="004547CF"/>
    <w:rsid w:val="00454AD2"/>
    <w:rsid w:val="00455822"/>
    <w:rsid w:val="00457090"/>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6AA2"/>
    <w:rsid w:val="00477AF1"/>
    <w:rsid w:val="00477F8A"/>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417E"/>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4F52"/>
    <w:rsid w:val="00535248"/>
    <w:rsid w:val="00536E37"/>
    <w:rsid w:val="005404DB"/>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32AD"/>
    <w:rsid w:val="00574394"/>
    <w:rsid w:val="00575735"/>
    <w:rsid w:val="00575AA1"/>
    <w:rsid w:val="00577428"/>
    <w:rsid w:val="005803E3"/>
    <w:rsid w:val="00581138"/>
    <w:rsid w:val="005816B6"/>
    <w:rsid w:val="00582C90"/>
    <w:rsid w:val="0058330B"/>
    <w:rsid w:val="00583938"/>
    <w:rsid w:val="00584F11"/>
    <w:rsid w:val="00585C4B"/>
    <w:rsid w:val="00585C60"/>
    <w:rsid w:val="00585DAC"/>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631E"/>
    <w:rsid w:val="005D695F"/>
    <w:rsid w:val="005E0FDD"/>
    <w:rsid w:val="005E1899"/>
    <w:rsid w:val="005E1D84"/>
    <w:rsid w:val="005E4166"/>
    <w:rsid w:val="005E42C3"/>
    <w:rsid w:val="005E4371"/>
    <w:rsid w:val="005E4859"/>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6D8A"/>
    <w:rsid w:val="005F7726"/>
    <w:rsid w:val="005F7CC1"/>
    <w:rsid w:val="005F7E79"/>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10879"/>
    <w:rsid w:val="00610A57"/>
    <w:rsid w:val="00614CE9"/>
    <w:rsid w:val="00616272"/>
    <w:rsid w:val="00617050"/>
    <w:rsid w:val="00617EC7"/>
    <w:rsid w:val="00620A9F"/>
    <w:rsid w:val="00620C65"/>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5C65"/>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41FF"/>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587D"/>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38E0"/>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5BA7"/>
    <w:rsid w:val="007667C4"/>
    <w:rsid w:val="00766D0C"/>
    <w:rsid w:val="00767747"/>
    <w:rsid w:val="007678BB"/>
    <w:rsid w:val="00767A7B"/>
    <w:rsid w:val="00767AB8"/>
    <w:rsid w:val="00767B2C"/>
    <w:rsid w:val="007707AA"/>
    <w:rsid w:val="0077118F"/>
    <w:rsid w:val="00771C02"/>
    <w:rsid w:val="00772008"/>
    <w:rsid w:val="007739CF"/>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B578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BD0"/>
    <w:rsid w:val="007D4CD3"/>
    <w:rsid w:val="007D5D64"/>
    <w:rsid w:val="007D6736"/>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5CED"/>
    <w:rsid w:val="00856C7D"/>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216F"/>
    <w:rsid w:val="00993CD9"/>
    <w:rsid w:val="009943CD"/>
    <w:rsid w:val="009955B5"/>
    <w:rsid w:val="00995CAC"/>
    <w:rsid w:val="00997CA0"/>
    <w:rsid w:val="009A05E3"/>
    <w:rsid w:val="009A3D39"/>
    <w:rsid w:val="009A4C11"/>
    <w:rsid w:val="009A55BB"/>
    <w:rsid w:val="009A62EF"/>
    <w:rsid w:val="009A63B0"/>
    <w:rsid w:val="009A651A"/>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E1"/>
    <w:rsid w:val="00A135B7"/>
    <w:rsid w:val="00A1369F"/>
    <w:rsid w:val="00A14D23"/>
    <w:rsid w:val="00A15769"/>
    <w:rsid w:val="00A16961"/>
    <w:rsid w:val="00A16D78"/>
    <w:rsid w:val="00A17E2D"/>
    <w:rsid w:val="00A22425"/>
    <w:rsid w:val="00A237F7"/>
    <w:rsid w:val="00A2385B"/>
    <w:rsid w:val="00A25356"/>
    <w:rsid w:val="00A256FF"/>
    <w:rsid w:val="00A26A16"/>
    <w:rsid w:val="00A30054"/>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0A2C"/>
    <w:rsid w:val="00A91DB3"/>
    <w:rsid w:val="00A92CB6"/>
    <w:rsid w:val="00A9301D"/>
    <w:rsid w:val="00A93E8D"/>
    <w:rsid w:val="00A96197"/>
    <w:rsid w:val="00A96668"/>
    <w:rsid w:val="00A973A9"/>
    <w:rsid w:val="00A97A99"/>
    <w:rsid w:val="00AA0EE8"/>
    <w:rsid w:val="00AA106A"/>
    <w:rsid w:val="00AA206E"/>
    <w:rsid w:val="00AA2DE2"/>
    <w:rsid w:val="00AA31E6"/>
    <w:rsid w:val="00AA359C"/>
    <w:rsid w:val="00AA3F2C"/>
    <w:rsid w:val="00AA47EB"/>
    <w:rsid w:val="00AA4DF9"/>
    <w:rsid w:val="00AA5C93"/>
    <w:rsid w:val="00AA5E7A"/>
    <w:rsid w:val="00AA619F"/>
    <w:rsid w:val="00AA6716"/>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841"/>
    <w:rsid w:val="00AC38C1"/>
    <w:rsid w:val="00AC4720"/>
    <w:rsid w:val="00AC4C4E"/>
    <w:rsid w:val="00AC5982"/>
    <w:rsid w:val="00AC5A25"/>
    <w:rsid w:val="00AC7374"/>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4BDE"/>
    <w:rsid w:val="00AE5175"/>
    <w:rsid w:val="00AE5947"/>
    <w:rsid w:val="00AE5F7A"/>
    <w:rsid w:val="00AE7465"/>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4306"/>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1D2"/>
    <w:rsid w:val="00BF14C6"/>
    <w:rsid w:val="00BF1B24"/>
    <w:rsid w:val="00BF2C20"/>
    <w:rsid w:val="00BF3381"/>
    <w:rsid w:val="00BF3979"/>
    <w:rsid w:val="00BF44C3"/>
    <w:rsid w:val="00BF44EB"/>
    <w:rsid w:val="00BF4938"/>
    <w:rsid w:val="00BF5D16"/>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32AD"/>
    <w:rsid w:val="00C14F97"/>
    <w:rsid w:val="00C15301"/>
    <w:rsid w:val="00C156BC"/>
    <w:rsid w:val="00C170BF"/>
    <w:rsid w:val="00C17727"/>
    <w:rsid w:val="00C203EA"/>
    <w:rsid w:val="00C219D4"/>
    <w:rsid w:val="00C22AD2"/>
    <w:rsid w:val="00C23240"/>
    <w:rsid w:val="00C23F64"/>
    <w:rsid w:val="00C243A9"/>
    <w:rsid w:val="00C25419"/>
    <w:rsid w:val="00C2629A"/>
    <w:rsid w:val="00C26AB3"/>
    <w:rsid w:val="00C26C35"/>
    <w:rsid w:val="00C273BD"/>
    <w:rsid w:val="00C278E6"/>
    <w:rsid w:val="00C27FA7"/>
    <w:rsid w:val="00C30A6A"/>
    <w:rsid w:val="00C320E8"/>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8766F"/>
    <w:rsid w:val="00C91150"/>
    <w:rsid w:val="00C912E0"/>
    <w:rsid w:val="00C91890"/>
    <w:rsid w:val="00C92C09"/>
    <w:rsid w:val="00C949D2"/>
    <w:rsid w:val="00C9536A"/>
    <w:rsid w:val="00C960A1"/>
    <w:rsid w:val="00C97348"/>
    <w:rsid w:val="00C97AA3"/>
    <w:rsid w:val="00CA06B9"/>
    <w:rsid w:val="00CA122D"/>
    <w:rsid w:val="00CA22AF"/>
    <w:rsid w:val="00CA284E"/>
    <w:rsid w:val="00CA58DC"/>
    <w:rsid w:val="00CA6232"/>
    <w:rsid w:val="00CA730E"/>
    <w:rsid w:val="00CA7410"/>
    <w:rsid w:val="00CA7B1F"/>
    <w:rsid w:val="00CB06E5"/>
    <w:rsid w:val="00CB0F89"/>
    <w:rsid w:val="00CB12FA"/>
    <w:rsid w:val="00CB1E6B"/>
    <w:rsid w:val="00CB4267"/>
    <w:rsid w:val="00CB5433"/>
    <w:rsid w:val="00CB5BA0"/>
    <w:rsid w:val="00CB6578"/>
    <w:rsid w:val="00CB7A93"/>
    <w:rsid w:val="00CC0079"/>
    <w:rsid w:val="00CC0321"/>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4E5"/>
    <w:rsid w:val="00CE5613"/>
    <w:rsid w:val="00CE5734"/>
    <w:rsid w:val="00CE5A6F"/>
    <w:rsid w:val="00CE604C"/>
    <w:rsid w:val="00CF043A"/>
    <w:rsid w:val="00CF2D1E"/>
    <w:rsid w:val="00CF34E9"/>
    <w:rsid w:val="00CF38A4"/>
    <w:rsid w:val="00CF403F"/>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6A4E"/>
    <w:rsid w:val="00D4751A"/>
    <w:rsid w:val="00D50003"/>
    <w:rsid w:val="00D503FF"/>
    <w:rsid w:val="00D50D39"/>
    <w:rsid w:val="00D513BA"/>
    <w:rsid w:val="00D515AE"/>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2FD8"/>
    <w:rsid w:val="00D637B7"/>
    <w:rsid w:val="00D63896"/>
    <w:rsid w:val="00D642AF"/>
    <w:rsid w:val="00D6433B"/>
    <w:rsid w:val="00D64535"/>
    <w:rsid w:val="00D67489"/>
    <w:rsid w:val="00D674A5"/>
    <w:rsid w:val="00D703A5"/>
    <w:rsid w:val="00D7078F"/>
    <w:rsid w:val="00D71123"/>
    <w:rsid w:val="00D713E2"/>
    <w:rsid w:val="00D728FD"/>
    <w:rsid w:val="00D73425"/>
    <w:rsid w:val="00D741D9"/>
    <w:rsid w:val="00D74D7F"/>
    <w:rsid w:val="00D7504F"/>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13D"/>
    <w:rsid w:val="00DC13F5"/>
    <w:rsid w:val="00DC200B"/>
    <w:rsid w:val="00DC2350"/>
    <w:rsid w:val="00DC2612"/>
    <w:rsid w:val="00DC2F31"/>
    <w:rsid w:val="00DC343F"/>
    <w:rsid w:val="00DC44D7"/>
    <w:rsid w:val="00DC4705"/>
    <w:rsid w:val="00DC49C4"/>
    <w:rsid w:val="00DC4D19"/>
    <w:rsid w:val="00DC74A1"/>
    <w:rsid w:val="00DC778A"/>
    <w:rsid w:val="00DD0653"/>
    <w:rsid w:val="00DD121A"/>
    <w:rsid w:val="00DD1DE1"/>
    <w:rsid w:val="00DD23C9"/>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3E3"/>
    <w:rsid w:val="00E34566"/>
    <w:rsid w:val="00E34FF9"/>
    <w:rsid w:val="00E36971"/>
    <w:rsid w:val="00E36DC8"/>
    <w:rsid w:val="00E3766A"/>
    <w:rsid w:val="00E37A18"/>
    <w:rsid w:val="00E37EBD"/>
    <w:rsid w:val="00E40A9D"/>
    <w:rsid w:val="00E42545"/>
    <w:rsid w:val="00E42CC0"/>
    <w:rsid w:val="00E43575"/>
    <w:rsid w:val="00E44487"/>
    <w:rsid w:val="00E44B25"/>
    <w:rsid w:val="00E46132"/>
    <w:rsid w:val="00E46388"/>
    <w:rsid w:val="00E46A82"/>
    <w:rsid w:val="00E47786"/>
    <w:rsid w:val="00E47BD0"/>
    <w:rsid w:val="00E5062B"/>
    <w:rsid w:val="00E507BA"/>
    <w:rsid w:val="00E51426"/>
    <w:rsid w:val="00E51F9A"/>
    <w:rsid w:val="00E527F1"/>
    <w:rsid w:val="00E5336D"/>
    <w:rsid w:val="00E54A6D"/>
    <w:rsid w:val="00E550BF"/>
    <w:rsid w:val="00E558EA"/>
    <w:rsid w:val="00E55AD6"/>
    <w:rsid w:val="00E56156"/>
    <w:rsid w:val="00E56F2E"/>
    <w:rsid w:val="00E57538"/>
    <w:rsid w:val="00E5793F"/>
    <w:rsid w:val="00E6036C"/>
    <w:rsid w:val="00E606C2"/>
    <w:rsid w:val="00E61D9A"/>
    <w:rsid w:val="00E6310A"/>
    <w:rsid w:val="00E632DB"/>
    <w:rsid w:val="00E63E5C"/>
    <w:rsid w:val="00E6523D"/>
    <w:rsid w:val="00E65DA1"/>
    <w:rsid w:val="00E6673F"/>
    <w:rsid w:val="00E67436"/>
    <w:rsid w:val="00E7080E"/>
    <w:rsid w:val="00E70CA0"/>
    <w:rsid w:val="00E733A7"/>
    <w:rsid w:val="00E73AD0"/>
    <w:rsid w:val="00E73CE0"/>
    <w:rsid w:val="00E744B7"/>
    <w:rsid w:val="00E7536C"/>
    <w:rsid w:val="00E75446"/>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D7"/>
    <w:rsid w:val="00E9237C"/>
    <w:rsid w:val="00E92949"/>
    <w:rsid w:val="00E92D16"/>
    <w:rsid w:val="00E92E12"/>
    <w:rsid w:val="00E93823"/>
    <w:rsid w:val="00E939F6"/>
    <w:rsid w:val="00E94014"/>
    <w:rsid w:val="00E94B86"/>
    <w:rsid w:val="00E953E2"/>
    <w:rsid w:val="00E958B0"/>
    <w:rsid w:val="00E96030"/>
    <w:rsid w:val="00E97EF8"/>
    <w:rsid w:val="00EA0747"/>
    <w:rsid w:val="00EA0879"/>
    <w:rsid w:val="00EA1792"/>
    <w:rsid w:val="00EA17A4"/>
    <w:rsid w:val="00EA235F"/>
    <w:rsid w:val="00EA2A0B"/>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1BBA"/>
    <w:rsid w:val="00EF2540"/>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B9D"/>
    <w:rsid w:val="00F13C53"/>
    <w:rsid w:val="00F14A87"/>
    <w:rsid w:val="00F14DB1"/>
    <w:rsid w:val="00F14EAF"/>
    <w:rsid w:val="00F14EEA"/>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34C"/>
    <w:rsid w:val="00F43753"/>
    <w:rsid w:val="00F4382E"/>
    <w:rsid w:val="00F441B8"/>
    <w:rsid w:val="00F456CC"/>
    <w:rsid w:val="00F45CC1"/>
    <w:rsid w:val="00F4602F"/>
    <w:rsid w:val="00F46836"/>
    <w:rsid w:val="00F46E5D"/>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60746"/>
    <w:rsid w:val="00F615A4"/>
    <w:rsid w:val="00F61718"/>
    <w:rsid w:val="00F625A3"/>
    <w:rsid w:val="00F625D6"/>
    <w:rsid w:val="00F62C18"/>
    <w:rsid w:val="00F63CB1"/>
    <w:rsid w:val="00F651EE"/>
    <w:rsid w:val="00F65919"/>
    <w:rsid w:val="00F66264"/>
    <w:rsid w:val="00F66A04"/>
    <w:rsid w:val="00F677CA"/>
    <w:rsid w:val="00F732B2"/>
    <w:rsid w:val="00F732CD"/>
    <w:rsid w:val="00F740E9"/>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9F5"/>
    <w:rsid w:val="00FB4D05"/>
    <w:rsid w:val="00FB6172"/>
    <w:rsid w:val="00FB6D81"/>
    <w:rsid w:val="00FB7384"/>
    <w:rsid w:val="00FB7D1A"/>
    <w:rsid w:val="00FC133E"/>
    <w:rsid w:val="00FC16FE"/>
    <w:rsid w:val="00FC1963"/>
    <w:rsid w:val="00FC1C71"/>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AD231B"/>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AD231B"/>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cid:image001.png@01D0FF78.A6EA0F6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FF758-4248-44E8-A11E-76753138C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6E655C6F.dotm</Template>
  <TotalTime>95</TotalTime>
  <Pages>27</Pages>
  <Words>7675</Words>
  <Characters>43751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51324</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intended beta XBRL taxonomy availability and testing/feedback period</dc:title>
  <dc:subject>Beta Taxonomy Release</dc:subject>
  <dc:creator>owen.jones@eba.europa.eu</dc:creator>
  <cp:lastModifiedBy>ojones</cp:lastModifiedBy>
  <cp:revision>7</cp:revision>
  <cp:lastPrinted>2016-01-25T18:19:00Z</cp:lastPrinted>
  <dcterms:created xsi:type="dcterms:W3CDTF">2016-02-12T15:12:00Z</dcterms:created>
  <dcterms:modified xsi:type="dcterms:W3CDTF">2016-03-02T12:37:00Z</dcterms:modified>
</cp:coreProperties>
</file>