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5EA59" w14:textId="77777777" w:rsidR="00D55737" w:rsidRPr="00A313DB" w:rsidRDefault="00D55737" w:rsidP="008D3E70">
      <w:pPr>
        <w:tabs>
          <w:tab w:val="left" w:pos="5060"/>
        </w:tabs>
        <w:ind w:left="660"/>
        <w:rPr>
          <w:rFonts w:ascii="Verdana" w:hAnsi="Verdana" w:cs="Times New Roman"/>
          <w:b/>
          <w:bCs/>
          <w:sz w:val="32"/>
          <w:szCs w:val="32"/>
        </w:rPr>
      </w:pPr>
      <w:r w:rsidRPr="00A313DB">
        <w:rPr>
          <w:rFonts w:ascii="Verdana" w:hAnsi="Verdana" w:cs="Times New Roman"/>
          <w:b/>
          <w:bCs/>
          <w:sz w:val="32"/>
          <w:szCs w:val="32"/>
        </w:rPr>
        <w:tab/>
      </w:r>
      <w:r w:rsidRPr="00A313DB">
        <w:rPr>
          <w:rFonts w:ascii="Verdana" w:hAnsi="Verdana" w:cs="Times New Roman"/>
          <w:b/>
          <w:bCs/>
          <w:sz w:val="32"/>
          <w:szCs w:val="32"/>
        </w:rPr>
        <w:tab/>
      </w:r>
      <w:r w:rsidRPr="00A313DB">
        <w:rPr>
          <w:rFonts w:ascii="Verdana" w:hAnsi="Verdana" w:cs="Times New Roman"/>
          <w:b/>
          <w:bCs/>
          <w:sz w:val="32"/>
          <w:szCs w:val="32"/>
        </w:rPr>
        <w:tab/>
      </w:r>
    </w:p>
    <w:tbl>
      <w:tblPr>
        <w:tblW w:w="9180" w:type="dxa"/>
        <w:tblLook w:val="01E0" w:firstRow="1" w:lastRow="1" w:firstColumn="1" w:lastColumn="1" w:noHBand="0" w:noVBand="0"/>
      </w:tblPr>
      <w:tblGrid>
        <w:gridCol w:w="6480"/>
        <w:gridCol w:w="2700"/>
      </w:tblGrid>
      <w:tr w:rsidR="005974BE" w:rsidRPr="00A313DB" w14:paraId="55B5EA5C" w14:textId="77777777" w:rsidTr="00F740E9">
        <w:tc>
          <w:tcPr>
            <w:tcW w:w="6480" w:type="dxa"/>
          </w:tcPr>
          <w:p w14:paraId="55B5EA5A" w14:textId="77777777" w:rsidR="005974BE" w:rsidRPr="00A313DB" w:rsidRDefault="005974BE" w:rsidP="005974BE">
            <w:pPr>
              <w:spacing w:before="120" w:after="120"/>
              <w:ind w:right="34"/>
              <w:rPr>
                <w:rFonts w:ascii="Verdana" w:hAnsi="Verdana"/>
              </w:rPr>
            </w:pPr>
          </w:p>
        </w:tc>
        <w:tc>
          <w:tcPr>
            <w:tcW w:w="2700" w:type="dxa"/>
          </w:tcPr>
          <w:p w14:paraId="55B5EA5B" w14:textId="77777777" w:rsidR="005974BE" w:rsidRPr="00A313DB" w:rsidRDefault="005974BE" w:rsidP="00AE345F">
            <w:pPr>
              <w:spacing w:before="120" w:after="120"/>
              <w:jc w:val="right"/>
              <w:rPr>
                <w:rFonts w:ascii="Verdana" w:hAnsi="Verdana"/>
              </w:rPr>
            </w:pPr>
          </w:p>
        </w:tc>
      </w:tr>
      <w:tr w:rsidR="005974BE" w:rsidRPr="00A313DB" w14:paraId="55B5EA64" w14:textId="77777777" w:rsidTr="00F740E9">
        <w:tc>
          <w:tcPr>
            <w:tcW w:w="6480" w:type="dxa"/>
          </w:tcPr>
          <w:p w14:paraId="55B5EA5D" w14:textId="77777777" w:rsidR="004C7965" w:rsidRDefault="000D7C40" w:rsidP="00762BA5">
            <w:pPr>
              <w:jc w:val="both"/>
              <w:rPr>
                <w:rFonts w:ascii="Verdana" w:hAnsi="Verdana"/>
                <w:b/>
                <w:i/>
                <w:color w:val="7F7F7F" w:themeColor="text1" w:themeTint="80"/>
                <w:sz w:val="24"/>
              </w:rPr>
            </w:pPr>
            <w:bookmarkStart w:id="0" w:name="OLE_LINK1"/>
            <w:bookmarkStart w:id="1" w:name="OLE_LINK2"/>
            <w:r>
              <w:rPr>
                <w:rFonts w:ascii="Verdana" w:hAnsi="Verdana"/>
                <w:b/>
                <w:i/>
                <w:color w:val="7F7F7F" w:themeColor="text1" w:themeTint="80"/>
                <w:sz w:val="24"/>
              </w:rPr>
              <w:t xml:space="preserve">DPM / </w:t>
            </w:r>
            <w:r w:rsidR="004B7DAC">
              <w:rPr>
                <w:rFonts w:ascii="Verdana" w:hAnsi="Verdana"/>
                <w:b/>
                <w:i/>
                <w:color w:val="7F7F7F" w:themeColor="text1" w:themeTint="80"/>
                <w:sz w:val="24"/>
              </w:rPr>
              <w:t>XBRL</w:t>
            </w:r>
            <w:r w:rsidR="002E5450">
              <w:rPr>
                <w:rFonts w:ascii="Verdana" w:hAnsi="Verdana"/>
                <w:b/>
                <w:i/>
                <w:color w:val="7F7F7F" w:themeColor="text1" w:themeTint="80"/>
                <w:sz w:val="24"/>
              </w:rPr>
              <w:t xml:space="preserve"> Taxonomy</w:t>
            </w:r>
          </w:p>
          <w:p w14:paraId="55B5EA5E" w14:textId="77777777" w:rsidR="00762BA5" w:rsidRPr="00F740E9" w:rsidRDefault="004C7965" w:rsidP="00762BA5">
            <w:pPr>
              <w:jc w:val="both"/>
              <w:rPr>
                <w:rFonts w:ascii="Verdana" w:hAnsi="Verdana"/>
                <w:b/>
                <w:i/>
                <w:color w:val="7F7F7F" w:themeColor="text1" w:themeTint="80"/>
                <w:sz w:val="24"/>
              </w:rPr>
            </w:pPr>
            <w:r>
              <w:rPr>
                <w:rFonts w:ascii="Verdana" w:hAnsi="Verdana"/>
                <w:b/>
                <w:i/>
                <w:color w:val="7F7F7F" w:themeColor="text1" w:themeTint="80"/>
                <w:sz w:val="24"/>
              </w:rPr>
              <w:t>R</w:t>
            </w:r>
            <w:r w:rsidR="004B7DAC">
              <w:rPr>
                <w:rFonts w:ascii="Verdana" w:hAnsi="Verdana"/>
                <w:b/>
                <w:i/>
                <w:color w:val="7F7F7F" w:themeColor="text1" w:themeTint="80"/>
                <w:sz w:val="24"/>
              </w:rPr>
              <w:t>evision</w:t>
            </w:r>
            <w:r w:rsidR="00EF1BBA">
              <w:rPr>
                <w:rFonts w:ascii="Verdana" w:hAnsi="Verdana"/>
                <w:b/>
                <w:i/>
                <w:color w:val="7F7F7F" w:themeColor="text1" w:themeTint="80"/>
                <w:sz w:val="24"/>
              </w:rPr>
              <w:t xml:space="preserve"> note</w:t>
            </w:r>
            <w:r w:rsidR="004B7DAC">
              <w:rPr>
                <w:rFonts w:ascii="Verdana" w:hAnsi="Verdana"/>
                <w:b/>
                <w:i/>
                <w:color w:val="7F7F7F" w:themeColor="text1" w:themeTint="80"/>
                <w:sz w:val="24"/>
              </w:rPr>
              <w:t>s</w:t>
            </w:r>
            <w:r w:rsidR="00837850" w:rsidRPr="00837850">
              <w:rPr>
                <w:rFonts w:ascii="Verdana" w:hAnsi="Verdana"/>
                <w:b/>
                <w:i/>
                <w:color w:val="7F7F7F" w:themeColor="text1" w:themeTint="80"/>
                <w:sz w:val="24"/>
              </w:rPr>
              <w:t xml:space="preserve"> </w:t>
            </w:r>
          </w:p>
          <w:bookmarkEnd w:id="0"/>
          <w:bookmarkEnd w:id="1"/>
          <w:p w14:paraId="55B5EA5F" w14:textId="77777777" w:rsidR="00F776BD" w:rsidRPr="00F740E9" w:rsidRDefault="00F776BD" w:rsidP="00762BA5">
            <w:pPr>
              <w:jc w:val="both"/>
              <w:rPr>
                <w:rFonts w:ascii="Verdana" w:hAnsi="Verdana"/>
                <w:b/>
                <w:sz w:val="24"/>
              </w:rPr>
            </w:pPr>
          </w:p>
          <w:p w14:paraId="55B5EA60" w14:textId="77777777" w:rsidR="005974BE" w:rsidRPr="00F776BD" w:rsidRDefault="005974BE" w:rsidP="00837850">
            <w:pPr>
              <w:rPr>
                <w:rFonts w:ascii="Verdana" w:hAnsi="Verdana"/>
                <w:b/>
                <w:spacing w:val="24"/>
              </w:rPr>
            </w:pPr>
          </w:p>
        </w:tc>
        <w:tc>
          <w:tcPr>
            <w:tcW w:w="2700" w:type="dxa"/>
          </w:tcPr>
          <w:p w14:paraId="55B5EA61" w14:textId="77777777" w:rsidR="00762BA5" w:rsidRDefault="00762BA5" w:rsidP="00762BA5">
            <w:pPr>
              <w:jc w:val="right"/>
              <w:rPr>
                <w:rFonts w:ascii="Verdana" w:hAnsi="Verdana"/>
              </w:rPr>
            </w:pPr>
          </w:p>
          <w:p w14:paraId="55B5EA62" w14:textId="77777777" w:rsidR="00F776BD" w:rsidRDefault="00F776BD" w:rsidP="00762BA5">
            <w:pPr>
              <w:jc w:val="right"/>
              <w:rPr>
                <w:rFonts w:ascii="Verdana" w:hAnsi="Verdana"/>
              </w:rPr>
            </w:pPr>
          </w:p>
          <w:p w14:paraId="55B5EA63" w14:textId="40C9848E" w:rsidR="005974BE" w:rsidRPr="00A313DB" w:rsidRDefault="002326DA" w:rsidP="003071E0">
            <w:pPr>
              <w:spacing w:before="120"/>
              <w:jc w:val="right"/>
              <w:rPr>
                <w:rFonts w:ascii="Verdana" w:hAnsi="Verdana"/>
              </w:rPr>
            </w:pPr>
            <w:r>
              <w:rPr>
                <w:rFonts w:ascii="Verdana" w:hAnsi="Verdana"/>
              </w:rPr>
              <w:t>16</w:t>
            </w:r>
            <w:r w:rsidR="003071E0">
              <w:rPr>
                <w:rFonts w:ascii="Verdana" w:hAnsi="Verdana"/>
              </w:rPr>
              <w:t xml:space="preserve"> November</w:t>
            </w:r>
            <w:r w:rsidR="00D65089">
              <w:rPr>
                <w:rFonts w:ascii="Verdana" w:hAnsi="Verdana"/>
              </w:rPr>
              <w:t xml:space="preserve"> </w:t>
            </w:r>
            <w:r w:rsidR="00E47786">
              <w:rPr>
                <w:rFonts w:ascii="Verdana" w:hAnsi="Verdana"/>
              </w:rPr>
              <w:t>201</w:t>
            </w:r>
            <w:r w:rsidR="00AC367C">
              <w:rPr>
                <w:rFonts w:ascii="Verdana" w:hAnsi="Verdana"/>
              </w:rPr>
              <w:t>6</w:t>
            </w:r>
          </w:p>
        </w:tc>
      </w:tr>
    </w:tbl>
    <w:p w14:paraId="55B5EA65" w14:textId="77777777" w:rsidR="00DC113D" w:rsidRDefault="00DC113D" w:rsidP="00B000E3">
      <w:pPr>
        <w:pStyle w:val="Heading1"/>
      </w:pPr>
    </w:p>
    <w:p w14:paraId="2AD15DE5" w14:textId="5011DFAD" w:rsidR="00EC0C5D" w:rsidRDefault="00EC0C5D" w:rsidP="009D1FF0">
      <w:pPr>
        <w:pStyle w:val="Titlelevel1"/>
        <w:rPr>
          <w:i/>
        </w:rPr>
      </w:pPr>
      <w:bookmarkStart w:id="2" w:name="_GoBack"/>
      <w:bookmarkEnd w:id="2"/>
      <w:r>
        <w:rPr>
          <w:i/>
        </w:rPr>
        <w:t xml:space="preserve">v2.6 </w:t>
      </w:r>
      <w:r w:rsidR="002326DA">
        <w:rPr>
          <w:i/>
        </w:rPr>
        <w:t>(“2016-B”)</w:t>
      </w:r>
    </w:p>
    <w:p w14:paraId="3A57D036" w14:textId="77777777" w:rsidR="003071E0" w:rsidRDefault="003071E0" w:rsidP="003071E0">
      <w:pPr>
        <w:pStyle w:val="Titlelevel2"/>
      </w:pPr>
      <w:r>
        <w:t>Summary and Impact</w:t>
      </w:r>
    </w:p>
    <w:p w14:paraId="12C09840" w14:textId="275B2C38" w:rsidR="003C56B4" w:rsidRDefault="003071E0" w:rsidP="003071E0">
      <w:r>
        <w:t xml:space="preserve">This release </w:t>
      </w:r>
      <w:r w:rsidR="003C56B4">
        <w:t xml:space="preserve">contains </w:t>
      </w:r>
      <w:r w:rsidR="002326DA">
        <w:t xml:space="preserve">an </w:t>
      </w:r>
      <w:r w:rsidR="003C56B4" w:rsidRPr="00E93316">
        <w:rPr>
          <w:b/>
        </w:rPr>
        <w:t>update</w:t>
      </w:r>
      <w:r w:rsidR="00E93316" w:rsidRPr="00E93316">
        <w:rPr>
          <w:b/>
        </w:rPr>
        <w:t xml:space="preserve"> </w:t>
      </w:r>
      <w:r w:rsidR="003C56B4" w:rsidRPr="00E93316">
        <w:rPr>
          <w:b/>
        </w:rPr>
        <w:t>to the reporting framework</w:t>
      </w:r>
      <w:r w:rsidR="003C56B4" w:rsidRPr="00DD342D">
        <w:rPr>
          <w:b/>
        </w:rPr>
        <w:t xml:space="preserve"> </w:t>
      </w:r>
      <w:r w:rsidR="00E93316" w:rsidRPr="00DD342D">
        <w:rPr>
          <w:b/>
        </w:rPr>
        <w:t xml:space="preserve">(2.6) </w:t>
      </w:r>
      <w:r w:rsidR="003C56B4" w:rsidRPr="00DD342D">
        <w:rPr>
          <w:b/>
        </w:rPr>
        <w:t>expected to be used for reporting for reference dates from June 2017</w:t>
      </w:r>
      <w:r w:rsidR="003C56B4">
        <w:t xml:space="preserve">. This update consists primarily of minor structural changes to Supervisor Benchmarking reporting tables, and enhancements to validation rules and </w:t>
      </w:r>
      <w:proofErr w:type="gramStart"/>
      <w:r w:rsidR="003C56B4">
        <w:t>a</w:t>
      </w:r>
      <w:proofErr w:type="gramEnd"/>
      <w:r w:rsidR="003C56B4">
        <w:t xml:space="preserve"> update of various XBRL technical features and the use of XBRL standards across all frameworks.</w:t>
      </w:r>
    </w:p>
    <w:p w14:paraId="61473412" w14:textId="77777777" w:rsidR="003071E0" w:rsidRDefault="003071E0" w:rsidP="003071E0"/>
    <w:p w14:paraId="03A5801E" w14:textId="0915E0BB" w:rsidR="003071E0" w:rsidRPr="008350C5" w:rsidRDefault="003071E0" w:rsidP="002326DA">
      <w:pPr>
        <w:ind w:left="720"/>
        <w:rPr>
          <w:i/>
        </w:rPr>
      </w:pPr>
      <w:r w:rsidRPr="008350C5">
        <w:rPr>
          <w:i/>
        </w:rPr>
        <w:t xml:space="preserve">Implementation effort for participants is not expected to be </w:t>
      </w:r>
      <w:r>
        <w:rPr>
          <w:i/>
        </w:rPr>
        <w:t>large for 2.6</w:t>
      </w:r>
      <w:r w:rsidRPr="008350C5">
        <w:rPr>
          <w:i/>
        </w:rPr>
        <w:t>.</w:t>
      </w:r>
      <w:r>
        <w:rPr>
          <w:i/>
        </w:rPr>
        <w:t xml:space="preserve"> </w:t>
      </w:r>
    </w:p>
    <w:p w14:paraId="039641A6" w14:textId="3A97D820" w:rsidR="00E61D1A" w:rsidRDefault="009F1652" w:rsidP="009F1652">
      <w:pPr>
        <w:pStyle w:val="Titlelevel2"/>
        <w:keepNext/>
      </w:pPr>
      <w:r>
        <w:t>Contents</w:t>
      </w:r>
    </w:p>
    <w:p w14:paraId="5282027D" w14:textId="5DE12F79" w:rsidR="00E61D1A" w:rsidRDefault="00E61D1A" w:rsidP="00E61D1A">
      <w:pPr>
        <w:pStyle w:val="body"/>
        <w:numPr>
          <w:ilvl w:val="0"/>
          <w:numId w:val="32"/>
        </w:numPr>
      </w:pPr>
      <w:r>
        <w:t>Updates to content of SBP taxonomy to be used for the 2018 data collection exercise</w:t>
      </w:r>
      <w:r w:rsidR="009F1652">
        <w:t>. Primarily consists of changes to the row key arrangements and removal of sheets for tables C 101-103, and changes to data modelling of other tables</w:t>
      </w:r>
      <w:r>
        <w:t xml:space="preserve">. </w:t>
      </w:r>
      <w:r w:rsidRPr="00E93316">
        <w:rPr>
          <w:b/>
        </w:rPr>
        <w:t xml:space="preserve">All other 2.6 Reporting taxonomies (COREP, FINREP, AE, </w:t>
      </w:r>
      <w:proofErr w:type="gramStart"/>
      <w:r w:rsidRPr="00E93316">
        <w:rPr>
          <w:b/>
        </w:rPr>
        <w:t>FP</w:t>
      </w:r>
      <w:proofErr w:type="gramEnd"/>
      <w:r w:rsidRPr="00E93316">
        <w:rPr>
          <w:b/>
        </w:rPr>
        <w:t xml:space="preserve">) have no </w:t>
      </w:r>
      <w:r w:rsidR="00E93316">
        <w:rPr>
          <w:b/>
        </w:rPr>
        <w:t xml:space="preserve">structural </w:t>
      </w:r>
      <w:r w:rsidRPr="00E93316">
        <w:rPr>
          <w:b/>
        </w:rPr>
        <w:t>changes to their tables.</w:t>
      </w:r>
      <w:r w:rsidR="00E93316">
        <w:rPr>
          <w:b/>
        </w:rPr>
        <w:t xml:space="preserve"> </w:t>
      </w:r>
      <w:proofErr w:type="gramStart"/>
      <w:r w:rsidR="00E93316">
        <w:t>i.e</w:t>
      </w:r>
      <w:proofErr w:type="gramEnd"/>
      <w:r w:rsidR="00E93316">
        <w:t>. no changes to instance production or data extraction processes should be needed.</w:t>
      </w:r>
    </w:p>
    <w:p w14:paraId="36A7F85C" w14:textId="6E4B1AB0" w:rsidR="00E61D1A" w:rsidRDefault="00E61D1A" w:rsidP="00E61D1A">
      <w:pPr>
        <w:pStyle w:val="body"/>
        <w:numPr>
          <w:ilvl w:val="0"/>
          <w:numId w:val="32"/>
        </w:numPr>
      </w:pPr>
      <w:r>
        <w:t xml:space="preserve">Updated validation rules for all </w:t>
      </w:r>
      <w:r w:rsidR="009F1652">
        <w:t xml:space="preserve">2.6 </w:t>
      </w:r>
      <w:r>
        <w:t>frameworks.</w:t>
      </w:r>
    </w:p>
    <w:p w14:paraId="22E72E45" w14:textId="3C521774" w:rsidR="00E93316" w:rsidRDefault="00E93316" w:rsidP="00764ECE">
      <w:pPr>
        <w:pStyle w:val="body"/>
        <w:numPr>
          <w:ilvl w:val="1"/>
          <w:numId w:val="32"/>
        </w:numPr>
      </w:pPr>
      <w:r>
        <w:t>470 changed rules (including 240 additions, 26 deletions, 163 changes)</w:t>
      </w:r>
    </w:p>
    <w:p w14:paraId="2260A3E8" w14:textId="06032FDA" w:rsidR="00764ECE" w:rsidRDefault="00764ECE" w:rsidP="00764ECE">
      <w:pPr>
        <w:pStyle w:val="body"/>
        <w:numPr>
          <w:ilvl w:val="1"/>
          <w:numId w:val="32"/>
        </w:numPr>
      </w:pPr>
      <w:r>
        <w:t xml:space="preserve">Added some more “human readable” error messages to a few validation </w:t>
      </w:r>
      <w:r w:rsidR="009F1652">
        <w:t>rules</w:t>
      </w:r>
    </w:p>
    <w:p w14:paraId="0938E902" w14:textId="17D40860" w:rsidR="009F1652" w:rsidRDefault="009F1652" w:rsidP="009F1652">
      <w:pPr>
        <w:pStyle w:val="body"/>
        <w:numPr>
          <w:ilvl w:val="1"/>
          <w:numId w:val="32"/>
        </w:numPr>
      </w:pPr>
      <w:r>
        <w:t>Inclusion of “warning” validation rules, and use of assertion severity specification to indicate these in XBRL.</w:t>
      </w:r>
      <w:r w:rsidR="00E93316">
        <w:t xml:space="preserve"> </w:t>
      </w:r>
      <w:r>
        <w:t>Note only three examples currently: v4920-22 in SBP. Mostly just to demonstrate the mechanism. Expect inclusion of further warning rules in future versions</w:t>
      </w:r>
    </w:p>
    <w:p w14:paraId="7715C082" w14:textId="765BBFDA" w:rsidR="009F1652" w:rsidRDefault="009F1652" w:rsidP="002326DA">
      <w:pPr>
        <w:pStyle w:val="body"/>
        <w:numPr>
          <w:ilvl w:val="0"/>
          <w:numId w:val="32"/>
        </w:numPr>
      </w:pPr>
      <w:bookmarkStart w:id="3" w:name="OLE_LINK17"/>
      <w:bookmarkStart w:id="4" w:name="OLE_LINK18"/>
      <w:r>
        <w:t xml:space="preserve">Update to the 1.0 </w:t>
      </w:r>
      <w:r w:rsidR="00056A93">
        <w:t xml:space="preserve">Table </w:t>
      </w:r>
      <w:proofErr w:type="spellStart"/>
      <w:r w:rsidR="00056A93">
        <w:t>L</w:t>
      </w:r>
      <w:r w:rsidR="00E61D1A">
        <w:t>inkbase</w:t>
      </w:r>
      <w:proofErr w:type="spellEnd"/>
      <w:r w:rsidR="00E61D1A">
        <w:t xml:space="preserve"> </w:t>
      </w:r>
      <w:r>
        <w:t xml:space="preserve">XBRL </w:t>
      </w:r>
      <w:r w:rsidR="00E61D1A">
        <w:t>spec</w:t>
      </w:r>
      <w:r>
        <w:t>ification</w:t>
      </w:r>
      <w:r w:rsidR="001E5C84">
        <w:t xml:space="preserve"> </w:t>
      </w:r>
      <w:r w:rsidR="0061233C">
        <w:t xml:space="preserve">and </w:t>
      </w:r>
      <w:r w:rsidR="00056A93">
        <w:t>use of the Extensible Enumerations specification</w:t>
      </w:r>
      <w:r w:rsidR="00E61D1A">
        <w:t>.</w:t>
      </w:r>
      <w:bookmarkEnd w:id="3"/>
      <w:bookmarkEnd w:id="4"/>
    </w:p>
    <w:p w14:paraId="1DC36855" w14:textId="74916833" w:rsidR="00A70EAC" w:rsidRDefault="00A70EAC" w:rsidP="00052E3F">
      <w:pPr>
        <w:pStyle w:val="Titlelevel2"/>
      </w:pPr>
      <w:bookmarkStart w:id="5" w:name="OLE_LINK10"/>
      <w:bookmarkStart w:id="6" w:name="OLE_LINK11"/>
      <w:r>
        <w:lastRenderedPageBreak/>
        <w:t>General Design</w:t>
      </w:r>
    </w:p>
    <w:bookmarkEnd w:id="5"/>
    <w:bookmarkEnd w:id="6"/>
    <w:p w14:paraId="52E37B4F" w14:textId="77777777" w:rsidR="00E61D1A" w:rsidRDefault="00052E3F" w:rsidP="00EC0C5D">
      <w:pPr>
        <w:pStyle w:val="body"/>
      </w:pPr>
      <w:r w:rsidRPr="00E61D1A">
        <w:rPr>
          <w:b/>
          <w:color w:val="2F5773" w:themeColor="text2"/>
          <w:sz w:val="24"/>
        </w:rPr>
        <w:t>Assertion severity</w:t>
      </w:r>
    </w:p>
    <w:p w14:paraId="6C863AFA" w14:textId="586E936F" w:rsidR="00A70EAC" w:rsidRDefault="00E61D1A" w:rsidP="00EC0C5D">
      <w:pPr>
        <w:pStyle w:val="body"/>
      </w:pPr>
      <w:r>
        <w:t>I</w:t>
      </w:r>
      <w:r w:rsidR="00052E3F">
        <w:t>nclusion of validation rules that are warnings, i.e. do not definitely indicate that the relevant data is invalid or incorrect, but which</w:t>
      </w:r>
      <w:r w:rsidR="00052E3F" w:rsidRPr="00052E3F">
        <w:t xml:space="preserve"> may indicate potential errors</w:t>
      </w:r>
      <w:r w:rsidR="00052E3F">
        <w:t xml:space="preserve"> </w:t>
      </w:r>
      <w:r w:rsidR="00052E3F" w:rsidRPr="00052E3F">
        <w:t>to filers</w:t>
      </w:r>
      <w:r w:rsidR="00052E3F">
        <w:t xml:space="preserve">. </w:t>
      </w:r>
    </w:p>
    <w:p w14:paraId="251AE4D1" w14:textId="26D327E0" w:rsidR="00E61D1A" w:rsidRDefault="00E61D1A" w:rsidP="00EC0C5D">
      <w:pPr>
        <w:pStyle w:val="body"/>
      </w:pPr>
      <w:r>
        <w:t>These are indicated by</w:t>
      </w:r>
      <w:r w:rsidR="00460093">
        <w:t xml:space="preserve"> (having a severity of “warning” in the Excel spreadsheet and DPM database and) use of the XBRL assertion specification. The relevant rules are assigned</w:t>
      </w:r>
      <w:r w:rsidR="00764ECE">
        <w:t xml:space="preserve"> the assertion </w:t>
      </w:r>
      <w:proofErr w:type="gramStart"/>
      <w:r w:rsidR="00764ECE">
        <w:t xml:space="preserve">severity  </w:t>
      </w:r>
      <w:bookmarkStart w:id="7" w:name="OLE_LINK14"/>
      <w:bookmarkStart w:id="8" w:name="OLE_LINK15"/>
      <w:r w:rsidR="00764ECE" w:rsidRPr="00764ECE">
        <w:rPr>
          <w:rFonts w:ascii="Courier New" w:hAnsi="Courier New" w:cs="Courier New"/>
          <w:sz w:val="20"/>
        </w:rPr>
        <w:t>&lt;</w:t>
      </w:r>
      <w:proofErr w:type="spellStart"/>
      <w:proofErr w:type="gramEnd"/>
      <w:r w:rsidR="00764ECE" w:rsidRPr="00764ECE">
        <w:rPr>
          <w:rFonts w:ascii="Courier New" w:hAnsi="Courier New" w:cs="Courier New"/>
          <w:sz w:val="20"/>
        </w:rPr>
        <w:t>sev:warning</w:t>
      </w:r>
      <w:proofErr w:type="spellEnd"/>
      <w:r w:rsidR="00764ECE" w:rsidRPr="00764ECE">
        <w:rPr>
          <w:rFonts w:ascii="Courier New" w:hAnsi="Courier New" w:cs="Courier New"/>
          <w:sz w:val="20"/>
        </w:rPr>
        <w:t>&gt;.</w:t>
      </w:r>
      <w:bookmarkEnd w:id="7"/>
      <w:bookmarkEnd w:id="8"/>
    </w:p>
    <w:p w14:paraId="103EF7EF" w14:textId="6F156145" w:rsidR="00687BC1" w:rsidRDefault="00687BC1" w:rsidP="00EC0C5D">
      <w:pPr>
        <w:pStyle w:val="body"/>
      </w:pPr>
      <w:r>
        <w:t xml:space="preserve">N.B. </w:t>
      </w:r>
      <w:r w:rsidR="009F1652">
        <w:t xml:space="preserve">that </w:t>
      </w:r>
      <w:r w:rsidR="00460093">
        <w:t xml:space="preserve">EBA uses </w:t>
      </w:r>
      <w:r w:rsidR="009F1652">
        <w:t xml:space="preserve">the phrase </w:t>
      </w:r>
      <w:r w:rsidR="00460093">
        <w:t>“non-blocking” to refer to validation errors which although indicating the data must be incorrect or inconsistent and so must be corrected, will not necessarily result in a</w:t>
      </w:r>
      <w:r w:rsidR="009F1652">
        <w:t>n</w:t>
      </w:r>
      <w:r w:rsidR="00460093">
        <w:t xml:space="preserve"> </w:t>
      </w:r>
      <w:r w:rsidR="009F1652">
        <w:t>initial outright</w:t>
      </w:r>
      <w:r w:rsidR="00460093">
        <w:t xml:space="preserve"> rejection by the EBA. </w:t>
      </w:r>
    </w:p>
    <w:p w14:paraId="10632FB0" w14:textId="77777777" w:rsidR="0061233C" w:rsidRDefault="0061233C" w:rsidP="00EC0C5D">
      <w:pPr>
        <w:pStyle w:val="body"/>
      </w:pPr>
    </w:p>
    <w:tbl>
      <w:tblPr>
        <w:tblStyle w:val="EBAtable"/>
        <w:tblW w:w="0" w:type="auto"/>
        <w:tblLook w:val="04A0" w:firstRow="1" w:lastRow="0" w:firstColumn="1" w:lastColumn="0" w:noHBand="0" w:noVBand="1"/>
      </w:tblPr>
      <w:tblGrid>
        <w:gridCol w:w="1280"/>
        <w:gridCol w:w="1213"/>
        <w:gridCol w:w="1159"/>
        <w:gridCol w:w="2126"/>
        <w:gridCol w:w="3513"/>
      </w:tblGrid>
      <w:tr w:rsidR="00687BC1" w:rsidRPr="00687BC1" w14:paraId="62A4DA54" w14:textId="77777777" w:rsidTr="0061233C">
        <w:trPr>
          <w:cnfStyle w:val="100000000000" w:firstRow="1" w:lastRow="0" w:firstColumn="0" w:lastColumn="0" w:oddVBand="0" w:evenVBand="0" w:oddHBand="0" w:evenHBand="0" w:firstRowFirstColumn="0" w:firstRowLastColumn="0" w:lastRowFirstColumn="0" w:lastRowLastColumn="0"/>
          <w:cantSplit/>
        </w:trPr>
        <w:tc>
          <w:tcPr>
            <w:tcW w:w="1280" w:type="dxa"/>
          </w:tcPr>
          <w:p w14:paraId="4F8FEAE4" w14:textId="591D7B1E" w:rsidR="00687BC1" w:rsidRPr="00687BC1" w:rsidRDefault="00687BC1" w:rsidP="00EC0C5D">
            <w:pPr>
              <w:pStyle w:val="body"/>
              <w:rPr>
                <w:sz w:val="18"/>
              </w:rPr>
            </w:pPr>
            <w:r w:rsidRPr="00687BC1">
              <w:rPr>
                <w:sz w:val="18"/>
              </w:rPr>
              <w:t>EBA</w:t>
            </w:r>
          </w:p>
        </w:tc>
        <w:tc>
          <w:tcPr>
            <w:tcW w:w="1213" w:type="dxa"/>
          </w:tcPr>
          <w:p w14:paraId="5F330338" w14:textId="22417E18" w:rsidR="00687BC1" w:rsidRPr="009F1652" w:rsidRDefault="00687BC1" w:rsidP="00EC0C5D">
            <w:pPr>
              <w:pStyle w:val="body"/>
              <w:rPr>
                <w:i/>
                <w:sz w:val="18"/>
              </w:rPr>
            </w:pPr>
            <w:r w:rsidRPr="009F1652">
              <w:rPr>
                <w:i/>
                <w:sz w:val="18"/>
              </w:rPr>
              <w:t>EIOPA</w:t>
            </w:r>
            <w:r w:rsidR="009F1652">
              <w:rPr>
                <w:rStyle w:val="FootnoteReference"/>
                <w:i/>
              </w:rPr>
              <w:footnoteReference w:id="1"/>
            </w:r>
          </w:p>
        </w:tc>
        <w:tc>
          <w:tcPr>
            <w:tcW w:w="1159" w:type="dxa"/>
          </w:tcPr>
          <w:p w14:paraId="430F65BE" w14:textId="3C7E690D" w:rsidR="00687BC1" w:rsidRPr="00687BC1" w:rsidRDefault="00687BC1" w:rsidP="00EC0C5D">
            <w:pPr>
              <w:pStyle w:val="body"/>
              <w:rPr>
                <w:sz w:val="18"/>
              </w:rPr>
            </w:pPr>
            <w:r w:rsidRPr="00687BC1">
              <w:rPr>
                <w:sz w:val="18"/>
              </w:rPr>
              <w:t>XBRL Assertion severity</w:t>
            </w:r>
          </w:p>
        </w:tc>
        <w:tc>
          <w:tcPr>
            <w:tcW w:w="2126" w:type="dxa"/>
          </w:tcPr>
          <w:p w14:paraId="182AA6C9" w14:textId="71741A15" w:rsidR="00687BC1" w:rsidRPr="00687BC1" w:rsidRDefault="00E36339" w:rsidP="00E36339">
            <w:pPr>
              <w:pStyle w:val="body"/>
              <w:rPr>
                <w:sz w:val="18"/>
              </w:rPr>
            </w:pPr>
            <w:r>
              <w:rPr>
                <w:sz w:val="18"/>
              </w:rPr>
              <w:t>Data b</w:t>
            </w:r>
            <w:r w:rsidR="00687BC1">
              <w:rPr>
                <w:sz w:val="18"/>
              </w:rPr>
              <w:t>reach</w:t>
            </w:r>
            <w:r>
              <w:rPr>
                <w:sz w:val="18"/>
              </w:rPr>
              <w:t>ing</w:t>
            </w:r>
            <w:r w:rsidR="00687BC1">
              <w:rPr>
                <w:sz w:val="18"/>
              </w:rPr>
              <w:t xml:space="preserve"> rule is</w:t>
            </w:r>
          </w:p>
        </w:tc>
        <w:tc>
          <w:tcPr>
            <w:tcW w:w="3513" w:type="dxa"/>
          </w:tcPr>
          <w:p w14:paraId="40BF012A" w14:textId="564EB269" w:rsidR="00687BC1" w:rsidRPr="00687BC1" w:rsidRDefault="00687BC1" w:rsidP="00687BC1">
            <w:pPr>
              <w:pStyle w:val="body"/>
              <w:rPr>
                <w:sz w:val="18"/>
              </w:rPr>
            </w:pPr>
            <w:r w:rsidRPr="00687BC1">
              <w:rPr>
                <w:sz w:val="18"/>
              </w:rPr>
              <w:t xml:space="preserve">Typical </w:t>
            </w:r>
            <w:r w:rsidR="00056A93">
              <w:rPr>
                <w:sz w:val="18"/>
              </w:rPr>
              <w:t xml:space="preserve">(EBA) </w:t>
            </w:r>
            <w:r w:rsidRPr="00687BC1">
              <w:rPr>
                <w:sz w:val="18"/>
              </w:rPr>
              <w:t>collection system behaviour</w:t>
            </w:r>
          </w:p>
        </w:tc>
      </w:tr>
      <w:tr w:rsidR="00687BC1" w:rsidRPr="00687BC1" w14:paraId="47999C99" w14:textId="77777777" w:rsidTr="00687BC1">
        <w:tc>
          <w:tcPr>
            <w:tcW w:w="1280" w:type="dxa"/>
          </w:tcPr>
          <w:p w14:paraId="6958AFB1" w14:textId="5A978F0B" w:rsidR="00687BC1" w:rsidRPr="00687BC1" w:rsidRDefault="00687BC1" w:rsidP="00EC0C5D">
            <w:pPr>
              <w:pStyle w:val="body"/>
              <w:rPr>
                <w:sz w:val="18"/>
              </w:rPr>
            </w:pPr>
            <w:r w:rsidRPr="00687BC1">
              <w:rPr>
                <w:sz w:val="18"/>
              </w:rPr>
              <w:t>Blocking</w:t>
            </w:r>
          </w:p>
        </w:tc>
        <w:tc>
          <w:tcPr>
            <w:tcW w:w="1213" w:type="dxa"/>
          </w:tcPr>
          <w:p w14:paraId="0A58F7B7" w14:textId="2816CD77" w:rsidR="00687BC1" w:rsidRPr="009F1652" w:rsidRDefault="00687BC1" w:rsidP="00EC0C5D">
            <w:pPr>
              <w:pStyle w:val="body"/>
              <w:rPr>
                <w:i/>
                <w:sz w:val="18"/>
              </w:rPr>
            </w:pPr>
            <w:r w:rsidRPr="009F1652">
              <w:rPr>
                <w:i/>
                <w:sz w:val="18"/>
              </w:rPr>
              <w:t>Blocking</w:t>
            </w:r>
          </w:p>
        </w:tc>
        <w:tc>
          <w:tcPr>
            <w:tcW w:w="1159" w:type="dxa"/>
          </w:tcPr>
          <w:p w14:paraId="1223D5DD" w14:textId="70A3C9F4" w:rsidR="00687BC1" w:rsidRPr="00687BC1" w:rsidRDefault="00687BC1" w:rsidP="00EC0C5D">
            <w:pPr>
              <w:pStyle w:val="body"/>
              <w:rPr>
                <w:sz w:val="18"/>
              </w:rPr>
            </w:pPr>
            <w:r w:rsidRPr="00687BC1">
              <w:rPr>
                <w:sz w:val="18"/>
              </w:rPr>
              <w:t>Error</w:t>
            </w:r>
          </w:p>
        </w:tc>
        <w:tc>
          <w:tcPr>
            <w:tcW w:w="2126" w:type="dxa"/>
          </w:tcPr>
          <w:p w14:paraId="241B42DD" w14:textId="43F43881" w:rsidR="00687BC1" w:rsidRPr="00687BC1" w:rsidRDefault="00687BC1" w:rsidP="00EC0C5D">
            <w:pPr>
              <w:pStyle w:val="body"/>
              <w:rPr>
                <w:sz w:val="18"/>
              </w:rPr>
            </w:pPr>
            <w:r>
              <w:rPr>
                <w:sz w:val="18"/>
              </w:rPr>
              <w:t>Invalid/Incoherent</w:t>
            </w:r>
          </w:p>
        </w:tc>
        <w:tc>
          <w:tcPr>
            <w:tcW w:w="3513" w:type="dxa"/>
          </w:tcPr>
          <w:p w14:paraId="03D04379" w14:textId="58F4F56C" w:rsidR="00687BC1" w:rsidRPr="00687BC1" w:rsidRDefault="00687BC1" w:rsidP="00EC0C5D">
            <w:pPr>
              <w:pStyle w:val="body"/>
              <w:rPr>
                <w:sz w:val="18"/>
              </w:rPr>
            </w:pPr>
            <w:r w:rsidRPr="00687BC1">
              <w:rPr>
                <w:sz w:val="18"/>
              </w:rPr>
              <w:t>Reject</w:t>
            </w:r>
            <w:r w:rsidR="00052E3F">
              <w:rPr>
                <w:sz w:val="18"/>
              </w:rPr>
              <w:t xml:space="preserve"> outright</w:t>
            </w:r>
          </w:p>
        </w:tc>
      </w:tr>
      <w:tr w:rsidR="00687BC1" w:rsidRPr="00687BC1" w14:paraId="7A8665F9" w14:textId="77777777" w:rsidTr="00687BC1">
        <w:tc>
          <w:tcPr>
            <w:tcW w:w="1280" w:type="dxa"/>
          </w:tcPr>
          <w:p w14:paraId="6B196EA0" w14:textId="411978E2" w:rsidR="00687BC1" w:rsidRPr="00687BC1" w:rsidRDefault="00687BC1" w:rsidP="00EC0C5D">
            <w:pPr>
              <w:pStyle w:val="body"/>
              <w:rPr>
                <w:sz w:val="18"/>
              </w:rPr>
            </w:pPr>
            <w:r w:rsidRPr="00687BC1">
              <w:rPr>
                <w:sz w:val="18"/>
              </w:rPr>
              <w:t>Non-Blocking</w:t>
            </w:r>
          </w:p>
        </w:tc>
        <w:tc>
          <w:tcPr>
            <w:tcW w:w="1213" w:type="dxa"/>
          </w:tcPr>
          <w:p w14:paraId="49B5D02F" w14:textId="77777777" w:rsidR="00687BC1" w:rsidRPr="009F1652" w:rsidRDefault="00687BC1" w:rsidP="00EC0C5D">
            <w:pPr>
              <w:pStyle w:val="body"/>
              <w:rPr>
                <w:i/>
                <w:sz w:val="18"/>
              </w:rPr>
            </w:pPr>
          </w:p>
        </w:tc>
        <w:tc>
          <w:tcPr>
            <w:tcW w:w="1159" w:type="dxa"/>
          </w:tcPr>
          <w:p w14:paraId="5F006FAB" w14:textId="5687856F" w:rsidR="00687BC1" w:rsidRPr="00687BC1" w:rsidRDefault="00687BC1" w:rsidP="00EC0C5D">
            <w:pPr>
              <w:pStyle w:val="body"/>
              <w:rPr>
                <w:sz w:val="18"/>
              </w:rPr>
            </w:pPr>
            <w:r w:rsidRPr="00687BC1">
              <w:rPr>
                <w:sz w:val="18"/>
              </w:rPr>
              <w:t>Error</w:t>
            </w:r>
          </w:p>
        </w:tc>
        <w:tc>
          <w:tcPr>
            <w:tcW w:w="2126" w:type="dxa"/>
          </w:tcPr>
          <w:p w14:paraId="01E127E4" w14:textId="055C82C7" w:rsidR="00687BC1" w:rsidRPr="00687BC1" w:rsidRDefault="00687BC1" w:rsidP="00687BC1">
            <w:pPr>
              <w:pStyle w:val="body"/>
              <w:rPr>
                <w:sz w:val="18"/>
              </w:rPr>
            </w:pPr>
            <w:r>
              <w:rPr>
                <w:sz w:val="18"/>
              </w:rPr>
              <w:t>Invalid/Incoherent</w:t>
            </w:r>
          </w:p>
        </w:tc>
        <w:tc>
          <w:tcPr>
            <w:tcW w:w="3513" w:type="dxa"/>
          </w:tcPr>
          <w:p w14:paraId="2EC8CFBC" w14:textId="44E0DF3E" w:rsidR="00687BC1" w:rsidRPr="00687BC1" w:rsidRDefault="00687BC1" w:rsidP="00687BC1">
            <w:pPr>
              <w:pStyle w:val="body"/>
              <w:rPr>
                <w:sz w:val="18"/>
              </w:rPr>
            </w:pPr>
            <w:r w:rsidRPr="00687BC1">
              <w:rPr>
                <w:sz w:val="18"/>
              </w:rPr>
              <w:t>Process further, but expect a subsequent correction</w:t>
            </w:r>
          </w:p>
        </w:tc>
      </w:tr>
      <w:tr w:rsidR="00687BC1" w:rsidRPr="00687BC1" w14:paraId="5ED74906" w14:textId="77777777" w:rsidTr="00687BC1">
        <w:tc>
          <w:tcPr>
            <w:tcW w:w="1280" w:type="dxa"/>
          </w:tcPr>
          <w:p w14:paraId="110303E9" w14:textId="4FEB413D" w:rsidR="00687BC1" w:rsidRPr="00687BC1" w:rsidRDefault="00687BC1" w:rsidP="00EC0C5D">
            <w:pPr>
              <w:pStyle w:val="body"/>
              <w:rPr>
                <w:sz w:val="18"/>
              </w:rPr>
            </w:pPr>
            <w:r w:rsidRPr="00687BC1">
              <w:rPr>
                <w:sz w:val="18"/>
              </w:rPr>
              <w:t>Warning</w:t>
            </w:r>
          </w:p>
        </w:tc>
        <w:tc>
          <w:tcPr>
            <w:tcW w:w="1213" w:type="dxa"/>
          </w:tcPr>
          <w:p w14:paraId="3BB9BE43" w14:textId="0F32AF75" w:rsidR="00687BC1" w:rsidRPr="009F1652" w:rsidRDefault="00687BC1" w:rsidP="00EC0C5D">
            <w:pPr>
              <w:pStyle w:val="body"/>
              <w:rPr>
                <w:i/>
                <w:sz w:val="18"/>
              </w:rPr>
            </w:pPr>
            <w:r w:rsidRPr="009F1652">
              <w:rPr>
                <w:i/>
                <w:sz w:val="18"/>
              </w:rPr>
              <w:t>Non-Blocking</w:t>
            </w:r>
          </w:p>
        </w:tc>
        <w:tc>
          <w:tcPr>
            <w:tcW w:w="1159" w:type="dxa"/>
          </w:tcPr>
          <w:p w14:paraId="5FC4E827" w14:textId="0DD5156A" w:rsidR="00687BC1" w:rsidRPr="00687BC1" w:rsidRDefault="00687BC1" w:rsidP="00EC0C5D">
            <w:pPr>
              <w:pStyle w:val="body"/>
              <w:rPr>
                <w:sz w:val="18"/>
              </w:rPr>
            </w:pPr>
            <w:r w:rsidRPr="00687BC1">
              <w:rPr>
                <w:sz w:val="18"/>
              </w:rPr>
              <w:t>Warning</w:t>
            </w:r>
          </w:p>
        </w:tc>
        <w:tc>
          <w:tcPr>
            <w:tcW w:w="2126" w:type="dxa"/>
          </w:tcPr>
          <w:p w14:paraId="3CFC0321" w14:textId="4911CBD5" w:rsidR="00687BC1" w:rsidRPr="00687BC1" w:rsidRDefault="00687BC1" w:rsidP="00EC0C5D">
            <w:pPr>
              <w:pStyle w:val="body"/>
              <w:rPr>
                <w:sz w:val="18"/>
              </w:rPr>
            </w:pPr>
            <w:r>
              <w:rPr>
                <w:sz w:val="18"/>
              </w:rPr>
              <w:t>Unlikely/unusual</w:t>
            </w:r>
          </w:p>
        </w:tc>
        <w:tc>
          <w:tcPr>
            <w:tcW w:w="3513" w:type="dxa"/>
          </w:tcPr>
          <w:p w14:paraId="200B1BE0" w14:textId="241F4202" w:rsidR="00687BC1" w:rsidRPr="00687BC1" w:rsidRDefault="00687BC1" w:rsidP="00EC0C5D">
            <w:pPr>
              <w:pStyle w:val="body"/>
              <w:rPr>
                <w:sz w:val="18"/>
              </w:rPr>
            </w:pPr>
            <w:r w:rsidRPr="00687BC1">
              <w:rPr>
                <w:sz w:val="18"/>
              </w:rPr>
              <w:t>Accept</w:t>
            </w:r>
            <w:r w:rsidR="00056A93">
              <w:rPr>
                <w:sz w:val="18"/>
              </w:rPr>
              <w:t>, perhaps request explanation</w:t>
            </w:r>
          </w:p>
        </w:tc>
      </w:tr>
    </w:tbl>
    <w:p w14:paraId="10543D2D" w14:textId="0ABBB32E" w:rsidR="00EF0E4E" w:rsidRDefault="00687BC1" w:rsidP="00EC0C5D">
      <w:pPr>
        <w:pStyle w:val="body"/>
      </w:pPr>
      <w:r>
        <w:t xml:space="preserve"> </w:t>
      </w:r>
    </w:p>
    <w:p w14:paraId="5EEF60F1" w14:textId="40B47B90" w:rsidR="00EC0C5D" w:rsidRDefault="00EC0C5D" w:rsidP="00052E3F">
      <w:pPr>
        <w:pStyle w:val="Titlelevel2"/>
      </w:pPr>
      <w:r>
        <w:t>DPM DB Changes:</w:t>
      </w:r>
    </w:p>
    <w:p w14:paraId="661D1545" w14:textId="4163B117" w:rsidR="00EC0C5D" w:rsidRDefault="00EC0C5D" w:rsidP="00EC0C5D">
      <w:pPr>
        <w:pStyle w:val="bullet1"/>
        <w:rPr>
          <w:rFonts w:eastAsia="Times New Roman"/>
        </w:rPr>
      </w:pPr>
      <w:r w:rsidRPr="00EC0C5D">
        <w:rPr>
          <w:rFonts w:eastAsia="Times New Roman"/>
        </w:rPr>
        <w:t xml:space="preserve">Added </w:t>
      </w:r>
      <w:proofErr w:type="spellStart"/>
      <w:r w:rsidRPr="00452B9F">
        <w:rPr>
          <w:rFonts w:eastAsia="Times New Roman"/>
          <w:b/>
        </w:rPr>
        <w:t>ValidationRuleSetCode</w:t>
      </w:r>
      <w:proofErr w:type="spellEnd"/>
      <w:r w:rsidRPr="00EC0C5D">
        <w:rPr>
          <w:rFonts w:eastAsia="Times New Roman"/>
        </w:rPr>
        <w:t xml:space="preserve"> as additional </w:t>
      </w:r>
      <w:r>
        <w:rPr>
          <w:rFonts w:eastAsia="Times New Roman"/>
        </w:rPr>
        <w:t xml:space="preserve">part of primary </w:t>
      </w:r>
      <w:r w:rsidRPr="00EC0C5D">
        <w:rPr>
          <w:rFonts w:eastAsia="Times New Roman"/>
        </w:rPr>
        <w:t xml:space="preserve">key on </w:t>
      </w:r>
      <w:proofErr w:type="spellStart"/>
      <w:r w:rsidRPr="00452B9F">
        <w:rPr>
          <w:rFonts w:eastAsia="Times New Roman"/>
          <w:b/>
        </w:rPr>
        <w:t>ValidationRuleSet</w:t>
      </w:r>
      <w:proofErr w:type="spellEnd"/>
      <w:r w:rsidRPr="00EC0C5D">
        <w:rPr>
          <w:rFonts w:eastAsia="Times New Roman"/>
        </w:rPr>
        <w:t xml:space="preserve"> field</w:t>
      </w:r>
      <w:r>
        <w:rPr>
          <w:rFonts w:eastAsia="Times New Roman"/>
        </w:rPr>
        <w:t>. This is intended to prepare for the possible use of multiple releases of validation rules for the same taxonomy version, applicable for different reference date ranges. This field was generated for existing entries as per:</w:t>
      </w:r>
    </w:p>
    <w:p w14:paraId="607A3751" w14:textId="0F46D0DB" w:rsidR="00EC0C5D" w:rsidRDefault="00EC0C5D" w:rsidP="00EC0C5D">
      <w:pPr>
        <w:pStyle w:val="SQL"/>
      </w:pPr>
      <w:r>
        <w:t>UPDATE (</w:t>
      </w:r>
      <w:proofErr w:type="spellStart"/>
      <w:r>
        <w:t>ValidationRuleSet</w:t>
      </w:r>
      <w:proofErr w:type="spellEnd"/>
      <w:r>
        <w:t xml:space="preserve"> </w:t>
      </w:r>
    </w:p>
    <w:p w14:paraId="4BA90633" w14:textId="7C190502" w:rsidR="00EC0C5D" w:rsidRDefault="00EC0C5D" w:rsidP="00EC0C5D">
      <w:pPr>
        <w:pStyle w:val="SQL"/>
      </w:pPr>
      <w:r>
        <w:t xml:space="preserve">INNER JOIN [Module] ON </w:t>
      </w:r>
      <w:proofErr w:type="spellStart"/>
      <w:r>
        <w:t>Module.ModuleID</w:t>
      </w:r>
      <w:proofErr w:type="spellEnd"/>
      <w:r>
        <w:t xml:space="preserve"> = </w:t>
      </w:r>
      <w:proofErr w:type="spellStart"/>
      <w:r>
        <w:t>ValidationRuleSet.ModuleID</w:t>
      </w:r>
      <w:proofErr w:type="spellEnd"/>
      <w:r>
        <w:t xml:space="preserve">) </w:t>
      </w:r>
    </w:p>
    <w:p w14:paraId="2E5FC252" w14:textId="3B4EA101" w:rsidR="00EC0C5D" w:rsidRDefault="00EC0C5D" w:rsidP="00EC0C5D">
      <w:pPr>
        <w:pStyle w:val="SQL"/>
      </w:pPr>
      <w:r>
        <w:t xml:space="preserve">INNER JOIN Taxonomy ON </w:t>
      </w:r>
      <w:proofErr w:type="spellStart"/>
      <w:r>
        <w:t>Taxonomy.TaxonomyID</w:t>
      </w:r>
      <w:proofErr w:type="spellEnd"/>
      <w:r>
        <w:t xml:space="preserve"> = </w:t>
      </w:r>
      <w:proofErr w:type="spellStart"/>
      <w:r>
        <w:t>Module.TaxonomyID</w:t>
      </w:r>
      <w:proofErr w:type="spellEnd"/>
      <w:r>
        <w:t xml:space="preserve"> </w:t>
      </w:r>
    </w:p>
    <w:p w14:paraId="2AAE9DEE" w14:textId="1F4F7871" w:rsidR="00EC0C5D" w:rsidRDefault="00EC0C5D" w:rsidP="00EC0C5D">
      <w:pPr>
        <w:pStyle w:val="SQL"/>
      </w:pPr>
      <w:r>
        <w:t xml:space="preserve">SET </w:t>
      </w:r>
      <w:proofErr w:type="spellStart"/>
      <w:r>
        <w:t>ValidationRuleSet.ValidationRuleSetCode</w:t>
      </w:r>
      <w:proofErr w:type="spellEnd"/>
      <w:r>
        <w:t xml:space="preserve"> = </w:t>
      </w:r>
      <w:proofErr w:type="gramStart"/>
      <w:r>
        <w:t>Switch(</w:t>
      </w:r>
      <w:proofErr w:type="gramEnd"/>
      <w:r>
        <w:t xml:space="preserve"> </w:t>
      </w:r>
    </w:p>
    <w:p w14:paraId="07ED7AA6" w14:textId="43DF49E7" w:rsidR="00EC0C5D" w:rsidRDefault="00EC0C5D" w:rsidP="00EC0C5D">
      <w:pPr>
        <w:pStyle w:val="SQL"/>
      </w:pPr>
      <w:r>
        <w:t>[</w:t>
      </w:r>
      <w:proofErr w:type="spellStart"/>
      <w:proofErr w:type="gramStart"/>
      <w:r>
        <w:t>dpmpackagecode</w:t>
      </w:r>
      <w:proofErr w:type="spellEnd"/>
      <w:proofErr w:type="gramEnd"/>
      <w:r>
        <w:t xml:space="preserve">]='2.5','2.5.0.1', </w:t>
      </w:r>
    </w:p>
    <w:p w14:paraId="064605D9" w14:textId="77777777" w:rsidR="00EC0C5D" w:rsidRDefault="00EC0C5D" w:rsidP="00EC0C5D">
      <w:pPr>
        <w:pStyle w:val="SQL"/>
      </w:pPr>
      <w:r>
        <w:t>[</w:t>
      </w:r>
      <w:proofErr w:type="gramStart"/>
      <w:r>
        <w:t>dpmpackagecode</w:t>
      </w:r>
      <w:proofErr w:type="gramEnd"/>
      <w:r>
        <w:t>]='2.4.1','2.4.1.1',</w:t>
      </w:r>
    </w:p>
    <w:p w14:paraId="1BA0588F" w14:textId="6822FDBB" w:rsidR="00EC0C5D" w:rsidRDefault="00EC0C5D" w:rsidP="00EC0C5D">
      <w:pPr>
        <w:pStyle w:val="SQL"/>
      </w:pPr>
      <w:r>
        <w:t>[</w:t>
      </w:r>
      <w:proofErr w:type="spellStart"/>
      <w:proofErr w:type="gramStart"/>
      <w:r>
        <w:t>dpmpackagecode</w:t>
      </w:r>
      <w:proofErr w:type="spellEnd"/>
      <w:proofErr w:type="gramEnd"/>
      <w:r>
        <w:t xml:space="preserve">]='2.4','2.4.1.1', </w:t>
      </w:r>
    </w:p>
    <w:p w14:paraId="7172239D" w14:textId="216CCE78" w:rsidR="00EC0C5D" w:rsidRDefault="00EC0C5D" w:rsidP="00EC0C5D">
      <w:pPr>
        <w:pStyle w:val="SQL"/>
      </w:pPr>
      <w:r>
        <w:t>[</w:t>
      </w:r>
      <w:proofErr w:type="spellStart"/>
      <w:proofErr w:type="gramStart"/>
      <w:r>
        <w:t>dpmpackagecode</w:t>
      </w:r>
      <w:proofErr w:type="spellEnd"/>
      <w:proofErr w:type="gramEnd"/>
      <w:r>
        <w:t xml:space="preserve">]='2.3.2','2.3.2.0', </w:t>
      </w:r>
    </w:p>
    <w:p w14:paraId="3FA9ABF5" w14:textId="66399BC5" w:rsidR="00EC0C5D" w:rsidRDefault="00EC0C5D" w:rsidP="00EC0C5D">
      <w:pPr>
        <w:pStyle w:val="SQL"/>
      </w:pPr>
      <w:r>
        <w:t>[</w:t>
      </w:r>
      <w:proofErr w:type="spellStart"/>
      <w:proofErr w:type="gramStart"/>
      <w:r>
        <w:t>dpmpackagecode</w:t>
      </w:r>
      <w:proofErr w:type="spellEnd"/>
      <w:proofErr w:type="gramEnd"/>
      <w:r>
        <w:t>]='2.3.1','2.3.1.0',</w:t>
      </w:r>
    </w:p>
    <w:p w14:paraId="326BD264" w14:textId="77777777" w:rsidR="00EC0C5D" w:rsidRDefault="00EC0C5D" w:rsidP="00EC0C5D">
      <w:pPr>
        <w:pStyle w:val="SQL"/>
      </w:pPr>
      <w:r>
        <w:t>[</w:t>
      </w:r>
      <w:proofErr w:type="gramStart"/>
      <w:r>
        <w:t>dpmpackagecode</w:t>
      </w:r>
      <w:proofErr w:type="gramEnd"/>
      <w:r>
        <w:t>]='2.3','2.3.0.0',</w:t>
      </w:r>
    </w:p>
    <w:p w14:paraId="02A67E4F" w14:textId="2936BC9C" w:rsidR="00EC0C5D" w:rsidRDefault="00EC0C5D" w:rsidP="00EC0C5D">
      <w:pPr>
        <w:pStyle w:val="SQL"/>
      </w:pPr>
      <w:r>
        <w:t>[</w:t>
      </w:r>
      <w:proofErr w:type="spellStart"/>
      <w:proofErr w:type="gramStart"/>
      <w:r>
        <w:t>dpmpackagecode</w:t>
      </w:r>
      <w:proofErr w:type="spellEnd"/>
      <w:proofErr w:type="gramEnd"/>
      <w:r>
        <w:t xml:space="preserve">]='2.2','2.2.0', </w:t>
      </w:r>
    </w:p>
    <w:p w14:paraId="484855DF" w14:textId="521F06BD" w:rsidR="00EC0C5D" w:rsidRDefault="00EC0C5D" w:rsidP="00EC0C5D">
      <w:pPr>
        <w:pStyle w:val="SQL"/>
      </w:pPr>
      <w:r>
        <w:lastRenderedPageBreak/>
        <w:t>[</w:t>
      </w:r>
      <w:proofErr w:type="spellStart"/>
      <w:proofErr w:type="gramStart"/>
      <w:r>
        <w:t>dpmpackagecode</w:t>
      </w:r>
      <w:proofErr w:type="spellEnd"/>
      <w:proofErr w:type="gramEnd"/>
      <w:r>
        <w:t xml:space="preserve">]='2.1','2.1.0.1' </w:t>
      </w:r>
    </w:p>
    <w:p w14:paraId="3068D943" w14:textId="7286253D" w:rsidR="00EC0C5D" w:rsidRPr="00EC0C5D" w:rsidRDefault="00EC0C5D" w:rsidP="00EC0C5D">
      <w:pPr>
        <w:pStyle w:val="SQL"/>
      </w:pPr>
      <w:r>
        <w:t>[</w:t>
      </w:r>
      <w:proofErr w:type="spellStart"/>
      <w:proofErr w:type="gramStart"/>
      <w:r>
        <w:t>dpmpackagecode</w:t>
      </w:r>
      <w:proofErr w:type="spellEnd"/>
      <w:proofErr w:type="gramEnd"/>
      <w:r>
        <w:t>]='2.0','2.0.1')</w:t>
      </w:r>
    </w:p>
    <w:p w14:paraId="64BBD39D" w14:textId="0F457131" w:rsidR="00452B9F" w:rsidRDefault="00452B9F" w:rsidP="00452B9F">
      <w:pPr>
        <w:pStyle w:val="bullet1"/>
        <w:rPr>
          <w:rFonts w:eastAsia="Times New Roman"/>
        </w:rPr>
      </w:pPr>
      <w:r>
        <w:rPr>
          <w:rFonts w:eastAsia="Times New Roman"/>
        </w:rPr>
        <w:t xml:space="preserve">Add </w:t>
      </w:r>
      <w:r w:rsidRPr="00452B9F">
        <w:rPr>
          <w:rFonts w:eastAsia="Times New Roman"/>
          <w:b/>
        </w:rPr>
        <w:t>Rows</w:t>
      </w:r>
      <w:r>
        <w:rPr>
          <w:rFonts w:eastAsia="Times New Roman"/>
        </w:rPr>
        <w:t xml:space="preserve">, </w:t>
      </w:r>
      <w:r w:rsidRPr="00452B9F">
        <w:rPr>
          <w:rFonts w:eastAsia="Times New Roman"/>
          <w:b/>
        </w:rPr>
        <w:t>Columns</w:t>
      </w:r>
      <w:r>
        <w:rPr>
          <w:rFonts w:eastAsia="Times New Roman"/>
        </w:rPr>
        <w:t xml:space="preserve">, </w:t>
      </w:r>
      <w:r w:rsidRPr="00452B9F">
        <w:rPr>
          <w:rFonts w:eastAsia="Times New Roman"/>
          <w:b/>
        </w:rPr>
        <w:t>Sheets</w:t>
      </w:r>
      <w:r>
        <w:rPr>
          <w:rFonts w:eastAsia="Times New Roman"/>
        </w:rPr>
        <w:t xml:space="preserve"> fields to </w:t>
      </w:r>
      <w:proofErr w:type="spellStart"/>
      <w:r w:rsidRPr="00452B9F">
        <w:rPr>
          <w:rFonts w:eastAsia="Times New Roman"/>
          <w:b/>
        </w:rPr>
        <w:t>ValidationRule</w:t>
      </w:r>
      <w:proofErr w:type="spellEnd"/>
      <w:r>
        <w:rPr>
          <w:rFonts w:eastAsia="Times New Roman"/>
        </w:rPr>
        <w:t xml:space="preserve"> (just carry same information as currently included in Scope field, but in perhaps in a form easier to use/compare to published rule spreadsheet).</w:t>
      </w:r>
    </w:p>
    <w:p w14:paraId="23921DCD" w14:textId="5A86D0FF" w:rsidR="00452B9F" w:rsidRDefault="00452B9F" w:rsidP="00452B9F">
      <w:pPr>
        <w:pStyle w:val="bullet1"/>
        <w:rPr>
          <w:rFonts w:eastAsia="Times New Roman"/>
        </w:rPr>
      </w:pPr>
      <w:r>
        <w:rPr>
          <w:rFonts w:eastAsia="Times New Roman"/>
        </w:rPr>
        <w:t xml:space="preserve">Add </w:t>
      </w:r>
      <w:proofErr w:type="spellStart"/>
      <w:r w:rsidRPr="00452B9F">
        <w:rPr>
          <w:rFonts w:eastAsia="Times New Roman"/>
          <w:b/>
        </w:rPr>
        <w:t>NarrativeExplanation</w:t>
      </w:r>
      <w:proofErr w:type="spellEnd"/>
      <w:r>
        <w:rPr>
          <w:rFonts w:eastAsia="Times New Roman"/>
        </w:rPr>
        <w:t xml:space="preserve"> field to </w:t>
      </w:r>
      <w:proofErr w:type="spellStart"/>
      <w:r w:rsidRPr="00452B9F">
        <w:rPr>
          <w:rFonts w:eastAsia="Times New Roman"/>
          <w:b/>
        </w:rPr>
        <w:t>ValidationRule</w:t>
      </w:r>
      <w:proofErr w:type="spellEnd"/>
      <w:r>
        <w:rPr>
          <w:rFonts w:eastAsia="Times New Roman"/>
        </w:rPr>
        <w:t xml:space="preserve">. Intended to convey a more “business” relevant description or explanation of the validation rule (rather than the sometimes relatively complex or unintuitive formula). Only included for </w:t>
      </w:r>
      <w:r w:rsidR="00056A93">
        <w:rPr>
          <w:rFonts w:eastAsia="Times New Roman"/>
        </w:rPr>
        <w:t>a few</w:t>
      </w:r>
      <w:r>
        <w:rPr>
          <w:rFonts w:eastAsia="Times New Roman"/>
        </w:rPr>
        <w:t xml:space="preserve"> rules in this version, mostly as a demonstration. </w:t>
      </w:r>
    </w:p>
    <w:p w14:paraId="43855B36" w14:textId="77777777" w:rsidR="00056A93" w:rsidRPr="00056A93" w:rsidRDefault="00056A93" w:rsidP="00056A93">
      <w:pPr>
        <w:pStyle w:val="bullet1"/>
        <w:rPr>
          <w:rFonts w:eastAsia="Times New Roman"/>
          <w:i/>
          <w:sz w:val="20"/>
        </w:rPr>
      </w:pPr>
      <w:r w:rsidRPr="00056A93">
        <w:rPr>
          <w:rFonts w:eastAsia="Times New Roman"/>
          <w:i/>
          <w:sz w:val="20"/>
        </w:rPr>
        <w:t xml:space="preserve">Added </w:t>
      </w:r>
      <w:r w:rsidRPr="00056A93">
        <w:rPr>
          <w:rFonts w:eastAsia="Times New Roman"/>
          <w:b/>
          <w:i/>
          <w:sz w:val="20"/>
        </w:rPr>
        <w:t>Filter</w:t>
      </w:r>
      <w:r w:rsidRPr="00056A93">
        <w:rPr>
          <w:rFonts w:eastAsia="Times New Roman"/>
          <w:i/>
          <w:sz w:val="20"/>
        </w:rPr>
        <w:t xml:space="preserve"> field to both </w:t>
      </w:r>
      <w:proofErr w:type="spellStart"/>
      <w:r w:rsidRPr="00056A93">
        <w:rPr>
          <w:rFonts w:eastAsia="Times New Roman"/>
          <w:b/>
          <w:i/>
          <w:sz w:val="20"/>
        </w:rPr>
        <w:t>ValidationRule</w:t>
      </w:r>
      <w:proofErr w:type="spellEnd"/>
      <w:r w:rsidRPr="00056A93">
        <w:rPr>
          <w:rFonts w:eastAsia="Times New Roman"/>
          <w:i/>
          <w:sz w:val="20"/>
        </w:rPr>
        <w:t xml:space="preserve"> (to represent a general filter on the rows to which a rule is applicable), and to </w:t>
      </w:r>
      <w:proofErr w:type="spellStart"/>
      <w:r w:rsidRPr="00056A93">
        <w:rPr>
          <w:rFonts w:eastAsia="Times New Roman"/>
          <w:b/>
          <w:i/>
          <w:sz w:val="20"/>
        </w:rPr>
        <w:t>SumOverOpenAxis</w:t>
      </w:r>
      <w:proofErr w:type="spellEnd"/>
      <w:r w:rsidRPr="00056A93">
        <w:rPr>
          <w:rFonts w:eastAsia="Times New Roman"/>
          <w:i/>
          <w:sz w:val="20"/>
        </w:rPr>
        <w:t xml:space="preserve"> (to restrict the rows included when calculating a sum – e.g. for elements such as sum({C 103.00, (</w:t>
      </w:r>
      <w:proofErr w:type="spellStart"/>
      <w:r w:rsidRPr="00056A93">
        <w:rPr>
          <w:rFonts w:eastAsia="Times New Roman"/>
          <w:i/>
          <w:sz w:val="20"/>
        </w:rPr>
        <w:t>rNNN</w:t>
      </w:r>
      <w:proofErr w:type="spellEnd"/>
      <w:r w:rsidRPr="00056A93">
        <w:rPr>
          <w:rFonts w:eastAsia="Times New Roman"/>
          <w:i/>
          <w:sz w:val="20"/>
        </w:rPr>
        <w:t>)} where [</w:t>
      </w:r>
      <w:proofErr w:type="spellStart"/>
      <w:r w:rsidRPr="00056A93">
        <w:rPr>
          <w:rFonts w:eastAsia="Times New Roman"/>
          <w:i/>
          <w:sz w:val="20"/>
        </w:rPr>
        <w:t>dim:eba_PBE</w:t>
      </w:r>
      <w:proofErr w:type="spellEnd"/>
      <w:r w:rsidRPr="00056A93">
        <w:rPr>
          <w:rFonts w:eastAsia="Times New Roman"/>
          <w:i/>
          <w:sz w:val="20"/>
        </w:rPr>
        <w:t xml:space="preserve">] like "SMEC0004") – </w:t>
      </w:r>
      <w:r w:rsidRPr="00056A93">
        <w:rPr>
          <w:rFonts w:eastAsia="Times New Roman"/>
          <w:b/>
          <w:i/>
          <w:sz w:val="20"/>
        </w:rPr>
        <w:t>NOT CURRENTLY USED</w:t>
      </w:r>
    </w:p>
    <w:p w14:paraId="0DBA6A1C" w14:textId="77777777" w:rsidR="00056A93" w:rsidRPr="00056A93" w:rsidRDefault="00056A93" w:rsidP="00056A93">
      <w:pPr>
        <w:pStyle w:val="body"/>
      </w:pPr>
    </w:p>
    <w:p w14:paraId="6582C894" w14:textId="77777777" w:rsidR="00EE38D6" w:rsidRDefault="00EE38D6" w:rsidP="00EE38D6">
      <w:pPr>
        <w:pStyle w:val="Titlelevel2"/>
      </w:pPr>
      <w:r>
        <w:t>XBRL</w:t>
      </w:r>
    </w:p>
    <w:p w14:paraId="6A8CAFAC" w14:textId="339D498B" w:rsidR="00056A93" w:rsidRDefault="00056A93" w:rsidP="00056A93">
      <w:pPr>
        <w:pStyle w:val="body"/>
        <w:numPr>
          <w:ilvl w:val="0"/>
          <w:numId w:val="32"/>
        </w:numPr>
      </w:pPr>
      <w:r>
        <w:t xml:space="preserve">Update to the 1.0 </w:t>
      </w:r>
      <w:r w:rsidR="0061233C">
        <w:t>T</w:t>
      </w:r>
      <w:r>
        <w:t xml:space="preserve">able </w:t>
      </w:r>
      <w:proofErr w:type="spellStart"/>
      <w:r>
        <w:t>linkbase</w:t>
      </w:r>
      <w:proofErr w:type="spellEnd"/>
      <w:r>
        <w:t xml:space="preserve"> XBRL specification, rather than the “Dublin” PWD specification that had been in use previously.</w:t>
      </w:r>
    </w:p>
    <w:p w14:paraId="7F04A747" w14:textId="022414B7" w:rsidR="00056A93" w:rsidRDefault="00056A93" w:rsidP="00056A93">
      <w:pPr>
        <w:pStyle w:val="body"/>
        <w:numPr>
          <w:ilvl w:val="1"/>
          <w:numId w:val="32"/>
        </w:numPr>
      </w:pPr>
      <w:r>
        <w:t xml:space="preserve">Note that since this changes </w:t>
      </w:r>
      <w:r w:rsidRPr="00460093">
        <w:rPr>
          <w:u w:val="single"/>
        </w:rPr>
        <w:t>all</w:t>
      </w:r>
      <w:r>
        <w:t xml:space="preserve"> the table rendering definition files (although fairly trivially, just namespace changes and one new attribute) it effectively makes the 2.6 taxonomy release a new “baseline”, i.e. it does not references any previous files, unlike the “delta” approach of the previous version.</w:t>
      </w:r>
    </w:p>
    <w:p w14:paraId="2843852C" w14:textId="7F5F747B" w:rsidR="00EE38D6" w:rsidRDefault="00A946D4" w:rsidP="00EE38D6">
      <w:pPr>
        <w:pStyle w:val="body"/>
        <w:numPr>
          <w:ilvl w:val="0"/>
          <w:numId w:val="32"/>
        </w:numPr>
      </w:pPr>
      <w:r>
        <w:t>Introduction of A</w:t>
      </w:r>
      <w:r w:rsidR="00EE38D6">
        <w:t xml:space="preserve">ssertion severity </w:t>
      </w:r>
      <w:r>
        <w:t xml:space="preserve">1.0 </w:t>
      </w:r>
      <w:r w:rsidR="00056A93">
        <w:t xml:space="preserve">specification </w:t>
      </w:r>
      <w:r w:rsidR="00EE38D6">
        <w:t>usage (see above).</w:t>
      </w:r>
    </w:p>
    <w:p w14:paraId="0C651B72" w14:textId="17888D50" w:rsidR="00056A93" w:rsidRDefault="00056A93" w:rsidP="00EE38D6">
      <w:pPr>
        <w:pStyle w:val="body"/>
        <w:numPr>
          <w:ilvl w:val="0"/>
          <w:numId w:val="32"/>
        </w:numPr>
      </w:pPr>
      <w:bookmarkStart w:id="9" w:name="OLE_LINK21"/>
      <w:bookmarkStart w:id="10" w:name="OLE_LINK22"/>
      <w:r>
        <w:t xml:space="preserve">Addition of Extensible Enumeration </w:t>
      </w:r>
      <w:r w:rsidR="00A946D4">
        <w:t xml:space="preserve">1.0 </w:t>
      </w:r>
      <w:r>
        <w:t>specification attributes to metric</w:t>
      </w:r>
      <w:r w:rsidR="00A946D4">
        <w:t>s</w:t>
      </w:r>
      <w:r>
        <w:t xml:space="preserve"> that had previously used model attributes</w:t>
      </w:r>
      <w:r w:rsidR="0061233C">
        <w:rPr>
          <w:rStyle w:val="FootnoteReference"/>
        </w:rPr>
        <w:footnoteReference w:id="2"/>
      </w:r>
      <w:r>
        <w:t xml:space="preserve"> described by the EBA Architecture to convey the same information.</w:t>
      </w:r>
    </w:p>
    <w:p w14:paraId="4158C1B3" w14:textId="60893FE5" w:rsidR="00EE38D6" w:rsidRDefault="00EE38D6" w:rsidP="00EE38D6">
      <w:pPr>
        <w:pStyle w:val="body"/>
        <w:numPr>
          <w:ilvl w:val="0"/>
          <w:numId w:val="32"/>
        </w:numPr>
      </w:pPr>
      <w:r>
        <w:t xml:space="preserve">Examples </w:t>
      </w:r>
      <w:bookmarkEnd w:id="9"/>
      <w:bookmarkEnd w:id="10"/>
      <w:r>
        <w:t xml:space="preserve">of slightly improved error messages for some rules (see </w:t>
      </w:r>
      <w:proofErr w:type="spellStart"/>
      <w:r w:rsidRPr="00452B9F">
        <w:rPr>
          <w:rFonts w:eastAsia="Times New Roman"/>
          <w:b/>
        </w:rPr>
        <w:t>NarrativeExplanation</w:t>
      </w:r>
      <w:proofErr w:type="spellEnd"/>
      <w:r>
        <w:rPr>
          <w:rFonts w:eastAsia="Times New Roman"/>
          <w:b/>
        </w:rPr>
        <w:t xml:space="preserve"> </w:t>
      </w:r>
      <w:r w:rsidRPr="00EE38D6">
        <w:t>above)</w:t>
      </w:r>
      <w:r>
        <w:t xml:space="preserve">. Changed usage/differentiation of different labels and error messages on validation rules </w:t>
      </w:r>
      <w:r w:rsidR="00056A93">
        <w:t xml:space="preserve">to provide differentiation </w:t>
      </w:r>
      <w:r>
        <w:t xml:space="preserve">(previously all were the same as shown below for </w:t>
      </w:r>
      <w:proofErr w:type="spellStart"/>
      <w:r>
        <w:t>terseMessage</w:t>
      </w:r>
      <w:proofErr w:type="spellEnd"/>
      <w:r>
        <w:t>).</w:t>
      </w:r>
    </w:p>
    <w:tbl>
      <w:tblPr>
        <w:tblStyle w:val="EBAtable"/>
        <w:tblW w:w="0" w:type="auto"/>
        <w:tblLook w:val="04A0" w:firstRow="1" w:lastRow="0" w:firstColumn="1" w:lastColumn="0" w:noHBand="0" w:noVBand="1"/>
      </w:tblPr>
      <w:tblGrid>
        <w:gridCol w:w="1234"/>
        <w:gridCol w:w="1297"/>
        <w:gridCol w:w="2397"/>
        <w:gridCol w:w="4363"/>
      </w:tblGrid>
      <w:tr w:rsidR="00EE38D6" w:rsidRPr="00EE38D6" w14:paraId="4C075ABF" w14:textId="77777777" w:rsidTr="00A946D4">
        <w:trPr>
          <w:cnfStyle w:val="100000000000" w:firstRow="1" w:lastRow="0" w:firstColumn="0" w:lastColumn="0" w:oddVBand="0" w:evenVBand="0" w:oddHBand="0" w:evenHBand="0" w:firstRowFirstColumn="0" w:firstRowLastColumn="0" w:lastRowFirstColumn="0" w:lastRowLastColumn="0"/>
        </w:trPr>
        <w:tc>
          <w:tcPr>
            <w:tcW w:w="0" w:type="auto"/>
          </w:tcPr>
          <w:p w14:paraId="050BCC45" w14:textId="77777777" w:rsidR="00EE38D6" w:rsidRPr="00EE38D6" w:rsidRDefault="00EE38D6" w:rsidP="00637090">
            <w:pPr>
              <w:pStyle w:val="body"/>
              <w:rPr>
                <w:sz w:val="18"/>
              </w:rPr>
            </w:pPr>
            <w:r w:rsidRPr="00EE38D6">
              <w:rPr>
                <w:sz w:val="18"/>
              </w:rPr>
              <w:t>XBRL</w:t>
            </w:r>
          </w:p>
        </w:tc>
        <w:tc>
          <w:tcPr>
            <w:tcW w:w="0" w:type="auto"/>
          </w:tcPr>
          <w:p w14:paraId="30A8172F" w14:textId="77777777" w:rsidR="00EE38D6" w:rsidRPr="00EE38D6" w:rsidRDefault="00EE38D6" w:rsidP="00637090">
            <w:pPr>
              <w:pStyle w:val="body"/>
              <w:rPr>
                <w:sz w:val="18"/>
              </w:rPr>
            </w:pPr>
            <w:r w:rsidRPr="00EE38D6">
              <w:rPr>
                <w:sz w:val="18"/>
              </w:rPr>
              <w:t>DPM Architect</w:t>
            </w:r>
          </w:p>
        </w:tc>
        <w:tc>
          <w:tcPr>
            <w:tcW w:w="2397" w:type="dxa"/>
          </w:tcPr>
          <w:p w14:paraId="3B8E2EAE" w14:textId="77777777" w:rsidR="00EE38D6" w:rsidRPr="00EE38D6" w:rsidRDefault="00EE38D6" w:rsidP="00637090">
            <w:pPr>
              <w:pStyle w:val="body"/>
              <w:rPr>
                <w:sz w:val="18"/>
              </w:rPr>
            </w:pPr>
            <w:r w:rsidRPr="00EE38D6">
              <w:rPr>
                <w:sz w:val="18"/>
              </w:rPr>
              <w:t>Pattern</w:t>
            </w:r>
          </w:p>
        </w:tc>
        <w:tc>
          <w:tcPr>
            <w:tcW w:w="4363" w:type="dxa"/>
          </w:tcPr>
          <w:p w14:paraId="58A1A36C" w14:textId="77777777" w:rsidR="00EE38D6" w:rsidRPr="00EE38D6" w:rsidRDefault="00EE38D6" w:rsidP="00637090">
            <w:pPr>
              <w:pStyle w:val="body"/>
              <w:rPr>
                <w:sz w:val="18"/>
              </w:rPr>
            </w:pPr>
            <w:r w:rsidRPr="00EE38D6">
              <w:rPr>
                <w:sz w:val="18"/>
              </w:rPr>
              <w:t>Example</w:t>
            </w:r>
          </w:p>
        </w:tc>
      </w:tr>
      <w:tr w:rsidR="00EE38D6" w:rsidRPr="00EE38D6" w14:paraId="213F454A" w14:textId="77777777" w:rsidTr="00A946D4">
        <w:tc>
          <w:tcPr>
            <w:tcW w:w="0" w:type="auto"/>
          </w:tcPr>
          <w:p w14:paraId="51313C89" w14:textId="77777777" w:rsidR="00EE38D6" w:rsidRPr="00EE38D6" w:rsidRDefault="00EE38D6" w:rsidP="00637090">
            <w:pPr>
              <w:pStyle w:val="body"/>
              <w:rPr>
                <w:sz w:val="18"/>
              </w:rPr>
            </w:pPr>
            <w:r w:rsidRPr="00EE38D6">
              <w:rPr>
                <w:sz w:val="18"/>
              </w:rPr>
              <w:t>label</w:t>
            </w:r>
          </w:p>
        </w:tc>
        <w:tc>
          <w:tcPr>
            <w:tcW w:w="0" w:type="auto"/>
          </w:tcPr>
          <w:p w14:paraId="68EC23DE" w14:textId="77777777" w:rsidR="00EE38D6" w:rsidRPr="00EE38D6" w:rsidRDefault="00EE38D6" w:rsidP="00637090">
            <w:pPr>
              <w:pStyle w:val="body"/>
              <w:rPr>
                <w:sz w:val="18"/>
              </w:rPr>
            </w:pPr>
            <w:r w:rsidRPr="00EE38D6">
              <w:rPr>
                <w:sz w:val="18"/>
              </w:rPr>
              <w:t>Description</w:t>
            </w:r>
          </w:p>
        </w:tc>
        <w:tc>
          <w:tcPr>
            <w:tcW w:w="2397" w:type="dxa"/>
          </w:tcPr>
          <w:p w14:paraId="4628DC28" w14:textId="77777777" w:rsidR="00EE38D6" w:rsidRPr="00EE38D6" w:rsidRDefault="00EE38D6" w:rsidP="00637090">
            <w:pPr>
              <w:pStyle w:val="body"/>
              <w:jc w:val="left"/>
              <w:rPr>
                <w:b/>
                <w:sz w:val="14"/>
              </w:rPr>
            </w:pPr>
            <w:r w:rsidRPr="00EE38D6">
              <w:rPr>
                <w:b/>
                <w:sz w:val="14"/>
              </w:rPr>
              <w:t>code</w:t>
            </w:r>
          </w:p>
        </w:tc>
        <w:tc>
          <w:tcPr>
            <w:tcW w:w="4363" w:type="dxa"/>
          </w:tcPr>
          <w:p w14:paraId="2892C293" w14:textId="77777777" w:rsidR="00EE38D6" w:rsidRPr="00EE38D6" w:rsidRDefault="00EE38D6" w:rsidP="00637090">
            <w:pPr>
              <w:pStyle w:val="body"/>
              <w:jc w:val="left"/>
              <w:rPr>
                <w:sz w:val="14"/>
              </w:rPr>
            </w:pPr>
            <w:r w:rsidRPr="00EE38D6">
              <w:rPr>
                <w:sz w:val="14"/>
              </w:rPr>
              <w:t>v4915_m</w:t>
            </w:r>
          </w:p>
        </w:tc>
      </w:tr>
      <w:tr w:rsidR="00EE38D6" w:rsidRPr="00EE38D6" w14:paraId="111E61D2" w14:textId="77777777" w:rsidTr="00A946D4">
        <w:tc>
          <w:tcPr>
            <w:tcW w:w="0" w:type="auto"/>
          </w:tcPr>
          <w:p w14:paraId="1351F117" w14:textId="77777777" w:rsidR="00EE38D6" w:rsidRPr="00EE38D6" w:rsidRDefault="00EE38D6" w:rsidP="00637090">
            <w:pPr>
              <w:pStyle w:val="body"/>
              <w:rPr>
                <w:sz w:val="18"/>
              </w:rPr>
            </w:pPr>
            <w:proofErr w:type="spellStart"/>
            <w:r w:rsidRPr="00EE38D6">
              <w:rPr>
                <w:sz w:val="18"/>
              </w:rPr>
              <w:t>verboseLabel</w:t>
            </w:r>
            <w:proofErr w:type="spellEnd"/>
          </w:p>
        </w:tc>
        <w:tc>
          <w:tcPr>
            <w:tcW w:w="0" w:type="auto"/>
          </w:tcPr>
          <w:p w14:paraId="499AC497" w14:textId="77777777" w:rsidR="00EE38D6" w:rsidRPr="00EE38D6" w:rsidRDefault="00EE38D6" w:rsidP="00637090">
            <w:pPr>
              <w:pStyle w:val="body"/>
              <w:rPr>
                <w:sz w:val="18"/>
              </w:rPr>
            </w:pPr>
            <w:r w:rsidRPr="00EE38D6">
              <w:rPr>
                <w:sz w:val="18"/>
              </w:rPr>
              <w:t xml:space="preserve">Extended </w:t>
            </w:r>
            <w:r w:rsidRPr="00EE38D6">
              <w:rPr>
                <w:sz w:val="18"/>
              </w:rPr>
              <w:lastRenderedPageBreak/>
              <w:t>description</w:t>
            </w:r>
          </w:p>
        </w:tc>
        <w:tc>
          <w:tcPr>
            <w:tcW w:w="2397" w:type="dxa"/>
          </w:tcPr>
          <w:p w14:paraId="5174A866" w14:textId="77777777" w:rsidR="00EE38D6" w:rsidRPr="00EE38D6" w:rsidRDefault="00EE38D6" w:rsidP="00637090">
            <w:pPr>
              <w:pStyle w:val="body"/>
              <w:jc w:val="left"/>
              <w:rPr>
                <w:sz w:val="14"/>
              </w:rPr>
            </w:pPr>
            <w:r w:rsidRPr="00EE38D6">
              <w:rPr>
                <w:b/>
                <w:sz w:val="14"/>
              </w:rPr>
              <w:lastRenderedPageBreak/>
              <w:t>code</w:t>
            </w:r>
            <w:r w:rsidRPr="00EE38D6">
              <w:rPr>
                <w:sz w:val="14"/>
              </w:rPr>
              <w:t xml:space="preserve">: </w:t>
            </w:r>
            <w:r w:rsidRPr="00EE38D6">
              <w:rPr>
                <w:b/>
                <w:sz w:val="14"/>
              </w:rPr>
              <w:t>explanation</w:t>
            </w:r>
            <w:r w:rsidRPr="00EE38D6">
              <w:rPr>
                <w:sz w:val="14"/>
              </w:rPr>
              <w:t xml:space="preserve"> --&gt; [</w:t>
            </w:r>
            <w:r w:rsidRPr="00EE38D6">
              <w:rPr>
                <w:b/>
                <w:sz w:val="14"/>
              </w:rPr>
              <w:t>scope</w:t>
            </w:r>
            <w:r w:rsidRPr="00EE38D6">
              <w:rPr>
                <w:sz w:val="14"/>
              </w:rPr>
              <w:t xml:space="preserve">] </w:t>
            </w:r>
            <w:r w:rsidRPr="00EE38D6">
              <w:rPr>
                <w:b/>
                <w:sz w:val="14"/>
              </w:rPr>
              <w:t>formula</w:t>
            </w:r>
          </w:p>
        </w:tc>
        <w:tc>
          <w:tcPr>
            <w:tcW w:w="4363" w:type="dxa"/>
          </w:tcPr>
          <w:p w14:paraId="036D3F34" w14:textId="77777777" w:rsidR="00EE38D6" w:rsidRPr="00EE38D6" w:rsidRDefault="00EE38D6" w:rsidP="00637090">
            <w:pPr>
              <w:pStyle w:val="body"/>
              <w:jc w:val="left"/>
              <w:rPr>
                <w:sz w:val="14"/>
              </w:rPr>
            </w:pPr>
            <w:r w:rsidRPr="00EE38D6">
              <w:rPr>
                <w:sz w:val="14"/>
              </w:rPr>
              <w:t xml:space="preserve">v4915_m: If Default Status is not "Defaulted" then the probability of default must not be 100% --&gt; [C 101.00 (All rows)] if {c070} != </w:t>
            </w:r>
            <w:r w:rsidRPr="00EE38D6">
              <w:rPr>
                <w:sz w:val="14"/>
              </w:rPr>
              <w:lastRenderedPageBreak/>
              <w:t>[eba_IM:x3] then {c060} != 1</w:t>
            </w:r>
          </w:p>
        </w:tc>
      </w:tr>
      <w:tr w:rsidR="00EE38D6" w:rsidRPr="00EE38D6" w14:paraId="4446B277" w14:textId="77777777" w:rsidTr="00A946D4">
        <w:tc>
          <w:tcPr>
            <w:tcW w:w="0" w:type="auto"/>
          </w:tcPr>
          <w:p w14:paraId="559B640B" w14:textId="77777777" w:rsidR="00EE38D6" w:rsidRPr="00EE38D6" w:rsidRDefault="00EE38D6" w:rsidP="00637090">
            <w:pPr>
              <w:pStyle w:val="body"/>
              <w:rPr>
                <w:sz w:val="18"/>
              </w:rPr>
            </w:pPr>
            <w:proofErr w:type="spellStart"/>
            <w:r w:rsidRPr="00EE38D6">
              <w:rPr>
                <w:sz w:val="18"/>
              </w:rPr>
              <w:lastRenderedPageBreak/>
              <w:t>terseMessage</w:t>
            </w:r>
            <w:proofErr w:type="spellEnd"/>
          </w:p>
        </w:tc>
        <w:tc>
          <w:tcPr>
            <w:tcW w:w="0" w:type="auto"/>
          </w:tcPr>
          <w:p w14:paraId="4559E106" w14:textId="77777777" w:rsidR="00EE38D6" w:rsidRPr="00EE38D6" w:rsidRDefault="00EE38D6" w:rsidP="00637090">
            <w:pPr>
              <w:pStyle w:val="body"/>
              <w:rPr>
                <w:sz w:val="18"/>
              </w:rPr>
            </w:pPr>
            <w:r w:rsidRPr="00EE38D6">
              <w:rPr>
                <w:sz w:val="18"/>
              </w:rPr>
              <w:t>Custom message</w:t>
            </w:r>
          </w:p>
        </w:tc>
        <w:tc>
          <w:tcPr>
            <w:tcW w:w="2397" w:type="dxa"/>
          </w:tcPr>
          <w:p w14:paraId="241A73A8" w14:textId="77777777" w:rsidR="00EE38D6" w:rsidRPr="00EE38D6" w:rsidRDefault="00EE38D6" w:rsidP="00637090">
            <w:pPr>
              <w:pStyle w:val="body"/>
              <w:jc w:val="left"/>
              <w:rPr>
                <w:sz w:val="14"/>
              </w:rPr>
            </w:pPr>
            <w:r w:rsidRPr="00EE38D6">
              <w:rPr>
                <w:b/>
                <w:sz w:val="14"/>
              </w:rPr>
              <w:t>code</w:t>
            </w:r>
            <w:r w:rsidRPr="00EE38D6">
              <w:rPr>
                <w:sz w:val="14"/>
              </w:rPr>
              <w:t>: [</w:t>
            </w:r>
            <w:r w:rsidRPr="00EE38D6">
              <w:rPr>
                <w:b/>
                <w:sz w:val="14"/>
              </w:rPr>
              <w:t>scope</w:t>
            </w:r>
            <w:r w:rsidRPr="00EE38D6">
              <w:rPr>
                <w:sz w:val="14"/>
              </w:rPr>
              <w:t xml:space="preserve">] </w:t>
            </w:r>
            <w:r w:rsidRPr="00EE38D6">
              <w:rPr>
                <w:b/>
                <w:sz w:val="14"/>
              </w:rPr>
              <w:t>formula</w:t>
            </w:r>
          </w:p>
        </w:tc>
        <w:tc>
          <w:tcPr>
            <w:tcW w:w="4363" w:type="dxa"/>
          </w:tcPr>
          <w:p w14:paraId="25D3AAA8" w14:textId="77777777" w:rsidR="00EE38D6" w:rsidRPr="00EE38D6" w:rsidRDefault="00EE38D6" w:rsidP="00637090">
            <w:pPr>
              <w:pStyle w:val="body"/>
              <w:jc w:val="left"/>
              <w:rPr>
                <w:sz w:val="14"/>
              </w:rPr>
            </w:pPr>
            <w:r w:rsidRPr="00EE38D6">
              <w:rPr>
                <w:sz w:val="14"/>
              </w:rPr>
              <w:t>v4915_m: [C 101.00 (All rows)] if {c070} != [eba_IM:x3] then {c060} != 1</w:t>
            </w:r>
          </w:p>
        </w:tc>
      </w:tr>
      <w:tr w:rsidR="00EE38D6" w:rsidRPr="00EE38D6" w14:paraId="25898A6E" w14:textId="77777777" w:rsidTr="00A946D4">
        <w:tc>
          <w:tcPr>
            <w:tcW w:w="0" w:type="auto"/>
          </w:tcPr>
          <w:p w14:paraId="67396B5A" w14:textId="77777777" w:rsidR="00EE38D6" w:rsidRPr="00EE38D6" w:rsidRDefault="00EE38D6" w:rsidP="00637090">
            <w:pPr>
              <w:pStyle w:val="body"/>
              <w:rPr>
                <w:sz w:val="18"/>
              </w:rPr>
            </w:pPr>
            <w:r w:rsidRPr="00EE38D6">
              <w:rPr>
                <w:sz w:val="18"/>
              </w:rPr>
              <w:t>message</w:t>
            </w:r>
          </w:p>
        </w:tc>
        <w:tc>
          <w:tcPr>
            <w:tcW w:w="0" w:type="auto"/>
          </w:tcPr>
          <w:p w14:paraId="20D839A8" w14:textId="77777777" w:rsidR="00EE38D6" w:rsidRPr="00EE38D6" w:rsidRDefault="00EE38D6" w:rsidP="00637090">
            <w:pPr>
              <w:pStyle w:val="body"/>
              <w:rPr>
                <w:sz w:val="18"/>
              </w:rPr>
            </w:pPr>
            <w:r w:rsidRPr="00EE38D6">
              <w:rPr>
                <w:sz w:val="18"/>
              </w:rPr>
              <w:t>Message</w:t>
            </w:r>
          </w:p>
        </w:tc>
        <w:tc>
          <w:tcPr>
            <w:tcW w:w="2397" w:type="dxa"/>
          </w:tcPr>
          <w:p w14:paraId="2228B355" w14:textId="77777777" w:rsidR="00EE38D6" w:rsidRPr="00EE38D6" w:rsidRDefault="00EE38D6" w:rsidP="00637090">
            <w:pPr>
              <w:pStyle w:val="body"/>
              <w:jc w:val="left"/>
              <w:rPr>
                <w:sz w:val="14"/>
              </w:rPr>
            </w:pPr>
            <w:r w:rsidRPr="00EE38D6">
              <w:rPr>
                <w:b/>
                <w:sz w:val="14"/>
              </w:rPr>
              <w:t>code</w:t>
            </w:r>
            <w:r w:rsidRPr="00EE38D6">
              <w:rPr>
                <w:sz w:val="14"/>
              </w:rPr>
              <w:t xml:space="preserve">: </w:t>
            </w:r>
            <w:r w:rsidRPr="00EE38D6">
              <w:rPr>
                <w:b/>
                <w:sz w:val="14"/>
              </w:rPr>
              <w:t>explanation</w:t>
            </w:r>
            <w:r w:rsidRPr="00EE38D6">
              <w:rPr>
                <w:sz w:val="14"/>
              </w:rPr>
              <w:t xml:space="preserve"> --&gt; [</w:t>
            </w:r>
            <w:r w:rsidRPr="00EE38D6">
              <w:rPr>
                <w:b/>
                <w:sz w:val="14"/>
              </w:rPr>
              <w:t>scope</w:t>
            </w:r>
            <w:r w:rsidRPr="00EE38D6">
              <w:rPr>
                <w:sz w:val="14"/>
              </w:rPr>
              <w:t xml:space="preserve">] </w:t>
            </w:r>
            <w:r w:rsidRPr="00EE38D6">
              <w:rPr>
                <w:b/>
                <w:sz w:val="14"/>
              </w:rPr>
              <w:t>formula</w:t>
            </w:r>
          </w:p>
        </w:tc>
        <w:tc>
          <w:tcPr>
            <w:tcW w:w="4363" w:type="dxa"/>
          </w:tcPr>
          <w:p w14:paraId="0E747A6E" w14:textId="77777777" w:rsidR="00EE38D6" w:rsidRPr="00EE38D6" w:rsidRDefault="00EE38D6" w:rsidP="00637090">
            <w:pPr>
              <w:pStyle w:val="body"/>
              <w:jc w:val="left"/>
              <w:rPr>
                <w:sz w:val="14"/>
              </w:rPr>
            </w:pPr>
            <w:r w:rsidRPr="00EE38D6">
              <w:rPr>
                <w:sz w:val="14"/>
              </w:rPr>
              <w:t>v4915_m: If Default Status is not "Defaulted" then the probability of default must not be 100% --&gt; [C 101.00 (All rows)] if {c070} != [eba_IM:x3] then {c060} != 1</w:t>
            </w:r>
          </w:p>
        </w:tc>
      </w:tr>
    </w:tbl>
    <w:p w14:paraId="2105FFC6" w14:textId="77777777" w:rsidR="00A307D6" w:rsidRDefault="00A307D6" w:rsidP="00352DD9">
      <w:pPr>
        <w:contextualSpacing/>
      </w:pPr>
    </w:p>
    <w:p w14:paraId="2441FA9A" w14:textId="1C3F35AC" w:rsidR="00A307D6" w:rsidRDefault="00DB6D5C" w:rsidP="00352DD9">
      <w:pPr>
        <w:contextualSpacing/>
      </w:pPr>
      <w:r>
        <w:t>I</w:t>
      </w:r>
      <w:r w:rsidR="00A307D6">
        <w:t xml:space="preserve">ncluded </w:t>
      </w:r>
      <w:r>
        <w:t>is</w:t>
      </w:r>
      <w:r w:rsidR="00A307D6">
        <w:t xml:space="preserve"> the usual plain “archive of all relevant files” for 2.6 (or earlier versions), </w:t>
      </w:r>
      <w:r w:rsidR="00A307D6" w:rsidRPr="00A307D6">
        <w:t>FullTaxonomy.2.6.0.0.7z</w:t>
      </w:r>
    </w:p>
    <w:p w14:paraId="1FA5A3AD" w14:textId="77777777" w:rsidR="00637090" w:rsidRDefault="00637090" w:rsidP="00637090">
      <w:pPr>
        <w:ind w:left="360"/>
      </w:pPr>
    </w:p>
    <w:p w14:paraId="24454A4A" w14:textId="77777777" w:rsidR="002B431C" w:rsidRDefault="002B431C">
      <w:pPr>
        <w:rPr>
          <w:rFonts w:asciiTheme="majorHAnsi" w:eastAsiaTheme="majorEastAsia" w:hAnsiTheme="majorHAnsi" w:cstheme="majorBidi"/>
          <w:i/>
          <w:color w:val="2F5773" w:themeColor="text2"/>
          <w:spacing w:val="5"/>
          <w:kern w:val="28"/>
          <w:sz w:val="52"/>
          <w:szCs w:val="52"/>
        </w:rPr>
      </w:pPr>
      <w:r>
        <w:rPr>
          <w:i/>
        </w:rPr>
        <w:br w:type="page"/>
      </w:r>
    </w:p>
    <w:p w14:paraId="33003281" w14:textId="4BF8D662" w:rsidR="009D1FF0" w:rsidRDefault="009D1FF0" w:rsidP="009D1FF0">
      <w:pPr>
        <w:pStyle w:val="Titlelevel1"/>
        <w:rPr>
          <w:i/>
        </w:rPr>
      </w:pPr>
      <w:proofErr w:type="gramStart"/>
      <w:r>
        <w:rPr>
          <w:i/>
        </w:rPr>
        <w:lastRenderedPageBreak/>
        <w:t>v2.5</w:t>
      </w:r>
      <w:r w:rsidRPr="00E47786">
        <w:rPr>
          <w:i/>
        </w:rPr>
        <w:t>.</w:t>
      </w:r>
      <w:r>
        <w:rPr>
          <w:i/>
        </w:rPr>
        <w:t>0.1</w:t>
      </w:r>
      <w:proofErr w:type="gramEnd"/>
      <w:r>
        <w:rPr>
          <w:i/>
        </w:rPr>
        <w:t xml:space="preserve"> and v2.4.1.1</w:t>
      </w:r>
      <w:r w:rsidR="0045148F">
        <w:rPr>
          <w:i/>
        </w:rPr>
        <w:t xml:space="preserve"> </w:t>
      </w:r>
    </w:p>
    <w:p w14:paraId="1ABD5978" w14:textId="075A100F" w:rsidR="008C6146" w:rsidRDefault="008C6146" w:rsidP="00B37B93">
      <w:pPr>
        <w:pStyle w:val="Titlelevel2"/>
      </w:pPr>
      <w:r>
        <w:t xml:space="preserve">Summary </w:t>
      </w:r>
    </w:p>
    <w:p w14:paraId="4E5F244B" w14:textId="1E4943A5" w:rsidR="009D1FF0" w:rsidRDefault="00433B41" w:rsidP="00B37B93">
      <w:r>
        <w:t>“Instance compatible” patch to c</w:t>
      </w:r>
      <w:r w:rsidR="009D1FF0">
        <w:t>orrect validation rule implementation error affecting rules on table C 75</w:t>
      </w:r>
      <w:r w:rsidR="00F66EEB">
        <w:rPr>
          <w:rStyle w:val="FootnoteReference"/>
        </w:rPr>
        <w:footnoteReference w:id="3"/>
      </w:r>
      <w:r w:rsidR="002317E2">
        <w:t>, and removing invalid rules applied to tables C 101-103</w:t>
      </w:r>
      <w:r w:rsidR="002317E2">
        <w:rPr>
          <w:rStyle w:val="FootnoteReference"/>
        </w:rPr>
        <w:footnoteReference w:id="4"/>
      </w:r>
      <w:r w:rsidR="002317E2">
        <w:t>.</w:t>
      </w:r>
    </w:p>
    <w:p w14:paraId="2526B118" w14:textId="50EAAF97" w:rsidR="008C6146" w:rsidRDefault="008C6146" w:rsidP="008C6146">
      <w:pPr>
        <w:pStyle w:val="Titlelevel2"/>
      </w:pPr>
      <w:r>
        <w:t>Impact</w:t>
      </w:r>
    </w:p>
    <w:p w14:paraId="720134DC" w14:textId="5C90F67B" w:rsidR="008C6146" w:rsidRDefault="008C6146" w:rsidP="009D1FF0">
      <w:r>
        <w:t>This patch is implemented in the form of changes to some of the XBRL files specified by previous</w:t>
      </w:r>
      <w:r w:rsidR="00455509">
        <w:t xml:space="preserve"> taxonomy</w:t>
      </w:r>
      <w:r>
        <w:t xml:space="preserve"> </w:t>
      </w:r>
      <w:r w:rsidR="00455509">
        <w:t>releases.</w:t>
      </w:r>
    </w:p>
    <w:p w14:paraId="032E0719" w14:textId="77777777" w:rsidR="008C6146" w:rsidRDefault="008C6146" w:rsidP="009D1FF0"/>
    <w:p w14:paraId="6A4D85B1" w14:textId="5DFA89F6" w:rsidR="008C6146" w:rsidRDefault="008C6146" w:rsidP="009D1FF0">
      <w:r>
        <w:t xml:space="preserve">Note that since this patch release merely corrects some taxonomy files involved in specific validation rule implementations, </w:t>
      </w:r>
      <w:r w:rsidR="00455509">
        <w:t xml:space="preserve">and does not change the structure (table layout, allowed cells, enumerations/lists of values etc.) of the reporting requirements </w:t>
      </w:r>
      <w:r>
        <w:t>it is possible for parties utilising different parallel</w:t>
      </w:r>
      <w:r w:rsidR="00455509">
        <w:rPr>
          <w:rStyle w:val="FootnoteReference"/>
        </w:rPr>
        <w:footnoteReference w:id="5"/>
      </w:r>
      <w:r>
        <w:t xml:space="preserve"> minor revisions of the taxonomy to successfully exchange instance files and to structural validate them (since identical instance files would result/be defined by either version).</w:t>
      </w:r>
    </w:p>
    <w:p w14:paraId="42F2A719" w14:textId="77777777" w:rsidR="008C6146" w:rsidRDefault="008C6146" w:rsidP="009D1FF0"/>
    <w:p w14:paraId="60D4B411" w14:textId="45E1FF1E" w:rsidR="008C6146" w:rsidRDefault="008C6146" w:rsidP="009D1FF0">
      <w:r>
        <w:t>Two such parties w</w:t>
      </w:r>
      <w:r w:rsidR="007B6124">
        <w:t>ill</w:t>
      </w:r>
      <w:r>
        <w:t xml:space="preserve"> differ only in the validation results (XBRL assertion formula output) the</w:t>
      </w:r>
      <w:r w:rsidR="007B6124">
        <w:t>y will</w:t>
      </w:r>
      <w:r>
        <w:t xml:space="preserve"> obtain for a given file</w:t>
      </w:r>
      <w:r w:rsidR="00455509">
        <w:t>. Therefore if a party does not wish to update to these latest versions then</w:t>
      </w:r>
      <w:r w:rsidR="007B6124">
        <w:t>,</w:t>
      </w:r>
      <w:r w:rsidR="00455509">
        <w:t xml:space="preserve"> provided they make appropriate provisions to deal with any potential incorrect validation results they may produce locally</w:t>
      </w:r>
      <w:r w:rsidR="00455509">
        <w:rPr>
          <w:rStyle w:val="FootnoteReference"/>
        </w:rPr>
        <w:footnoteReference w:id="6"/>
      </w:r>
      <w:r w:rsidR="00455509">
        <w:t>, they would be able to continue to utilise the prior version successfully with no necessary impact on the reporting chain.</w:t>
      </w:r>
      <w:r w:rsidR="00455509">
        <w:rPr>
          <w:rStyle w:val="FootnoteReference"/>
        </w:rPr>
        <w:footnoteReference w:id="7"/>
      </w:r>
      <w:r w:rsidR="00455509">
        <w:t xml:space="preserve"> </w:t>
      </w:r>
      <w:r>
        <w:t xml:space="preserve"> </w:t>
      </w:r>
    </w:p>
    <w:p w14:paraId="679E3B97" w14:textId="77777777" w:rsidR="008C6146" w:rsidRDefault="008C6146" w:rsidP="009D1FF0"/>
    <w:p w14:paraId="78DFB5CF" w14:textId="3E9263C9" w:rsidR="008C6146" w:rsidRDefault="008C6146" w:rsidP="009D1FF0">
      <w:r>
        <w:t xml:space="preserve">As such, the impact of this release is considered low. </w:t>
      </w:r>
    </w:p>
    <w:p w14:paraId="46BEF860" w14:textId="77777777" w:rsidR="00B37B93" w:rsidRDefault="00B37B93" w:rsidP="00B37B93">
      <w:pPr>
        <w:pStyle w:val="Titlelevel2"/>
      </w:pPr>
      <w:r>
        <w:t>DPM / Reporting content changes:</w:t>
      </w:r>
    </w:p>
    <w:p w14:paraId="4939BAC5" w14:textId="2D764CE4" w:rsidR="00B37B93" w:rsidRDefault="00B37B93" w:rsidP="009D1FF0">
      <w:r>
        <w:t>No changes to the fundamental reporting content, just corrections to implementation in order to more closely align with reporting content as intended by the validation rule specification spreadsheets.</w:t>
      </w:r>
    </w:p>
    <w:p w14:paraId="3F10F5F8" w14:textId="77777777" w:rsidR="002317E2" w:rsidRDefault="002317E2" w:rsidP="009D1FF0"/>
    <w:p w14:paraId="087B4887" w14:textId="1D695A73" w:rsidR="002317E2" w:rsidRDefault="002317E2" w:rsidP="009D1FF0">
      <w:r>
        <w:t>Three validation rules deactivated/removed (v4741_h-v4743_h) as they applied numerical addition relationships to non-numeric &amp; non-additive values in error.</w:t>
      </w:r>
    </w:p>
    <w:p w14:paraId="07A7C8B8" w14:textId="77777777" w:rsidR="009D1FF0" w:rsidRDefault="009D1FF0" w:rsidP="009D1FF0">
      <w:pPr>
        <w:pStyle w:val="Titlelevel2"/>
      </w:pPr>
      <w:r w:rsidRPr="002C21E9">
        <w:t>DPM</w:t>
      </w:r>
      <w:r>
        <w:t xml:space="preserve"> DB</w:t>
      </w:r>
      <w:r w:rsidRPr="002C21E9">
        <w:t xml:space="preserve"> Changes</w:t>
      </w:r>
    </w:p>
    <w:p w14:paraId="51462874" w14:textId="1DDC8E41" w:rsidR="009D1FF0" w:rsidRDefault="009D1FF0" w:rsidP="009D1FF0">
      <w:pPr>
        <w:pStyle w:val="ListParagraph"/>
        <w:numPr>
          <w:ilvl w:val="0"/>
          <w:numId w:val="23"/>
        </w:numPr>
      </w:pPr>
      <w:r>
        <w:t>Removal of erroneous ordinates from sums</w:t>
      </w:r>
    </w:p>
    <w:p w14:paraId="20775ABE" w14:textId="0070A1BE" w:rsidR="009D1FF0" w:rsidRPr="002F1FBD" w:rsidRDefault="009D1FF0" w:rsidP="002F1FBD">
      <w:pPr>
        <w:pStyle w:val="SQL"/>
      </w:pPr>
      <w:proofErr w:type="gramStart"/>
      <w:r w:rsidRPr="002F1FBD">
        <w:lastRenderedPageBreak/>
        <w:t>delete</w:t>
      </w:r>
      <w:proofErr w:type="gramEnd"/>
      <w:r w:rsidRPr="002F1FBD">
        <w:t xml:space="preserve"> from </w:t>
      </w:r>
      <w:proofErr w:type="spellStart"/>
      <w:r w:rsidRPr="002F1FBD">
        <w:t>SumOfManyordinates</w:t>
      </w:r>
      <w:proofErr w:type="spellEnd"/>
    </w:p>
    <w:p w14:paraId="6C22A1D8" w14:textId="32CFD408" w:rsidR="009D1FF0" w:rsidRPr="002F1FBD" w:rsidRDefault="009D1FF0" w:rsidP="002F1FBD">
      <w:pPr>
        <w:pStyle w:val="SQL"/>
      </w:pPr>
      <w:r w:rsidRPr="002F1FBD">
        <w:t xml:space="preserve">where </w:t>
      </w:r>
      <w:proofErr w:type="spellStart"/>
      <w:r w:rsidRPr="002F1FBD">
        <w:t>VariableCode</w:t>
      </w:r>
      <w:proofErr w:type="spellEnd"/>
      <w:r w:rsidRPr="002F1FBD">
        <w:t xml:space="preserve"> = "b" and </w:t>
      </w:r>
      <w:proofErr w:type="spellStart"/>
      <w:r w:rsidRPr="002F1FBD">
        <w:t>OrdinateId</w:t>
      </w:r>
      <w:proofErr w:type="spellEnd"/>
      <w:r w:rsidRPr="002F1FBD">
        <w:t xml:space="preserve"> in (39953,39962,39971,39980,39989,39998,40007,40016,40043,45051,40052,45060,45069,40061,40070,45078,40079,45087,40088,45096,40097,45105,40106,45114);</w:t>
      </w:r>
    </w:p>
    <w:p w14:paraId="314A163A" w14:textId="77777777" w:rsidR="00433B41" w:rsidRDefault="00433B41" w:rsidP="009D1FF0">
      <w:pPr>
        <w:ind w:left="720"/>
        <w:rPr>
          <w:sz w:val="16"/>
          <w:szCs w:val="16"/>
        </w:rPr>
      </w:pPr>
    </w:p>
    <w:p w14:paraId="2D6E1E92" w14:textId="3F0A0124" w:rsidR="00433B41" w:rsidRDefault="00433B41" w:rsidP="00433B41">
      <w:pPr>
        <w:pStyle w:val="ListParagraph"/>
        <w:numPr>
          <w:ilvl w:val="0"/>
          <w:numId w:val="23"/>
        </w:numPr>
      </w:pPr>
      <w:r>
        <w:t>Correction of one attribute for one formula variable ordinate association</w:t>
      </w:r>
    </w:p>
    <w:p w14:paraId="71380A4E" w14:textId="77777777" w:rsidR="009D1FF0" w:rsidRPr="002F1FBD" w:rsidRDefault="009D1FF0" w:rsidP="002F1FBD">
      <w:pPr>
        <w:pStyle w:val="SQL"/>
      </w:pPr>
      <w:proofErr w:type="gramStart"/>
      <w:r w:rsidRPr="002F1FBD">
        <w:t>update</w:t>
      </w:r>
      <w:proofErr w:type="gramEnd"/>
      <w:r w:rsidRPr="002F1FBD">
        <w:t xml:space="preserve"> </w:t>
      </w:r>
      <w:proofErr w:type="spellStart"/>
      <w:r w:rsidRPr="002F1FBD">
        <w:t>OrdinateVariable</w:t>
      </w:r>
      <w:proofErr w:type="spellEnd"/>
    </w:p>
    <w:p w14:paraId="0DF03C70" w14:textId="77777777" w:rsidR="009D1FF0" w:rsidRPr="002F1FBD" w:rsidRDefault="009D1FF0" w:rsidP="002F1FBD">
      <w:pPr>
        <w:pStyle w:val="SQL"/>
      </w:pPr>
      <w:proofErr w:type="gramStart"/>
      <w:r w:rsidRPr="002F1FBD">
        <w:t>set</w:t>
      </w:r>
      <w:proofErr w:type="gramEnd"/>
      <w:r w:rsidRPr="002F1FBD">
        <w:t xml:space="preserve"> </w:t>
      </w:r>
      <w:proofErr w:type="spellStart"/>
      <w:r w:rsidRPr="002F1FBD">
        <w:t>IsScopeFilter</w:t>
      </w:r>
      <w:proofErr w:type="spellEnd"/>
      <w:r w:rsidRPr="002F1FBD">
        <w:t xml:space="preserve"> = 0 </w:t>
      </w:r>
    </w:p>
    <w:p w14:paraId="544B4FF4" w14:textId="77777777" w:rsidR="009D1FF0" w:rsidRPr="002F1FBD" w:rsidRDefault="009D1FF0" w:rsidP="002F1FBD">
      <w:pPr>
        <w:pStyle w:val="SQL"/>
      </w:pPr>
      <w:proofErr w:type="gramStart"/>
      <w:r w:rsidRPr="002F1FBD">
        <w:t>where</w:t>
      </w:r>
      <w:proofErr w:type="gramEnd"/>
      <w:r w:rsidRPr="002F1FBD">
        <w:t xml:space="preserve"> </w:t>
      </w:r>
      <w:proofErr w:type="spellStart"/>
      <w:r w:rsidRPr="002F1FBD">
        <w:t>Expressionid</w:t>
      </w:r>
      <w:proofErr w:type="spellEnd"/>
      <w:r w:rsidRPr="002F1FBD">
        <w:t xml:space="preserve"> =13314 and </w:t>
      </w:r>
      <w:proofErr w:type="spellStart"/>
      <w:r w:rsidRPr="002F1FBD">
        <w:t>VariableCode</w:t>
      </w:r>
      <w:proofErr w:type="spellEnd"/>
      <w:r w:rsidRPr="002F1FBD">
        <w:t xml:space="preserve"> = "a" and </w:t>
      </w:r>
      <w:proofErr w:type="spellStart"/>
      <w:r w:rsidRPr="002F1FBD">
        <w:t>Ordinateid</w:t>
      </w:r>
      <w:proofErr w:type="spellEnd"/>
      <w:r w:rsidRPr="002F1FBD">
        <w:t xml:space="preserve"> = 39953;</w:t>
      </w:r>
    </w:p>
    <w:p w14:paraId="5BFAB042" w14:textId="77777777" w:rsidR="00EF4B8E" w:rsidRPr="009D1FF0" w:rsidRDefault="00EF4B8E" w:rsidP="009D1FF0">
      <w:pPr>
        <w:ind w:left="720"/>
        <w:rPr>
          <w:sz w:val="16"/>
          <w:szCs w:val="16"/>
        </w:rPr>
      </w:pPr>
    </w:p>
    <w:p w14:paraId="4CC04EDA" w14:textId="080A135C" w:rsidR="0023080F" w:rsidRDefault="00EF4B8E" w:rsidP="009D1FF0">
      <w:pPr>
        <w:pStyle w:val="ListParagraph"/>
        <w:numPr>
          <w:ilvl w:val="0"/>
          <w:numId w:val="23"/>
        </w:numPr>
      </w:pPr>
      <w:r>
        <w:t>(Incidental) Adjustment of start date for v2.4 line</w:t>
      </w:r>
      <w:r w:rsidR="00972653">
        <w:t xml:space="preserve">, </w:t>
      </w:r>
      <w:r>
        <w:t>now</w:t>
      </w:r>
      <w:r w:rsidR="00972653">
        <w:t xml:space="preserve"> that </w:t>
      </w:r>
      <w:r w:rsidR="00F66EEB">
        <w:t xml:space="preserve">LR &amp; </w:t>
      </w:r>
      <w:r>
        <w:t>LCR delegated act reporting commencement date has been set by European Commission via publication of ITS in Official Journal:</w:t>
      </w:r>
    </w:p>
    <w:p w14:paraId="77C3C1BD" w14:textId="77777777" w:rsidR="002F1FBD" w:rsidRPr="002F1FBD" w:rsidRDefault="002F1FBD" w:rsidP="002F1FBD">
      <w:pPr>
        <w:pStyle w:val="SQL"/>
      </w:pPr>
      <w:proofErr w:type="gramStart"/>
      <w:r w:rsidRPr="002F1FBD">
        <w:t>update</w:t>
      </w:r>
      <w:proofErr w:type="gramEnd"/>
      <w:r w:rsidRPr="002F1FBD">
        <w:t xml:space="preserve"> Taxonomy </w:t>
      </w:r>
    </w:p>
    <w:p w14:paraId="7712C072" w14:textId="77777777" w:rsidR="00972653" w:rsidRDefault="002F1FBD" w:rsidP="002F1FBD">
      <w:pPr>
        <w:pStyle w:val="SQL"/>
      </w:pPr>
      <w:proofErr w:type="gramStart"/>
      <w:r w:rsidRPr="002F1FBD">
        <w:t>set</w:t>
      </w:r>
      <w:proofErr w:type="gramEnd"/>
      <w:r w:rsidRPr="002F1FBD">
        <w:t xml:space="preserve"> </w:t>
      </w:r>
      <w:proofErr w:type="spellStart"/>
      <w:r w:rsidRPr="002F1FBD">
        <w:t>FromDate</w:t>
      </w:r>
      <w:proofErr w:type="spellEnd"/>
      <w:r w:rsidRPr="002F1FBD">
        <w:t xml:space="preserve"> = switch(</w:t>
      </w:r>
      <w:proofErr w:type="spellStart"/>
      <w:r w:rsidRPr="002F1FBD">
        <w:t>FromDate</w:t>
      </w:r>
      <w:proofErr w:type="spellEnd"/>
      <w:r w:rsidRPr="002F1FBD">
        <w:t xml:space="preserve">=#03/30/2016#, #09/29/2016#,  </w:t>
      </w:r>
    </w:p>
    <w:p w14:paraId="2BEC667F" w14:textId="5C304A2A" w:rsidR="002F1FBD" w:rsidRPr="002F1FBD" w:rsidRDefault="00972653" w:rsidP="002F1FBD">
      <w:pPr>
        <w:pStyle w:val="SQL"/>
      </w:pPr>
      <w:r>
        <w:t xml:space="preserve">                      </w:t>
      </w:r>
      <w:proofErr w:type="spellStart"/>
      <w:r w:rsidR="002F1FBD" w:rsidRPr="002F1FBD">
        <w:t>FromDate</w:t>
      </w:r>
      <w:proofErr w:type="spellEnd"/>
      <w:r w:rsidR="002F1FBD" w:rsidRPr="002F1FBD">
        <w:t>=#03/31/2016#, #09/30/2016#,  true,</w:t>
      </w:r>
      <w:r>
        <w:t xml:space="preserve"> </w:t>
      </w:r>
      <w:proofErr w:type="spellStart"/>
      <w:r w:rsidR="002F1FBD" w:rsidRPr="002F1FBD">
        <w:t>FromDate</w:t>
      </w:r>
      <w:proofErr w:type="spellEnd"/>
      <w:r w:rsidR="002F1FBD" w:rsidRPr="002F1FBD">
        <w:t>),</w:t>
      </w:r>
    </w:p>
    <w:p w14:paraId="141DC6EF" w14:textId="77777777" w:rsidR="00972653" w:rsidRDefault="002F1FBD" w:rsidP="002F1FBD">
      <w:pPr>
        <w:pStyle w:val="SQL"/>
      </w:pPr>
      <w:r w:rsidRPr="002F1FBD">
        <w:t xml:space="preserve">    </w:t>
      </w:r>
      <w:proofErr w:type="spellStart"/>
      <w:r w:rsidRPr="002F1FBD">
        <w:t>ToDate</w:t>
      </w:r>
      <w:proofErr w:type="spellEnd"/>
      <w:r w:rsidRPr="002F1FBD">
        <w:t xml:space="preserve"> = </w:t>
      </w:r>
      <w:proofErr w:type="gramStart"/>
      <w:r w:rsidRPr="002F1FBD">
        <w:t>switch(</w:t>
      </w:r>
      <w:proofErr w:type="spellStart"/>
      <w:proofErr w:type="gramEnd"/>
      <w:r w:rsidRPr="002F1FBD">
        <w:t>ToDa</w:t>
      </w:r>
      <w:r w:rsidR="00972653">
        <w:t>te</w:t>
      </w:r>
      <w:proofErr w:type="spellEnd"/>
      <w:r w:rsidR="00972653">
        <w:t xml:space="preserve">=#03/30/2016#, #09/29/2016#, </w:t>
      </w:r>
    </w:p>
    <w:p w14:paraId="4F8FD60F" w14:textId="3EEF6EB8" w:rsidR="002F1FBD" w:rsidRPr="002F1FBD" w:rsidRDefault="00972653" w:rsidP="002F1FBD">
      <w:pPr>
        <w:pStyle w:val="SQL"/>
      </w:pPr>
      <w:r>
        <w:t xml:space="preserve"> </w:t>
      </w:r>
      <w:r>
        <w:tab/>
      </w:r>
      <w:r>
        <w:tab/>
        <w:t xml:space="preserve"> </w:t>
      </w:r>
      <w:proofErr w:type="spellStart"/>
      <w:r w:rsidR="002F1FBD" w:rsidRPr="002F1FBD">
        <w:t>ToDate</w:t>
      </w:r>
      <w:proofErr w:type="spellEnd"/>
      <w:r w:rsidR="002F1FBD" w:rsidRPr="002F1FBD">
        <w:t>=#03/31/2016#, #09/30/2016#,  true,</w:t>
      </w:r>
      <w:r>
        <w:t xml:space="preserve"> </w:t>
      </w:r>
      <w:proofErr w:type="spellStart"/>
      <w:r w:rsidR="002F1FBD" w:rsidRPr="002F1FBD">
        <w:t>ToDate</w:t>
      </w:r>
      <w:proofErr w:type="spellEnd"/>
      <w:r w:rsidR="002F1FBD" w:rsidRPr="002F1FBD">
        <w:t>);</w:t>
      </w:r>
    </w:p>
    <w:p w14:paraId="02F46401" w14:textId="77777777" w:rsidR="002F1FBD" w:rsidRPr="002F1FBD" w:rsidRDefault="002F1FBD" w:rsidP="002F1FBD">
      <w:pPr>
        <w:pStyle w:val="SQL"/>
      </w:pPr>
    </w:p>
    <w:p w14:paraId="1F6EF0EE" w14:textId="03CAEF2D" w:rsidR="002F1FBD" w:rsidRPr="002F1FBD" w:rsidRDefault="002F1FBD" w:rsidP="002F1FBD">
      <w:pPr>
        <w:pStyle w:val="SQL"/>
      </w:pPr>
      <w:proofErr w:type="gramStart"/>
      <w:r w:rsidRPr="002F1FBD">
        <w:t>update</w:t>
      </w:r>
      <w:proofErr w:type="gramEnd"/>
      <w:r w:rsidRPr="002F1FBD">
        <w:t xml:space="preserve"> </w:t>
      </w:r>
      <w:r w:rsidR="00972653">
        <w:t>C</w:t>
      </w:r>
      <w:r w:rsidRPr="002F1FBD">
        <w:t xml:space="preserve">oncept </w:t>
      </w:r>
    </w:p>
    <w:p w14:paraId="465365BD" w14:textId="77777777" w:rsidR="00972653" w:rsidRDefault="00972653" w:rsidP="00972653">
      <w:pPr>
        <w:pStyle w:val="SQL"/>
      </w:pPr>
      <w:proofErr w:type="gramStart"/>
      <w:r w:rsidRPr="002F1FBD">
        <w:t>set</w:t>
      </w:r>
      <w:proofErr w:type="gramEnd"/>
      <w:r w:rsidRPr="002F1FBD">
        <w:t xml:space="preserve"> </w:t>
      </w:r>
      <w:proofErr w:type="spellStart"/>
      <w:r w:rsidRPr="002F1FBD">
        <w:t>FromDate</w:t>
      </w:r>
      <w:proofErr w:type="spellEnd"/>
      <w:r w:rsidRPr="002F1FBD">
        <w:t xml:space="preserve"> = switch(</w:t>
      </w:r>
      <w:proofErr w:type="spellStart"/>
      <w:r w:rsidRPr="002F1FBD">
        <w:t>FromDate</w:t>
      </w:r>
      <w:proofErr w:type="spellEnd"/>
      <w:r w:rsidRPr="002F1FBD">
        <w:t xml:space="preserve">=#03/30/2016#, #09/29/2016#,  </w:t>
      </w:r>
    </w:p>
    <w:p w14:paraId="0872CE11" w14:textId="77777777" w:rsidR="00972653" w:rsidRPr="002F1FBD" w:rsidRDefault="00972653" w:rsidP="00972653">
      <w:pPr>
        <w:pStyle w:val="SQL"/>
      </w:pPr>
      <w:r>
        <w:t xml:space="preserve">                      </w:t>
      </w:r>
      <w:proofErr w:type="spellStart"/>
      <w:r w:rsidRPr="002F1FBD">
        <w:t>FromDate</w:t>
      </w:r>
      <w:proofErr w:type="spellEnd"/>
      <w:r w:rsidRPr="002F1FBD">
        <w:t>=#03/31/2016#, #09/30/2016#,  true,</w:t>
      </w:r>
      <w:r>
        <w:t xml:space="preserve"> </w:t>
      </w:r>
      <w:proofErr w:type="spellStart"/>
      <w:r w:rsidRPr="002F1FBD">
        <w:t>FromDate</w:t>
      </w:r>
      <w:proofErr w:type="spellEnd"/>
      <w:r w:rsidRPr="002F1FBD">
        <w:t>),</w:t>
      </w:r>
    </w:p>
    <w:p w14:paraId="375823D0" w14:textId="77777777" w:rsidR="00972653" w:rsidRDefault="00972653" w:rsidP="00972653">
      <w:pPr>
        <w:pStyle w:val="SQL"/>
      </w:pPr>
      <w:r w:rsidRPr="002F1FBD">
        <w:t xml:space="preserve">    </w:t>
      </w:r>
      <w:proofErr w:type="spellStart"/>
      <w:r w:rsidRPr="002F1FBD">
        <w:t>ToDate</w:t>
      </w:r>
      <w:proofErr w:type="spellEnd"/>
      <w:r w:rsidRPr="002F1FBD">
        <w:t xml:space="preserve"> = </w:t>
      </w:r>
      <w:proofErr w:type="gramStart"/>
      <w:r w:rsidRPr="002F1FBD">
        <w:t>switch(</w:t>
      </w:r>
      <w:proofErr w:type="spellStart"/>
      <w:proofErr w:type="gramEnd"/>
      <w:r w:rsidRPr="002F1FBD">
        <w:t>ToDa</w:t>
      </w:r>
      <w:r>
        <w:t>te</w:t>
      </w:r>
      <w:proofErr w:type="spellEnd"/>
      <w:r>
        <w:t xml:space="preserve">=#03/30/2016#, #09/29/2016#, </w:t>
      </w:r>
    </w:p>
    <w:p w14:paraId="4B62C0E6" w14:textId="77777777" w:rsidR="00972653" w:rsidRPr="002F1FBD" w:rsidRDefault="00972653" w:rsidP="00972653">
      <w:pPr>
        <w:pStyle w:val="SQL"/>
      </w:pPr>
      <w:r>
        <w:t xml:space="preserve"> </w:t>
      </w:r>
      <w:r>
        <w:tab/>
      </w:r>
      <w:r>
        <w:tab/>
        <w:t xml:space="preserve"> </w:t>
      </w:r>
      <w:proofErr w:type="spellStart"/>
      <w:r w:rsidRPr="002F1FBD">
        <w:t>ToDate</w:t>
      </w:r>
      <w:proofErr w:type="spellEnd"/>
      <w:r w:rsidRPr="002F1FBD">
        <w:t>=#03/31/2016#, #09/30/2016#,  true,</w:t>
      </w:r>
      <w:r>
        <w:t xml:space="preserve"> </w:t>
      </w:r>
      <w:proofErr w:type="spellStart"/>
      <w:r w:rsidRPr="002F1FBD">
        <w:t>ToDate</w:t>
      </w:r>
      <w:proofErr w:type="spellEnd"/>
      <w:r w:rsidRPr="002F1FBD">
        <w:t>);</w:t>
      </w:r>
    </w:p>
    <w:p w14:paraId="51CAC3BE" w14:textId="77777777" w:rsidR="00EF4B8E" w:rsidRDefault="00EF4B8E" w:rsidP="00EF4B8E">
      <w:pPr>
        <w:ind w:left="720"/>
        <w:rPr>
          <w:sz w:val="16"/>
          <w:szCs w:val="16"/>
        </w:rPr>
      </w:pPr>
    </w:p>
    <w:p w14:paraId="4B59F23E" w14:textId="594A9A73" w:rsidR="00972653" w:rsidRPr="002F1FBD" w:rsidRDefault="00972653" w:rsidP="00972653">
      <w:pPr>
        <w:pStyle w:val="SQL"/>
      </w:pPr>
      <w:proofErr w:type="gramStart"/>
      <w:r w:rsidRPr="002F1FBD">
        <w:t>update</w:t>
      </w:r>
      <w:proofErr w:type="gramEnd"/>
      <w:r w:rsidRPr="002F1FBD">
        <w:t xml:space="preserve"> </w:t>
      </w:r>
      <w:proofErr w:type="spellStart"/>
      <w:r>
        <w:t>DataPointVersion</w:t>
      </w:r>
      <w:proofErr w:type="spellEnd"/>
      <w:r w:rsidRPr="002F1FBD">
        <w:t xml:space="preserve"> </w:t>
      </w:r>
    </w:p>
    <w:p w14:paraId="54AF0512" w14:textId="77777777" w:rsidR="00972653" w:rsidRDefault="00972653" w:rsidP="00972653">
      <w:pPr>
        <w:pStyle w:val="SQL"/>
      </w:pPr>
      <w:proofErr w:type="gramStart"/>
      <w:r w:rsidRPr="002F1FBD">
        <w:t>set</w:t>
      </w:r>
      <w:proofErr w:type="gramEnd"/>
      <w:r w:rsidRPr="002F1FBD">
        <w:t xml:space="preserve"> </w:t>
      </w:r>
      <w:proofErr w:type="spellStart"/>
      <w:r w:rsidRPr="002F1FBD">
        <w:t>FromDate</w:t>
      </w:r>
      <w:proofErr w:type="spellEnd"/>
      <w:r w:rsidRPr="002F1FBD">
        <w:t xml:space="preserve"> = switch(</w:t>
      </w:r>
      <w:proofErr w:type="spellStart"/>
      <w:r w:rsidRPr="002F1FBD">
        <w:t>FromDate</w:t>
      </w:r>
      <w:proofErr w:type="spellEnd"/>
      <w:r w:rsidRPr="002F1FBD">
        <w:t xml:space="preserve">=#03/30/2016#, #09/29/2016#,  </w:t>
      </w:r>
    </w:p>
    <w:p w14:paraId="5962677E" w14:textId="77777777" w:rsidR="00972653" w:rsidRPr="002F1FBD" w:rsidRDefault="00972653" w:rsidP="00972653">
      <w:pPr>
        <w:pStyle w:val="SQL"/>
      </w:pPr>
      <w:r>
        <w:t xml:space="preserve">                      </w:t>
      </w:r>
      <w:proofErr w:type="spellStart"/>
      <w:r w:rsidRPr="002F1FBD">
        <w:t>FromDate</w:t>
      </w:r>
      <w:proofErr w:type="spellEnd"/>
      <w:r w:rsidRPr="002F1FBD">
        <w:t>=#03/31/2016#, #09/30/2016#,  true,</w:t>
      </w:r>
      <w:r>
        <w:t xml:space="preserve"> </w:t>
      </w:r>
      <w:proofErr w:type="spellStart"/>
      <w:r w:rsidRPr="002F1FBD">
        <w:t>FromDate</w:t>
      </w:r>
      <w:proofErr w:type="spellEnd"/>
      <w:r w:rsidRPr="002F1FBD">
        <w:t>),</w:t>
      </w:r>
    </w:p>
    <w:p w14:paraId="2F293274" w14:textId="77777777" w:rsidR="00972653" w:rsidRDefault="00972653" w:rsidP="00972653">
      <w:pPr>
        <w:pStyle w:val="SQL"/>
      </w:pPr>
      <w:r w:rsidRPr="002F1FBD">
        <w:t xml:space="preserve">    </w:t>
      </w:r>
      <w:proofErr w:type="spellStart"/>
      <w:r w:rsidRPr="002F1FBD">
        <w:t>ToDate</w:t>
      </w:r>
      <w:proofErr w:type="spellEnd"/>
      <w:r w:rsidRPr="002F1FBD">
        <w:t xml:space="preserve"> = </w:t>
      </w:r>
      <w:proofErr w:type="gramStart"/>
      <w:r w:rsidRPr="002F1FBD">
        <w:t>switch(</w:t>
      </w:r>
      <w:proofErr w:type="spellStart"/>
      <w:proofErr w:type="gramEnd"/>
      <w:r w:rsidRPr="002F1FBD">
        <w:t>ToDa</w:t>
      </w:r>
      <w:r>
        <w:t>te</w:t>
      </w:r>
      <w:proofErr w:type="spellEnd"/>
      <w:r>
        <w:t xml:space="preserve">=#03/30/2016#, #09/29/2016#, </w:t>
      </w:r>
    </w:p>
    <w:p w14:paraId="5A815246" w14:textId="77777777" w:rsidR="00972653" w:rsidRDefault="00972653" w:rsidP="00972653">
      <w:pPr>
        <w:pStyle w:val="SQL"/>
      </w:pPr>
      <w:r>
        <w:t xml:space="preserve"> </w:t>
      </w:r>
      <w:r>
        <w:tab/>
      </w:r>
      <w:r>
        <w:tab/>
        <w:t xml:space="preserve"> </w:t>
      </w:r>
      <w:proofErr w:type="spellStart"/>
      <w:r w:rsidRPr="002F1FBD">
        <w:t>ToDate</w:t>
      </w:r>
      <w:proofErr w:type="spellEnd"/>
      <w:r w:rsidRPr="002F1FBD">
        <w:t>=#03/31/2016#, #09/30/2016#,  true,</w:t>
      </w:r>
      <w:r>
        <w:t xml:space="preserve"> </w:t>
      </w:r>
      <w:proofErr w:type="spellStart"/>
      <w:r w:rsidRPr="002F1FBD">
        <w:t>ToDate</w:t>
      </w:r>
      <w:proofErr w:type="spellEnd"/>
      <w:r w:rsidRPr="002F1FBD">
        <w:t>);</w:t>
      </w:r>
    </w:p>
    <w:p w14:paraId="6ECD3D1B" w14:textId="77777777" w:rsidR="00972653" w:rsidRPr="002F1FBD" w:rsidRDefault="00972653" w:rsidP="00972653">
      <w:pPr>
        <w:pStyle w:val="SQL"/>
      </w:pPr>
    </w:p>
    <w:p w14:paraId="07F17944" w14:textId="453A75FD" w:rsidR="00972653" w:rsidRPr="002F1FBD" w:rsidRDefault="00972653" w:rsidP="00972653">
      <w:pPr>
        <w:pStyle w:val="SQL"/>
      </w:pPr>
      <w:proofErr w:type="gramStart"/>
      <w:r w:rsidRPr="002F1FBD">
        <w:t>update</w:t>
      </w:r>
      <w:proofErr w:type="gramEnd"/>
      <w:r w:rsidRPr="002F1FBD">
        <w:t xml:space="preserve"> </w:t>
      </w:r>
      <w:proofErr w:type="spellStart"/>
      <w:r>
        <w:t>TableVersion</w:t>
      </w:r>
      <w:proofErr w:type="spellEnd"/>
      <w:r w:rsidRPr="002F1FBD">
        <w:t xml:space="preserve"> </w:t>
      </w:r>
    </w:p>
    <w:p w14:paraId="55C5E4F1" w14:textId="77777777" w:rsidR="00972653" w:rsidRDefault="00972653" w:rsidP="00972653">
      <w:pPr>
        <w:pStyle w:val="SQL"/>
      </w:pPr>
      <w:proofErr w:type="gramStart"/>
      <w:r w:rsidRPr="002F1FBD">
        <w:t>set</w:t>
      </w:r>
      <w:proofErr w:type="gramEnd"/>
      <w:r w:rsidRPr="002F1FBD">
        <w:t xml:space="preserve"> </w:t>
      </w:r>
      <w:proofErr w:type="spellStart"/>
      <w:r w:rsidRPr="002F1FBD">
        <w:t>FromDate</w:t>
      </w:r>
      <w:proofErr w:type="spellEnd"/>
      <w:r w:rsidRPr="002F1FBD">
        <w:t xml:space="preserve"> = switch(</w:t>
      </w:r>
      <w:proofErr w:type="spellStart"/>
      <w:r w:rsidRPr="002F1FBD">
        <w:t>FromDate</w:t>
      </w:r>
      <w:proofErr w:type="spellEnd"/>
      <w:r w:rsidRPr="002F1FBD">
        <w:t xml:space="preserve">=#03/30/2016#, #09/29/2016#,  </w:t>
      </w:r>
    </w:p>
    <w:p w14:paraId="23ECD715" w14:textId="77777777" w:rsidR="00972653" w:rsidRPr="002F1FBD" w:rsidRDefault="00972653" w:rsidP="00972653">
      <w:pPr>
        <w:pStyle w:val="SQL"/>
      </w:pPr>
      <w:r>
        <w:t xml:space="preserve">                      </w:t>
      </w:r>
      <w:proofErr w:type="spellStart"/>
      <w:r w:rsidRPr="002F1FBD">
        <w:t>FromDate</w:t>
      </w:r>
      <w:proofErr w:type="spellEnd"/>
      <w:r w:rsidRPr="002F1FBD">
        <w:t>=#03/31/2016#, #09/30/2016#,  true,</w:t>
      </w:r>
      <w:r>
        <w:t xml:space="preserve"> </w:t>
      </w:r>
      <w:proofErr w:type="spellStart"/>
      <w:r w:rsidRPr="002F1FBD">
        <w:t>FromDate</w:t>
      </w:r>
      <w:proofErr w:type="spellEnd"/>
      <w:r w:rsidRPr="002F1FBD">
        <w:t>),</w:t>
      </w:r>
    </w:p>
    <w:p w14:paraId="5003F8D3" w14:textId="77777777" w:rsidR="00972653" w:rsidRDefault="00972653" w:rsidP="00972653">
      <w:pPr>
        <w:pStyle w:val="SQL"/>
      </w:pPr>
      <w:r w:rsidRPr="002F1FBD">
        <w:t xml:space="preserve">    </w:t>
      </w:r>
      <w:proofErr w:type="spellStart"/>
      <w:r w:rsidRPr="002F1FBD">
        <w:t>ToDate</w:t>
      </w:r>
      <w:proofErr w:type="spellEnd"/>
      <w:r w:rsidRPr="002F1FBD">
        <w:t xml:space="preserve"> = </w:t>
      </w:r>
      <w:proofErr w:type="gramStart"/>
      <w:r w:rsidRPr="002F1FBD">
        <w:t>switch(</w:t>
      </w:r>
      <w:proofErr w:type="spellStart"/>
      <w:proofErr w:type="gramEnd"/>
      <w:r w:rsidRPr="002F1FBD">
        <w:t>ToDa</w:t>
      </w:r>
      <w:r>
        <w:t>te</w:t>
      </w:r>
      <w:proofErr w:type="spellEnd"/>
      <w:r>
        <w:t xml:space="preserve">=#03/30/2016#, #09/29/2016#, </w:t>
      </w:r>
    </w:p>
    <w:p w14:paraId="436D9955" w14:textId="77777777" w:rsidR="00972653" w:rsidRPr="002F1FBD" w:rsidRDefault="00972653" w:rsidP="00972653">
      <w:pPr>
        <w:pStyle w:val="SQL"/>
      </w:pPr>
      <w:r>
        <w:t xml:space="preserve"> </w:t>
      </w:r>
      <w:r>
        <w:tab/>
      </w:r>
      <w:r>
        <w:tab/>
        <w:t xml:space="preserve"> </w:t>
      </w:r>
      <w:proofErr w:type="spellStart"/>
      <w:r w:rsidRPr="002F1FBD">
        <w:t>ToDate</w:t>
      </w:r>
      <w:proofErr w:type="spellEnd"/>
      <w:r w:rsidRPr="002F1FBD">
        <w:t>=#03/31/2016#, #09/30/2016#,  true,</w:t>
      </w:r>
      <w:r>
        <w:t xml:space="preserve"> </w:t>
      </w:r>
      <w:proofErr w:type="spellStart"/>
      <w:r w:rsidRPr="002F1FBD">
        <w:t>ToDate</w:t>
      </w:r>
      <w:proofErr w:type="spellEnd"/>
      <w:r w:rsidRPr="002F1FBD">
        <w:t>);</w:t>
      </w:r>
    </w:p>
    <w:p w14:paraId="0FEB2793" w14:textId="77777777" w:rsidR="00972653" w:rsidRPr="00EF4B8E" w:rsidRDefault="00972653" w:rsidP="00EF4B8E">
      <w:pPr>
        <w:ind w:left="720"/>
        <w:rPr>
          <w:sz w:val="16"/>
          <w:szCs w:val="16"/>
        </w:rPr>
      </w:pPr>
    </w:p>
    <w:p w14:paraId="60EDE6EA" w14:textId="77777777" w:rsidR="00B37B93" w:rsidRDefault="00B37B93" w:rsidP="00B37B93">
      <w:pPr>
        <w:pStyle w:val="Titlelevel2"/>
      </w:pPr>
      <w:r>
        <w:t>XBRL</w:t>
      </w:r>
      <w:r w:rsidRPr="002C21E9">
        <w:t xml:space="preserve"> Changes</w:t>
      </w:r>
    </w:p>
    <w:p w14:paraId="089DF1D1" w14:textId="59993B47" w:rsidR="0023080F" w:rsidRDefault="00B37B93" w:rsidP="0045148F">
      <w:pPr>
        <w:pStyle w:val="Titlelevel3"/>
      </w:pPr>
      <w:r>
        <w:t>For 2.4.1.1 (c.f. release 2.4.1.0)</w:t>
      </w:r>
      <w:r w:rsidR="0045148F">
        <w:t xml:space="preserve"> and 2.5.0.1 (c.f. release 2.5.0.0)</w:t>
      </w:r>
      <w:proofErr w:type="gramStart"/>
      <w:r w:rsidR="0045148F">
        <w:t>:</w:t>
      </w:r>
      <w:r>
        <w:t>:</w:t>
      </w:r>
      <w:proofErr w:type="gramEnd"/>
    </w:p>
    <w:p w14:paraId="2E70991A" w14:textId="77777777" w:rsidR="00B37B93" w:rsidRDefault="00B37B93" w:rsidP="00B37B93">
      <w:pPr>
        <w:rPr>
          <w:sz w:val="16"/>
          <w:szCs w:val="16"/>
        </w:rPr>
      </w:pPr>
    </w:p>
    <w:p w14:paraId="3D7F831F" w14:textId="627B41B7" w:rsidR="00B37B93" w:rsidRDefault="0045148F" w:rsidP="0045148F">
      <w:pPr>
        <w:pStyle w:val="ListParagraph"/>
        <w:numPr>
          <w:ilvl w:val="0"/>
          <w:numId w:val="23"/>
        </w:numPr>
      </w:pPr>
      <w:r>
        <w:t xml:space="preserve">COREP </w:t>
      </w:r>
      <w:r w:rsidR="00CD1A55">
        <w:t>“</w:t>
      </w:r>
      <w:r>
        <w:t>2.2.1</w:t>
      </w:r>
      <w:r w:rsidR="00CD1A55">
        <w:t>”</w:t>
      </w:r>
      <w:r>
        <w:t xml:space="preserve"> (from set 2.4.1) and </w:t>
      </w:r>
      <w:r w:rsidR="00CD1A55">
        <w:t>“</w:t>
      </w:r>
      <w:r>
        <w:t>2.2.</w:t>
      </w:r>
      <w:r w:rsidR="00CD1A55">
        <w:t>2”</w:t>
      </w:r>
      <w:r>
        <w:t xml:space="preserve"> (from set 2.5.0): </w:t>
      </w:r>
      <w:r w:rsidR="00B37B93" w:rsidRPr="0045148F">
        <w:t>Change in assertion set for C75.00.a and C75.00.w, addition</w:t>
      </w:r>
      <w:r>
        <w:t>/correction</w:t>
      </w:r>
      <w:r w:rsidR="00B37B93" w:rsidRPr="0045148F">
        <w:t xml:space="preserve"> of local versions of validation rule files for rules v4533-454</w:t>
      </w:r>
      <w:r w:rsidR="008C6146">
        <w:t>9 and v4672-4688</w:t>
      </w:r>
      <w:r w:rsidR="00B37B93" w:rsidRPr="0045148F">
        <w:t xml:space="preserve">), change to module schema files for COREP_LCR entry </w:t>
      </w:r>
      <w:proofErr w:type="gramStart"/>
      <w:r w:rsidR="00B37B93" w:rsidRPr="0045148F">
        <w:t>points</w:t>
      </w:r>
      <w:r>
        <w:t xml:space="preserve"> </w:t>
      </w:r>
      <w:r w:rsidR="00B37B93" w:rsidRPr="0045148F">
        <w:t xml:space="preserve"> to</w:t>
      </w:r>
      <w:proofErr w:type="gramEnd"/>
      <w:r w:rsidR="00B37B93" w:rsidRPr="0045148F">
        <w:t xml:space="preserve"> reference the local versions of the corrected validation rule files </w:t>
      </w:r>
      <w:r>
        <w:t xml:space="preserve">where previously </w:t>
      </w:r>
      <w:r w:rsidRPr="0045148F">
        <w:t xml:space="preserve">the </w:t>
      </w:r>
      <w:r w:rsidR="00B37B93" w:rsidRPr="0045148F">
        <w:t xml:space="preserve">2.4.0.0 </w:t>
      </w:r>
      <w:r w:rsidRPr="0045148F">
        <w:t xml:space="preserve">taxonomy </w:t>
      </w:r>
      <w:r w:rsidR="00CD1A55">
        <w:t xml:space="preserve">set </w:t>
      </w:r>
      <w:r w:rsidR="00B37B93" w:rsidRPr="0045148F">
        <w:t>version</w:t>
      </w:r>
      <w:r w:rsidRPr="0045148F">
        <w:t>s of these files</w:t>
      </w:r>
      <w:r>
        <w:t xml:space="preserve"> were </w:t>
      </w:r>
      <w:r w:rsidRPr="0045148F">
        <w:t>directly reference</w:t>
      </w:r>
      <w:r>
        <w:t>d</w:t>
      </w:r>
      <w:r w:rsidR="00B37B93" w:rsidRPr="0045148F">
        <w:t>.</w:t>
      </w:r>
    </w:p>
    <w:p w14:paraId="50151380" w14:textId="6EE5FF2D" w:rsidR="00B37B93" w:rsidRPr="0045148F" w:rsidRDefault="002317E2" w:rsidP="0045148F">
      <w:pPr>
        <w:pStyle w:val="ListParagraph"/>
        <w:numPr>
          <w:ilvl w:val="0"/>
          <w:numId w:val="23"/>
        </w:numPr>
      </w:pPr>
      <w:r>
        <w:t xml:space="preserve">SBP “1.0.3” from 2.5 </w:t>
      </w:r>
      <w:proofErr w:type="gramStart"/>
      <w:r>
        <w:t>line</w:t>
      </w:r>
      <w:proofErr w:type="gramEnd"/>
      <w:r>
        <w:t>: commenting out of link between SBP_IND and SBP_CON modules and validation rules v4741_h-v4743_h.</w:t>
      </w:r>
    </w:p>
    <w:p w14:paraId="5FBB5275" w14:textId="077BB71C" w:rsidR="00B37B93" w:rsidRDefault="0045148F" w:rsidP="0045148F">
      <w:pPr>
        <w:pStyle w:val="ListParagraph"/>
        <w:numPr>
          <w:ilvl w:val="0"/>
          <w:numId w:val="23"/>
        </w:numPr>
      </w:pPr>
      <w:r>
        <w:t xml:space="preserve">(Incidental) </w:t>
      </w:r>
      <w:r w:rsidR="00B37B93" w:rsidRPr="0045148F">
        <w:t>Change of to / from date metadata attributes in various dictionary schema files, and tax.xsd</w:t>
      </w:r>
      <w:r>
        <w:t xml:space="preserve"> files for 2.3 and 2.4 </w:t>
      </w:r>
      <w:proofErr w:type="gramStart"/>
      <w:r>
        <w:t>line</w:t>
      </w:r>
      <w:proofErr w:type="gramEnd"/>
      <w:r>
        <w:t xml:space="preserve"> COREP, FINREP and SBP reporting taxonomies </w:t>
      </w:r>
      <w:r w:rsidR="00B37B93" w:rsidRPr="0045148F">
        <w:t xml:space="preserve">with now known start date for 2.4.x taxonomy line (i.e. end March 2016 </w:t>
      </w:r>
      <w:r>
        <w:t xml:space="preserve">dates </w:t>
      </w:r>
      <w:r w:rsidR="00B37B93" w:rsidRPr="0045148F">
        <w:t>changed to end September 2016</w:t>
      </w:r>
      <w:r>
        <w:t xml:space="preserve"> dates</w:t>
      </w:r>
      <w:r w:rsidR="00B37B93" w:rsidRPr="0045148F">
        <w:t>).</w:t>
      </w:r>
    </w:p>
    <w:p w14:paraId="029F7521" w14:textId="77777777" w:rsidR="008C6146" w:rsidRDefault="008C6146" w:rsidP="008C6146">
      <w:pPr>
        <w:pStyle w:val="ListParagraph"/>
      </w:pPr>
    </w:p>
    <w:p w14:paraId="35406640" w14:textId="77777777" w:rsidR="008C6146" w:rsidRDefault="008C6146" w:rsidP="008C6146">
      <w:pPr>
        <w:pStyle w:val="ListParagraph"/>
      </w:pPr>
    </w:p>
    <w:p w14:paraId="37650E03" w14:textId="594F4F91" w:rsidR="0045148F" w:rsidRDefault="008C6146" w:rsidP="008C6146">
      <w:r>
        <w:t xml:space="preserve">Note that the taxonomy packages included are laid out in directories so as to indicate both the changes in </w:t>
      </w:r>
      <w:proofErr w:type="gramStart"/>
      <w:r>
        <w:t>this</w:t>
      </w:r>
      <w:proofErr w:type="gramEnd"/>
      <w:r>
        <w:t xml:space="preserve"> version vs 2.5.0 / 2.4.1, and the changes that were made to them in 2.5.0/2.4.1</w:t>
      </w:r>
    </w:p>
    <w:p w14:paraId="2DAF03DC" w14:textId="77777777" w:rsidR="00625D93" w:rsidRPr="0045148F" w:rsidRDefault="00625D93" w:rsidP="008C6146"/>
    <w:p w14:paraId="55B5EA66" w14:textId="182A831A" w:rsidR="00AD231B" w:rsidRDefault="00AD231B" w:rsidP="00923CC5">
      <w:pPr>
        <w:pStyle w:val="Titlelevel1"/>
        <w:rPr>
          <w:i/>
        </w:rPr>
      </w:pPr>
      <w:r>
        <w:rPr>
          <w:i/>
        </w:rPr>
        <w:lastRenderedPageBreak/>
        <w:t>v2.5</w:t>
      </w:r>
      <w:r w:rsidRPr="00E47786">
        <w:rPr>
          <w:i/>
        </w:rPr>
        <w:t>.</w:t>
      </w:r>
      <w:r>
        <w:rPr>
          <w:i/>
        </w:rPr>
        <w:t xml:space="preserve">0 </w:t>
      </w:r>
      <w:r w:rsidRPr="00E47786">
        <w:rPr>
          <w:i/>
        </w:rPr>
        <w:t>(“201</w:t>
      </w:r>
      <w:r>
        <w:rPr>
          <w:i/>
        </w:rPr>
        <w:t>6</w:t>
      </w:r>
      <w:r w:rsidRPr="00E47786">
        <w:rPr>
          <w:i/>
        </w:rPr>
        <w:t>-</w:t>
      </w:r>
      <w:r>
        <w:rPr>
          <w:i/>
        </w:rPr>
        <w:t>A”</w:t>
      </w:r>
      <w:r w:rsidRPr="00E47786">
        <w:rPr>
          <w:i/>
        </w:rPr>
        <w:t>)</w:t>
      </w:r>
    </w:p>
    <w:p w14:paraId="5CD8344B" w14:textId="77777777" w:rsidR="008350C5" w:rsidRDefault="008350C5" w:rsidP="008350C5">
      <w:pPr>
        <w:pStyle w:val="Titlelevel2"/>
      </w:pPr>
      <w:bookmarkStart w:id="13" w:name="OLE_LINK16"/>
      <w:r>
        <w:t>Summary and Impact</w:t>
      </w:r>
    </w:p>
    <w:p w14:paraId="6DD4151E" w14:textId="56E44AAD" w:rsidR="008350C5" w:rsidRDefault="008350C5" w:rsidP="008350C5">
      <w:r>
        <w:t>This release implements general evolution of the EBA reporting frameworks. All of the EBA frameworks and reports are affected, though the degree of change is not extensive. Changes are in general relatively minor adjustments, corrections and enhancements, with only limited additional data requirements.</w:t>
      </w:r>
    </w:p>
    <w:p w14:paraId="008DF6C0" w14:textId="77777777" w:rsidR="008350C5" w:rsidRDefault="008350C5" w:rsidP="008350C5"/>
    <w:p w14:paraId="5AB4DABE" w14:textId="4D7A7466" w:rsidR="008350C5" w:rsidRPr="008350C5" w:rsidRDefault="008350C5" w:rsidP="008350C5">
      <w:pPr>
        <w:ind w:left="720"/>
        <w:rPr>
          <w:i/>
        </w:rPr>
      </w:pPr>
      <w:r w:rsidRPr="008350C5">
        <w:rPr>
          <w:i/>
        </w:rPr>
        <w:t xml:space="preserve">Implementation effort for participants is not expected to be </w:t>
      </w:r>
      <w:r>
        <w:rPr>
          <w:i/>
        </w:rPr>
        <w:t>large</w:t>
      </w:r>
      <w:r w:rsidRPr="008350C5">
        <w:rPr>
          <w:i/>
        </w:rPr>
        <w:t>.</w:t>
      </w:r>
    </w:p>
    <w:p w14:paraId="08E3BFD8" w14:textId="77777777" w:rsidR="00A526CE" w:rsidRDefault="00A526CE" w:rsidP="00A526CE">
      <w:pPr>
        <w:pStyle w:val="Titlelevel2"/>
      </w:pPr>
      <w:bookmarkStart w:id="14" w:name="OLE_LINK12"/>
      <w:bookmarkStart w:id="15" w:name="OLE_LINK13"/>
      <w:bookmarkEnd w:id="13"/>
      <w:r w:rsidRPr="00AF5AA3">
        <w:t>Purpose</w:t>
      </w:r>
    </w:p>
    <w:bookmarkEnd w:id="14"/>
    <w:bookmarkEnd w:id="15"/>
    <w:p w14:paraId="2443897A" w14:textId="18B79101" w:rsidR="00A526CE" w:rsidRDefault="00B2759E" w:rsidP="00183058">
      <w:pPr>
        <w:pStyle w:val="ListParagraph"/>
        <w:numPr>
          <w:ilvl w:val="0"/>
          <w:numId w:val="21"/>
        </w:numPr>
      </w:pPr>
      <w:r>
        <w:t>Primarily c</w:t>
      </w:r>
      <w:r w:rsidR="00A526CE">
        <w:t>orrections and changes to FINREP and COREP:</w:t>
      </w:r>
    </w:p>
    <w:p w14:paraId="4DFDD626" w14:textId="77777777" w:rsidR="00A526CE" w:rsidRDefault="00A526CE" w:rsidP="00183058">
      <w:pPr>
        <w:pStyle w:val="ListParagraph"/>
        <w:numPr>
          <w:ilvl w:val="1"/>
          <w:numId w:val="21"/>
        </w:numPr>
      </w:pPr>
      <w:r>
        <w:t>Changes to FINREP as regards GAAP reporters</w:t>
      </w:r>
    </w:p>
    <w:p w14:paraId="1E0D5EED" w14:textId="77777777" w:rsidR="00A526CE" w:rsidRDefault="00A526CE" w:rsidP="00183058">
      <w:pPr>
        <w:pStyle w:val="ListParagraph"/>
        <w:numPr>
          <w:ilvl w:val="1"/>
          <w:numId w:val="21"/>
        </w:numPr>
      </w:pPr>
      <w:r>
        <w:t>Changes to COREP to align with CCB disclosure</w:t>
      </w:r>
    </w:p>
    <w:p w14:paraId="01FF6BE4" w14:textId="77777777" w:rsidR="00A526CE" w:rsidRDefault="00A526CE" w:rsidP="00183058">
      <w:pPr>
        <w:pStyle w:val="ListParagraph"/>
        <w:numPr>
          <w:ilvl w:val="0"/>
          <w:numId w:val="21"/>
        </w:numPr>
      </w:pPr>
      <w:r>
        <w:t>Implementation at the XBRL level of the additional Asset Encumbrance validation rules that were added to the validation rule spreadsheet in v2.4</w:t>
      </w:r>
    </w:p>
    <w:p w14:paraId="2D1DA64D" w14:textId="3B7E0B03" w:rsidR="0000662A" w:rsidRDefault="0000662A" w:rsidP="00183058">
      <w:pPr>
        <w:pStyle w:val="ListParagraph"/>
        <w:numPr>
          <w:ilvl w:val="0"/>
          <w:numId w:val="21"/>
        </w:numPr>
      </w:pPr>
      <w:r>
        <w:t>Minor changes and corrections to the other frameworks.</w:t>
      </w:r>
    </w:p>
    <w:p w14:paraId="55B5EA67" w14:textId="2C5E4D14" w:rsidR="00394670" w:rsidRDefault="00BC7A7F" w:rsidP="00BC7A7F">
      <w:pPr>
        <w:pStyle w:val="Titlelevel2"/>
      </w:pPr>
      <w:r>
        <w:t xml:space="preserve">DPM / </w:t>
      </w:r>
      <w:r w:rsidR="0060474C">
        <w:t>Reporting content</w:t>
      </w:r>
      <w:r w:rsidR="00394670">
        <w:t xml:space="preserve"> changes:</w:t>
      </w:r>
    </w:p>
    <w:p w14:paraId="55B5EA68" w14:textId="48DCBE42" w:rsidR="00394670" w:rsidRDefault="001A4D91" w:rsidP="00AD231B">
      <w:r>
        <w:t>(</w:t>
      </w:r>
      <w:proofErr w:type="gramStart"/>
      <w:r>
        <w:t>see</w:t>
      </w:r>
      <w:proofErr w:type="gramEnd"/>
      <w:r>
        <w:t xml:space="preserve"> “</w:t>
      </w:r>
      <w:r w:rsidR="00A526CE" w:rsidRPr="00F14EAF">
        <w:t>Summary Differences 2.5 to 2.4.docx</w:t>
      </w:r>
      <w:r>
        <w:t>” file for more detail of changes)</w:t>
      </w:r>
    </w:p>
    <w:p w14:paraId="55B5EA69" w14:textId="77777777" w:rsidR="00BC7A7F" w:rsidRPr="00BC7A7F" w:rsidRDefault="00BC7A7F" w:rsidP="00BC7A7F">
      <w:pPr>
        <w:pStyle w:val="Titlelevel3"/>
      </w:pPr>
      <w:r w:rsidRPr="00BC7A7F">
        <w:t xml:space="preserve">COREP </w:t>
      </w:r>
    </w:p>
    <w:p w14:paraId="59394D6D" w14:textId="7518892C" w:rsidR="001A4D91" w:rsidRPr="0000662A" w:rsidRDefault="00113BFD" w:rsidP="00183058">
      <w:pPr>
        <w:pStyle w:val="ListParagraph"/>
        <w:numPr>
          <w:ilvl w:val="0"/>
          <w:numId w:val="28"/>
        </w:numPr>
        <w:rPr>
          <w:rFonts w:ascii="Calibri" w:eastAsia="Times New Roman" w:hAnsi="Calibri" w:cs="Times New Roman"/>
          <w:color w:val="000000"/>
          <w:szCs w:val="22"/>
        </w:rPr>
      </w:pPr>
      <w:r>
        <w:t>C 09.03 table deleted, replaced with C09.04</w:t>
      </w:r>
      <w:r w:rsidR="001A4D91">
        <w:t xml:space="preserve"> requesting a wider set of data related to the </w:t>
      </w:r>
      <w:proofErr w:type="gramStart"/>
      <w:r w:rsidR="001A4D91">
        <w:t>Countercyclical</w:t>
      </w:r>
      <w:proofErr w:type="gramEnd"/>
      <w:r w:rsidR="001A4D91">
        <w:t xml:space="preserve"> buffer calculation.</w:t>
      </w:r>
    </w:p>
    <w:p w14:paraId="16472928" w14:textId="74E97EB7" w:rsidR="001A4D91" w:rsidRPr="0000662A" w:rsidRDefault="001A4D91" w:rsidP="00183058">
      <w:pPr>
        <w:pStyle w:val="ListParagraph"/>
        <w:numPr>
          <w:ilvl w:val="0"/>
          <w:numId w:val="28"/>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Additions to the currency codes noted below, impacting C 51-54, 60, 61, 66-76.</w:t>
      </w:r>
    </w:p>
    <w:p w14:paraId="55B5EA6B" w14:textId="77777777" w:rsidR="00BC7A7F" w:rsidRPr="00BC7A7F" w:rsidRDefault="00BC7A7F" w:rsidP="00BC7A7F">
      <w:pPr>
        <w:pStyle w:val="Titlelevel3"/>
      </w:pPr>
      <w:r w:rsidRPr="00BC7A7F">
        <w:t>FINREP</w:t>
      </w:r>
    </w:p>
    <w:p w14:paraId="55B5EA6C" w14:textId="5AC2D339" w:rsidR="00394670" w:rsidRDefault="00394670" w:rsidP="00183058">
      <w:pPr>
        <w:pStyle w:val="ListParagraph"/>
        <w:numPr>
          <w:ilvl w:val="0"/>
          <w:numId w:val="27"/>
        </w:numPr>
      </w:pPr>
      <w:r w:rsidRPr="00394670">
        <w:t>Nesting of row</w:t>
      </w:r>
      <w:r w:rsidR="00024782">
        <w:t xml:space="preserve">s in F_18.00 and F_19.00 corrected. Previously rows 010 to 170 did </w:t>
      </w:r>
      <w:r w:rsidRPr="00394670">
        <w:t>not appear to be chi</w:t>
      </w:r>
      <w:r w:rsidR="00024782">
        <w:t>ldren of row 180 but rather had</w:t>
      </w:r>
      <w:r w:rsidRPr="00394670">
        <w:t xml:space="preserve"> no par</w:t>
      </w:r>
      <w:r w:rsidR="00024782">
        <w:t xml:space="preserve">ent, and rows 190 to 310 appeared </w:t>
      </w:r>
      <w:r w:rsidRPr="00394670">
        <w:t>as children of row 180 ins</w:t>
      </w:r>
      <w:r w:rsidR="00C27FA7">
        <w:t xml:space="preserve">tead. Note this is the first use of a different value for </w:t>
      </w:r>
      <w:proofErr w:type="spellStart"/>
      <w:r w:rsidR="00C27FA7">
        <w:t>ParentBeforeChildren</w:t>
      </w:r>
      <w:proofErr w:type="spellEnd"/>
      <w:r w:rsidR="00C27FA7">
        <w:t xml:space="preserve"> field in </w:t>
      </w:r>
      <w:proofErr w:type="spellStart"/>
      <w:r w:rsidR="00C27FA7">
        <w:t>AxisOrdinate</w:t>
      </w:r>
      <w:proofErr w:type="spellEnd"/>
      <w:r w:rsidR="00AF39A0">
        <w:t xml:space="preserve"> table of DPM database.</w:t>
      </w:r>
    </w:p>
    <w:p w14:paraId="55B5EA6D" w14:textId="77777777" w:rsidR="00DD74C7" w:rsidRPr="00BC7A7F" w:rsidRDefault="00BC7A7F" w:rsidP="00BC7A7F">
      <w:pPr>
        <w:pStyle w:val="Titlelevel3"/>
      </w:pPr>
      <w:r w:rsidRPr="00BC7A7F">
        <w:t xml:space="preserve">Funding </w:t>
      </w:r>
      <w:r>
        <w:t>P</w:t>
      </w:r>
      <w:r w:rsidRPr="00BC7A7F">
        <w:t>lans</w:t>
      </w:r>
      <w:r w:rsidR="00AB25CF" w:rsidRPr="00BC7A7F">
        <w:tab/>
      </w:r>
    </w:p>
    <w:p w14:paraId="55B5EA6E" w14:textId="4135C94E" w:rsidR="00DD74C7" w:rsidRPr="0000662A" w:rsidRDefault="00DD74C7" w:rsidP="00183058">
      <w:pPr>
        <w:pStyle w:val="ListParagraph"/>
        <w:numPr>
          <w:ilvl w:val="0"/>
          <w:numId w:val="26"/>
        </w:numPr>
        <w:rPr>
          <w:rFonts w:ascii="Calibri" w:eastAsia="Times New Roman" w:hAnsi="Calibri" w:cs="Times New Roman"/>
          <w:color w:val="000000"/>
          <w:szCs w:val="22"/>
        </w:rPr>
      </w:pPr>
      <w:r w:rsidRPr="0000662A">
        <w:rPr>
          <w:rFonts w:ascii="Calibri" w:eastAsia="Times New Roman" w:hAnsi="Calibri" w:cs="Times New Roman"/>
          <w:color w:val="000000"/>
          <w:szCs w:val="22"/>
        </w:rPr>
        <w:t>Renumber</w:t>
      </w:r>
      <w:r w:rsidR="00AF39A0" w:rsidRPr="0000662A">
        <w:rPr>
          <w:rFonts w:ascii="Calibri" w:eastAsia="Times New Roman" w:hAnsi="Calibri" w:cs="Times New Roman"/>
          <w:color w:val="000000"/>
          <w:szCs w:val="22"/>
        </w:rPr>
        <w:t>ed</w:t>
      </w:r>
      <w:r w:rsidRPr="0000662A">
        <w:rPr>
          <w:rFonts w:ascii="Calibri" w:eastAsia="Times New Roman" w:hAnsi="Calibri" w:cs="Times New Roman"/>
          <w:color w:val="000000"/>
          <w:szCs w:val="22"/>
        </w:rPr>
        <w:t>/corrected P02.06 row 049 to 039 (to reflect correct position in layout), this shuffles the XBRL hierarchy, such that 040 is now correctly the child of this row (rather than erroneously being included with rows 010-030).</w:t>
      </w:r>
    </w:p>
    <w:p w14:paraId="55B5EA6F" w14:textId="77777777" w:rsidR="00BC7A7F" w:rsidRDefault="00BC7A7F" w:rsidP="00BC7A7F">
      <w:pPr>
        <w:pStyle w:val="Titlelevel3"/>
        <w:rPr>
          <w:rFonts w:eastAsia="Times New Roman"/>
        </w:rPr>
      </w:pPr>
      <w:r>
        <w:rPr>
          <w:rFonts w:eastAsia="Times New Roman"/>
        </w:rPr>
        <w:lastRenderedPageBreak/>
        <w:t>Benchmarking (SBP)</w:t>
      </w:r>
    </w:p>
    <w:p w14:paraId="55B5EA70" w14:textId="47787E64" w:rsidR="00BC7A7F" w:rsidRPr="0000662A" w:rsidRDefault="00BC7A7F" w:rsidP="00183058">
      <w:pPr>
        <w:pStyle w:val="ListParagraph"/>
        <w:numPr>
          <w:ilvl w:val="0"/>
          <w:numId w:val="25"/>
        </w:numPr>
        <w:rPr>
          <w:rFonts w:ascii="Calibri" w:eastAsia="Times New Roman" w:hAnsi="Calibri" w:cs="Times New Roman"/>
          <w:color w:val="0070C0"/>
          <w:szCs w:val="22"/>
        </w:rPr>
      </w:pPr>
      <w:r w:rsidRPr="0000662A">
        <w:rPr>
          <w:rFonts w:ascii="Calibri" w:eastAsia="Times New Roman" w:hAnsi="Calibri" w:cs="Times New Roman"/>
          <w:color w:val="000000"/>
          <w:szCs w:val="22"/>
        </w:rPr>
        <w:t xml:space="preserve">Tables C101-103 </w:t>
      </w:r>
      <w:r w:rsidR="00AF39A0" w:rsidRPr="0000662A">
        <w:rPr>
          <w:rFonts w:ascii="Calibri" w:eastAsia="Times New Roman" w:hAnsi="Calibri" w:cs="Times New Roman"/>
          <w:color w:val="000000"/>
          <w:szCs w:val="22"/>
        </w:rPr>
        <w:t xml:space="preserve">are </w:t>
      </w:r>
      <w:r w:rsidRPr="0000662A">
        <w:rPr>
          <w:rFonts w:ascii="Calibri" w:eastAsia="Times New Roman" w:hAnsi="Calibri" w:cs="Times New Roman"/>
          <w:color w:val="000000"/>
          <w:szCs w:val="22"/>
        </w:rPr>
        <w:t>each split into 3 sheets (one each for “Credit risk, counterparty credit risk and free deliveries” , “Credit risk and free deliveries”  and “Counterparty credit risk”) – rather than all implicitly being “Credit risk, counterparty credit risk and free deliveries”.</w:t>
      </w:r>
    </w:p>
    <w:p w14:paraId="55B5EA71" w14:textId="77777777" w:rsidR="006E587D" w:rsidRDefault="006E587D" w:rsidP="00BC7A7F">
      <w:pPr>
        <w:pStyle w:val="Titlelevel3"/>
      </w:pPr>
      <w:r>
        <w:t>Asset Encumbrance (AE)</w:t>
      </w:r>
    </w:p>
    <w:p w14:paraId="0146DBA8" w14:textId="2D3CB818" w:rsidR="0095121B" w:rsidRPr="0000662A" w:rsidRDefault="00C132AD"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Additional validation rules</w:t>
      </w:r>
      <w:r w:rsidR="0095121B" w:rsidRPr="0000662A">
        <w:rPr>
          <w:rFonts w:ascii="Calibri" w:eastAsia="Times New Roman" w:hAnsi="Calibri" w:cs="Times New Roman"/>
          <w:color w:val="000000"/>
          <w:szCs w:val="22"/>
        </w:rPr>
        <w:t xml:space="preserve"> (that were previously published but noted as not implemented in the XBRL taxonomy)</w:t>
      </w:r>
      <w:r w:rsidRPr="0000662A">
        <w:rPr>
          <w:rFonts w:ascii="Calibri" w:eastAsia="Times New Roman" w:hAnsi="Calibri" w:cs="Times New Roman"/>
          <w:color w:val="000000"/>
          <w:szCs w:val="22"/>
        </w:rPr>
        <w:t xml:space="preserve"> included at XBRL level. </w:t>
      </w:r>
    </w:p>
    <w:p w14:paraId="7F2E2132" w14:textId="097DACEE" w:rsidR="001A4D91" w:rsidRPr="0000662A" w:rsidRDefault="001A4D91"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Corrections to sign metadata on columns 100, 200 and 140 of F 35.00.</w:t>
      </w:r>
    </w:p>
    <w:p w14:paraId="55B5EA72" w14:textId="5B1D9724" w:rsidR="006E587D" w:rsidRPr="0000662A" w:rsidRDefault="00156A70"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Additions</w:t>
      </w:r>
      <w:r w:rsidR="006E587D" w:rsidRPr="0000662A">
        <w:rPr>
          <w:rFonts w:ascii="Calibri" w:eastAsia="Times New Roman" w:hAnsi="Calibri" w:cs="Times New Roman"/>
          <w:color w:val="000000"/>
          <w:szCs w:val="22"/>
        </w:rPr>
        <w:t xml:space="preserve"> to the currency codes noted below, impacting F </w:t>
      </w:r>
      <w:proofErr w:type="gramStart"/>
      <w:r w:rsidR="006E587D" w:rsidRPr="0000662A">
        <w:rPr>
          <w:rFonts w:ascii="Calibri" w:eastAsia="Times New Roman" w:hAnsi="Calibri" w:cs="Times New Roman"/>
          <w:color w:val="000000"/>
          <w:szCs w:val="22"/>
        </w:rPr>
        <w:t>34.00.c .</w:t>
      </w:r>
      <w:proofErr w:type="gramEnd"/>
      <w:r w:rsidR="006E587D" w:rsidRPr="0000662A">
        <w:rPr>
          <w:rFonts w:ascii="Calibri" w:eastAsia="Times New Roman" w:hAnsi="Calibri" w:cs="Times New Roman"/>
          <w:color w:val="000000"/>
          <w:szCs w:val="22"/>
        </w:rPr>
        <w:t xml:space="preserve"> </w:t>
      </w:r>
    </w:p>
    <w:p w14:paraId="55B5EA73" w14:textId="77777777" w:rsidR="00BC7A7F" w:rsidRPr="00BC7A7F" w:rsidRDefault="00BC7A7F" w:rsidP="00BC7A7F">
      <w:pPr>
        <w:pStyle w:val="Titlelevel3"/>
      </w:pPr>
      <w:r w:rsidRPr="00BC7A7F">
        <w:t>G</w:t>
      </w:r>
      <w:r>
        <w:t>e</w:t>
      </w:r>
      <w:r w:rsidRPr="00BC7A7F">
        <w:t>neral</w:t>
      </w:r>
    </w:p>
    <w:p w14:paraId="44ED4FFC" w14:textId="77777777" w:rsidR="00B2759E" w:rsidRPr="00B2759E" w:rsidRDefault="00BC7A7F" w:rsidP="00183058">
      <w:pPr>
        <w:pStyle w:val="ListParagraph"/>
        <w:numPr>
          <w:ilvl w:val="0"/>
          <w:numId w:val="29"/>
        </w:numPr>
        <w:rPr>
          <w:rFonts w:ascii="Calibri" w:eastAsia="Times New Roman" w:hAnsi="Calibri" w:cs="Times New Roman"/>
          <w:szCs w:val="22"/>
        </w:rPr>
      </w:pPr>
      <w:r>
        <w:t>Addition of new Eurostat International organisations fr</w:t>
      </w:r>
      <w:r w:rsidR="00675C65">
        <w:t xml:space="preserve">om 2015 </w:t>
      </w:r>
      <w:proofErr w:type="spellStart"/>
      <w:r w:rsidR="00675C65">
        <w:t>vandemecum</w:t>
      </w:r>
      <w:proofErr w:type="spellEnd"/>
      <w:r w:rsidR="00675C65">
        <w:t xml:space="preserve"> update</w:t>
      </w:r>
    </w:p>
    <w:p w14:paraId="39750C26" w14:textId="77777777" w:rsidR="00B2759E" w:rsidRDefault="00B2759E" w:rsidP="00B2759E"/>
    <w:p w14:paraId="55B5EA74" w14:textId="388AA1FC" w:rsidR="00BC7A7F" w:rsidRPr="00B2759E" w:rsidRDefault="00B2759E" w:rsidP="00B2759E">
      <w:pPr>
        <w:rPr>
          <w:rFonts w:ascii="Calibri" w:eastAsia="Times New Roman" w:hAnsi="Calibri" w:cs="Times New Roman"/>
          <w:szCs w:val="22"/>
        </w:rPr>
      </w:pPr>
      <w:r>
        <w:t>N</w:t>
      </w:r>
      <w:r w:rsidR="00675C65">
        <w:t xml:space="preserve">ote Eurostat’s </w:t>
      </w:r>
      <w:r w:rsidR="00BC7A7F">
        <w:t xml:space="preserve">change from </w:t>
      </w:r>
      <w:r w:rsidR="00675C65">
        <w:t xml:space="preserve">use of </w:t>
      </w:r>
      <w:r w:rsidR="00BC7A7F">
        <w:t>ESTAT</w:t>
      </w:r>
      <w:proofErr w:type="gramStart"/>
      <w:r w:rsidR="00BC7A7F">
        <w:t>:CL</w:t>
      </w:r>
      <w:proofErr w:type="gramEnd"/>
      <w:r w:rsidR="00BC7A7F">
        <w:t>_AREA_EE</w:t>
      </w:r>
      <w:r w:rsidR="00156A70">
        <w:t xml:space="preserve"> code list</w:t>
      </w:r>
      <w:r w:rsidR="00CE0618">
        <w:t xml:space="preserve"> to IMF:CL_AREA in 2015(2014</w:t>
      </w:r>
      <w:r w:rsidR="003006D2">
        <w:t>?</w:t>
      </w:r>
      <w:r w:rsidR="00BC7A7F">
        <w:t>)</w:t>
      </w:r>
      <w:r w:rsidR="003006D2">
        <w:t xml:space="preserve"> </w:t>
      </w:r>
      <w:proofErr w:type="gramStart"/>
      <w:r w:rsidR="003006D2">
        <w:t>Under BPM6</w:t>
      </w:r>
      <w:r w:rsidR="00BC7A7F">
        <w:t>.</w:t>
      </w:r>
      <w:proofErr w:type="gramEnd"/>
      <w:r w:rsidR="00BC7A7F">
        <w:t xml:space="preserve"> Several of the codes from the new country list clash with those from the old, in those cases the new countries have been given codes prefixed with “</w:t>
      </w:r>
      <w:r w:rsidR="00BC7A7F" w:rsidRPr="00B2759E">
        <w:rPr>
          <w:rFonts w:ascii="Calibri" w:eastAsia="Times New Roman" w:hAnsi="Calibri" w:cs="Times New Roman"/>
          <w:szCs w:val="22"/>
        </w:rPr>
        <w:t>IMF.CL_AREA.</w:t>
      </w:r>
      <w:r w:rsidR="00EA370A" w:rsidRPr="00B2759E">
        <w:rPr>
          <w:rFonts w:ascii="Calibri" w:eastAsia="Times New Roman" w:hAnsi="Calibri" w:cs="Times New Roman"/>
          <w:szCs w:val="22"/>
        </w:rPr>
        <w:t>”. Countries with pre-existing (CL_AREA_</w:t>
      </w:r>
      <w:r w:rsidR="00780161" w:rsidRPr="00B2759E">
        <w:rPr>
          <w:rFonts w:ascii="Calibri" w:eastAsia="Times New Roman" w:hAnsi="Calibri" w:cs="Times New Roman"/>
          <w:szCs w:val="22"/>
        </w:rPr>
        <w:t>EE) codes that are different in</w:t>
      </w:r>
      <w:r w:rsidR="00EA370A" w:rsidRPr="00B2759E">
        <w:rPr>
          <w:rFonts w:ascii="Calibri" w:eastAsia="Times New Roman" w:hAnsi="Calibri" w:cs="Times New Roman"/>
          <w:szCs w:val="22"/>
        </w:rPr>
        <w:t xml:space="preserve"> the new Eurostat list retain their previous codes.</w:t>
      </w:r>
    </w:p>
    <w:p w14:paraId="55B5EA75" w14:textId="77777777" w:rsidR="00BC7A7F" w:rsidRDefault="00BC7A7F" w:rsidP="00BC7A7F"/>
    <w:p w14:paraId="63099102" w14:textId="77777777" w:rsidR="00B2759E" w:rsidRDefault="00BC7A7F" w:rsidP="00183058">
      <w:pPr>
        <w:pStyle w:val="ListParagraph"/>
        <w:numPr>
          <w:ilvl w:val="0"/>
          <w:numId w:val="29"/>
        </w:numPr>
      </w:pPr>
      <w:r>
        <w:t>Addition of currency member (CU</w:t>
      </w:r>
      <w:proofErr w:type="gramStart"/>
      <w:r>
        <w:t>:</w:t>
      </w:r>
      <w:r w:rsidR="00780161">
        <w:t>BRN</w:t>
      </w:r>
      <w:proofErr w:type="gramEnd"/>
      <w:r>
        <w:t xml:space="preserve">) for planned new (“2009 series”) Belarus </w:t>
      </w:r>
      <w:proofErr w:type="spellStart"/>
      <w:r>
        <w:t>Ruble</w:t>
      </w:r>
      <w:proofErr w:type="spellEnd"/>
      <w:r>
        <w:t xml:space="preserve">, and “new” </w:t>
      </w:r>
      <w:r w:rsidR="00B2759E">
        <w:t>(2013) Zambian Kwacha (CU:ZMW).</w:t>
      </w:r>
    </w:p>
    <w:p w14:paraId="65FEF65F" w14:textId="77777777" w:rsidR="00B2759E" w:rsidRDefault="00B2759E" w:rsidP="00B2759E"/>
    <w:p w14:paraId="55B5EA76" w14:textId="013E89B6" w:rsidR="00BC7A7F" w:rsidRDefault="00BC7A7F" w:rsidP="00B2759E">
      <w:r>
        <w:t>Add</w:t>
      </w:r>
      <w:r w:rsidR="00B2759E">
        <w:t>ition of</w:t>
      </w:r>
      <w:r>
        <w:t xml:space="preserve"> these new currencies to CU3_1 (triggers knock on regeneration of </w:t>
      </w:r>
      <w:r w:rsidRPr="00B2759E">
        <w:rPr>
          <w:rFonts w:ascii="Calibri" w:eastAsia="Times New Roman" w:hAnsi="Calibri" w:cs="Times New Roman"/>
          <w:color w:val="000000"/>
          <w:szCs w:val="22"/>
        </w:rPr>
        <w:t>C 51.00.w, C 51.00.x, C 52.00.w, C 52.00.x, C 52.00.y, C 52.00.z, C 53.00.w, C 53.00.x, C 53.00.y, C 54.00.w, C 60.00.w, C 60.00.x, C 61.00.w, C 61.00.x, F 34.00.c, P 02.06, C 66.00.w, C 66.00.x, C 67.00.w, C 68.00.w, C 69.00.w, C 70.00.w, C 71.00.w, C 72.00.w, C 73.00.w, C 74.00.w, C 75.00.w, C 76.00.w</w:t>
      </w:r>
      <w:r w:rsidR="00DF1E50">
        <w:t xml:space="preserve"> at XBRL level </w:t>
      </w:r>
      <w:r>
        <w:t>to add app</w:t>
      </w:r>
      <w:r w:rsidR="00DF1E50">
        <w:t xml:space="preserve">ropriated entries to the valid </w:t>
      </w:r>
      <w:proofErr w:type="spellStart"/>
      <w:r>
        <w:t>hypercubes</w:t>
      </w:r>
      <w:proofErr w:type="spellEnd"/>
      <w:r>
        <w:t>).</w:t>
      </w:r>
    </w:p>
    <w:p w14:paraId="3D75D189" w14:textId="77777777" w:rsidR="00F823CC" w:rsidRDefault="00F823CC" w:rsidP="00BC7A7F"/>
    <w:p w14:paraId="174D3EC7" w14:textId="77777777" w:rsidR="00F823CC" w:rsidRDefault="00F823CC" w:rsidP="00F823CC">
      <w:pPr>
        <w:pStyle w:val="Titlelevel2"/>
      </w:pPr>
      <w:r w:rsidRPr="002C21E9">
        <w:t>DPM</w:t>
      </w:r>
      <w:r>
        <w:t xml:space="preserve"> DB</w:t>
      </w:r>
      <w:r w:rsidRPr="002C21E9">
        <w:t xml:space="preserve"> Changes</w:t>
      </w:r>
    </w:p>
    <w:p w14:paraId="096E0D45" w14:textId="77777777" w:rsidR="00F823CC" w:rsidRDefault="00F823CC" w:rsidP="00183058">
      <w:pPr>
        <w:pStyle w:val="ListParagraph"/>
        <w:numPr>
          <w:ilvl w:val="0"/>
          <w:numId w:val="21"/>
        </w:numPr>
      </w:pPr>
      <w:r>
        <w:t xml:space="preserve">Use of new </w:t>
      </w:r>
      <w:proofErr w:type="spellStart"/>
      <w:r>
        <w:t>DatapointVersionTransition</w:t>
      </w:r>
      <w:proofErr w:type="spellEnd"/>
      <w:r>
        <w:t xml:space="preserve"> and </w:t>
      </w:r>
      <w:proofErr w:type="spellStart"/>
      <w:r>
        <w:t>DatapointVersionTransitionLink</w:t>
      </w:r>
      <w:proofErr w:type="spellEnd"/>
      <w:r>
        <w:t xml:space="preserve"> tables:</w:t>
      </w:r>
    </w:p>
    <w:p w14:paraId="5DFFD3A6" w14:textId="77777777" w:rsidR="00F823CC" w:rsidRDefault="00F823CC" w:rsidP="00F823CC">
      <w:pPr>
        <w:pStyle w:val="ListParagraph"/>
        <w:ind w:left="1080"/>
      </w:pPr>
      <w:r>
        <w:rPr>
          <w:noProof/>
        </w:rPr>
        <w:drawing>
          <wp:inline distT="0" distB="0" distL="0" distR="0" wp14:anchorId="15C4C084" wp14:editId="381A4193">
            <wp:extent cx="5762625" cy="1367101"/>
            <wp:effectExtent l="0" t="0" r="0" b="0"/>
            <wp:docPr id="1" name="Picture 1"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3A67815D" w14:textId="77777777" w:rsidR="00F823CC" w:rsidRDefault="00F823CC" w:rsidP="00183058">
      <w:pPr>
        <w:pStyle w:val="ListParagraph"/>
        <w:numPr>
          <w:ilvl w:val="1"/>
          <w:numId w:val="21"/>
        </w:numPr>
      </w:pPr>
      <w:r>
        <w:t xml:space="preserve">The intention of these tables is to provide a mechanism to document more complex transitions to data series than the current possibilities of “start” (new </w:t>
      </w:r>
      <w:proofErr w:type="spellStart"/>
      <w:r>
        <w:t>DataPoint</w:t>
      </w:r>
      <w:proofErr w:type="spellEnd"/>
      <w:r>
        <w:t xml:space="preserve"> and </w:t>
      </w:r>
      <w:proofErr w:type="spellStart"/>
      <w:r>
        <w:t>DataPointVersion</w:t>
      </w:r>
      <w:proofErr w:type="spellEnd"/>
      <w:r>
        <w:t xml:space="preserve">), “change modelling” (additional </w:t>
      </w:r>
      <w:proofErr w:type="spellStart"/>
      <w:r>
        <w:t>DataPointVersion</w:t>
      </w:r>
      <w:proofErr w:type="spellEnd"/>
      <w:r>
        <w:t xml:space="preserve"> for same </w:t>
      </w:r>
      <w:proofErr w:type="spellStart"/>
      <w:r>
        <w:t>DataPoint</w:t>
      </w:r>
      <w:proofErr w:type="spellEnd"/>
      <w:r>
        <w:t xml:space="preserve">) or “stop” (end date on last </w:t>
      </w:r>
      <w:proofErr w:type="spellStart"/>
      <w:r>
        <w:t>DataPointVersion</w:t>
      </w:r>
      <w:proofErr w:type="spellEnd"/>
      <w:r>
        <w:t>).</w:t>
      </w:r>
    </w:p>
    <w:p w14:paraId="2FDAA281" w14:textId="77777777" w:rsidR="00F823CC" w:rsidRDefault="00F823CC" w:rsidP="00183058">
      <w:pPr>
        <w:pStyle w:val="ListParagraph"/>
        <w:numPr>
          <w:ilvl w:val="1"/>
          <w:numId w:val="21"/>
        </w:numPr>
      </w:pPr>
      <w:r>
        <w:lastRenderedPageBreak/>
        <w:t>Note that at present the data in these tables is not an exhaustive documentation of historic changes. (I.e. it does not document all modelling changes that have previously happened).</w:t>
      </w:r>
    </w:p>
    <w:p w14:paraId="719900E8" w14:textId="77777777" w:rsidR="00F823CC" w:rsidRDefault="00F823CC" w:rsidP="00183058">
      <w:pPr>
        <w:pStyle w:val="ListParagraph"/>
        <w:numPr>
          <w:ilvl w:val="1"/>
          <w:numId w:val="21"/>
        </w:numPr>
      </w:pPr>
      <w:r>
        <w:t xml:space="preserve">This version currently documents </w:t>
      </w:r>
      <w:r w:rsidRPr="0000662A">
        <w:t>1841</w:t>
      </w:r>
      <w:r>
        <w:t xml:space="preserve"> </w:t>
      </w:r>
      <w:proofErr w:type="spellStart"/>
      <w:r>
        <w:t>Datapoints</w:t>
      </w:r>
      <w:proofErr w:type="spellEnd"/>
      <w:r>
        <w:t xml:space="preserve"> that stopped being reported at some point in time due to changes in tables, and one “merge” of two time series between version 2.4 and 2.5</w:t>
      </w:r>
      <w:r>
        <w:rPr>
          <w:rStyle w:val="FootnoteReference"/>
        </w:rPr>
        <w:footnoteReference w:id="8"/>
      </w:r>
      <w:r>
        <w:t>.</w:t>
      </w:r>
    </w:p>
    <w:p w14:paraId="51A13AD4" w14:textId="77777777" w:rsidR="00187BD9" w:rsidRDefault="00187BD9" w:rsidP="00AD231B"/>
    <w:p w14:paraId="60462DA3" w14:textId="77777777" w:rsidR="0000662A" w:rsidRDefault="0000662A" w:rsidP="0000662A">
      <w:pPr>
        <w:pStyle w:val="Titlelevel2"/>
      </w:pPr>
      <w:r>
        <w:t>XBRL</w:t>
      </w:r>
      <w:r w:rsidRPr="002C21E9">
        <w:t xml:space="preserve"> Changes</w:t>
      </w:r>
    </w:p>
    <w:p w14:paraId="6B77C2A7" w14:textId="77777777" w:rsidR="00F823CC" w:rsidRDefault="00F823CC" w:rsidP="00183058">
      <w:pPr>
        <w:pStyle w:val="ListParagraph"/>
        <w:numPr>
          <w:ilvl w:val="0"/>
          <w:numId w:val="21"/>
        </w:numPr>
      </w:pPr>
      <w:r>
        <w:t>All frameworks have new reporting taxonomy versions.</w:t>
      </w:r>
    </w:p>
    <w:p w14:paraId="6C73631F" w14:textId="77777777" w:rsidR="00F823CC" w:rsidRDefault="00F823CC" w:rsidP="00183058">
      <w:pPr>
        <w:pStyle w:val="ListParagraph"/>
        <w:numPr>
          <w:ilvl w:val="1"/>
          <w:numId w:val="21"/>
        </w:numPr>
      </w:pPr>
      <w:r>
        <w:t>N.B. FINREP and FINREP_IND are still identical in terms of tables.</w:t>
      </w:r>
    </w:p>
    <w:p w14:paraId="21AE9007" w14:textId="716F269C" w:rsidR="00F823CC" w:rsidRDefault="00F823CC" w:rsidP="00183058">
      <w:pPr>
        <w:pStyle w:val="ListParagraph"/>
        <w:numPr>
          <w:ilvl w:val="0"/>
          <w:numId w:val="21"/>
        </w:numPr>
      </w:pPr>
      <w:r>
        <w:t>Implement</w:t>
      </w:r>
      <w:r w:rsidR="00B2759E">
        <w:t>ation</w:t>
      </w:r>
      <w:r>
        <w:t xml:space="preserve"> in XBRL formulae </w:t>
      </w:r>
      <w:r w:rsidR="00B2759E">
        <w:t xml:space="preserve">of </w:t>
      </w:r>
      <w:r>
        <w:t>the additional Asset Encumbrance validation rules that were previously added to the validation rule spreadsheet in v2.4</w:t>
      </w:r>
    </w:p>
    <w:p w14:paraId="3E113DD3" w14:textId="111E4418" w:rsidR="00F823CC" w:rsidRDefault="00F823CC" w:rsidP="00183058">
      <w:pPr>
        <w:pStyle w:val="ListParagraph"/>
        <w:numPr>
          <w:ilvl w:val="0"/>
          <w:numId w:val="21"/>
        </w:numPr>
      </w:pPr>
      <w:r>
        <w:t>Change to allowable currencies on tables with currency z-axis</w:t>
      </w:r>
    </w:p>
    <w:p w14:paraId="2E592F6F" w14:textId="7F1B59D4" w:rsidR="00BC1FD0" w:rsidRDefault="00BC1FD0" w:rsidP="006C65AD">
      <w:pPr>
        <w:pStyle w:val="Titlelevel3"/>
      </w:pPr>
      <w:r>
        <w:t>XBRL Taxonomy structure</w:t>
      </w:r>
    </w:p>
    <w:p w14:paraId="02144CEB" w14:textId="77777777" w:rsidR="006C65AD" w:rsidRDefault="00A93E8D" w:rsidP="00AD231B">
      <w:r>
        <w:t>XBRL taxonomy constructed</w:t>
      </w:r>
      <w:r w:rsidR="002230AE">
        <w:t xml:space="preserve"> by</w:t>
      </w:r>
      <w:r w:rsidR="00823E7E">
        <w:t xml:space="preserve"> “delta” approach described under v2.4.1.0 below. Each of the new reporting taxonomy versions references unchanged elements of its</w:t>
      </w:r>
      <w:r w:rsidR="00AF1DDD">
        <w:t xml:space="preserve"> </w:t>
      </w:r>
      <w:r w:rsidR="00104E8B">
        <w:t xml:space="preserve">immediate </w:t>
      </w:r>
      <w:r w:rsidR="000753EF">
        <w:t>predecessor (generally v2.4.0.1)</w:t>
      </w:r>
      <w:r w:rsidR="00AF1DDD">
        <w:t xml:space="preserve"> </w:t>
      </w:r>
      <w:r w:rsidR="006C65AD">
        <w:t>and hence is dependent upon it.</w:t>
      </w:r>
    </w:p>
    <w:p w14:paraId="6B2BFB31" w14:textId="77777777" w:rsidR="006C65AD" w:rsidRDefault="006C65AD" w:rsidP="00AD231B"/>
    <w:p w14:paraId="55B5EA7D" w14:textId="6B1DA812" w:rsidR="00394670" w:rsidRDefault="00AF1DDD" w:rsidP="00AD231B">
      <w:r>
        <w:t xml:space="preserve">Note that the v2.5.0.0 </w:t>
      </w:r>
      <w:r w:rsidR="000753EF">
        <w:t xml:space="preserve">COREP entry points </w:t>
      </w:r>
      <w:r w:rsidR="00617050">
        <w:t>reference</w:t>
      </w:r>
      <w:r>
        <w:t xml:space="preserve"> both v2.4.1.0 </w:t>
      </w:r>
      <w:r w:rsidR="00FE66B8">
        <w:t>COREP</w:t>
      </w:r>
      <w:r w:rsidR="00F31A03">
        <w:t xml:space="preserve"> files (</w:t>
      </w:r>
      <w:r w:rsidR="00AB6DC8">
        <w:t>for items changed in 2.4.1.0 but not changed in 2.5.0.0) and v2.4.0</w:t>
      </w:r>
      <w:r w:rsidR="00B87A85">
        <w:t>.1 COREP (for items unchanged by 2.4.1.0 and 2.5.0.0)</w:t>
      </w:r>
      <w:r w:rsidR="00774202">
        <w:t xml:space="preserve">. As such v2.5.0.0 COREP entry points </w:t>
      </w:r>
      <w:r w:rsidR="001805E5">
        <w:t>will require</w:t>
      </w:r>
      <w:r w:rsidR="00C320E8">
        <w:t xml:space="preserve"> the</w:t>
      </w:r>
      <w:r w:rsidR="00CD4B4B">
        <w:t xml:space="preserve"> XBRL files from v2.5.0.0, v2.4.1.0 and v2.4.0.1 COREP</w:t>
      </w:r>
      <w:r w:rsidR="00C320E8">
        <w:t xml:space="preserve"> as well as the v2.5.0.0 dictionary files in order to be processed.</w:t>
      </w:r>
    </w:p>
    <w:p w14:paraId="55B5EAD9" w14:textId="77777777" w:rsidR="00F07268" w:rsidRDefault="00F07268" w:rsidP="00F07268"/>
    <w:p w14:paraId="55B5EADA" w14:textId="54D271CE" w:rsidR="00923CC5" w:rsidRDefault="00923CC5" w:rsidP="00923CC5">
      <w:pPr>
        <w:pStyle w:val="Titlelevel2"/>
      </w:pPr>
      <w:r>
        <w:t>Note</w:t>
      </w:r>
    </w:p>
    <w:p w14:paraId="55B5EADC" w14:textId="4716B715" w:rsidR="00F14EAF" w:rsidRDefault="0084357B">
      <w:r>
        <w:t>The appropriate c</w:t>
      </w:r>
      <w:r w:rsidR="00923CC5">
        <w:t xml:space="preserve">ode for “Normative Reference” </w:t>
      </w:r>
      <w:r w:rsidR="00F07268">
        <w:t xml:space="preserve">for 2.5 </w:t>
      </w:r>
      <w:r w:rsidR="008350C5">
        <w:t>was</w:t>
      </w:r>
      <w:r w:rsidR="00923CC5">
        <w:t xml:space="preserve"> not known </w:t>
      </w:r>
      <w:r w:rsidR="008350C5">
        <w:t xml:space="preserve">at the time of production of the taxonomy, as a result more generic values than usual </w:t>
      </w:r>
      <w:r>
        <w:t>(e.g. “</w:t>
      </w:r>
      <w:proofErr w:type="spellStart"/>
      <w:r>
        <w:t>its</w:t>
      </w:r>
      <w:proofErr w:type="spellEnd"/>
      <w:r w:rsidR="00F07268">
        <w:t>-2016-</w:t>
      </w:r>
      <w:r>
        <w:t>repxx</w:t>
      </w:r>
      <w:r w:rsidR="00F07268">
        <w:t>”</w:t>
      </w:r>
      <w:r w:rsidR="00F823CC">
        <w:t>)</w:t>
      </w:r>
      <w:r>
        <w:t xml:space="preserve"> </w:t>
      </w:r>
      <w:r w:rsidR="00F07268">
        <w:t>ha</w:t>
      </w:r>
      <w:r>
        <w:t>ve</w:t>
      </w:r>
      <w:r w:rsidR="00F07268">
        <w:t xml:space="preserve"> been </w:t>
      </w:r>
      <w:r w:rsidR="00923CC5">
        <w:t>used.</w:t>
      </w:r>
      <w:r w:rsidR="008350C5">
        <w:t xml:space="preserve"> This is a trivial XBRL level detail however, and unlikely to be of functional concern for any participants.</w:t>
      </w:r>
      <w:r w:rsidR="00923CC5">
        <w:t xml:space="preserve">  </w:t>
      </w:r>
      <w:r w:rsidR="00F14EAF">
        <w:br w:type="page"/>
      </w:r>
    </w:p>
    <w:p w14:paraId="01E2B3EA" w14:textId="45D1A639" w:rsidR="001444B4" w:rsidRDefault="001444B4" w:rsidP="001444B4">
      <w:pPr>
        <w:pStyle w:val="Titlelevel1"/>
        <w:rPr>
          <w:i/>
        </w:rPr>
      </w:pPr>
      <w:r>
        <w:rPr>
          <w:i/>
        </w:rPr>
        <w:lastRenderedPageBreak/>
        <w:t>v2.4</w:t>
      </w:r>
      <w:r w:rsidRPr="00E47786">
        <w:rPr>
          <w:i/>
        </w:rPr>
        <w:t>.</w:t>
      </w:r>
      <w:r>
        <w:rPr>
          <w:i/>
        </w:rPr>
        <w:t xml:space="preserve">1 </w:t>
      </w:r>
      <w:r w:rsidRPr="00E47786">
        <w:rPr>
          <w:i/>
        </w:rPr>
        <w:t>(“201</w:t>
      </w:r>
      <w:r>
        <w:rPr>
          <w:i/>
        </w:rPr>
        <w:t>5</w:t>
      </w:r>
      <w:r w:rsidRPr="00E47786">
        <w:rPr>
          <w:i/>
        </w:rPr>
        <w:t>-</w:t>
      </w:r>
      <w:r>
        <w:rPr>
          <w:i/>
        </w:rPr>
        <w:t>B-1”</w:t>
      </w:r>
      <w:proofErr w:type="gramStart"/>
      <w:r w:rsidRPr="00E47786">
        <w:rPr>
          <w:i/>
        </w:rPr>
        <w:t>)</w:t>
      </w:r>
      <w:r>
        <w:rPr>
          <w:i/>
        </w:rPr>
        <w:t xml:space="preserve"> </w:t>
      </w:r>
      <w:r w:rsidRPr="00E47786">
        <w:rPr>
          <w:rFonts w:ascii="Arial" w:hAnsi="Arial" w:cs="Arial"/>
          <w:i/>
          <w:color w:val="696969"/>
          <w:sz w:val="18"/>
          <w:szCs w:val="18"/>
          <w:shd w:val="clear" w:color="auto" w:fill="FFFFFF"/>
        </w:rPr>
        <w:t xml:space="preserve"> </w:t>
      </w:r>
      <w:r>
        <w:rPr>
          <w:rFonts w:ascii="Arial" w:hAnsi="Arial" w:cs="Arial"/>
          <w:i/>
          <w:color w:val="696969"/>
          <w:sz w:val="18"/>
          <w:szCs w:val="18"/>
          <w:shd w:val="clear" w:color="auto" w:fill="FFFFFF"/>
        </w:rPr>
        <w:t>(</w:t>
      </w:r>
      <w:proofErr w:type="gramEnd"/>
      <w:r>
        <w:rPr>
          <w:rFonts w:ascii="Arial" w:hAnsi="Arial" w:cs="Arial"/>
          <w:i/>
          <w:color w:val="696969"/>
          <w:sz w:val="18"/>
          <w:szCs w:val="18"/>
          <w:shd w:val="clear" w:color="auto" w:fill="FFFFFF"/>
        </w:rPr>
        <w:t>Incorporating v2.4.0.1, 02/02</w:t>
      </w:r>
      <w:r w:rsidRPr="00E47786">
        <w:rPr>
          <w:rFonts w:ascii="Arial" w:hAnsi="Arial" w:cs="Arial"/>
          <w:i/>
          <w:color w:val="696969"/>
          <w:sz w:val="18"/>
          <w:szCs w:val="18"/>
          <w:shd w:val="clear" w:color="auto" w:fill="FFFFFF"/>
        </w:rPr>
        <w:t>/201</w:t>
      </w:r>
      <w:r>
        <w:rPr>
          <w:rFonts w:ascii="Arial" w:hAnsi="Arial" w:cs="Arial"/>
          <w:i/>
          <w:color w:val="696969"/>
          <w:sz w:val="18"/>
          <w:szCs w:val="18"/>
          <w:shd w:val="clear" w:color="auto" w:fill="FFFFFF"/>
        </w:rPr>
        <w:t>6</w:t>
      </w:r>
      <w:r w:rsidRPr="00E47786">
        <w:rPr>
          <w:rFonts w:ascii="Arial" w:hAnsi="Arial" w:cs="Arial"/>
          <w:i/>
          <w:color w:val="696969"/>
          <w:sz w:val="18"/>
          <w:szCs w:val="18"/>
          <w:shd w:val="clear" w:color="auto" w:fill="FFFFFF"/>
        </w:rPr>
        <w:t>)</w:t>
      </w:r>
    </w:p>
    <w:p w14:paraId="3889DD1C" w14:textId="77777777" w:rsidR="008350C5" w:rsidRDefault="008350C5" w:rsidP="008350C5">
      <w:pPr>
        <w:pStyle w:val="Titlelevel2"/>
      </w:pPr>
      <w:r>
        <w:t>Summary and Impact</w:t>
      </w:r>
    </w:p>
    <w:p w14:paraId="1BF44068" w14:textId="77777777" w:rsidR="008350C5" w:rsidRDefault="008350C5" w:rsidP="008350C5">
      <w:r>
        <w:t>This release corrects errors identified in the 2.4.0 release of the EBA taxonomy.</w:t>
      </w:r>
    </w:p>
    <w:p w14:paraId="0457A955" w14:textId="77777777" w:rsidR="008350C5" w:rsidRDefault="008350C5" w:rsidP="008350C5"/>
    <w:p w14:paraId="3207C34C" w14:textId="44D751EF" w:rsidR="008350C5" w:rsidRDefault="008350C5" w:rsidP="008350C5">
      <w:r>
        <w:t xml:space="preserve">The most significant of these would have led to an inability for </w:t>
      </w:r>
      <w:proofErr w:type="gramStart"/>
      <w:r>
        <w:t>filers  to</w:t>
      </w:r>
      <w:proofErr w:type="gramEnd"/>
      <w:r>
        <w:t xml:space="preserve"> report the “Leverage ratio calculation” summary table (C 47.00) in </w:t>
      </w:r>
      <w:r w:rsidR="009679C4">
        <w:t>individual</w:t>
      </w:r>
      <w:r>
        <w:t xml:space="preserve"> COREP reports. Correcting this issue requires a new set of “entry points” for COREP. </w:t>
      </w:r>
    </w:p>
    <w:p w14:paraId="6EDC14E5" w14:textId="77777777" w:rsidR="008350C5" w:rsidRDefault="008350C5" w:rsidP="008350C5"/>
    <w:p w14:paraId="0C1A90AD" w14:textId="7E0CB217" w:rsidR="008350C5" w:rsidRDefault="008350C5" w:rsidP="008350C5">
      <w:pPr>
        <w:ind w:left="720"/>
        <w:rPr>
          <w:i/>
        </w:rPr>
      </w:pPr>
      <w:r>
        <w:rPr>
          <w:i/>
        </w:rPr>
        <w:t xml:space="preserve">In practice this means that XBRL instance files that were produced targeting the 2.4.0 version of COREP modules will need the value of their </w:t>
      </w:r>
      <w:proofErr w:type="spellStart"/>
      <w:r>
        <w:rPr>
          <w:i/>
        </w:rPr>
        <w:t>SchemaRef</w:t>
      </w:r>
      <w:proofErr w:type="spellEnd"/>
      <w:r>
        <w:rPr>
          <w:i/>
        </w:rPr>
        <w:t xml:space="preserve"> element changed. For all modules other than COREP_</w:t>
      </w:r>
      <w:r w:rsidR="009679C4">
        <w:rPr>
          <w:i/>
        </w:rPr>
        <w:t>IND</w:t>
      </w:r>
      <w:r>
        <w:rPr>
          <w:i/>
        </w:rPr>
        <w:t xml:space="preserve"> this is the only required change. COREP_</w:t>
      </w:r>
      <w:r w:rsidR="009679C4">
        <w:rPr>
          <w:i/>
        </w:rPr>
        <w:t>IND</w:t>
      </w:r>
      <w:r>
        <w:rPr>
          <w:i/>
        </w:rPr>
        <w:t xml:space="preserve"> instances will also need to </w:t>
      </w:r>
      <w:r w:rsidR="009679C4">
        <w:rPr>
          <w:i/>
        </w:rPr>
        <w:t>include data</w:t>
      </w:r>
      <w:r>
        <w:rPr>
          <w:i/>
        </w:rPr>
        <w:t xml:space="preserve"> for C47.00</w:t>
      </w:r>
      <w:r w:rsidR="009679C4">
        <w:rPr>
          <w:i/>
        </w:rPr>
        <w:t xml:space="preserve"> where the reporter is required to submit this template</w:t>
      </w:r>
      <w:r>
        <w:rPr>
          <w:i/>
        </w:rPr>
        <w:t xml:space="preserve"> (as most reporters likely anyway expected to have been the case).</w:t>
      </w:r>
    </w:p>
    <w:p w14:paraId="722CFD82" w14:textId="77777777" w:rsidR="008350C5" w:rsidRDefault="008350C5" w:rsidP="008350C5">
      <w:pPr>
        <w:rPr>
          <w:i/>
        </w:rPr>
      </w:pPr>
    </w:p>
    <w:p w14:paraId="43065B10" w14:textId="77777777" w:rsidR="008350C5" w:rsidRDefault="008350C5" w:rsidP="008350C5">
      <w:r>
        <w:t>In addition the 2.4.0 release of the COREP, FINREP and SBP report modules had errors in some of their validation rules that would have led to these validation rules always reporting a failure. In addition an error has been corrected in the implementation of the underlying evaluation approach for the validation calculations which might have led to subtle disagreements between different XBRL validation tools in certain circumstances.  These errors are directly corrected in the relevant files.</w:t>
      </w:r>
    </w:p>
    <w:p w14:paraId="65E051CC" w14:textId="77777777" w:rsidR="008350C5" w:rsidRDefault="008350C5" w:rsidP="008350C5"/>
    <w:p w14:paraId="69AEE8E8" w14:textId="77777777" w:rsidR="008350C5" w:rsidRDefault="008350C5" w:rsidP="008350C5">
      <w:pPr>
        <w:ind w:left="720"/>
        <w:rPr>
          <w:i/>
        </w:rPr>
      </w:pPr>
      <w:r>
        <w:rPr>
          <w:i/>
        </w:rPr>
        <w:t>Where the relevant files from this release are used in place of those from the 2.4.0 release, these validation rules will now produce the correct results. No change to any produced instance files is required – only to the configuration of whatever XBRL validation tool is used to generate the validation results.</w:t>
      </w:r>
    </w:p>
    <w:p w14:paraId="7629F866" w14:textId="77777777" w:rsidR="008350C5" w:rsidRDefault="008350C5" w:rsidP="008350C5">
      <w:pPr>
        <w:rPr>
          <w:i/>
        </w:rPr>
      </w:pPr>
      <w:r>
        <w:rPr>
          <w:i/>
        </w:rPr>
        <w:t xml:space="preserve"> </w:t>
      </w:r>
    </w:p>
    <w:p w14:paraId="432B6561" w14:textId="77777777" w:rsidR="008350C5" w:rsidRDefault="008350C5" w:rsidP="008350C5">
      <w:r>
        <w:t xml:space="preserve">At a technical XBRL level, because of the essentially trivial degree of change between 2.4.0 and 2.4.1 the usual EBA practice of including completely new sets of files for each taxonomy update was viewed as likely to cause excessive and unnecessary overhead and confusion. As a result the 2.4.1 taxonomy has been constructed in a way which much more clearly identifies those elements (i.e. tables and validation rules) which have changed, separating out the minimal set of changed files into the location of the “new” modules, and referencing instead of duplicating those files that are unchanged. </w:t>
      </w:r>
    </w:p>
    <w:p w14:paraId="72DD0B88" w14:textId="77777777" w:rsidR="008350C5" w:rsidRDefault="008350C5" w:rsidP="008350C5"/>
    <w:p w14:paraId="251063AF" w14:textId="77777777" w:rsidR="008350C5" w:rsidRDefault="008350C5" w:rsidP="008350C5">
      <w:pPr>
        <w:ind w:left="720"/>
      </w:pPr>
      <w:r>
        <w:rPr>
          <w:i/>
        </w:rPr>
        <w:t>The change in the construction/layout of the taxonomy at the file level may in the short term be expected to make implementation easier or more complex in some respects depending on the details of individual reporter’s systems. Following this approach in future would be expected to generally make future implementations easier.</w:t>
      </w:r>
    </w:p>
    <w:p w14:paraId="00CCED0C" w14:textId="77777777" w:rsidR="008350C5" w:rsidRDefault="008350C5" w:rsidP="008350C5"/>
    <w:p w14:paraId="50AE88E0" w14:textId="77777777" w:rsidR="008350C5" w:rsidRDefault="008350C5" w:rsidP="008350C5">
      <w:pPr>
        <w:ind w:left="720"/>
        <w:rPr>
          <w:b/>
          <w:i/>
        </w:rPr>
      </w:pPr>
      <w:r>
        <w:rPr>
          <w:b/>
          <w:i/>
        </w:rPr>
        <w:t xml:space="preserve">Overall the impact of these changes on filers is expected to be relatively minimal (since no significant change to the content or process of production of instance files will be required). </w:t>
      </w:r>
    </w:p>
    <w:p w14:paraId="52C5D6F6" w14:textId="77777777" w:rsidR="008350C5" w:rsidRDefault="008350C5" w:rsidP="008350C5">
      <w:pPr>
        <w:ind w:left="720"/>
        <w:rPr>
          <w:i/>
        </w:rPr>
      </w:pPr>
    </w:p>
    <w:p w14:paraId="1C4D3D25" w14:textId="77777777" w:rsidR="008350C5" w:rsidRDefault="008350C5" w:rsidP="008350C5">
      <w:pPr>
        <w:ind w:left="720"/>
        <w:rPr>
          <w:i/>
        </w:rPr>
      </w:pPr>
    </w:p>
    <w:p w14:paraId="5DBBF0A5" w14:textId="77777777" w:rsidR="00D62FD8" w:rsidRDefault="00D62FD8" w:rsidP="008350C5">
      <w:pPr>
        <w:pStyle w:val="Titlelevel2"/>
        <w:keepNext/>
      </w:pPr>
      <w:r w:rsidRPr="00AF5AA3">
        <w:lastRenderedPageBreak/>
        <w:t>Purpose</w:t>
      </w:r>
    </w:p>
    <w:p w14:paraId="48F4DE13" w14:textId="77777777" w:rsidR="001444B4" w:rsidRDefault="001444B4" w:rsidP="001444B4">
      <w:r>
        <w:t xml:space="preserve">Corrective release for v2.4: </w:t>
      </w:r>
    </w:p>
    <w:p w14:paraId="22E159DB" w14:textId="77777777" w:rsidR="00D62FD8" w:rsidRDefault="001444B4" w:rsidP="00183058">
      <w:pPr>
        <w:pStyle w:val="ListParagraph"/>
        <w:numPr>
          <w:ilvl w:val="0"/>
          <w:numId w:val="22"/>
        </w:numPr>
      </w:pPr>
      <w:r>
        <w:t>New COREP taxonomy c</w:t>
      </w:r>
      <w:r w:rsidR="00D62FD8">
        <w:t>orrecting version from 2.4.0.0</w:t>
      </w:r>
    </w:p>
    <w:p w14:paraId="6335367F" w14:textId="424B0C8F" w:rsidR="001444B4" w:rsidRDefault="001444B4" w:rsidP="00183058">
      <w:pPr>
        <w:pStyle w:val="ListParagraph"/>
        <w:numPr>
          <w:ilvl w:val="1"/>
          <w:numId w:val="22"/>
        </w:numPr>
      </w:pPr>
      <w:r w:rsidRPr="00394670">
        <w:t xml:space="preserve">Addition of missing C 47.00 to COREP </w:t>
      </w:r>
      <w:r w:rsidR="009679C4">
        <w:t>IND</w:t>
      </w:r>
      <w:r w:rsidRPr="00394670">
        <w:t xml:space="preserve"> in COREP 2.2.1 </w:t>
      </w:r>
      <w:r w:rsidR="00D62FD8">
        <w:t>(“</w:t>
      </w:r>
      <w:r w:rsidR="00D62FD8" w:rsidRPr="00D62FD8">
        <w:t>COREP 2015-B-1</w:t>
      </w:r>
      <w:r w:rsidR="00D62FD8">
        <w:t xml:space="preserve">”) </w:t>
      </w:r>
      <w:r w:rsidRPr="00394670">
        <w:t>fix version.</w:t>
      </w:r>
    </w:p>
    <w:p w14:paraId="355BD13D" w14:textId="46FCEC98" w:rsidR="001444B4" w:rsidRDefault="001444B4" w:rsidP="00183058">
      <w:pPr>
        <w:pStyle w:val="ListParagraph"/>
        <w:numPr>
          <w:ilvl w:val="0"/>
          <w:numId w:val="22"/>
        </w:numPr>
      </w:pPr>
      <w:r>
        <w:t>Correction to XBRL implementation</w:t>
      </w:r>
      <w:r w:rsidR="00F00500">
        <w:t xml:space="preserve"> of validation rules in COREP, FINREP, FINREP-IND and SBP</w:t>
      </w:r>
    </w:p>
    <w:p w14:paraId="700D6C91" w14:textId="42F2C0AB" w:rsidR="00F00500" w:rsidRDefault="001444B4" w:rsidP="00183058">
      <w:pPr>
        <w:pStyle w:val="ListParagraph"/>
        <w:numPr>
          <w:ilvl w:val="0"/>
          <w:numId w:val="22"/>
        </w:numPr>
      </w:pPr>
      <w:r>
        <w:t xml:space="preserve">Inclusion of corrected </w:t>
      </w:r>
      <w:proofErr w:type="spellStart"/>
      <w:r>
        <w:t>Eurofiling</w:t>
      </w:r>
      <w:proofErr w:type="spellEnd"/>
      <w:r>
        <w:t xml:space="preserve"> “interval-arithmetics.xml” file</w:t>
      </w:r>
    </w:p>
    <w:p w14:paraId="6291C5D1" w14:textId="77777777" w:rsidR="001444B4" w:rsidRDefault="001444B4" w:rsidP="001444B4">
      <w:pPr>
        <w:pStyle w:val="ListParagraph"/>
      </w:pPr>
    </w:p>
    <w:p w14:paraId="2C9B1FE9" w14:textId="4705A8E2" w:rsidR="001444B4" w:rsidRDefault="001444B4" w:rsidP="001444B4">
      <w:r>
        <w:t xml:space="preserve">Note that v2.4.1.0 replaces v2.4.0.0 (for COREP) and </w:t>
      </w:r>
      <w:r w:rsidRPr="001C6AD9">
        <w:rPr>
          <w:b/>
        </w:rPr>
        <w:t>v2.4.1.0 must be used for reporting of COREP entry points to the EBA under any “2.4” reporting requested</w:t>
      </w:r>
      <w:r>
        <w:t xml:space="preserve">. Similarly </w:t>
      </w:r>
      <w:r w:rsidR="00F00500">
        <w:rPr>
          <w:b/>
        </w:rPr>
        <w:t xml:space="preserve">v2.4.0.1 </w:t>
      </w:r>
      <w:r w:rsidRPr="001C6AD9">
        <w:rPr>
          <w:b/>
        </w:rPr>
        <w:t>should be used for entry points other than COREP</w:t>
      </w:r>
      <w:r>
        <w:t xml:space="preserve"> (though since v2.4.0.1 and v2.4.0.0 are “instance compatible” – use the same </w:t>
      </w:r>
      <w:proofErr w:type="spellStart"/>
      <w:r>
        <w:t>schemaRef</w:t>
      </w:r>
      <w:proofErr w:type="spellEnd"/>
      <w:r>
        <w:t xml:space="preserve"> URI and produce/define identical instance files - this is relevant only in terms of validation results).</w:t>
      </w:r>
    </w:p>
    <w:p w14:paraId="6879DB57" w14:textId="77777777" w:rsidR="00D62FD8" w:rsidRPr="002C21E9" w:rsidRDefault="00D62FD8" w:rsidP="00D62FD8">
      <w:pPr>
        <w:pStyle w:val="Titlelevel2"/>
      </w:pPr>
      <w:r w:rsidRPr="002C21E9">
        <w:t>DPM Changes</w:t>
      </w:r>
    </w:p>
    <w:p w14:paraId="79450911" w14:textId="5E4D07CF" w:rsidR="00D62FD8" w:rsidRDefault="00D62FD8" w:rsidP="001444B4">
      <w:r>
        <w:t>There are no substantive reporting requirement changes; all changes are corrective (i.e. to give effect to the reporting requirements as intended for v2.4).</w:t>
      </w:r>
    </w:p>
    <w:p w14:paraId="2702B299" w14:textId="06C9CA9D" w:rsidR="001444B4" w:rsidRDefault="00D62FD8" w:rsidP="001444B4">
      <w:pPr>
        <w:pStyle w:val="Titlelevel3"/>
      </w:pPr>
      <w:r>
        <w:t xml:space="preserve">DPM </w:t>
      </w:r>
      <w:r w:rsidR="001444B4">
        <w:t>DB corrections:</w:t>
      </w:r>
    </w:p>
    <w:p w14:paraId="547BC5C4" w14:textId="50DD7290" w:rsidR="00D62FD8" w:rsidRDefault="00D62FD8" w:rsidP="00183058">
      <w:pPr>
        <w:pStyle w:val="ListParagraph"/>
        <w:numPr>
          <w:ilvl w:val="0"/>
          <w:numId w:val="23"/>
        </w:numPr>
      </w:pPr>
      <w:r>
        <w:t>Additional taxonomy entry (“</w:t>
      </w:r>
      <w:r w:rsidRPr="00D62FD8">
        <w:t>COREP 2015-B-1</w:t>
      </w:r>
      <w:r>
        <w:t xml:space="preserve">”) and related entries </w:t>
      </w:r>
    </w:p>
    <w:p w14:paraId="6D88F2D0" w14:textId="0D884769" w:rsidR="00D62FD8" w:rsidRDefault="00D62FD8" w:rsidP="00183058">
      <w:pPr>
        <w:pStyle w:val="ListParagraph"/>
        <w:numPr>
          <w:ilvl w:val="1"/>
          <w:numId w:val="23"/>
        </w:numPr>
      </w:pPr>
      <w:r>
        <w:t>Only difference from “COREP 2015-B” is correct</w:t>
      </w:r>
      <w:r w:rsidR="009679C4">
        <w:t>ly linking C 47 table to COREP IND</w:t>
      </w:r>
      <w:r>
        <w:t xml:space="preserve"> module.</w:t>
      </w:r>
    </w:p>
    <w:p w14:paraId="2DD8AB56" w14:textId="6DFE5235" w:rsidR="001444B4" w:rsidRDefault="00F00500" w:rsidP="00183058">
      <w:pPr>
        <w:pStyle w:val="ListParagraph"/>
        <w:numPr>
          <w:ilvl w:val="0"/>
          <w:numId w:val="23"/>
        </w:numPr>
      </w:pPr>
      <w:r>
        <w:t>A</w:t>
      </w:r>
      <w:r w:rsidR="001444B4" w:rsidRPr="00394670">
        <w:t xml:space="preserve">ddition of </w:t>
      </w:r>
      <w:proofErr w:type="spellStart"/>
      <w:r w:rsidR="001444B4" w:rsidRPr="00394670">
        <w:t>ToDate</w:t>
      </w:r>
      <w:proofErr w:type="spellEnd"/>
      <w:r w:rsidR="001444B4" w:rsidRPr="00394670">
        <w:t xml:space="preserve"> to </w:t>
      </w:r>
      <w:proofErr w:type="spellStart"/>
      <w:r w:rsidR="001444B4" w:rsidRPr="00394670">
        <w:t>TableVersions</w:t>
      </w:r>
      <w:proofErr w:type="spellEnd"/>
      <w:r w:rsidR="001444B4" w:rsidRPr="00394670">
        <w:t xml:space="preserve"> no longer in use</w:t>
      </w:r>
      <w:r w:rsidR="001444B4">
        <w:t>:</w:t>
      </w:r>
    </w:p>
    <w:p w14:paraId="6C31DC9A" w14:textId="77777777" w:rsidR="001444B4" w:rsidRPr="00394670" w:rsidRDefault="001444B4" w:rsidP="001444B4">
      <w:pPr>
        <w:ind w:left="720"/>
        <w:rPr>
          <w:sz w:val="16"/>
          <w:szCs w:val="16"/>
        </w:rPr>
      </w:pPr>
      <w:r w:rsidRPr="00394670">
        <w:rPr>
          <w:sz w:val="16"/>
          <w:szCs w:val="16"/>
        </w:rPr>
        <w:t xml:space="preserve">*Updated </w:t>
      </w:r>
      <w:proofErr w:type="spellStart"/>
      <w:r w:rsidRPr="00394670">
        <w:rPr>
          <w:sz w:val="16"/>
          <w:szCs w:val="16"/>
        </w:rPr>
        <w:t>TableVersions</w:t>
      </w:r>
      <w:proofErr w:type="spellEnd"/>
      <w:r w:rsidRPr="00394670">
        <w:rPr>
          <w:sz w:val="16"/>
          <w:szCs w:val="16"/>
        </w:rPr>
        <w:t xml:space="preserve"> 605,605,732,739 (C 08.01.c, C 08.01.d, C 06.02, C 06.01) with missing </w:t>
      </w:r>
      <w:proofErr w:type="spellStart"/>
      <w:r w:rsidRPr="00394670">
        <w:rPr>
          <w:sz w:val="16"/>
          <w:szCs w:val="16"/>
        </w:rPr>
        <w:t>ToDate</w:t>
      </w:r>
      <w:proofErr w:type="spellEnd"/>
      <w:r w:rsidRPr="00394670">
        <w:rPr>
          <w:sz w:val="16"/>
          <w:szCs w:val="16"/>
        </w:rPr>
        <w:t xml:space="preserve"> (29/06/201)</w:t>
      </w:r>
    </w:p>
    <w:p w14:paraId="4FE90265" w14:textId="77777777" w:rsidR="001444B4" w:rsidRPr="00394670" w:rsidRDefault="001444B4" w:rsidP="001444B4">
      <w:pPr>
        <w:ind w:left="720"/>
        <w:rPr>
          <w:sz w:val="16"/>
          <w:szCs w:val="16"/>
        </w:rPr>
      </w:pPr>
    </w:p>
    <w:p w14:paraId="390DBFAC" w14:textId="77777777" w:rsidR="001444B4" w:rsidRPr="00972653" w:rsidRDefault="001444B4" w:rsidP="00972653">
      <w:pPr>
        <w:pStyle w:val="SQL"/>
      </w:pPr>
      <w:r w:rsidRPr="00972653">
        <w:t xml:space="preserve">UPDATE concept INNER JOIN </w:t>
      </w:r>
      <w:proofErr w:type="spellStart"/>
      <w:r w:rsidRPr="00972653">
        <w:t>TableVersion</w:t>
      </w:r>
      <w:proofErr w:type="spellEnd"/>
      <w:r w:rsidRPr="00972653">
        <w:t xml:space="preserve"> ON </w:t>
      </w:r>
      <w:proofErr w:type="spellStart"/>
      <w:r w:rsidRPr="00972653">
        <w:t>Concept.ConceptID</w:t>
      </w:r>
      <w:proofErr w:type="spellEnd"/>
      <w:r w:rsidRPr="00972653">
        <w:t xml:space="preserve"> = </w:t>
      </w:r>
      <w:proofErr w:type="spellStart"/>
      <w:r w:rsidRPr="00972653">
        <w:t>TableVersion.ConceptID</w:t>
      </w:r>
      <w:proofErr w:type="spellEnd"/>
      <w:r w:rsidRPr="00972653">
        <w:t xml:space="preserve"> </w:t>
      </w:r>
    </w:p>
    <w:p w14:paraId="5F7F014C" w14:textId="77777777" w:rsidR="001444B4" w:rsidRPr="00972653" w:rsidRDefault="001444B4" w:rsidP="00972653">
      <w:pPr>
        <w:pStyle w:val="SQL"/>
      </w:pPr>
      <w:r w:rsidRPr="00972653">
        <w:t xml:space="preserve">SET </w:t>
      </w:r>
      <w:proofErr w:type="spellStart"/>
      <w:r w:rsidRPr="00972653">
        <w:t>TableVersion.ToDate</w:t>
      </w:r>
      <w:proofErr w:type="spellEnd"/>
      <w:r w:rsidRPr="00972653">
        <w:t xml:space="preserve"> = #06/29/2015#, </w:t>
      </w:r>
      <w:proofErr w:type="spellStart"/>
      <w:r w:rsidRPr="00972653">
        <w:t>Concept.ModificationDate</w:t>
      </w:r>
      <w:proofErr w:type="spellEnd"/>
      <w:r w:rsidRPr="00972653">
        <w:t xml:space="preserve"> =#1/15/2016#, </w:t>
      </w:r>
      <w:proofErr w:type="spellStart"/>
      <w:r w:rsidRPr="00972653">
        <w:t>Concept.ToDate</w:t>
      </w:r>
      <w:proofErr w:type="spellEnd"/>
      <w:r w:rsidRPr="00972653">
        <w:t>=#06/29/2015#</w:t>
      </w:r>
    </w:p>
    <w:p w14:paraId="2661BC51" w14:textId="77777777" w:rsidR="001444B4" w:rsidRPr="00972653" w:rsidRDefault="001444B4" w:rsidP="00972653">
      <w:pPr>
        <w:pStyle w:val="SQL"/>
      </w:pPr>
      <w:r w:rsidRPr="00972653">
        <w:t>WHERE (((</w:t>
      </w:r>
      <w:proofErr w:type="spellStart"/>
      <w:r w:rsidRPr="00972653">
        <w:t>TableVersion.TableVID</w:t>
      </w:r>
      <w:proofErr w:type="spellEnd"/>
      <w:r w:rsidRPr="00972653">
        <w:t>) In (605,606,732,739)));</w:t>
      </w:r>
    </w:p>
    <w:p w14:paraId="0E8244FF" w14:textId="77777777" w:rsidR="001444B4" w:rsidRPr="00394670" w:rsidRDefault="001444B4" w:rsidP="001444B4">
      <w:pPr>
        <w:ind w:left="720"/>
        <w:rPr>
          <w:sz w:val="16"/>
          <w:szCs w:val="16"/>
        </w:rPr>
      </w:pPr>
    </w:p>
    <w:p w14:paraId="369DAEBF" w14:textId="77777777" w:rsidR="001444B4" w:rsidRPr="00394670" w:rsidRDefault="001444B4" w:rsidP="001444B4">
      <w:pPr>
        <w:ind w:left="720"/>
        <w:rPr>
          <w:sz w:val="16"/>
          <w:szCs w:val="16"/>
        </w:rPr>
      </w:pPr>
      <w:r w:rsidRPr="00394670">
        <w:rPr>
          <w:sz w:val="16"/>
          <w:szCs w:val="16"/>
        </w:rPr>
        <w:t xml:space="preserve">*Updated </w:t>
      </w:r>
      <w:proofErr w:type="spellStart"/>
      <w:r w:rsidRPr="00394670">
        <w:rPr>
          <w:sz w:val="16"/>
          <w:szCs w:val="16"/>
        </w:rPr>
        <w:t>TableVersions</w:t>
      </w:r>
      <w:proofErr w:type="spellEnd"/>
      <w:r w:rsidRPr="00394670">
        <w:rPr>
          <w:sz w:val="16"/>
          <w:szCs w:val="16"/>
        </w:rPr>
        <w:t xml:space="preserve"> 642,643,644,646,819 (C 45.00.a, C 45.00.b, C 46.00.a, C 46.00.c, C 46.00.b) with missing </w:t>
      </w:r>
      <w:proofErr w:type="spellStart"/>
      <w:r w:rsidRPr="00394670">
        <w:rPr>
          <w:sz w:val="16"/>
          <w:szCs w:val="16"/>
        </w:rPr>
        <w:t>ToDates</w:t>
      </w:r>
      <w:proofErr w:type="spellEnd"/>
    </w:p>
    <w:p w14:paraId="5A45B37F" w14:textId="77777777" w:rsidR="001444B4" w:rsidRPr="00394670" w:rsidRDefault="001444B4" w:rsidP="001444B4">
      <w:pPr>
        <w:ind w:left="720"/>
        <w:rPr>
          <w:sz w:val="16"/>
          <w:szCs w:val="16"/>
        </w:rPr>
      </w:pPr>
    </w:p>
    <w:p w14:paraId="3F03EE5F" w14:textId="77777777" w:rsidR="001444B4" w:rsidRPr="00972653" w:rsidRDefault="001444B4" w:rsidP="00972653">
      <w:pPr>
        <w:pStyle w:val="SQL"/>
      </w:pPr>
      <w:r w:rsidRPr="00972653">
        <w:t xml:space="preserve">UPDATE concept INNER JOIN </w:t>
      </w:r>
      <w:proofErr w:type="spellStart"/>
      <w:r w:rsidRPr="00972653">
        <w:t>TableVersion</w:t>
      </w:r>
      <w:proofErr w:type="spellEnd"/>
      <w:r w:rsidRPr="00972653">
        <w:t xml:space="preserve"> ON </w:t>
      </w:r>
      <w:proofErr w:type="spellStart"/>
      <w:r w:rsidRPr="00972653">
        <w:t>Concept.ConceptID</w:t>
      </w:r>
      <w:proofErr w:type="spellEnd"/>
      <w:r w:rsidRPr="00972653">
        <w:t xml:space="preserve"> = </w:t>
      </w:r>
      <w:proofErr w:type="spellStart"/>
      <w:r w:rsidRPr="00972653">
        <w:t>TableVersion.ConceptID</w:t>
      </w:r>
      <w:proofErr w:type="spellEnd"/>
      <w:r w:rsidRPr="00972653">
        <w:t xml:space="preserve"> </w:t>
      </w:r>
    </w:p>
    <w:p w14:paraId="14DC872F" w14:textId="77777777" w:rsidR="001444B4" w:rsidRPr="00972653" w:rsidRDefault="001444B4" w:rsidP="00972653">
      <w:pPr>
        <w:pStyle w:val="SQL"/>
      </w:pPr>
      <w:r w:rsidRPr="00972653">
        <w:t xml:space="preserve">SET </w:t>
      </w:r>
      <w:proofErr w:type="spellStart"/>
      <w:r w:rsidRPr="00972653">
        <w:t>TableVersion.ToDate</w:t>
      </w:r>
      <w:proofErr w:type="spellEnd"/>
      <w:r w:rsidRPr="00972653">
        <w:t xml:space="preserve"> = #03/30/2016#, </w:t>
      </w:r>
      <w:proofErr w:type="spellStart"/>
      <w:r w:rsidRPr="00972653">
        <w:t>Concept.ModificationDate</w:t>
      </w:r>
      <w:proofErr w:type="spellEnd"/>
      <w:r w:rsidRPr="00972653">
        <w:t xml:space="preserve"> =#1/15/2016#, </w:t>
      </w:r>
      <w:proofErr w:type="spellStart"/>
      <w:r w:rsidRPr="00972653">
        <w:t>Concept.ToDate</w:t>
      </w:r>
      <w:proofErr w:type="spellEnd"/>
      <w:r w:rsidRPr="00972653">
        <w:t>=#03/30/2016#</w:t>
      </w:r>
    </w:p>
    <w:p w14:paraId="6B3AD34A" w14:textId="77777777" w:rsidR="001444B4" w:rsidRPr="00972653" w:rsidRDefault="001444B4" w:rsidP="00972653">
      <w:pPr>
        <w:pStyle w:val="SQL"/>
      </w:pPr>
      <w:r w:rsidRPr="00972653">
        <w:t>WHERE (((</w:t>
      </w:r>
      <w:proofErr w:type="spellStart"/>
      <w:r w:rsidRPr="00972653">
        <w:t>TableVersion.TableVID</w:t>
      </w:r>
      <w:proofErr w:type="spellEnd"/>
      <w:r w:rsidRPr="00972653">
        <w:t>) In (642,643,644,646,819)));</w:t>
      </w:r>
    </w:p>
    <w:p w14:paraId="4AC8A715" w14:textId="77777777" w:rsidR="001444B4" w:rsidRPr="00394670" w:rsidRDefault="001444B4" w:rsidP="001444B4">
      <w:pPr>
        <w:ind w:left="720"/>
        <w:rPr>
          <w:sz w:val="16"/>
          <w:szCs w:val="16"/>
        </w:rPr>
      </w:pPr>
    </w:p>
    <w:p w14:paraId="0EBEAB5F" w14:textId="77777777" w:rsidR="001444B4" w:rsidRDefault="001444B4" w:rsidP="00183058">
      <w:pPr>
        <w:pStyle w:val="ListParagraph"/>
        <w:numPr>
          <w:ilvl w:val="0"/>
          <w:numId w:val="23"/>
        </w:numPr>
      </w:pPr>
      <w:r>
        <w:t>Removal of incorrect links between validation rule and previous table versions (for metric allowed value rules)</w:t>
      </w:r>
    </w:p>
    <w:p w14:paraId="43C10DB7" w14:textId="77777777" w:rsidR="001444B4" w:rsidRDefault="001444B4" w:rsidP="001444B4">
      <w:pPr>
        <w:rPr>
          <w:sz w:val="16"/>
          <w:szCs w:val="16"/>
        </w:rPr>
      </w:pPr>
    </w:p>
    <w:p w14:paraId="6037F3C7" w14:textId="77777777" w:rsidR="001444B4" w:rsidRDefault="001444B4" w:rsidP="00183058">
      <w:pPr>
        <w:pStyle w:val="ListParagraph"/>
        <w:numPr>
          <w:ilvl w:val="0"/>
          <w:numId w:val="23"/>
        </w:numPr>
      </w:pPr>
      <w:r w:rsidRPr="00406EBB">
        <w:t xml:space="preserve">Remove misleading severity information from validation rule </w:t>
      </w:r>
      <w:r>
        <w:t>(basically this never actually provided reliable information, since EBA publishes changes to the status of rules in between taxonomy releases).</w:t>
      </w:r>
    </w:p>
    <w:p w14:paraId="5D901260" w14:textId="77777777" w:rsidR="001444B4" w:rsidRDefault="001444B4" w:rsidP="001444B4"/>
    <w:p w14:paraId="7B1DDB17" w14:textId="77777777" w:rsidR="001444B4" w:rsidRPr="00972653" w:rsidRDefault="001444B4" w:rsidP="00972653">
      <w:pPr>
        <w:pStyle w:val="SQL"/>
      </w:pPr>
      <w:r w:rsidRPr="00972653">
        <w:t xml:space="preserve">UPDATE </w:t>
      </w:r>
      <w:proofErr w:type="spellStart"/>
      <w:r w:rsidRPr="00972653">
        <w:t>ValidationRule</w:t>
      </w:r>
      <w:proofErr w:type="spellEnd"/>
      <w:r w:rsidRPr="00972653">
        <w:t xml:space="preserve"> SET </w:t>
      </w:r>
      <w:proofErr w:type="spellStart"/>
      <w:r w:rsidRPr="00972653">
        <w:t>ValidationRule.Severity</w:t>
      </w:r>
      <w:proofErr w:type="spellEnd"/>
      <w:r w:rsidRPr="00972653">
        <w:t xml:space="preserve"> = Null;</w:t>
      </w:r>
    </w:p>
    <w:p w14:paraId="44D98C79" w14:textId="77777777" w:rsidR="0084357B" w:rsidRPr="000321C4" w:rsidRDefault="0084357B" w:rsidP="00183058">
      <w:pPr>
        <w:pStyle w:val="ListParagraph"/>
        <w:numPr>
          <w:ilvl w:val="0"/>
          <w:numId w:val="21"/>
        </w:numPr>
      </w:pPr>
      <w:r>
        <w:t>Clarified status of the old/orphaned C 06.01 and C06.02 tables which used the filing indicator “C 06.00” (</w:t>
      </w:r>
      <w:proofErr w:type="spellStart"/>
      <w:r>
        <w:t>TableVersionIDs</w:t>
      </w:r>
      <w:proofErr w:type="spellEnd"/>
      <w:r>
        <w:t xml:space="preserve"> 732 and 739) by </w:t>
      </w:r>
      <w:r w:rsidRPr="000321C4">
        <w:t>set</w:t>
      </w:r>
      <w:r>
        <w:t>ting</w:t>
      </w:r>
      <w:r w:rsidRPr="000321C4">
        <w:t xml:space="preserve"> </w:t>
      </w:r>
      <w:proofErr w:type="spellStart"/>
      <w:r>
        <w:t>ToD</w:t>
      </w:r>
      <w:r w:rsidRPr="000321C4">
        <w:t>ate</w:t>
      </w:r>
      <w:proofErr w:type="spellEnd"/>
      <w:r w:rsidRPr="000321C4">
        <w:t xml:space="preserve"> to 29/06/2015</w:t>
      </w:r>
      <w:r>
        <w:t>.</w:t>
      </w:r>
    </w:p>
    <w:p w14:paraId="68EEDDB7" w14:textId="77777777" w:rsidR="0084357B" w:rsidRDefault="0084357B" w:rsidP="00183058">
      <w:pPr>
        <w:pStyle w:val="ListParagraph"/>
        <w:numPr>
          <w:ilvl w:val="0"/>
          <w:numId w:val="21"/>
        </w:numPr>
      </w:pPr>
      <w:r>
        <w:t>Corrected the version number of taxonomy SBP 2015-B to 1.0.2</w:t>
      </w:r>
    </w:p>
    <w:p w14:paraId="2EBC9491" w14:textId="77777777" w:rsidR="0084357B" w:rsidRDefault="0084357B" w:rsidP="00183058">
      <w:pPr>
        <w:pStyle w:val="ListParagraph"/>
        <w:numPr>
          <w:ilvl w:val="0"/>
          <w:numId w:val="21"/>
        </w:numPr>
      </w:pPr>
      <w:r>
        <w:t xml:space="preserve">Corrected </w:t>
      </w:r>
      <w:proofErr w:type="spellStart"/>
      <w:r>
        <w:t>OpenMemberRestriction</w:t>
      </w:r>
      <w:proofErr w:type="spellEnd"/>
      <w:r>
        <w:t xml:space="preserve"> records, all records with </w:t>
      </w:r>
      <w:proofErr w:type="spellStart"/>
      <w:r>
        <w:t>MemberIncluded</w:t>
      </w:r>
      <w:proofErr w:type="spellEnd"/>
      <w:r>
        <w:t xml:space="preserve">=true should also have had the (slightly redundant) </w:t>
      </w:r>
      <w:proofErr w:type="spellStart"/>
      <w:r>
        <w:t>AllowsDefaultMember</w:t>
      </w:r>
      <w:proofErr w:type="spellEnd"/>
      <w:r>
        <w:t xml:space="preserve"> field set to true as well</w:t>
      </w:r>
    </w:p>
    <w:p w14:paraId="142D6947" w14:textId="320F2AD1" w:rsidR="0084357B" w:rsidRDefault="0084357B" w:rsidP="0084357B">
      <w:pPr>
        <w:pStyle w:val="Titlelevel3"/>
      </w:pPr>
      <w:r>
        <w:lastRenderedPageBreak/>
        <w:t>DPM DB structure changes:</w:t>
      </w:r>
    </w:p>
    <w:p w14:paraId="139C4569" w14:textId="77777777" w:rsidR="0084357B" w:rsidRDefault="0084357B" w:rsidP="00183058">
      <w:pPr>
        <w:pStyle w:val="ListParagraph"/>
        <w:numPr>
          <w:ilvl w:val="0"/>
          <w:numId w:val="21"/>
        </w:numPr>
      </w:pPr>
      <w:r>
        <w:t xml:space="preserve">Added new </w:t>
      </w:r>
      <w:proofErr w:type="spellStart"/>
      <w:r>
        <w:t>DatapointVersionTransition</w:t>
      </w:r>
      <w:proofErr w:type="spellEnd"/>
      <w:r>
        <w:t xml:space="preserve"> and </w:t>
      </w:r>
      <w:proofErr w:type="spellStart"/>
      <w:r>
        <w:t>DatapointVersionTransitionLink</w:t>
      </w:r>
      <w:proofErr w:type="spellEnd"/>
      <w:r>
        <w:t xml:space="preserve"> tables:</w:t>
      </w:r>
    </w:p>
    <w:p w14:paraId="6D1F929A" w14:textId="77777777" w:rsidR="0084357B" w:rsidRDefault="0084357B" w:rsidP="0084357B">
      <w:pPr>
        <w:pStyle w:val="ListParagraph"/>
        <w:ind w:left="1080"/>
      </w:pPr>
      <w:r>
        <w:rPr>
          <w:noProof/>
        </w:rPr>
        <w:drawing>
          <wp:inline distT="0" distB="0" distL="0" distR="0" wp14:anchorId="392A3279" wp14:editId="22DF2772">
            <wp:extent cx="5762625" cy="1367101"/>
            <wp:effectExtent l="0" t="0" r="0" b="0"/>
            <wp:docPr id="2" name="Picture 2"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6F480665" w14:textId="5C5FA272" w:rsidR="0084357B" w:rsidRDefault="0084357B" w:rsidP="00183058">
      <w:pPr>
        <w:pStyle w:val="ListParagraph"/>
        <w:numPr>
          <w:ilvl w:val="1"/>
          <w:numId w:val="21"/>
        </w:numPr>
      </w:pPr>
      <w:r>
        <w:t xml:space="preserve">The intention of these tables is to provide a mechanism to document more complex transitions to data series than the current possibilities of “start” (new </w:t>
      </w:r>
      <w:proofErr w:type="spellStart"/>
      <w:r>
        <w:t>DataPoint</w:t>
      </w:r>
      <w:proofErr w:type="spellEnd"/>
      <w:r>
        <w:t xml:space="preserve"> and </w:t>
      </w:r>
      <w:proofErr w:type="spellStart"/>
      <w:r>
        <w:t>DataPointVersion</w:t>
      </w:r>
      <w:proofErr w:type="spellEnd"/>
      <w:r>
        <w:t xml:space="preserve">), “change modelling” (additional </w:t>
      </w:r>
      <w:proofErr w:type="spellStart"/>
      <w:r>
        <w:t>DataPointVersion</w:t>
      </w:r>
      <w:proofErr w:type="spellEnd"/>
      <w:r>
        <w:t xml:space="preserve"> for same </w:t>
      </w:r>
      <w:proofErr w:type="spellStart"/>
      <w:r>
        <w:t>DataPoint</w:t>
      </w:r>
      <w:proofErr w:type="spellEnd"/>
      <w:r>
        <w:t xml:space="preserve">) or “stop” (end date on last </w:t>
      </w:r>
      <w:proofErr w:type="spellStart"/>
      <w:r>
        <w:t>DataPointVersion</w:t>
      </w:r>
      <w:proofErr w:type="spellEnd"/>
      <w:r>
        <w:t xml:space="preserve">). </w:t>
      </w:r>
    </w:p>
    <w:p w14:paraId="0AEA5F88" w14:textId="5BE7D889" w:rsidR="0084357B" w:rsidRDefault="0084357B" w:rsidP="00183058">
      <w:pPr>
        <w:pStyle w:val="ListParagraph"/>
        <w:numPr>
          <w:ilvl w:val="1"/>
          <w:numId w:val="21"/>
        </w:numPr>
      </w:pPr>
      <w:r>
        <w:t>Note they contain no records in this version.</w:t>
      </w:r>
    </w:p>
    <w:p w14:paraId="104BBE8B" w14:textId="77777777" w:rsidR="0084357B" w:rsidRDefault="0084357B" w:rsidP="001444B4">
      <w:pPr>
        <w:ind w:left="720"/>
        <w:rPr>
          <w:sz w:val="16"/>
          <w:szCs w:val="16"/>
        </w:rPr>
      </w:pPr>
    </w:p>
    <w:p w14:paraId="1FE4182E" w14:textId="77777777" w:rsidR="00D62FD8" w:rsidRDefault="00D62FD8" w:rsidP="001444B4">
      <w:pPr>
        <w:ind w:left="720"/>
        <w:rPr>
          <w:sz w:val="16"/>
          <w:szCs w:val="16"/>
        </w:rPr>
      </w:pPr>
    </w:p>
    <w:p w14:paraId="3C105FA0" w14:textId="77777777" w:rsidR="00D62FD8" w:rsidRPr="00AF5AA3" w:rsidRDefault="00D62FD8" w:rsidP="00D62FD8">
      <w:pPr>
        <w:pStyle w:val="Titlelevel2"/>
        <w:keepNext/>
      </w:pPr>
      <w:r>
        <w:t>XBRL c</w:t>
      </w:r>
      <w:r w:rsidRPr="00AF5AA3">
        <w:t>hanges</w:t>
      </w:r>
    </w:p>
    <w:p w14:paraId="34AA7AEB" w14:textId="5B3151A5" w:rsidR="00D62FD8" w:rsidRDefault="00D62FD8" w:rsidP="00D62FD8">
      <w:pPr>
        <w:pStyle w:val="Titlelevel3"/>
      </w:pPr>
      <w:r>
        <w:t xml:space="preserve"> “Changes only” XBRL taxonomy structure</w:t>
      </w:r>
    </w:p>
    <w:p w14:paraId="0B3A5889" w14:textId="77777777" w:rsidR="00D62FD8" w:rsidRDefault="00D62FD8" w:rsidP="00D62FD8">
      <w:r>
        <w:t xml:space="preserve">Note that the file structure of the XBRL taxonomy for this new correction version of COREP is implemented differently from previous EBA taxonomy releases. The new taxonomy directly references the (files containing the) unchanged elements (validation rules and tables) of the previous version, itself containing only those items that have changed or been added (i.e. it is a kind of “delta”). </w:t>
      </w:r>
    </w:p>
    <w:p w14:paraId="586342B8" w14:textId="77777777" w:rsidR="00D62FD8" w:rsidRDefault="00D62FD8" w:rsidP="00D62FD8"/>
    <w:p w14:paraId="73035EDA" w14:textId="77777777" w:rsidR="00D62FD8" w:rsidRDefault="00D62FD8" w:rsidP="00D62FD8">
      <w:r>
        <w:t>This has the significant advantages of making the (set of new files describing the) additional reporting taxonomy version much smaller (as it does not repeat the vast swathe of unchanged content), and making much clearer what is and is not changed. However it has the notable consequent disadvantage of making the new COREP entry points dependent on the files of the previous version, rather than solely on the dictionary files as was the previous pattern.</w:t>
      </w:r>
    </w:p>
    <w:p w14:paraId="7C87D191" w14:textId="199D3346" w:rsidR="00D62FD8" w:rsidRDefault="00D62FD8" w:rsidP="00D62FD8">
      <w:pPr>
        <w:pStyle w:val="Titlelevel3"/>
      </w:pPr>
      <w:r>
        <w:t>Validation rule implementation corrections</w:t>
      </w:r>
    </w:p>
    <w:p w14:paraId="27F94223" w14:textId="055A8740" w:rsidR="00D62FD8" w:rsidRDefault="00D62FD8" w:rsidP="00D62FD8">
      <w:pPr>
        <w:pStyle w:val="ListParagraph"/>
        <w:ind w:left="0"/>
      </w:pPr>
      <w:r>
        <w:t>As a result of a technical error in the taxonomy production process, validation rules intended to be of the form “</w:t>
      </w:r>
      <w:r w:rsidRPr="000F3477">
        <w:rPr>
          <w:i/>
        </w:rPr>
        <w:t>if a then b</w:t>
      </w:r>
      <w:r w:rsidR="000F3477">
        <w:rPr>
          <w:i/>
        </w:rPr>
        <w:t>”</w:t>
      </w:r>
      <w:r>
        <w:t xml:space="preserve"> were incorrectly implemented in the original release of the 2.4 XBRL taxonomy, and would always result in </w:t>
      </w:r>
      <w:r w:rsidR="000F3477">
        <w:t>a “failed” rule.</w:t>
      </w:r>
    </w:p>
    <w:p w14:paraId="15A1F052" w14:textId="77777777" w:rsidR="000F3477" w:rsidRDefault="000F3477" w:rsidP="00D62FD8">
      <w:pPr>
        <w:pStyle w:val="ListParagraph"/>
        <w:ind w:left="0"/>
      </w:pPr>
    </w:p>
    <w:p w14:paraId="008D46BF" w14:textId="4A7188F5" w:rsidR="000F3477" w:rsidRDefault="000F3477" w:rsidP="00D62FD8">
      <w:pPr>
        <w:pStyle w:val="ListParagraph"/>
        <w:ind w:left="0"/>
      </w:pPr>
      <w:r>
        <w:t xml:space="preserve">As the correction of this error does not affect the structural validity of any instance file, merely the potential results of evaluating XBRL assertions (i.e. they are “instance compatible”) this release includes “in-place” corrections to these files. The new versions of these files (or equivalently the new version of the relevant taxonomy packages) should be used.  Instances prepared using the previous versions of these taxonomies may be directly validated against the new taxonomy files without needing any changes (i.e. the </w:t>
      </w:r>
      <w:proofErr w:type="spellStart"/>
      <w:r>
        <w:t>schemaRef</w:t>
      </w:r>
      <w:proofErr w:type="spellEnd"/>
      <w:r>
        <w:t xml:space="preserve"> URIs needed are unchanged), or indeed vice versa.</w:t>
      </w:r>
    </w:p>
    <w:p w14:paraId="15612267" w14:textId="77777777" w:rsidR="000F3477" w:rsidRDefault="000F3477" w:rsidP="00D62FD8">
      <w:pPr>
        <w:pStyle w:val="ListParagraph"/>
        <w:ind w:left="0"/>
      </w:pPr>
    </w:p>
    <w:p w14:paraId="009FFA0C" w14:textId="083ACB3B" w:rsidR="000F3477" w:rsidRDefault="000F3477" w:rsidP="00D62FD8">
      <w:pPr>
        <w:pStyle w:val="ListParagraph"/>
        <w:ind w:left="0"/>
      </w:pPr>
      <w:r>
        <w:lastRenderedPageBreak/>
        <w:t xml:space="preserve">This applies to the v2.4 SBP and FINREP, for which updated versions 2.1.4.1 and 1.0.2.1 are supplied. In addition a correction for this error in the v2.4 COREP </w:t>
      </w:r>
      <w:r w:rsidR="00172A38">
        <w:t xml:space="preserve">files </w:t>
      </w:r>
      <w:r>
        <w:t xml:space="preserve">is also included, though this is superseded by the </w:t>
      </w:r>
      <w:r w:rsidR="00172A38">
        <w:t>new entry points required for the correction in the v2.4.1.0 COREP noted above</w:t>
      </w:r>
      <w:r w:rsidR="00172A38">
        <w:rPr>
          <w:rStyle w:val="FootnoteReference"/>
        </w:rPr>
        <w:footnoteReference w:id="9"/>
      </w:r>
      <w:r>
        <w:t>,</w:t>
      </w:r>
      <w:r w:rsidR="00172A38">
        <w:t xml:space="preserve"> and should not be used for any reporting to the EBA.</w:t>
      </w:r>
      <w:r>
        <w:t xml:space="preserve"> </w:t>
      </w:r>
      <w:r w:rsidR="00172A38">
        <w:t xml:space="preserve">These corrections form </w:t>
      </w:r>
      <w:r>
        <w:t xml:space="preserve">a notional </w:t>
      </w:r>
      <w:r>
        <w:rPr>
          <w:b/>
        </w:rPr>
        <w:t xml:space="preserve">v2.4.0.1 </w:t>
      </w:r>
      <w:r w:rsidRPr="000F3477">
        <w:t>release</w:t>
      </w:r>
      <w:r w:rsidR="00172A38">
        <w:t>.</w:t>
      </w:r>
    </w:p>
    <w:p w14:paraId="2A2395A4" w14:textId="77777777" w:rsidR="00D62FD8" w:rsidRDefault="00D62FD8" w:rsidP="00D62FD8">
      <w:pPr>
        <w:pStyle w:val="Titlelevel3"/>
      </w:pPr>
      <w:r>
        <w:t>Additional metadata files</w:t>
      </w:r>
    </w:p>
    <w:p w14:paraId="32306CC7" w14:textId="00DF67E8" w:rsidR="00D62FD8" w:rsidRDefault="00D62FD8" w:rsidP="00D62FD8">
      <w:pPr>
        <w:pStyle w:val="ListParagraph"/>
        <w:ind w:left="0"/>
      </w:pPr>
      <w:r>
        <w:t>Inclusion of DPM architect format “tax-inf.xml” files to provide metadata on required precision</w:t>
      </w:r>
      <w:r w:rsidR="000F3477">
        <w:t>.</w:t>
      </w:r>
      <w:r>
        <w:t xml:space="preserve"> </w:t>
      </w:r>
      <w:r w:rsidR="000F3477">
        <w:t>N.B.</w:t>
      </w:r>
      <w:r>
        <w:t xml:space="preserve"> these are merely complementary to existing information in filing rules, not directly referenced by any entry point, not crucial for any XBRL processing, and provided only in case they are useful to some consumers</w:t>
      </w:r>
      <w:r w:rsidR="000F3477">
        <w:t>.</w:t>
      </w:r>
    </w:p>
    <w:p w14:paraId="436B08FA" w14:textId="77777777" w:rsidR="001444B4" w:rsidRDefault="001444B4" w:rsidP="001444B4">
      <w:pPr>
        <w:rPr>
          <w:sz w:val="16"/>
          <w:szCs w:val="16"/>
        </w:rPr>
      </w:pPr>
    </w:p>
    <w:p w14:paraId="7C442FD0" w14:textId="77777777" w:rsidR="001444B4" w:rsidRDefault="001444B4" w:rsidP="001444B4">
      <w:pPr>
        <w:pStyle w:val="Titlelevel3"/>
      </w:pPr>
      <w:r w:rsidRPr="00394670">
        <w:t>Known Errors:</w:t>
      </w:r>
    </w:p>
    <w:p w14:paraId="488DC59B" w14:textId="00D832CA" w:rsidR="001444B4" w:rsidRDefault="00F00500" w:rsidP="001444B4">
      <w:pPr>
        <w:rPr>
          <w:rFonts w:asciiTheme="majorHAnsi" w:eastAsiaTheme="majorEastAsia" w:hAnsiTheme="majorHAnsi" w:cstheme="majorBidi"/>
          <w:bCs/>
          <w:color w:val="2F5773" w:themeColor="text2"/>
          <w:sz w:val="32"/>
        </w:rPr>
      </w:pPr>
      <w:r>
        <w:t>There is</w:t>
      </w:r>
      <w:r w:rsidR="001444B4" w:rsidRPr="00394670">
        <w:t xml:space="preserve"> an error in the table layout for P 02.06 in DPM/XBRL. </w:t>
      </w:r>
      <w:r>
        <w:t>R</w:t>
      </w:r>
      <w:r w:rsidR="001444B4" w:rsidRPr="00394670">
        <w:t xml:space="preserve">ow 040 </w:t>
      </w:r>
      <w:r>
        <w:t>is positioned i</w:t>
      </w:r>
      <w:r w:rsidR="001444B4" w:rsidRPr="00394670">
        <w:t>n the first section (under the first header) in the DPM/XBRL, but should fall into the second section. This is a display issue not a categorization one, i.e. the dimensional attributes and label of the row is still correct, but please be aware.</w:t>
      </w:r>
      <w:r>
        <w:t xml:space="preserve"> [This is corrected in v2.5]</w:t>
      </w:r>
    </w:p>
    <w:p w14:paraId="39AE2F27" w14:textId="77777777" w:rsidR="00F00500" w:rsidRDefault="00F00500">
      <w:pPr>
        <w:rPr>
          <w:rFonts w:asciiTheme="majorHAnsi" w:eastAsiaTheme="majorEastAsia" w:hAnsiTheme="majorHAnsi" w:cstheme="majorBidi"/>
          <w:i/>
          <w:color w:val="2F5773" w:themeColor="text2"/>
          <w:spacing w:val="5"/>
          <w:kern w:val="28"/>
          <w:sz w:val="52"/>
          <w:szCs w:val="52"/>
        </w:rPr>
      </w:pPr>
      <w:r>
        <w:rPr>
          <w:i/>
        </w:rPr>
        <w:br w:type="page"/>
      </w:r>
    </w:p>
    <w:p w14:paraId="55B5EADD" w14:textId="228A9621" w:rsidR="00DC113D" w:rsidRDefault="00DC113D" w:rsidP="00DC113D">
      <w:pPr>
        <w:pStyle w:val="Titlelevel1"/>
        <w:rPr>
          <w:i/>
        </w:rPr>
      </w:pPr>
      <w:r>
        <w:rPr>
          <w:i/>
        </w:rPr>
        <w:lastRenderedPageBreak/>
        <w:t>v2.4</w:t>
      </w:r>
      <w:r w:rsidRPr="00E47786">
        <w:rPr>
          <w:i/>
        </w:rPr>
        <w:t>.</w:t>
      </w:r>
      <w:r w:rsidR="00351662">
        <w:rPr>
          <w:i/>
        </w:rPr>
        <w:t>0</w:t>
      </w:r>
      <w:r w:rsidRPr="00E47786">
        <w:rPr>
          <w:i/>
        </w:rPr>
        <w:t xml:space="preserve"> (“2015-</w:t>
      </w:r>
      <w:r>
        <w:rPr>
          <w:i/>
        </w:rPr>
        <w:t>B”</w:t>
      </w:r>
      <w:r w:rsidRPr="00E47786">
        <w:rPr>
          <w:i/>
        </w:rPr>
        <w:t>)</w:t>
      </w:r>
      <w:r w:rsidRPr="00E47786">
        <w:rPr>
          <w:rFonts w:ascii="Arial" w:hAnsi="Arial" w:cs="Arial"/>
          <w:i/>
          <w:color w:val="696969"/>
          <w:sz w:val="18"/>
          <w:szCs w:val="18"/>
          <w:shd w:val="clear" w:color="auto" w:fill="FFFFFF"/>
        </w:rPr>
        <w:t xml:space="preserve"> </w:t>
      </w:r>
      <w:r>
        <w:rPr>
          <w:rFonts w:ascii="Arial" w:hAnsi="Arial" w:cs="Arial"/>
          <w:i/>
          <w:color w:val="696969"/>
          <w:sz w:val="18"/>
          <w:szCs w:val="18"/>
          <w:shd w:val="clear" w:color="auto" w:fill="FFFFFF"/>
        </w:rPr>
        <w:t>(11/08</w:t>
      </w:r>
      <w:r w:rsidRPr="00E47786">
        <w:rPr>
          <w:rFonts w:ascii="Arial" w:hAnsi="Arial" w:cs="Arial"/>
          <w:i/>
          <w:color w:val="696969"/>
          <w:sz w:val="18"/>
          <w:szCs w:val="18"/>
          <w:shd w:val="clear" w:color="auto" w:fill="FFFFFF"/>
        </w:rPr>
        <w:t>/2015)</w:t>
      </w:r>
    </w:p>
    <w:p w14:paraId="55B5EADE" w14:textId="77777777" w:rsidR="00D77280" w:rsidRDefault="00D77280" w:rsidP="00D77280">
      <w:pPr>
        <w:pStyle w:val="Titlelevel2"/>
      </w:pPr>
      <w:r w:rsidRPr="00AF5AA3">
        <w:t>Purpose</w:t>
      </w:r>
    </w:p>
    <w:p w14:paraId="55B5EADF" w14:textId="77777777" w:rsidR="00D77280" w:rsidRDefault="00D77280" w:rsidP="00183058">
      <w:pPr>
        <w:pStyle w:val="ListParagraph"/>
        <w:numPr>
          <w:ilvl w:val="0"/>
          <w:numId w:val="21"/>
        </w:numPr>
      </w:pPr>
      <w:r>
        <w:t>Alignment of LR and LCR reporting with respective Commission delegated acts.</w:t>
      </w:r>
    </w:p>
    <w:p w14:paraId="55B5EAE0" w14:textId="77777777" w:rsidR="00D77280" w:rsidRDefault="00D77280" w:rsidP="00183058">
      <w:pPr>
        <w:pStyle w:val="ListParagraph"/>
        <w:numPr>
          <w:ilvl w:val="0"/>
          <w:numId w:val="21"/>
        </w:numPr>
      </w:pPr>
      <w:r>
        <w:t xml:space="preserve">Introduction of true Multicurrency reporting to COREP and ALM per QA 1042.  </w:t>
      </w:r>
    </w:p>
    <w:p w14:paraId="55B5EAE1" w14:textId="77777777" w:rsidR="00D77280" w:rsidRDefault="00D77280" w:rsidP="00D77280"/>
    <w:p w14:paraId="55B5EAE2" w14:textId="77777777" w:rsidR="00D77280" w:rsidRPr="002C21E9" w:rsidRDefault="00D77280" w:rsidP="00D77280">
      <w:pPr>
        <w:pStyle w:val="Titlelevel2"/>
      </w:pPr>
      <w:r w:rsidRPr="002C21E9">
        <w:t>DPM Changes</w:t>
      </w:r>
    </w:p>
    <w:p w14:paraId="55B5EAE3" w14:textId="77777777" w:rsidR="00D77280" w:rsidRPr="00360446" w:rsidRDefault="00D77280" w:rsidP="00D77280">
      <w:pPr>
        <w:pStyle w:val="Titlelevel3"/>
      </w:pPr>
      <w:r w:rsidRPr="00360446">
        <w:t>Leverage Ratio</w:t>
      </w:r>
    </w:p>
    <w:p w14:paraId="55B5EAE4" w14:textId="77777777" w:rsidR="00D77280" w:rsidRDefault="00D77280" w:rsidP="00D77280">
      <w:r>
        <w:t>In accordance with the Commission Delegated Regulation 2015/62, and Implementing Technical Standards EBA/ITS/2015/03, the leverage ratio templates (C 40-46) have been updated. Templates C 40-44 have been adapted, C 45-46 deleted and C 47 added (effectively replacing C 45). As usual, these templates should be reported as part of the main COREP module.</w:t>
      </w:r>
    </w:p>
    <w:p w14:paraId="55B5EAE5" w14:textId="77777777" w:rsidR="00D77280" w:rsidRDefault="00D77280" w:rsidP="00D77280"/>
    <w:p w14:paraId="55B5EAE6" w14:textId="77777777" w:rsidR="00D77280" w:rsidRPr="002D2F3D" w:rsidRDefault="00D77280" w:rsidP="00D77280">
      <w:pPr>
        <w:pStyle w:val="Titlelevel3"/>
      </w:pPr>
      <w:r w:rsidRPr="002D2F3D">
        <w:t>Liquidity Coverage Ratio</w:t>
      </w:r>
    </w:p>
    <w:p w14:paraId="55B5EAE7" w14:textId="77777777" w:rsidR="00D77280" w:rsidRDefault="00D77280" w:rsidP="00D77280">
      <w:r>
        <w:t>In accordance with Commission Delegated Regulation 2015/61, and Implementing Technical Standards EBA/ITS/2015/04, an additional conceptual module (LCR_DA in Individual and Consolidated variants) has been introduced containing revised versions of the Liquidity Coverage Ratio templates. These are included in an additional module, rather than altering the existing templates, as the delegated act applies to only one section (broadly credit institutions) of the potential reporters of LCR templates, others of which (broadly investment firms) may continue to be required to report the pre-delegated act LCR templates.</w:t>
      </w:r>
    </w:p>
    <w:p w14:paraId="55B5EAE8" w14:textId="77777777" w:rsidR="00D77280" w:rsidRPr="002D2F3D" w:rsidRDefault="00D77280" w:rsidP="00D77280">
      <w:pPr>
        <w:pStyle w:val="Titlelevel3"/>
      </w:pPr>
      <w:r w:rsidRPr="002D2F3D">
        <w:t>QA 1042</w:t>
      </w:r>
      <w:r>
        <w:t xml:space="preserve"> - Multicurrency</w:t>
      </w:r>
    </w:p>
    <w:p w14:paraId="55B5EAE9" w14:textId="77777777" w:rsidR="00D77280" w:rsidRDefault="00D77280" w:rsidP="00D77280">
      <w:r>
        <w:t>Significant implementation changes have been made to the data model and XBRL reporting mechanics regarding the reporting of currency breakdowns (and other non-reporting currency figures).</w:t>
      </w:r>
    </w:p>
    <w:p w14:paraId="55B5EAEA" w14:textId="77777777" w:rsidR="00D77280" w:rsidRDefault="00D77280" w:rsidP="00D77280"/>
    <w:p w14:paraId="55B5EAEB" w14:textId="77777777" w:rsidR="00D77280" w:rsidRDefault="00D77280" w:rsidP="00D77280">
      <w:proofErr w:type="gramStart"/>
      <w:r>
        <w:t xml:space="preserve">On </w:t>
      </w:r>
      <w:r w:rsidRPr="002D2F3D">
        <w:t>29/05/2015</w:t>
      </w:r>
      <w:r>
        <w:t xml:space="preserve"> the question #1042 on the EBA Single Rulebook Q&amp;A</w:t>
      </w:r>
      <w:r w:rsidRPr="003F60D3">
        <w:rPr>
          <w:vertAlign w:val="superscript"/>
        </w:rPr>
        <w:footnoteReference w:id="10"/>
      </w:r>
      <w:r w:rsidRPr="003F60D3">
        <w:rPr>
          <w:vertAlign w:val="superscript"/>
        </w:rPr>
        <w:t xml:space="preserve"> </w:t>
      </w:r>
      <w:r>
        <w:t>(“</w:t>
      </w:r>
      <w:r w:rsidRPr="003F60D3">
        <w:rPr>
          <w:rFonts w:ascii="Arial" w:hAnsi="Arial" w:cs="Arial"/>
          <w:color w:val="303A40"/>
          <w:sz w:val="18"/>
          <w:szCs w:val="18"/>
          <w:shd w:val="clear" w:color="auto" w:fill="FFFFFF"/>
        </w:rPr>
        <w:t>Currency in which the information that the institutions report to the competent authorities of the home member State must be submitted, according to art.</w:t>
      </w:r>
      <w:proofErr w:type="gramEnd"/>
      <w:r w:rsidRPr="003F60D3">
        <w:rPr>
          <w:rFonts w:ascii="Arial" w:hAnsi="Arial" w:cs="Arial"/>
          <w:color w:val="303A40"/>
          <w:sz w:val="18"/>
          <w:szCs w:val="18"/>
          <w:shd w:val="clear" w:color="auto" w:fill="FFFFFF"/>
        </w:rPr>
        <w:t xml:space="preserve"> 415 (2) [LCR and NSFR templates]</w:t>
      </w:r>
      <w:r>
        <w:t>”) was answered thus:</w:t>
      </w:r>
    </w:p>
    <w:p w14:paraId="55B5EAEC" w14:textId="77777777" w:rsidR="00D77280" w:rsidRDefault="00D77280" w:rsidP="00D77280"/>
    <w:p w14:paraId="55B5EAED" w14:textId="77777777" w:rsidR="00D77280" w:rsidRDefault="00D77280" w:rsidP="00D77280">
      <w:r>
        <w:t>“</w:t>
      </w:r>
      <w:r w:rsidRPr="003F60D3">
        <w:rPr>
          <w:rFonts w:ascii="Arial" w:hAnsi="Arial" w:cs="Arial"/>
          <w:color w:val="303A40"/>
          <w:sz w:val="18"/>
          <w:szCs w:val="18"/>
          <w:shd w:val="clear" w:color="auto" w:fill="FFFFFF"/>
        </w:rPr>
        <w:t xml:space="preserve">The reporting of data in each significant currency shall, according to Article 415(2) a, be done using the significant currency itself. As the IT solutions of Article 17 of Regulation (EU) No 680/2014 - ITS on Supervisory Reporting currently do not allow for a reporting in each significant currency, the reporting currency should be used. Therefore significant currencies have to be converted into the reporting currency, </w:t>
      </w:r>
      <w:r w:rsidRPr="003F60D3">
        <w:rPr>
          <w:rFonts w:ascii="Arial" w:hAnsi="Arial" w:cs="Arial"/>
          <w:b/>
          <w:color w:val="303A40"/>
          <w:sz w:val="18"/>
          <w:szCs w:val="18"/>
          <w:shd w:val="clear" w:color="auto" w:fill="FFFFFF"/>
        </w:rPr>
        <w:t>until the IT solutions have been amended accordingly, to allow for reporting in significant currencies. This change will be made with the next possible release</w:t>
      </w:r>
      <w:r w:rsidRPr="003F60D3">
        <w:rPr>
          <w:rFonts w:ascii="Arial" w:hAnsi="Arial" w:cs="Arial"/>
          <w:color w:val="303A40"/>
          <w:sz w:val="18"/>
          <w:szCs w:val="18"/>
          <w:shd w:val="clear" w:color="auto" w:fill="FFFFFF"/>
        </w:rPr>
        <w:t>. Until then the conversion should be made according to the spot ECB foreign exchange reference rates as at the reporting reference date</w:t>
      </w:r>
      <w:r>
        <w:t>”</w:t>
      </w:r>
    </w:p>
    <w:p w14:paraId="55B5EAEE" w14:textId="77777777" w:rsidR="00D77280" w:rsidRDefault="00D77280" w:rsidP="00D77280"/>
    <w:p w14:paraId="55B5EAEF" w14:textId="77777777" w:rsidR="00D77280" w:rsidRDefault="00D77280" w:rsidP="00D77280">
      <w:r>
        <w:t>This release gives effect to this response (being the next feasible release after the QA response publication) and adjusts the operation of the requirement for a single reporting currency. The EBA filing rules have been modified to provide for reporting in other than the main reporting currency of an instance where indicated as appropriate by the Data Point Model.</w:t>
      </w:r>
    </w:p>
    <w:p w14:paraId="55B5EAF0" w14:textId="77777777" w:rsidR="00D77280" w:rsidRDefault="00D77280" w:rsidP="00D77280">
      <w:pPr>
        <w:pStyle w:val="Titlelevel4"/>
      </w:pPr>
      <w:r>
        <w:t>Currency breakdown sheets in LCR and NSFR</w:t>
      </w:r>
    </w:p>
    <w:p w14:paraId="55B5EAF1" w14:textId="77777777" w:rsidR="00D77280" w:rsidRDefault="00D77280" w:rsidP="00D77280">
      <w:r>
        <w:t xml:space="preserve">The existing tables </w:t>
      </w:r>
      <w:r w:rsidRPr="00A14D23">
        <w:t>C.51.00.w, C.51.00.x, C.52.00.w, C.52.00.x, C.52.00.y, C.52.00.z, C.53.00.w, C.53.00.x, C.53.00.y, C.54.00.a, C54.00.w</w:t>
      </w:r>
      <w:r>
        <w:t xml:space="preserve">, C 60.00.w, C 60.00.x, C 61.00.w, </w:t>
      </w:r>
      <w:proofErr w:type="gramStart"/>
      <w:r>
        <w:t>C</w:t>
      </w:r>
      <w:proofErr w:type="gramEnd"/>
      <w:r>
        <w:t xml:space="preserve"> 61.00.x (LCR and NSFR) have been altered.</w:t>
      </w:r>
    </w:p>
    <w:p w14:paraId="55B5EAF2" w14:textId="77777777" w:rsidR="00D77280" w:rsidRDefault="00D77280" w:rsidP="00D77280"/>
    <w:p w14:paraId="55B5EAF3" w14:textId="77777777" w:rsidR="00D77280" w:rsidRDefault="00D77280" w:rsidP="00D77280">
      <w:r>
        <w:t xml:space="preserve">Each of the monetary data items on these tables has had the member </w:t>
      </w:r>
      <w:r w:rsidRPr="007C4AD7">
        <w:rPr>
          <w:b/>
        </w:rPr>
        <w:t>eba_CA</w:t>
      </w:r>
      <w:proofErr w:type="gramStart"/>
      <w:r w:rsidRPr="007C4AD7">
        <w:rPr>
          <w:b/>
        </w:rPr>
        <w:t>:x1</w:t>
      </w:r>
      <w:proofErr w:type="gramEnd"/>
      <w:r w:rsidRPr="007C4AD7">
        <w:rPr>
          <w:rFonts w:ascii="Courier New" w:hAnsi="Courier New" w:cs="Courier New"/>
          <w:b/>
        </w:rPr>
        <w:t xml:space="preserve"> </w:t>
      </w:r>
      <w:r w:rsidRPr="002C21E9">
        <w:rPr>
          <w:i/>
        </w:rPr>
        <w:t>(“Expressed in currency of denomination (not converted to reporting currency)”</w:t>
      </w:r>
      <w:r>
        <w:rPr>
          <w:i/>
        </w:rPr>
        <w:t xml:space="preserve"> </w:t>
      </w:r>
      <w:r>
        <w:t xml:space="preserve">for the new dimension </w:t>
      </w:r>
      <w:r w:rsidRPr="007C4AD7">
        <w:rPr>
          <w:b/>
        </w:rPr>
        <w:t>CCA</w:t>
      </w:r>
      <w:r>
        <w:t xml:space="preserve"> </w:t>
      </w:r>
      <w:r w:rsidRPr="002C21E9">
        <w:rPr>
          <w:i/>
        </w:rPr>
        <w:t>(“Currency Conversion Approach”)</w:t>
      </w:r>
      <w:r>
        <w:t xml:space="preserve"> added to its modelling.  As noted above the EBA filing rules (v4.1) now allow such data items to be reported in currencies other than the “reporting currency” of the instance (whereas other monetary data items not so marked must still be reported in a single reporting currency per instance).</w:t>
      </w:r>
    </w:p>
    <w:p w14:paraId="55B5EAF4" w14:textId="77777777" w:rsidR="00D77280" w:rsidRDefault="00D77280" w:rsidP="00D77280"/>
    <w:p w14:paraId="55B5EAF5" w14:textId="77777777" w:rsidR="00D77280" w:rsidRPr="002C21E9" w:rsidRDefault="00D77280" w:rsidP="00D77280">
      <w:r>
        <w:t xml:space="preserve">Furthermore the filing rules state that for such facts where they have a value for </w:t>
      </w:r>
      <w:r w:rsidRPr="007C4AD7">
        <w:rPr>
          <w:b/>
        </w:rPr>
        <w:t>CUS</w:t>
      </w:r>
      <w:r>
        <w:t xml:space="preserve"> (</w:t>
      </w:r>
      <w:r w:rsidRPr="002C21E9">
        <w:rPr>
          <w:i/>
        </w:rPr>
        <w:t>“Currency with significant liabilities”)</w:t>
      </w:r>
      <w:r>
        <w:rPr>
          <w:i/>
        </w:rPr>
        <w:t xml:space="preserve"> </w:t>
      </w:r>
      <w:r>
        <w:t>the currency unit of the reported value must be consistent</w:t>
      </w:r>
      <w:r>
        <w:rPr>
          <w:rStyle w:val="FootnoteReference"/>
        </w:rPr>
        <w:footnoteReference w:id="11"/>
      </w:r>
      <w:r>
        <w:t xml:space="preserve"> with the value given for this dimension. This is the dimension used on the open z axis to identify to which sheet of the currency breakdown tables each fact relates.</w:t>
      </w:r>
    </w:p>
    <w:p w14:paraId="55B5EAF6" w14:textId="77777777" w:rsidR="00D77280" w:rsidRDefault="00D77280" w:rsidP="00D77280"/>
    <w:p w14:paraId="55B5EAF7" w14:textId="77777777" w:rsidR="00D77280" w:rsidRDefault="00D77280" w:rsidP="00D77280">
      <w:r>
        <w:t>The new LCR delegated act tables are also modelled in this way.</w:t>
      </w:r>
    </w:p>
    <w:p w14:paraId="55B5EAF8" w14:textId="77777777" w:rsidR="00D77280" w:rsidRDefault="00D77280" w:rsidP="00D77280"/>
    <w:p w14:paraId="55B5EAF9" w14:textId="77777777" w:rsidR="00D77280" w:rsidRDefault="00D77280" w:rsidP="00D77280">
      <w:r>
        <w:t>Note that table F 34.00.c in Asset Encumbrance and P 02.06 from Funding Plans, although sharing the same structure as the above mentioned tables in LCR and NSFR have NOT been altered. This is because the scope of the QA 1042 was specifically LCR and NSFR, and so does not automatically apply to these tables. F 34.00.c and P 02.06 should for now continue to be reported with all figures converted to the reporting currency (they are not marked with the member indicating otherwise).</w:t>
      </w:r>
    </w:p>
    <w:p w14:paraId="55B5EAFA" w14:textId="77777777" w:rsidR="00D77280" w:rsidRDefault="00D77280" w:rsidP="00D77280">
      <w:pPr>
        <w:pStyle w:val="Titlelevel4"/>
      </w:pPr>
      <w:r>
        <w:t>Benchmarking</w:t>
      </w:r>
    </w:p>
    <w:p w14:paraId="55B5EAFB" w14:textId="77777777" w:rsidR="00D77280" w:rsidRDefault="00D77280" w:rsidP="00D77280">
      <w:r>
        <w:t>The tables in benchmarking that previously used “decimal” primary items to report figures in various currencies without mentioning the currency have been remodelled to instead use normal monetary primary items.</w:t>
      </w:r>
    </w:p>
    <w:p w14:paraId="55B5EAFC" w14:textId="77777777" w:rsidR="00D77280" w:rsidRDefault="00D77280" w:rsidP="00D77280"/>
    <w:p w14:paraId="55B5EAFD" w14:textId="77777777" w:rsidR="00D77280" w:rsidRDefault="00D77280" w:rsidP="00D77280">
      <w:r>
        <w:t xml:space="preserve">The dimensional attributes of these data items in the DPM again contain the </w:t>
      </w:r>
      <w:r w:rsidRPr="007C4AD7">
        <w:rPr>
          <w:b/>
        </w:rPr>
        <w:t>eba_CA</w:t>
      </w:r>
      <w:proofErr w:type="gramStart"/>
      <w:r w:rsidRPr="007C4AD7">
        <w:rPr>
          <w:b/>
        </w:rPr>
        <w:t>:x1</w:t>
      </w:r>
      <w:proofErr w:type="gramEnd"/>
      <w:r>
        <w:t xml:space="preserve"> member of the </w:t>
      </w:r>
      <w:r w:rsidRPr="007C4AD7">
        <w:rPr>
          <w:b/>
        </w:rPr>
        <w:t>C</w:t>
      </w:r>
      <w:r>
        <w:rPr>
          <w:b/>
        </w:rPr>
        <w:t>CA</w:t>
      </w:r>
      <w:r>
        <w:t xml:space="preserve"> dimension to indicate they can (must) be reported with currencies other than the reporting currency where relevant.</w:t>
      </w:r>
    </w:p>
    <w:p w14:paraId="55B5EAFE" w14:textId="77777777" w:rsidR="00D77280" w:rsidRDefault="00D77280" w:rsidP="00D77280"/>
    <w:p w14:paraId="55B5EAFF" w14:textId="77777777" w:rsidR="00D77280" w:rsidRDefault="00D77280" w:rsidP="00D77280">
      <w:r>
        <w:t xml:space="preserve">The data items (unlike those in LCR and NSFR) do not however have any predetermined currency dimension associated. This is because the appropriate currency varies for each item (each row/sheet associated to a portfolio ID) in the open tables, driven by the details specified for the notional supervisory benchmarking portfolios in the lists published by the EBA in preparation for each specific </w:t>
      </w:r>
      <w:r>
        <w:lastRenderedPageBreak/>
        <w:t>benchmarking exercise</w:t>
      </w:r>
      <w:r>
        <w:rPr>
          <w:rStyle w:val="FootnoteReference"/>
        </w:rPr>
        <w:footnoteReference w:id="12"/>
      </w:r>
      <w:r>
        <w:t>. These open data items are therefore not a priori restricted by the data model to being reported in a specific currency, but of course should be reported in the appropriate currency of denomination on a reported fact by fact basis.</w:t>
      </w:r>
    </w:p>
    <w:p w14:paraId="55B5EB00" w14:textId="77777777" w:rsidR="00D77280" w:rsidRDefault="00D77280" w:rsidP="00D77280"/>
    <w:p w14:paraId="55B5EB01" w14:textId="77777777" w:rsidR="00AE7465" w:rsidRDefault="00AE7465" w:rsidP="00AE7465">
      <w:pPr>
        <w:pStyle w:val="Titlelevel3"/>
      </w:pPr>
      <w:proofErr w:type="spellStart"/>
      <w:r>
        <w:t>Finrep</w:t>
      </w:r>
      <w:proofErr w:type="spellEnd"/>
      <w:r>
        <w:t xml:space="preserve"> Individual</w:t>
      </w:r>
    </w:p>
    <w:p w14:paraId="55B5EB02" w14:textId="77777777" w:rsidR="00AE7465" w:rsidRPr="002D2F3D" w:rsidRDefault="00AE7465" w:rsidP="00AE7465">
      <w:r>
        <w:t xml:space="preserve">Please note that in order to facilitate implementation the </w:t>
      </w:r>
      <w:proofErr w:type="spellStart"/>
      <w:r>
        <w:t>Finrep</w:t>
      </w:r>
      <w:proofErr w:type="spellEnd"/>
      <w:r>
        <w:t xml:space="preserve"> Individual entry points form a separate reporting taxonomy (i.e. are separated into their own subdirectory at the XBRL level), the definitions of the tables (and hence the table layouts) are identical between the Consolidated and Individual versions.</w:t>
      </w:r>
    </w:p>
    <w:p w14:paraId="55B5EB03" w14:textId="77777777" w:rsidR="00D77280" w:rsidRDefault="00D77280" w:rsidP="00D77280">
      <w:pPr>
        <w:pStyle w:val="Titlelevel3"/>
      </w:pPr>
      <w:r>
        <w:t>Validation rules</w:t>
      </w:r>
    </w:p>
    <w:p w14:paraId="55B5EB04" w14:textId="77777777" w:rsidR="00D77280" w:rsidRDefault="00D77280" w:rsidP="00D77280">
      <w:r>
        <w:t xml:space="preserve">The “severity” attribute of validation rules is no longer populated in the DPM database (since it is essentially out of date as soon as the taxonomy is </w:t>
      </w:r>
      <w:proofErr w:type="gramStart"/>
      <w:r>
        <w:t>published,</w:t>
      </w:r>
      <w:proofErr w:type="gramEnd"/>
      <w:r>
        <w:t xml:space="preserve"> and hence just a potential source of confusion). All validation rules entries for 2.4 have this field as null. The activation / deactivation and blocking / non-blocking status of rules should be determined from the validation rule spreadsheets published from time to time by the EBA.</w:t>
      </w:r>
    </w:p>
    <w:p w14:paraId="55B5EB05" w14:textId="77777777" w:rsidR="00D77280" w:rsidRDefault="00D77280" w:rsidP="00D77280"/>
    <w:p w14:paraId="55B5EB06" w14:textId="77777777" w:rsidR="00D77280" w:rsidRDefault="00D77280" w:rsidP="00D77280">
      <w:r>
        <w:t xml:space="preserve">The accompanying validation spreadsheet includes additional rules for Asset Encumbrance, which </w:t>
      </w:r>
      <w:proofErr w:type="gramStart"/>
      <w:r>
        <w:t>are</w:t>
      </w:r>
      <w:proofErr w:type="gramEnd"/>
      <w:r>
        <w:t xml:space="preserve"> not represented in the XBRL taxonomy, being marked as “Not implemented in XBRL”. There is no new Asset Encumbrance taxonomy version in this release.</w:t>
      </w:r>
    </w:p>
    <w:p w14:paraId="55B5EB07" w14:textId="77777777" w:rsidR="00D77280" w:rsidRDefault="00D77280" w:rsidP="00D77280"/>
    <w:p w14:paraId="55B5EB08" w14:textId="77777777" w:rsidR="00D77280" w:rsidRDefault="00D77280" w:rsidP="00D77280">
      <w:r>
        <w:t>The function “min” is used for the first time in validation rules in this release.</w:t>
      </w:r>
    </w:p>
    <w:p w14:paraId="55B5EB09" w14:textId="77777777" w:rsidR="00D77280" w:rsidRPr="000818EE" w:rsidRDefault="00D77280" w:rsidP="00D77280">
      <w:pPr>
        <w:pStyle w:val="Titlelevel4"/>
        <w:ind w:left="720" w:right="711"/>
      </w:pPr>
      <w:proofErr w:type="gramStart"/>
      <w:r w:rsidRPr="000818EE">
        <w:t>A quick clarification regarding the “</w:t>
      </w:r>
      <w:proofErr w:type="spellStart"/>
      <w:r w:rsidRPr="000818EE">
        <w:t>xsum</w:t>
      </w:r>
      <w:proofErr w:type="spellEnd"/>
      <w:r w:rsidRPr="000818EE">
        <w:t>” function.</w:t>
      </w:r>
      <w:proofErr w:type="gramEnd"/>
    </w:p>
    <w:p w14:paraId="55B5EB0A" w14:textId="77777777" w:rsidR="00D77280" w:rsidRPr="00055C2E" w:rsidRDefault="00D77280" w:rsidP="00D77280">
      <w:pPr>
        <w:ind w:left="720" w:right="711"/>
        <w:jc w:val="both"/>
      </w:pPr>
      <w:r>
        <w:t xml:space="preserve">Used in the EBA validation rule formulae, </w:t>
      </w:r>
      <w:r w:rsidRPr="00055C2E">
        <w:t>“</w:t>
      </w:r>
      <w:proofErr w:type="spellStart"/>
      <w:r w:rsidRPr="00055C2E">
        <w:t>xsum</w:t>
      </w:r>
      <w:proofErr w:type="spellEnd"/>
      <w:r w:rsidRPr="00055C2E">
        <w:t>” indicates that the value of all the cells at intersections of the listed co-ordinates should be summed. I.e. if a formula stated “</w:t>
      </w:r>
      <w:proofErr w:type="spellStart"/>
      <w:proofErr w:type="gramStart"/>
      <w:r w:rsidRPr="00055C2E">
        <w:t>xsum</w:t>
      </w:r>
      <w:proofErr w:type="spellEnd"/>
      <w:r w:rsidRPr="00055C2E">
        <w:t>(</w:t>
      </w:r>
      <w:proofErr w:type="gramEnd"/>
      <w:r w:rsidRPr="00055C2E">
        <w:t>{TABLECODE, (r010, r030, c010, 030, 040)})”, then it would indicate the sum of the six cells labelled A-F in the illustration below</w:t>
      </w:r>
    </w:p>
    <w:p w14:paraId="55B5EB0B" w14:textId="77777777" w:rsidR="00D77280" w:rsidRDefault="00D77280" w:rsidP="00D77280">
      <w:pPr>
        <w:ind w:left="720"/>
        <w:rPr>
          <w:rFonts w:ascii="Calibri" w:hAnsi="Calibri"/>
          <w:color w:val="44546A"/>
          <w:szCs w:val="22"/>
        </w:rPr>
      </w:pPr>
    </w:p>
    <w:tbl>
      <w:tblPr>
        <w:tblW w:w="4633" w:type="dxa"/>
        <w:tblInd w:w="1440" w:type="dxa"/>
        <w:tblCellMar>
          <w:left w:w="0" w:type="dxa"/>
          <w:right w:w="0" w:type="dxa"/>
        </w:tblCellMar>
        <w:tblLook w:val="04A0" w:firstRow="1" w:lastRow="0" w:firstColumn="1" w:lastColumn="0" w:noHBand="0" w:noVBand="1"/>
      </w:tblPr>
      <w:tblGrid>
        <w:gridCol w:w="664"/>
        <w:gridCol w:w="709"/>
        <w:gridCol w:w="850"/>
        <w:gridCol w:w="851"/>
        <w:gridCol w:w="850"/>
        <w:gridCol w:w="709"/>
      </w:tblGrid>
      <w:tr w:rsidR="00D77280" w14:paraId="55B5EB12" w14:textId="77777777" w:rsidTr="00923CC5">
        <w:tc>
          <w:tcPr>
            <w:tcW w:w="664" w:type="dxa"/>
            <w:tcBorders>
              <w:top w:val="single" w:sz="8" w:space="0" w:color="auto"/>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tcPr>
          <w:p w14:paraId="55B5EB0C" w14:textId="77777777" w:rsidR="00D77280" w:rsidRDefault="00D77280" w:rsidP="00923CC5">
            <w:pPr>
              <w:rPr>
                <w:rFonts w:ascii="Calibri" w:eastAsiaTheme="minorHAnsi" w:hAnsi="Calibri"/>
                <w:b/>
                <w:bCs/>
                <w:color w:val="44546A"/>
                <w:szCs w:val="22"/>
              </w:rPr>
            </w:pPr>
          </w:p>
        </w:tc>
        <w:tc>
          <w:tcPr>
            <w:tcW w:w="709"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D"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010</w:t>
            </w:r>
          </w:p>
        </w:tc>
        <w:tc>
          <w:tcPr>
            <w:tcW w:w="850" w:type="dxa"/>
            <w:tcBorders>
              <w:top w:val="single" w:sz="8" w:space="0" w:color="auto"/>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0E"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020</w:t>
            </w:r>
          </w:p>
        </w:tc>
        <w:tc>
          <w:tcPr>
            <w:tcW w:w="851"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F"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030</w:t>
            </w:r>
          </w:p>
        </w:tc>
        <w:tc>
          <w:tcPr>
            <w:tcW w:w="850"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10"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040</w:t>
            </w:r>
          </w:p>
        </w:tc>
        <w:tc>
          <w:tcPr>
            <w:tcW w:w="709" w:type="dxa"/>
            <w:tcBorders>
              <w:top w:val="single" w:sz="8" w:space="0" w:color="auto"/>
              <w:left w:val="nil"/>
              <w:bottom w:val="single" w:sz="18" w:space="0" w:color="FFFF00"/>
              <w:right w:val="single" w:sz="8" w:space="0" w:color="auto"/>
            </w:tcBorders>
          </w:tcPr>
          <w:p w14:paraId="55B5EB11" w14:textId="77777777" w:rsidR="00D77280" w:rsidRDefault="00D77280" w:rsidP="00923CC5">
            <w:pPr>
              <w:rPr>
                <w:rFonts w:ascii="Calibri" w:hAnsi="Calibri"/>
                <w:b/>
                <w:bCs/>
                <w:color w:val="44546A"/>
                <w:szCs w:val="22"/>
              </w:rPr>
            </w:pPr>
            <w:r>
              <w:rPr>
                <w:rFonts w:ascii="Calibri" w:hAnsi="Calibri"/>
                <w:b/>
                <w:bCs/>
                <w:color w:val="44546A"/>
                <w:szCs w:val="22"/>
              </w:rPr>
              <w:t>050</w:t>
            </w:r>
          </w:p>
        </w:tc>
      </w:tr>
      <w:tr w:rsidR="00D77280" w14:paraId="55B5EB19"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13"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010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4" w14:textId="77777777" w:rsidR="00D77280" w:rsidRDefault="00D77280" w:rsidP="00923CC5">
            <w:pPr>
              <w:rPr>
                <w:rFonts w:ascii="Calibri" w:eastAsiaTheme="minorHAnsi" w:hAnsi="Calibri"/>
                <w:color w:val="44546A"/>
                <w:szCs w:val="22"/>
              </w:rPr>
            </w:pPr>
            <w:r>
              <w:rPr>
                <w:rFonts w:ascii="Calibri" w:hAnsi="Calibri"/>
                <w:color w:val="44546A"/>
                <w:szCs w:val="22"/>
              </w:rPr>
              <w:t>A</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15"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6" w14:textId="77777777" w:rsidR="00D77280" w:rsidRPr="00055C2E" w:rsidRDefault="00D77280" w:rsidP="00923CC5">
            <w:pPr>
              <w:rPr>
                <w:rFonts w:ascii="Calibri" w:hAnsi="Calibri"/>
                <w:color w:val="44546A"/>
                <w:szCs w:val="22"/>
              </w:rPr>
            </w:pPr>
            <w:r>
              <w:rPr>
                <w:rFonts w:ascii="Calibri" w:hAnsi="Calibri"/>
                <w:color w:val="44546A"/>
                <w:szCs w:val="22"/>
              </w:rPr>
              <w:t>B</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7" w14:textId="77777777" w:rsidR="00D77280" w:rsidRDefault="00D77280" w:rsidP="00923CC5">
            <w:pPr>
              <w:rPr>
                <w:rFonts w:ascii="Calibri" w:eastAsiaTheme="minorHAnsi" w:hAnsi="Calibri"/>
                <w:color w:val="44546A"/>
                <w:szCs w:val="22"/>
              </w:rPr>
            </w:pPr>
            <w:r>
              <w:rPr>
                <w:rFonts w:ascii="Calibri" w:hAnsi="Calibri"/>
                <w:color w:val="44546A"/>
                <w:szCs w:val="22"/>
              </w:rPr>
              <w:t>C</w:t>
            </w:r>
          </w:p>
        </w:tc>
        <w:tc>
          <w:tcPr>
            <w:tcW w:w="709" w:type="dxa"/>
            <w:tcBorders>
              <w:top w:val="single" w:sz="18" w:space="0" w:color="FFFF00"/>
              <w:left w:val="nil"/>
              <w:bottom w:val="single" w:sz="18" w:space="0" w:color="FFFF00"/>
              <w:right w:val="single" w:sz="18" w:space="0" w:color="FFFF00"/>
            </w:tcBorders>
            <w:shd w:val="clear" w:color="auto" w:fill="FFFFCC"/>
          </w:tcPr>
          <w:p w14:paraId="55B5EB18" w14:textId="77777777" w:rsidR="00D77280" w:rsidRDefault="00D77280" w:rsidP="00923CC5">
            <w:pPr>
              <w:rPr>
                <w:rFonts w:ascii="Calibri" w:hAnsi="Calibri"/>
                <w:color w:val="44546A"/>
                <w:szCs w:val="22"/>
              </w:rPr>
            </w:pPr>
          </w:p>
        </w:tc>
      </w:tr>
      <w:tr w:rsidR="00D77280" w14:paraId="55B5EB20" w14:textId="77777777" w:rsidTr="00923CC5">
        <w:tc>
          <w:tcPr>
            <w:tcW w:w="664" w:type="dxa"/>
            <w:tcBorders>
              <w:top w:val="single" w:sz="18" w:space="0" w:color="FFFF00"/>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1A"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020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B" w14:textId="77777777" w:rsidR="00D77280"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tcPr>
          <w:p w14:paraId="55B5EB1C"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D" w14:textId="77777777" w:rsidR="00D77280"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E" w14:textId="77777777" w:rsidR="00D77280" w:rsidRDefault="00D77280" w:rsidP="00923CC5">
            <w:pPr>
              <w:rPr>
                <w:rFonts w:ascii="Calibri" w:eastAsiaTheme="minorHAnsi" w:hAnsi="Calibri"/>
                <w:color w:val="44546A"/>
                <w:szCs w:val="22"/>
              </w:rPr>
            </w:pPr>
          </w:p>
        </w:tc>
        <w:tc>
          <w:tcPr>
            <w:tcW w:w="709" w:type="dxa"/>
            <w:tcBorders>
              <w:top w:val="single" w:sz="18" w:space="0" w:color="FFFF00"/>
              <w:left w:val="nil"/>
              <w:bottom w:val="single" w:sz="18" w:space="0" w:color="FFFF00"/>
              <w:right w:val="single" w:sz="8" w:space="0" w:color="auto"/>
            </w:tcBorders>
          </w:tcPr>
          <w:p w14:paraId="55B5EB1F" w14:textId="77777777" w:rsidR="00D77280" w:rsidRDefault="00D77280" w:rsidP="00923CC5">
            <w:pPr>
              <w:rPr>
                <w:rFonts w:ascii="Calibri" w:eastAsiaTheme="minorHAnsi" w:hAnsi="Calibri"/>
                <w:color w:val="44546A"/>
                <w:szCs w:val="22"/>
              </w:rPr>
            </w:pPr>
          </w:p>
        </w:tc>
      </w:tr>
      <w:tr w:rsidR="00D77280" w14:paraId="55B5EB27"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21"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030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2" w14:textId="77777777" w:rsidR="00D77280" w:rsidRDefault="00D77280" w:rsidP="00923CC5">
            <w:pPr>
              <w:rPr>
                <w:rFonts w:ascii="Calibri" w:eastAsiaTheme="minorHAnsi" w:hAnsi="Calibri"/>
                <w:color w:val="44546A"/>
                <w:szCs w:val="22"/>
              </w:rPr>
            </w:pPr>
            <w:r>
              <w:rPr>
                <w:rFonts w:ascii="Calibri" w:hAnsi="Calibri"/>
                <w:color w:val="44546A"/>
                <w:szCs w:val="22"/>
              </w:rPr>
              <w:t>D</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23"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4" w14:textId="77777777" w:rsidR="00D77280" w:rsidRDefault="00D77280" w:rsidP="00923CC5">
            <w:pPr>
              <w:rPr>
                <w:rFonts w:ascii="Calibri" w:eastAsiaTheme="minorHAnsi" w:hAnsi="Calibri"/>
                <w:color w:val="44546A"/>
                <w:szCs w:val="22"/>
              </w:rPr>
            </w:pPr>
            <w:r>
              <w:rPr>
                <w:rFonts w:ascii="Calibri" w:hAnsi="Calibri"/>
                <w:color w:val="44546A"/>
                <w:szCs w:val="22"/>
              </w:rPr>
              <w:t>E</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5" w14:textId="77777777" w:rsidR="00D77280" w:rsidRDefault="00D77280" w:rsidP="00923CC5">
            <w:pPr>
              <w:rPr>
                <w:rFonts w:ascii="Calibri" w:eastAsiaTheme="minorHAnsi" w:hAnsi="Calibri"/>
                <w:color w:val="44546A"/>
                <w:szCs w:val="22"/>
              </w:rPr>
            </w:pPr>
            <w:r>
              <w:rPr>
                <w:rFonts w:ascii="Calibri" w:hAnsi="Calibri"/>
                <w:color w:val="44546A"/>
                <w:szCs w:val="22"/>
              </w:rPr>
              <w:t>F</w:t>
            </w:r>
          </w:p>
        </w:tc>
        <w:tc>
          <w:tcPr>
            <w:tcW w:w="709" w:type="dxa"/>
            <w:tcBorders>
              <w:top w:val="single" w:sz="18" w:space="0" w:color="FFFF00"/>
              <w:bottom w:val="single" w:sz="18" w:space="0" w:color="FFFF00"/>
              <w:right w:val="single" w:sz="18" w:space="0" w:color="FFFF00"/>
            </w:tcBorders>
            <w:shd w:val="clear" w:color="auto" w:fill="FFFFCC"/>
          </w:tcPr>
          <w:p w14:paraId="55B5EB26" w14:textId="77777777" w:rsidR="00D77280" w:rsidRDefault="00D77280" w:rsidP="00923CC5">
            <w:pPr>
              <w:rPr>
                <w:rFonts w:ascii="Calibri" w:hAnsi="Calibri"/>
                <w:color w:val="44546A"/>
                <w:szCs w:val="22"/>
              </w:rPr>
            </w:pPr>
          </w:p>
        </w:tc>
      </w:tr>
      <w:tr w:rsidR="00D77280" w14:paraId="55B5EB2E" w14:textId="77777777" w:rsidTr="00923CC5">
        <w:tc>
          <w:tcPr>
            <w:tcW w:w="664" w:type="dxa"/>
            <w:tcBorders>
              <w:top w:val="single" w:sz="18" w:space="0" w:color="FFFF00"/>
              <w:left w:val="single" w:sz="8" w:space="0" w:color="auto"/>
              <w:bottom w:val="single" w:sz="8" w:space="0" w:color="auto"/>
              <w:right w:val="single" w:sz="18" w:space="0" w:color="D44D2A" w:themeColor="accent3"/>
            </w:tcBorders>
            <w:shd w:val="clear" w:color="auto" w:fill="auto"/>
            <w:tcMar>
              <w:top w:w="0" w:type="dxa"/>
              <w:left w:w="108" w:type="dxa"/>
              <w:bottom w:w="0" w:type="dxa"/>
              <w:right w:w="108" w:type="dxa"/>
            </w:tcMar>
          </w:tcPr>
          <w:p w14:paraId="55B5EB28" w14:textId="77777777" w:rsidR="00D77280" w:rsidRDefault="00D77280" w:rsidP="00923CC5">
            <w:pPr>
              <w:rPr>
                <w:rFonts w:ascii="Calibri" w:hAnsi="Calibri"/>
                <w:b/>
                <w:bCs/>
                <w:color w:val="44546A"/>
                <w:szCs w:val="22"/>
              </w:rPr>
            </w:pPr>
            <w:r>
              <w:rPr>
                <w:rFonts w:ascii="Calibri" w:hAnsi="Calibri"/>
                <w:b/>
                <w:bCs/>
                <w:color w:val="44546A"/>
                <w:szCs w:val="22"/>
              </w:rPr>
              <w:t>040</w:t>
            </w:r>
          </w:p>
        </w:tc>
        <w:tc>
          <w:tcPr>
            <w:tcW w:w="709"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9" w14:textId="77777777" w:rsidR="00D77280" w:rsidRPr="00055C2E"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8" w:space="0" w:color="auto"/>
              <w:right w:val="single" w:sz="18" w:space="0" w:color="D44D2A" w:themeColor="accent3"/>
            </w:tcBorders>
            <w:shd w:val="clear" w:color="auto" w:fill="auto"/>
            <w:tcMar>
              <w:top w:w="0" w:type="dxa"/>
              <w:left w:w="108" w:type="dxa"/>
              <w:bottom w:w="0" w:type="dxa"/>
              <w:right w:w="108" w:type="dxa"/>
            </w:tcMar>
          </w:tcPr>
          <w:p w14:paraId="55B5EB2A" w14:textId="77777777" w:rsidR="00D77280" w:rsidRPr="00055C2E" w:rsidRDefault="00D77280" w:rsidP="00923CC5">
            <w:pPr>
              <w:rPr>
                <w:rFonts w:ascii="Calibri" w:hAnsi="Calibri"/>
                <w:b/>
                <w:bCs/>
                <w:color w:val="44546A"/>
                <w:szCs w:val="22"/>
              </w:rPr>
            </w:pPr>
          </w:p>
        </w:tc>
        <w:tc>
          <w:tcPr>
            <w:tcW w:w="851"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B" w14:textId="77777777" w:rsidR="00D77280" w:rsidRPr="00055C2E"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C" w14:textId="77777777" w:rsidR="00D77280" w:rsidRPr="00055C2E" w:rsidRDefault="00D77280" w:rsidP="00923CC5">
            <w:pPr>
              <w:rPr>
                <w:rFonts w:ascii="Calibri" w:hAnsi="Calibri"/>
                <w:b/>
                <w:bCs/>
                <w:color w:val="44546A"/>
                <w:szCs w:val="22"/>
              </w:rPr>
            </w:pPr>
          </w:p>
        </w:tc>
        <w:tc>
          <w:tcPr>
            <w:tcW w:w="709" w:type="dxa"/>
            <w:tcBorders>
              <w:top w:val="single" w:sz="18" w:space="0" w:color="FFFF00"/>
              <w:left w:val="single" w:sz="18" w:space="0" w:color="D44D2A" w:themeColor="accent3"/>
              <w:bottom w:val="single" w:sz="8" w:space="0" w:color="auto"/>
              <w:right w:val="single" w:sz="8" w:space="0" w:color="auto"/>
            </w:tcBorders>
          </w:tcPr>
          <w:p w14:paraId="55B5EB2D" w14:textId="77777777" w:rsidR="00D77280" w:rsidRPr="00055C2E" w:rsidRDefault="00D77280" w:rsidP="00923CC5">
            <w:pPr>
              <w:rPr>
                <w:rFonts w:ascii="Calibri" w:hAnsi="Calibri"/>
                <w:b/>
                <w:bCs/>
                <w:color w:val="44546A"/>
                <w:szCs w:val="22"/>
              </w:rPr>
            </w:pPr>
          </w:p>
        </w:tc>
      </w:tr>
    </w:tbl>
    <w:p w14:paraId="55B5EB2F" w14:textId="77777777" w:rsidR="00D77280" w:rsidRDefault="00D77280" w:rsidP="00D77280"/>
    <w:p w14:paraId="55B5EB30" w14:textId="77777777" w:rsidR="00D77280" w:rsidRPr="00AF5AA3" w:rsidRDefault="00D77280" w:rsidP="00D77280">
      <w:pPr>
        <w:pStyle w:val="Titlelevel2"/>
        <w:keepNext/>
      </w:pPr>
      <w:r>
        <w:lastRenderedPageBreak/>
        <w:t>XBRL c</w:t>
      </w:r>
      <w:r w:rsidRPr="00AF5AA3">
        <w:t>hanges</w:t>
      </w:r>
    </w:p>
    <w:p w14:paraId="55B5EB31" w14:textId="77777777" w:rsidR="00D77280" w:rsidRDefault="00D77280" w:rsidP="00D77280">
      <w:pPr>
        <w:pStyle w:val="Titlelevel3"/>
      </w:pPr>
      <w:r>
        <w:t>Validation rules</w:t>
      </w:r>
    </w:p>
    <w:p w14:paraId="55B5EB32" w14:textId="77777777" w:rsidR="00D77280" w:rsidRDefault="00D77280" w:rsidP="00D77280">
      <w:r>
        <w:t>All validation rules which are not marked as “not implemented in XBRL” or “deleted” are now mapped to XBRL formulae. This includes formulae that are currently marked as “deactivated” (not all of which have been mapped to XBRL in prior releases).</w:t>
      </w:r>
    </w:p>
    <w:p w14:paraId="55B5EB33" w14:textId="77777777" w:rsidR="00D77280" w:rsidRDefault="00D77280" w:rsidP="00D77280"/>
    <w:p w14:paraId="55B5EB34" w14:textId="77777777" w:rsidR="00D77280" w:rsidRPr="002D2F3D" w:rsidRDefault="00D77280" w:rsidP="00D77280">
      <w:pPr>
        <w:pStyle w:val="Titlelevel3"/>
      </w:pPr>
      <w:r w:rsidRPr="002D2F3D">
        <w:t>QA 1042</w:t>
      </w:r>
      <w:r>
        <w:t xml:space="preserve"> - Multicurrency</w:t>
      </w:r>
    </w:p>
    <w:p w14:paraId="55B5EB35" w14:textId="77777777" w:rsidR="00D77280" w:rsidRDefault="00D77280" w:rsidP="00D77280">
      <w:r>
        <w:t xml:space="preserve">Note that at present there is no XBRL level enforcement of the modified EBA filing rule 3.1 which specifies the new rules around multicurrency reporting, i.e. the relationship between value of the </w:t>
      </w:r>
      <w:r w:rsidRPr="00CA7B1F">
        <w:rPr>
          <w:b/>
        </w:rPr>
        <w:t xml:space="preserve">CUS </w:t>
      </w:r>
      <w:r>
        <w:t xml:space="preserve">dimension and the unit currency, and the restriction that non-reporting currency units may only be used on facts with the </w:t>
      </w:r>
      <w:r w:rsidRPr="007C4AD7">
        <w:rPr>
          <w:b/>
        </w:rPr>
        <w:t>eba_CA</w:t>
      </w:r>
      <w:proofErr w:type="gramStart"/>
      <w:r w:rsidRPr="007C4AD7">
        <w:rPr>
          <w:b/>
        </w:rPr>
        <w:t>:x1</w:t>
      </w:r>
      <w:proofErr w:type="gramEnd"/>
      <w:r>
        <w:rPr>
          <w:b/>
        </w:rPr>
        <w:t xml:space="preserve"> </w:t>
      </w:r>
      <w:r w:rsidRPr="00CA7B1F">
        <w:t>member for the</w:t>
      </w:r>
      <w:r>
        <w:rPr>
          <w:b/>
        </w:rPr>
        <w:t xml:space="preserve"> CCA </w:t>
      </w:r>
      <w:r w:rsidRPr="00CA7B1F">
        <w:t>dimension</w:t>
      </w:r>
      <w:r>
        <w:t xml:space="preserve">. As with the previous “one reporting currency per instance” version of the rule this is currently primarily expected to be enforced by recipient data collection platforms. </w:t>
      </w:r>
    </w:p>
    <w:p w14:paraId="55B5EB36" w14:textId="77777777" w:rsidR="00A2385B" w:rsidRDefault="00A2385B" w:rsidP="00D77280"/>
    <w:p w14:paraId="55B5EB37" w14:textId="77777777" w:rsidR="00A2385B" w:rsidRDefault="00A2385B" w:rsidP="00A2385B">
      <w:pPr>
        <w:pStyle w:val="Titlelevel3"/>
      </w:pPr>
      <w:r>
        <w:t>LEI Scheme URI</w:t>
      </w:r>
    </w:p>
    <w:p w14:paraId="55B5EB38" w14:textId="77777777" w:rsidR="00A2385B" w:rsidRDefault="00A2385B" w:rsidP="00A2385B">
      <w:r>
        <w:t>Previous editions of the EBA filing rules have sadly erroneously specified a scheme URI of “http://standard.iso.org/</w:t>
      </w:r>
      <w:proofErr w:type="spellStart"/>
      <w:r>
        <w:t>iso</w:t>
      </w:r>
      <w:proofErr w:type="spellEnd"/>
      <w:r>
        <w:t xml:space="preserve">/17442” for (pre)LEI codes (note the missing </w:t>
      </w:r>
      <w:proofErr w:type="spellStart"/>
      <w:r>
        <w:t>final s</w:t>
      </w:r>
      <w:proofErr w:type="spellEnd"/>
      <w:r>
        <w:t xml:space="preserve"> of “standards”). RFC5141 however specifies the plural form.</w:t>
      </w:r>
    </w:p>
    <w:p w14:paraId="55B5EB39" w14:textId="77777777" w:rsidR="00A2385B" w:rsidRDefault="00A2385B" w:rsidP="00A2385B"/>
    <w:p w14:paraId="55B5EB3A" w14:textId="77777777" w:rsidR="00A2385B" w:rsidRDefault="00A2385B" w:rsidP="00A2385B">
      <w:r>
        <w:t>Producers of instance documents are encouraged to switch as quickly as possible to producing the correct form “http://standards.iso.org/</w:t>
      </w:r>
      <w:proofErr w:type="spellStart"/>
      <w:r>
        <w:t>iso</w:t>
      </w:r>
      <w:proofErr w:type="spellEnd"/>
      <w:r>
        <w:t>/17442”. The EBA will (and consumers of instance documents are strongly encouraged also to) in practice accept either form from submitters.</w:t>
      </w:r>
    </w:p>
    <w:p w14:paraId="55B5EB3B" w14:textId="77777777" w:rsidR="00D77280" w:rsidRPr="000818EE" w:rsidRDefault="00D77280" w:rsidP="00D77280">
      <w:pPr>
        <w:pStyle w:val="Titlelevel2"/>
        <w:keepNext/>
      </w:pPr>
      <w:r w:rsidRPr="000818EE">
        <w:t>Correction of Outstanding Known Issues</w:t>
      </w:r>
    </w:p>
    <w:p w14:paraId="55B5EB3C" w14:textId="77777777" w:rsidR="00D77280" w:rsidRPr="00AF5AA3" w:rsidRDefault="00D77280" w:rsidP="00D77280">
      <w:r>
        <w:t>The issue noted for 2.3.x regarding the incorrectly assigned metrics for COREP C 06.02 column 040, and FINREP F 40.01 column 150 has been resolved. Reporters should now use the appropriate members for these columns, in alignment with the ITS instructions.</w:t>
      </w:r>
    </w:p>
    <w:p w14:paraId="55B5EB3D" w14:textId="77777777" w:rsidR="00360446" w:rsidRPr="00AF5AA3" w:rsidRDefault="00360446" w:rsidP="00060ADA"/>
    <w:p w14:paraId="55B5EB3E" w14:textId="77777777" w:rsidR="00360446" w:rsidRDefault="00360446" w:rsidP="00360446"/>
    <w:p w14:paraId="55B5EB3F" w14:textId="77777777" w:rsidR="00360446" w:rsidRDefault="00360446">
      <w:pPr>
        <w:rPr>
          <w:rFonts w:asciiTheme="majorHAnsi" w:eastAsiaTheme="majorEastAsia" w:hAnsiTheme="majorHAnsi" w:cstheme="majorBidi"/>
          <w:i/>
          <w:color w:val="2F5773" w:themeColor="text2"/>
          <w:spacing w:val="5"/>
          <w:kern w:val="28"/>
          <w:sz w:val="52"/>
          <w:szCs w:val="52"/>
        </w:rPr>
      </w:pPr>
      <w:r>
        <w:rPr>
          <w:i/>
        </w:rPr>
        <w:br w:type="page"/>
      </w:r>
    </w:p>
    <w:p w14:paraId="55B5EB40" w14:textId="77777777" w:rsidR="00E47786" w:rsidRPr="00E47786" w:rsidRDefault="00E47786" w:rsidP="00E47786">
      <w:pPr>
        <w:pStyle w:val="Titlelevel1"/>
        <w:rPr>
          <w:i/>
        </w:rPr>
      </w:pPr>
      <w:r w:rsidRPr="00E47786">
        <w:rPr>
          <w:i/>
        </w:rPr>
        <w:lastRenderedPageBreak/>
        <w:t>v2.3.</w:t>
      </w:r>
      <w:r>
        <w:rPr>
          <w:i/>
        </w:rPr>
        <w:t>2</w:t>
      </w:r>
      <w:r w:rsidRPr="00E47786">
        <w:rPr>
          <w:i/>
        </w:rPr>
        <w:t xml:space="preserve"> (“2015-A</w:t>
      </w:r>
      <w:r>
        <w:rPr>
          <w:i/>
        </w:rPr>
        <w:t>-2</w:t>
      </w:r>
      <w:r w:rsidRPr="00E47786">
        <w:rPr>
          <w:i/>
        </w:rPr>
        <w:t>”</w:t>
      </w:r>
      <w:r w:rsidR="005A683A">
        <w:rPr>
          <w:i/>
        </w:rPr>
        <w:t xml:space="preserve"> Addition</w:t>
      </w:r>
      <w:r w:rsidRPr="00E47786">
        <w:rPr>
          <w:i/>
        </w:rPr>
        <w:t>)</w:t>
      </w:r>
      <w:r w:rsidRPr="00E47786">
        <w:rPr>
          <w:rFonts w:ascii="Arial" w:hAnsi="Arial" w:cs="Arial"/>
          <w:i/>
          <w:color w:val="696969"/>
          <w:sz w:val="18"/>
          <w:szCs w:val="18"/>
          <w:shd w:val="clear" w:color="auto" w:fill="FFFFFF"/>
        </w:rPr>
        <w:t xml:space="preserve"> </w:t>
      </w:r>
      <w:r w:rsidR="005A683A">
        <w:rPr>
          <w:rFonts w:ascii="Arial" w:hAnsi="Arial" w:cs="Arial"/>
          <w:i/>
          <w:color w:val="696969"/>
          <w:sz w:val="18"/>
          <w:szCs w:val="18"/>
          <w:shd w:val="clear" w:color="auto" w:fill="FFFFFF"/>
        </w:rPr>
        <w:t>(03</w:t>
      </w:r>
      <w:r>
        <w:rPr>
          <w:rFonts w:ascii="Arial" w:hAnsi="Arial" w:cs="Arial"/>
          <w:i/>
          <w:color w:val="696969"/>
          <w:sz w:val="18"/>
          <w:szCs w:val="18"/>
          <w:shd w:val="clear" w:color="auto" w:fill="FFFFFF"/>
        </w:rPr>
        <w:t>/07</w:t>
      </w:r>
      <w:r w:rsidRPr="00E47786">
        <w:rPr>
          <w:rFonts w:ascii="Arial" w:hAnsi="Arial" w:cs="Arial"/>
          <w:i/>
          <w:color w:val="696969"/>
          <w:sz w:val="18"/>
          <w:szCs w:val="18"/>
          <w:shd w:val="clear" w:color="auto" w:fill="FFFFFF"/>
        </w:rPr>
        <w:t>/2015)</w:t>
      </w:r>
    </w:p>
    <w:p w14:paraId="55B5EB41" w14:textId="77777777" w:rsidR="00E47786" w:rsidRPr="00AF5AA3" w:rsidRDefault="00E47786" w:rsidP="00E47786">
      <w:pPr>
        <w:pStyle w:val="Titlelevel2"/>
      </w:pPr>
      <w:r w:rsidRPr="00AF5AA3">
        <w:t>Purpose</w:t>
      </w:r>
    </w:p>
    <w:p w14:paraId="55B5EB42" w14:textId="77777777" w:rsidR="00587A42" w:rsidRPr="00AF5AA3" w:rsidRDefault="00CB1E6B" w:rsidP="00587A42">
      <w:proofErr w:type="gramStart"/>
      <w:r>
        <w:t>T</w:t>
      </w:r>
      <w:r w:rsidR="00587A42" w:rsidRPr="00AF5AA3">
        <w:t>axonomy release for FINREP Individual reporting.</w:t>
      </w:r>
      <w:proofErr w:type="gramEnd"/>
      <w:r w:rsidR="00587A42" w:rsidRPr="00AF5AA3">
        <w:t xml:space="preserve">  </w:t>
      </w:r>
    </w:p>
    <w:p w14:paraId="55B5EB43" w14:textId="77777777" w:rsidR="00587A42" w:rsidRPr="00AF5AA3" w:rsidRDefault="00587A42" w:rsidP="00587A42"/>
    <w:p w14:paraId="55B5EB44" w14:textId="77777777" w:rsidR="005A683A" w:rsidRDefault="005A683A" w:rsidP="005A683A">
      <w:r>
        <w:t xml:space="preserve">This v2.3.2 </w:t>
      </w:r>
      <w:r w:rsidR="0022111D">
        <w:t xml:space="preserve">additive </w:t>
      </w:r>
      <w:r>
        <w:t>release simply adds two additional entry points (reports) which may be used for individual (</w:t>
      </w:r>
      <w:r w:rsidR="0022111D">
        <w:t>i.e. “S</w:t>
      </w:r>
      <w:r w:rsidR="0022111D" w:rsidRPr="00AF5AA3">
        <w:t>olo</w:t>
      </w:r>
      <w:r w:rsidR="0022111D">
        <w:t>”/unconsolidated</w:t>
      </w:r>
      <w:r>
        <w:t>) FINREP data. Note that the structure of the tables in these Individual entry points is identical to the equivalent Consolidated FINREP reports in v2.3/2.3.1. The validation rules are also functionally equivalent, with the exception of two minor changes to rules applying to table F 00.01 required in order to allow proper indication of the “Individual” reporting scope of these reports.</w:t>
      </w:r>
    </w:p>
    <w:p w14:paraId="55B5EB45" w14:textId="77777777" w:rsidR="005A683A" w:rsidRDefault="005A683A" w:rsidP="005A683A"/>
    <w:p w14:paraId="55B5EB46" w14:textId="77777777" w:rsidR="005A683A" w:rsidRPr="005A683A" w:rsidRDefault="005A683A" w:rsidP="005A683A">
      <w:pPr>
        <w:rPr>
          <w:b/>
        </w:rPr>
      </w:pPr>
      <w:r w:rsidRPr="005A683A">
        <w:rPr>
          <w:b/>
        </w:rPr>
        <w:t>PLEASE NOTE – Entities who do NOT intend to use FINREP Individual reports have no need to use or install 2.3.2.</w:t>
      </w:r>
      <w:r>
        <w:rPr>
          <w:b/>
        </w:rPr>
        <w:t xml:space="preserve"> Remittance of Consolidated FINREP should continue using the existing 2.3 entry points.</w:t>
      </w:r>
    </w:p>
    <w:p w14:paraId="55B5EB47" w14:textId="77777777" w:rsidR="00DA19C1" w:rsidRDefault="00DA19C1" w:rsidP="00587A42"/>
    <w:p w14:paraId="55B5EB48" w14:textId="77777777" w:rsidR="00587A42" w:rsidRPr="00AF5AA3" w:rsidRDefault="007D121B" w:rsidP="00587A42">
      <w:r>
        <w:t>Although the EBA does not currently expect to receive FINREP individual data from Competent Authorities, these reporting structures are being provided at the EB</w:t>
      </w:r>
      <w:r w:rsidR="005A683A">
        <w:t>A level to facilitate greater European h</w:t>
      </w:r>
      <w:r>
        <w:t>armonisation. They are</w:t>
      </w:r>
      <w:r w:rsidR="003E109D">
        <w:t>,</w:t>
      </w:r>
      <w:r>
        <w:t xml:space="preserve"> </w:t>
      </w:r>
      <w:r w:rsidR="003E109D">
        <w:t xml:space="preserve">for example, </w:t>
      </w:r>
      <w:r>
        <w:t xml:space="preserve">likely to be used in the forthcoming SSM </w:t>
      </w:r>
      <w:r w:rsidR="00DA19C1">
        <w:t>reporting of Individual level FINREP.</w:t>
      </w:r>
      <w:r>
        <w:t xml:space="preserve"> </w:t>
      </w:r>
    </w:p>
    <w:p w14:paraId="55B5EB49" w14:textId="77777777" w:rsidR="00413725" w:rsidRDefault="00413725" w:rsidP="00587A42"/>
    <w:p w14:paraId="55B5EB4A" w14:textId="77777777" w:rsidR="00E47786" w:rsidRPr="00AF5AA3" w:rsidRDefault="00E47786" w:rsidP="00E47786">
      <w:pPr>
        <w:pStyle w:val="Titlelevel2"/>
      </w:pPr>
      <w:r w:rsidRPr="00AF5AA3">
        <w:t>DPM Changes</w:t>
      </w:r>
    </w:p>
    <w:p w14:paraId="55B5EB4B" w14:textId="77777777" w:rsidR="00E47786" w:rsidRPr="00AF5AA3" w:rsidRDefault="00587A42" w:rsidP="00183058">
      <w:pPr>
        <w:pStyle w:val="ListParagraph"/>
        <w:numPr>
          <w:ilvl w:val="0"/>
          <w:numId w:val="5"/>
        </w:numPr>
      </w:pPr>
      <w:r w:rsidRPr="00AF5AA3">
        <w:t xml:space="preserve">Two additional </w:t>
      </w:r>
      <w:r w:rsidR="00E47786" w:rsidRPr="00AF5AA3">
        <w:t xml:space="preserve">entry points </w:t>
      </w:r>
      <w:r w:rsidRPr="00AF5AA3">
        <w:t xml:space="preserve">have been added </w:t>
      </w:r>
      <w:r w:rsidR="00E47786" w:rsidRPr="00AF5AA3">
        <w:t xml:space="preserve">for </w:t>
      </w:r>
      <w:r w:rsidRPr="00AF5AA3">
        <w:t xml:space="preserve">Individual (i.e. solo) </w:t>
      </w:r>
      <w:r w:rsidR="00E47786" w:rsidRPr="00AF5AA3">
        <w:t>F</w:t>
      </w:r>
      <w:r w:rsidRPr="00AF5AA3">
        <w:t>INREP</w:t>
      </w:r>
      <w:r w:rsidR="00AF5AA3" w:rsidRPr="00AF5AA3">
        <w:t xml:space="preserve"> alongside the existing consolidated entry points from </w:t>
      </w:r>
      <w:r w:rsidR="005A683A">
        <w:t>v</w:t>
      </w:r>
      <w:r w:rsidR="00AF5AA3" w:rsidRPr="00AF5AA3">
        <w:t>2.3</w:t>
      </w:r>
      <w:r w:rsidR="00E47786" w:rsidRPr="00AF5AA3">
        <w:t>:</w:t>
      </w:r>
    </w:p>
    <w:tbl>
      <w:tblPr>
        <w:tblStyle w:val="EBAtable"/>
        <w:tblW w:w="0" w:type="auto"/>
        <w:tblInd w:w="51" w:type="dxa"/>
        <w:tblLayout w:type="fixed"/>
        <w:tblLook w:val="04A0" w:firstRow="1" w:lastRow="0" w:firstColumn="1" w:lastColumn="0" w:noHBand="0" w:noVBand="1"/>
      </w:tblPr>
      <w:tblGrid>
        <w:gridCol w:w="1475"/>
        <w:gridCol w:w="3402"/>
        <w:gridCol w:w="4312"/>
      </w:tblGrid>
      <w:tr w:rsidR="00AF5AA3" w:rsidRPr="00AF5AA3" w14:paraId="55B5EB4F" w14:textId="77777777" w:rsidTr="00AF5AA3">
        <w:trPr>
          <w:cnfStyle w:val="100000000000" w:firstRow="1" w:lastRow="0" w:firstColumn="0" w:lastColumn="0" w:oddVBand="0" w:evenVBand="0" w:oddHBand="0" w:evenHBand="0" w:firstRowFirstColumn="0" w:firstRowLastColumn="0" w:lastRowFirstColumn="0" w:lastRowLastColumn="0"/>
          <w:cantSplit/>
        </w:trPr>
        <w:tc>
          <w:tcPr>
            <w:tcW w:w="1475" w:type="dxa"/>
          </w:tcPr>
          <w:p w14:paraId="55B5EB4C" w14:textId="77777777" w:rsidR="00AF5AA3" w:rsidRPr="00AF5AA3" w:rsidRDefault="00AF5AA3" w:rsidP="00587A42">
            <w:pPr>
              <w:keepNext/>
              <w:keepLines/>
              <w:rPr>
                <w:b/>
              </w:rPr>
            </w:pPr>
            <w:r w:rsidRPr="00AF5AA3">
              <w:rPr>
                <w:b/>
              </w:rPr>
              <w:t>Introduced In</w:t>
            </w:r>
          </w:p>
        </w:tc>
        <w:tc>
          <w:tcPr>
            <w:tcW w:w="3402" w:type="dxa"/>
            <w:tcMar>
              <w:left w:w="57" w:type="dxa"/>
              <w:right w:w="57" w:type="dxa"/>
            </w:tcMar>
          </w:tcPr>
          <w:p w14:paraId="55B5EB4D" w14:textId="77777777" w:rsidR="00AF5AA3" w:rsidRPr="00AF5AA3" w:rsidRDefault="00AF5AA3" w:rsidP="00587A42">
            <w:pPr>
              <w:keepNext/>
              <w:keepLines/>
              <w:rPr>
                <w:b/>
              </w:rPr>
            </w:pPr>
            <w:r w:rsidRPr="00AF5AA3">
              <w:rPr>
                <w:b/>
              </w:rPr>
              <w:t>Report</w:t>
            </w:r>
          </w:p>
        </w:tc>
        <w:tc>
          <w:tcPr>
            <w:tcW w:w="4312" w:type="dxa"/>
            <w:tcMar>
              <w:left w:w="57" w:type="dxa"/>
              <w:right w:w="57" w:type="dxa"/>
            </w:tcMar>
          </w:tcPr>
          <w:p w14:paraId="55B5EB4E" w14:textId="77777777" w:rsidR="00AF5AA3" w:rsidRPr="00AF5AA3" w:rsidRDefault="00AF5AA3" w:rsidP="00587A42">
            <w:pPr>
              <w:keepNext/>
              <w:keepLines/>
              <w:rPr>
                <w:b/>
              </w:rPr>
            </w:pPr>
            <w:proofErr w:type="spellStart"/>
            <w:r w:rsidRPr="00AF5AA3">
              <w:rPr>
                <w:b/>
              </w:rPr>
              <w:t>SchemaRef</w:t>
            </w:r>
            <w:proofErr w:type="spellEnd"/>
          </w:p>
        </w:tc>
      </w:tr>
      <w:tr w:rsidR="00AF5AA3" w:rsidRPr="00AF5AA3" w14:paraId="55B5EB53" w14:textId="77777777" w:rsidTr="00AF5AA3">
        <w:trPr>
          <w:cantSplit/>
          <w:trHeight w:val="195"/>
        </w:trPr>
        <w:tc>
          <w:tcPr>
            <w:tcW w:w="1475" w:type="dxa"/>
          </w:tcPr>
          <w:p w14:paraId="55B5EB50" w14:textId="77777777" w:rsidR="00AF5AA3" w:rsidRPr="00AF5AA3" w:rsidRDefault="00AF5AA3" w:rsidP="00587A42">
            <w:pPr>
              <w:keepNext/>
              <w:keepLines/>
              <w:rPr>
                <w:sz w:val="16"/>
              </w:rPr>
            </w:pPr>
            <w:r w:rsidRPr="00AF5AA3">
              <w:rPr>
                <w:sz w:val="16"/>
              </w:rPr>
              <w:t>2.3</w:t>
            </w:r>
          </w:p>
        </w:tc>
        <w:tc>
          <w:tcPr>
            <w:tcW w:w="3402" w:type="dxa"/>
            <w:tcMar>
              <w:left w:w="57" w:type="dxa"/>
              <w:right w:w="57" w:type="dxa"/>
            </w:tcMar>
          </w:tcPr>
          <w:p w14:paraId="55B5EB51" w14:textId="77777777" w:rsidR="00AF5AA3" w:rsidRPr="00AF5AA3" w:rsidRDefault="00AF5AA3" w:rsidP="00587A42">
            <w:pPr>
              <w:keepNext/>
              <w:keepLines/>
              <w:rPr>
                <w:sz w:val="16"/>
              </w:rPr>
            </w:pPr>
            <w:r w:rsidRPr="00AF5AA3">
              <w:rPr>
                <w:sz w:val="16"/>
              </w:rPr>
              <w:t>Financial Reporting, Consolidated (Prudential scope) National GAAP</w:t>
            </w:r>
          </w:p>
        </w:tc>
        <w:tc>
          <w:tcPr>
            <w:tcW w:w="4312" w:type="dxa"/>
            <w:tcMar>
              <w:left w:w="57" w:type="dxa"/>
              <w:right w:w="57" w:type="dxa"/>
            </w:tcMar>
          </w:tcPr>
          <w:p w14:paraId="55B5EB52" w14:textId="77777777"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finrep_con_gaap</w:t>
            </w:r>
            <w:r w:rsidRPr="00AF5AA3">
              <w:rPr>
                <w:rFonts w:ascii="Arial Narrow" w:hAnsi="Arial Narrow"/>
                <w:sz w:val="18"/>
              </w:rPr>
              <w:t>.xsd</w:t>
            </w:r>
          </w:p>
        </w:tc>
      </w:tr>
      <w:tr w:rsidR="00AF5AA3" w:rsidRPr="00AF5AA3" w14:paraId="55B5EB57" w14:textId="77777777" w:rsidTr="00AF5AA3">
        <w:trPr>
          <w:cantSplit/>
          <w:trHeight w:val="195"/>
        </w:trPr>
        <w:tc>
          <w:tcPr>
            <w:tcW w:w="1475" w:type="dxa"/>
          </w:tcPr>
          <w:p w14:paraId="55B5EB54" w14:textId="77777777" w:rsidR="00AF5AA3" w:rsidRPr="00AF5AA3" w:rsidRDefault="00AF5AA3" w:rsidP="00587A42">
            <w:pPr>
              <w:keepNext/>
              <w:keepLines/>
              <w:rPr>
                <w:sz w:val="16"/>
              </w:rPr>
            </w:pPr>
            <w:r w:rsidRPr="00AF5AA3">
              <w:rPr>
                <w:sz w:val="16"/>
              </w:rPr>
              <w:t>2.3</w:t>
            </w:r>
          </w:p>
        </w:tc>
        <w:tc>
          <w:tcPr>
            <w:tcW w:w="3402" w:type="dxa"/>
            <w:tcMar>
              <w:left w:w="57" w:type="dxa"/>
              <w:right w:w="57" w:type="dxa"/>
            </w:tcMar>
          </w:tcPr>
          <w:p w14:paraId="55B5EB55" w14:textId="77777777" w:rsidR="00AF5AA3" w:rsidRPr="00AF5AA3" w:rsidRDefault="00AF5AA3" w:rsidP="00587A42">
            <w:pPr>
              <w:keepNext/>
              <w:keepLines/>
              <w:rPr>
                <w:sz w:val="16"/>
              </w:rPr>
            </w:pPr>
            <w:r w:rsidRPr="00AF5AA3">
              <w:rPr>
                <w:sz w:val="16"/>
              </w:rPr>
              <w:t>Financial Reporting, Consolidated (Prudential scope) IFRS</w:t>
            </w:r>
          </w:p>
        </w:tc>
        <w:tc>
          <w:tcPr>
            <w:tcW w:w="4312" w:type="dxa"/>
            <w:tcMar>
              <w:left w:w="57" w:type="dxa"/>
              <w:right w:w="57" w:type="dxa"/>
            </w:tcMar>
          </w:tcPr>
          <w:p w14:paraId="55B5EB56" w14:textId="77777777"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finrep_con_ifrs</w:t>
            </w:r>
            <w:r w:rsidRPr="00AF5AA3">
              <w:rPr>
                <w:rFonts w:ascii="Arial Narrow" w:hAnsi="Arial Narrow"/>
                <w:sz w:val="18"/>
              </w:rPr>
              <w:t>.xsd</w:t>
            </w:r>
          </w:p>
        </w:tc>
      </w:tr>
      <w:tr w:rsidR="00AF5AA3" w:rsidRPr="00AF5AA3" w14:paraId="55B5EB5B" w14:textId="77777777" w:rsidTr="00AF5AA3">
        <w:trPr>
          <w:cantSplit/>
          <w:trHeight w:val="195"/>
        </w:trPr>
        <w:tc>
          <w:tcPr>
            <w:tcW w:w="1475" w:type="dxa"/>
          </w:tcPr>
          <w:p w14:paraId="55B5EB58" w14:textId="77777777" w:rsidR="00AF5AA3" w:rsidRPr="00AF5AA3" w:rsidRDefault="00AF5AA3" w:rsidP="00587A42">
            <w:pPr>
              <w:keepNext/>
              <w:keepLines/>
              <w:rPr>
                <w:b/>
                <w:sz w:val="16"/>
              </w:rPr>
            </w:pPr>
            <w:r w:rsidRPr="00AF5AA3">
              <w:rPr>
                <w:b/>
                <w:sz w:val="16"/>
              </w:rPr>
              <w:t>2.3.2</w:t>
            </w:r>
          </w:p>
        </w:tc>
        <w:tc>
          <w:tcPr>
            <w:tcW w:w="3402" w:type="dxa"/>
            <w:tcMar>
              <w:left w:w="57" w:type="dxa"/>
              <w:right w:w="57" w:type="dxa"/>
            </w:tcMar>
          </w:tcPr>
          <w:p w14:paraId="55B5EB59" w14:textId="77777777" w:rsidR="00AF5AA3" w:rsidRPr="00AF5AA3" w:rsidRDefault="00AF5AA3" w:rsidP="00587A42">
            <w:pPr>
              <w:keepNext/>
              <w:keepLines/>
              <w:rPr>
                <w:b/>
                <w:sz w:val="16"/>
              </w:rPr>
            </w:pPr>
            <w:r w:rsidRPr="00AF5AA3">
              <w:rPr>
                <w:b/>
                <w:sz w:val="16"/>
              </w:rPr>
              <w:t>Financial Reporting, Individual National GAAP</w:t>
            </w:r>
          </w:p>
        </w:tc>
        <w:tc>
          <w:tcPr>
            <w:tcW w:w="4312" w:type="dxa"/>
            <w:tcMar>
              <w:left w:w="57" w:type="dxa"/>
              <w:right w:w="57" w:type="dxa"/>
            </w:tcMar>
          </w:tcPr>
          <w:p w14:paraId="55B5EB5A" w14:textId="77777777" w:rsidR="00AF5AA3" w:rsidRPr="00AF5AA3" w:rsidRDefault="00AF5AA3" w:rsidP="005A683A">
            <w:pPr>
              <w:keepNext/>
              <w:keepLines/>
              <w:rPr>
                <w:rFonts w:ascii="Arial Narrow" w:hAnsi="Arial Narrow"/>
                <w:sz w:val="18"/>
              </w:rPr>
            </w:pPr>
            <w:r w:rsidRPr="00AF5AA3">
              <w:rPr>
                <w:rFonts w:ascii="Arial Narrow" w:hAnsi="Arial Narrow"/>
                <w:sz w:val="18"/>
              </w:rPr>
              <w:t>http://www.eba.europa.eu/eu/fr/xbrl/crr/fws/finrep/its-2014-05/2015-</w:t>
            </w:r>
            <w:r w:rsidRPr="005A683A">
              <w:rPr>
                <w:rFonts w:ascii="Arial Narrow" w:hAnsi="Arial Narrow"/>
                <w:b/>
                <w:sz w:val="18"/>
              </w:rPr>
              <w:t>0</w:t>
            </w:r>
            <w:r w:rsidR="005A683A" w:rsidRPr="005A683A">
              <w:rPr>
                <w:rFonts w:ascii="Arial Narrow" w:hAnsi="Arial Narrow"/>
                <w:b/>
                <w:sz w:val="18"/>
              </w:rPr>
              <w:t>7-03</w:t>
            </w:r>
            <w:r w:rsidRPr="00AF5AA3">
              <w:rPr>
                <w:rFonts w:ascii="Arial Narrow" w:hAnsi="Arial Narrow"/>
                <w:sz w:val="18"/>
              </w:rPr>
              <w:t>/mod/</w:t>
            </w:r>
            <w:r w:rsidRPr="005A683A">
              <w:rPr>
                <w:rFonts w:ascii="Arial Narrow" w:hAnsi="Arial Narrow"/>
                <w:sz w:val="18"/>
              </w:rPr>
              <w:t>finrep_</w:t>
            </w:r>
            <w:r w:rsidRPr="005A683A">
              <w:rPr>
                <w:rFonts w:ascii="Arial Narrow" w:hAnsi="Arial Narrow"/>
                <w:b/>
                <w:sz w:val="18"/>
              </w:rPr>
              <w:t>ind</w:t>
            </w:r>
            <w:r w:rsidRPr="005A683A">
              <w:rPr>
                <w:rFonts w:ascii="Arial Narrow" w:hAnsi="Arial Narrow"/>
                <w:sz w:val="18"/>
              </w:rPr>
              <w:t>_gaap</w:t>
            </w:r>
            <w:r w:rsidRPr="00AF5AA3">
              <w:rPr>
                <w:rFonts w:ascii="Arial Narrow" w:hAnsi="Arial Narrow"/>
                <w:sz w:val="18"/>
              </w:rPr>
              <w:t>.xsd</w:t>
            </w:r>
          </w:p>
        </w:tc>
      </w:tr>
      <w:tr w:rsidR="00AF5AA3" w:rsidRPr="00AF5AA3" w14:paraId="55B5EB5F" w14:textId="77777777" w:rsidTr="00AF5AA3">
        <w:trPr>
          <w:trHeight w:val="195"/>
        </w:trPr>
        <w:tc>
          <w:tcPr>
            <w:tcW w:w="1475" w:type="dxa"/>
          </w:tcPr>
          <w:p w14:paraId="55B5EB5C" w14:textId="77777777" w:rsidR="00AF5AA3" w:rsidRPr="00AF5AA3" w:rsidRDefault="00AF5AA3" w:rsidP="00587A42">
            <w:pPr>
              <w:keepLines/>
              <w:rPr>
                <w:b/>
                <w:sz w:val="16"/>
              </w:rPr>
            </w:pPr>
            <w:r w:rsidRPr="00AF5AA3">
              <w:rPr>
                <w:b/>
                <w:sz w:val="16"/>
              </w:rPr>
              <w:t>2.3.2</w:t>
            </w:r>
          </w:p>
        </w:tc>
        <w:tc>
          <w:tcPr>
            <w:tcW w:w="3402" w:type="dxa"/>
            <w:tcMar>
              <w:left w:w="57" w:type="dxa"/>
              <w:right w:w="57" w:type="dxa"/>
            </w:tcMar>
          </w:tcPr>
          <w:p w14:paraId="55B5EB5D" w14:textId="77777777" w:rsidR="00AF5AA3" w:rsidRPr="00AF5AA3" w:rsidRDefault="00AF5AA3" w:rsidP="00587A42">
            <w:pPr>
              <w:keepLines/>
              <w:rPr>
                <w:b/>
                <w:sz w:val="16"/>
              </w:rPr>
            </w:pPr>
            <w:r w:rsidRPr="00AF5AA3">
              <w:rPr>
                <w:b/>
                <w:sz w:val="16"/>
              </w:rPr>
              <w:t>Financial Reporting, Individual IFRS</w:t>
            </w:r>
          </w:p>
        </w:tc>
        <w:tc>
          <w:tcPr>
            <w:tcW w:w="4312" w:type="dxa"/>
            <w:tcMar>
              <w:left w:w="57" w:type="dxa"/>
              <w:right w:w="57" w:type="dxa"/>
            </w:tcMar>
          </w:tcPr>
          <w:p w14:paraId="55B5EB5E" w14:textId="77777777" w:rsidR="00AF5AA3" w:rsidRPr="00AF5AA3" w:rsidRDefault="00AF5AA3" w:rsidP="005A683A">
            <w:pPr>
              <w:keepNext/>
              <w:keepLines/>
              <w:rPr>
                <w:sz w:val="16"/>
              </w:rPr>
            </w:pPr>
            <w:r w:rsidRPr="005A683A">
              <w:rPr>
                <w:rFonts w:ascii="Arial Narrow" w:hAnsi="Arial Narrow"/>
                <w:sz w:val="18"/>
              </w:rPr>
              <w:t>http://www.eba.europa.eu/eu/fr/xbrl/cr</w:t>
            </w:r>
            <w:r w:rsidR="005A683A">
              <w:rPr>
                <w:rFonts w:ascii="Arial Narrow" w:hAnsi="Arial Narrow"/>
                <w:sz w:val="18"/>
              </w:rPr>
              <w:t>r/fws/finrep/its-2014-05/2015-</w:t>
            </w:r>
            <w:r w:rsidR="005A683A" w:rsidRPr="005A683A">
              <w:rPr>
                <w:rFonts w:ascii="Arial Narrow" w:hAnsi="Arial Narrow"/>
                <w:b/>
                <w:sz w:val="18"/>
              </w:rPr>
              <w:t>07-03</w:t>
            </w:r>
            <w:r w:rsidRPr="005A683A">
              <w:rPr>
                <w:rFonts w:ascii="Arial Narrow" w:hAnsi="Arial Narrow"/>
                <w:sz w:val="18"/>
              </w:rPr>
              <w:t>/mod/finrep_</w:t>
            </w:r>
            <w:r w:rsidRPr="005A683A">
              <w:rPr>
                <w:rFonts w:ascii="Arial Narrow" w:hAnsi="Arial Narrow"/>
                <w:b/>
                <w:sz w:val="18"/>
              </w:rPr>
              <w:t>ind</w:t>
            </w:r>
            <w:r w:rsidRPr="005A683A">
              <w:rPr>
                <w:rFonts w:ascii="Arial Narrow" w:hAnsi="Arial Narrow"/>
                <w:sz w:val="18"/>
              </w:rPr>
              <w:t>_ifrs.xsd</w:t>
            </w:r>
          </w:p>
        </w:tc>
      </w:tr>
    </w:tbl>
    <w:p w14:paraId="55B5EB60" w14:textId="77777777" w:rsidR="00E47786" w:rsidRPr="00AF5AA3" w:rsidRDefault="00E47786" w:rsidP="00E47786">
      <w:pPr>
        <w:pStyle w:val="Titlelevel3"/>
      </w:pPr>
      <w:r w:rsidRPr="00AF5AA3">
        <w:t>Validation Rule Changes</w:t>
      </w:r>
    </w:p>
    <w:p w14:paraId="55B5EB61" w14:textId="77777777" w:rsidR="00AF5AA3" w:rsidRDefault="00AF5AA3" w:rsidP="00183058">
      <w:pPr>
        <w:pStyle w:val="ListParagraph"/>
        <w:numPr>
          <w:ilvl w:val="0"/>
          <w:numId w:val="5"/>
        </w:numPr>
      </w:pPr>
      <w:r>
        <w:t xml:space="preserve">The validation rule </w:t>
      </w:r>
      <w:r w:rsidR="00C92C09" w:rsidRPr="00C92C09">
        <w:t>v4006_c</w:t>
      </w:r>
      <w:r w:rsidR="00C05123">
        <w:t>,</w:t>
      </w:r>
      <w:r>
        <w:t xml:space="preserve"> which in v2.3.1 and before enforced that the consolidation level reported in table F 00.01 for a FINREP report had to be “Consolidated”</w:t>
      </w:r>
      <w:r w:rsidR="00C05123">
        <w:t>,</w:t>
      </w:r>
      <w:r>
        <w:t xml:space="preserve"> has been changed to require this only for consolidated FINREP entry points</w:t>
      </w:r>
      <w:r w:rsidR="00C05123">
        <w:t xml:space="preserve"> </w:t>
      </w:r>
      <w:r>
        <w:t>as per the equivalent rules for other frameworks.</w:t>
      </w:r>
    </w:p>
    <w:p w14:paraId="55B5EB62" w14:textId="77777777" w:rsidR="00AF5AA3" w:rsidRDefault="00AF5AA3" w:rsidP="00183058">
      <w:pPr>
        <w:pStyle w:val="ListParagraph"/>
        <w:numPr>
          <w:ilvl w:val="0"/>
          <w:numId w:val="5"/>
        </w:numPr>
      </w:pPr>
      <w:r>
        <w:t xml:space="preserve">An additional rule </w:t>
      </w:r>
      <w:r w:rsidR="00C92C09" w:rsidRPr="00C92C09">
        <w:t>v4442_c</w:t>
      </w:r>
      <w:r w:rsidR="00C92C09">
        <w:t xml:space="preserve"> </w:t>
      </w:r>
      <w:r>
        <w:t>has been added to FINREP to enforce the complementary check that the consolidation reported in F 00.01 should be “Individual” for the individual entry points.</w:t>
      </w:r>
    </w:p>
    <w:p w14:paraId="55B5EB63" w14:textId="77777777" w:rsidR="00AF5AA3" w:rsidRPr="00AF5AA3" w:rsidRDefault="00AF5AA3" w:rsidP="007D121B">
      <w:pPr>
        <w:pStyle w:val="Titlelevel3"/>
      </w:pPr>
      <w:r>
        <w:lastRenderedPageBreak/>
        <w:t>DPM DB</w:t>
      </w:r>
      <w:r w:rsidRPr="00AF5AA3">
        <w:t xml:space="preserve"> Changes</w:t>
      </w:r>
    </w:p>
    <w:p w14:paraId="55B5EB64" w14:textId="77777777" w:rsidR="00772008" w:rsidRDefault="00772008" w:rsidP="00183058">
      <w:pPr>
        <w:pStyle w:val="ListParagraph"/>
        <w:numPr>
          <w:ilvl w:val="0"/>
          <w:numId w:val="20"/>
        </w:numPr>
      </w:pPr>
      <w:r w:rsidRPr="00C92C09">
        <w:rPr>
          <w:b/>
        </w:rPr>
        <w:t>Taxonomy</w:t>
      </w:r>
      <w:r w:rsidR="00C92C09">
        <w:t xml:space="preserve">: </w:t>
      </w:r>
      <w:proofErr w:type="spellStart"/>
      <w:r w:rsidR="00C92C09">
        <w:t>TaxonomyID</w:t>
      </w:r>
      <w:proofErr w:type="spellEnd"/>
      <w:r w:rsidR="00C92C09">
        <w:t xml:space="preserve"> 1</w:t>
      </w:r>
      <w:r w:rsidR="0022111D">
        <w:t>6</w:t>
      </w:r>
      <w:r w:rsidR="00C92C09">
        <w:t xml:space="preserve"> </w:t>
      </w:r>
      <w:r w:rsidR="0022111D">
        <w:t xml:space="preserve">added as </w:t>
      </w:r>
      <w:r w:rsidR="00C92C09">
        <w:t>updated to Version=’2.1.3</w:t>
      </w:r>
      <w:r w:rsidR="0022111D">
        <w:t xml:space="preserve">’, </w:t>
      </w:r>
      <w:proofErr w:type="spellStart"/>
      <w:r w:rsidR="0022111D">
        <w:t>TaxonomyCode</w:t>
      </w:r>
      <w:proofErr w:type="spellEnd"/>
      <w:r w:rsidR="0022111D">
        <w:t>='FINREP 2015-A-Ind</w:t>
      </w:r>
      <w:r w:rsidR="00C92C09">
        <w:t xml:space="preserve">', </w:t>
      </w:r>
      <w:proofErr w:type="spellStart"/>
      <w:r w:rsidR="00C92C09">
        <w:t>TaxonomyLabel</w:t>
      </w:r>
      <w:proofErr w:type="spellEnd"/>
      <w:r w:rsidR="00C92C09">
        <w:t xml:space="preserve"> = </w:t>
      </w:r>
      <w:r w:rsidR="0022111D">
        <w:t>‘</w:t>
      </w:r>
      <w:proofErr w:type="spellStart"/>
      <w:r w:rsidR="0022111D" w:rsidRPr="0022111D">
        <w:t>FINancial</w:t>
      </w:r>
      <w:proofErr w:type="spellEnd"/>
      <w:r w:rsidR="0022111D" w:rsidRPr="0022111D">
        <w:t xml:space="preserve"> </w:t>
      </w:r>
      <w:proofErr w:type="spellStart"/>
      <w:r w:rsidR="0022111D" w:rsidRPr="0022111D">
        <w:t>REPorting</w:t>
      </w:r>
      <w:proofErr w:type="spellEnd"/>
      <w:r w:rsidR="0022111D" w:rsidRPr="0022111D">
        <w:t xml:space="preserve"> 2015-A Individual (2.1.3)</w:t>
      </w:r>
      <w:r w:rsidR="0022111D">
        <w:t>’</w:t>
      </w:r>
      <w:r w:rsidR="00C92C09">
        <w:t xml:space="preserve">. Matching </w:t>
      </w:r>
      <w:r w:rsidR="00C92C09" w:rsidRPr="00C92C09">
        <w:rPr>
          <w:b/>
        </w:rPr>
        <w:t>Concept</w:t>
      </w:r>
      <w:r w:rsidR="00C92C09">
        <w:t xml:space="preserve">s entry with </w:t>
      </w:r>
      <w:proofErr w:type="spellStart"/>
      <w:r w:rsidR="00C92C09">
        <w:t>ModificationDate</w:t>
      </w:r>
      <w:proofErr w:type="spellEnd"/>
      <w:r w:rsidR="00C92C09">
        <w:t xml:space="preserve"> added.</w:t>
      </w:r>
    </w:p>
    <w:p w14:paraId="55B5EB65" w14:textId="77777777" w:rsidR="0022111D" w:rsidRDefault="0022111D" w:rsidP="00183058">
      <w:pPr>
        <w:pStyle w:val="ListParagraph"/>
        <w:numPr>
          <w:ilvl w:val="0"/>
          <w:numId w:val="20"/>
        </w:numPr>
      </w:pPr>
      <w:proofErr w:type="spellStart"/>
      <w:r>
        <w:rPr>
          <w:b/>
        </w:rPr>
        <w:t>TableGroup</w:t>
      </w:r>
      <w:proofErr w:type="spellEnd"/>
      <w:r>
        <w:rPr>
          <w:b/>
        </w:rPr>
        <w:t xml:space="preserve"> </w:t>
      </w:r>
      <w:r w:rsidRPr="0022111D">
        <w:t>(with associated Concepts),</w:t>
      </w:r>
      <w:r>
        <w:rPr>
          <w:b/>
        </w:rPr>
        <w:t xml:space="preserve"> </w:t>
      </w:r>
      <w:proofErr w:type="spellStart"/>
      <w:r>
        <w:rPr>
          <w:b/>
        </w:rPr>
        <w:t>TableGroupTemplate</w:t>
      </w:r>
      <w:proofErr w:type="spellEnd"/>
      <w:r>
        <w:rPr>
          <w:b/>
        </w:rPr>
        <w:t xml:space="preserve"> </w:t>
      </w:r>
      <w:r w:rsidRPr="0022111D">
        <w:t>and</w:t>
      </w:r>
      <w:r>
        <w:rPr>
          <w:b/>
        </w:rPr>
        <w:t xml:space="preserve"> </w:t>
      </w:r>
      <w:proofErr w:type="spellStart"/>
      <w:r>
        <w:rPr>
          <w:b/>
        </w:rPr>
        <w:t>TaxonomyTableVersion</w:t>
      </w:r>
      <w:proofErr w:type="spellEnd"/>
      <w:r>
        <w:rPr>
          <w:b/>
        </w:rPr>
        <w:t xml:space="preserve"> </w:t>
      </w:r>
      <w:r w:rsidRPr="0022111D">
        <w:t>entries added</w:t>
      </w:r>
      <w:r>
        <w:t xml:space="preserve"> duplicating those related to the FINREP 2.3 taxonomy</w:t>
      </w:r>
      <w:r w:rsidRPr="0022111D">
        <w:t>.</w:t>
      </w:r>
    </w:p>
    <w:p w14:paraId="55B5EB66" w14:textId="77777777" w:rsidR="00C92C09" w:rsidRDefault="00C92C09" w:rsidP="00183058">
      <w:pPr>
        <w:pStyle w:val="ListParagraph"/>
        <w:numPr>
          <w:ilvl w:val="0"/>
          <w:numId w:val="20"/>
        </w:numPr>
      </w:pPr>
      <w:r>
        <w:t xml:space="preserve">New </w:t>
      </w:r>
      <w:r w:rsidRPr="00C92C09">
        <w:rPr>
          <w:b/>
        </w:rPr>
        <w:t>Module</w:t>
      </w:r>
      <w:r w:rsidRPr="00C92C09">
        <w:t>s</w:t>
      </w:r>
      <w:r>
        <w:t xml:space="preserve"> (with associated </w:t>
      </w:r>
      <w:r w:rsidRPr="00C92C09">
        <w:rPr>
          <w:b/>
        </w:rPr>
        <w:t>Concept</w:t>
      </w:r>
      <w:r>
        <w:t>s) 59 (</w:t>
      </w:r>
      <w:proofErr w:type="spellStart"/>
      <w:r>
        <w:t>FINREP_Ind_GAAP</w:t>
      </w:r>
      <w:proofErr w:type="spellEnd"/>
      <w:r>
        <w:t>) and 60 (</w:t>
      </w:r>
      <w:proofErr w:type="spellStart"/>
      <w:r>
        <w:t>FINREP_Ind_IFRS</w:t>
      </w:r>
      <w:proofErr w:type="spellEnd"/>
      <w:r>
        <w:t>) added.</w:t>
      </w:r>
    </w:p>
    <w:p w14:paraId="55B5EB67" w14:textId="77777777" w:rsidR="00C92C09" w:rsidRDefault="00C92C09" w:rsidP="00183058">
      <w:pPr>
        <w:pStyle w:val="ListParagraph"/>
        <w:numPr>
          <w:ilvl w:val="0"/>
          <w:numId w:val="20"/>
        </w:numPr>
      </w:pPr>
      <w:proofErr w:type="spellStart"/>
      <w:r w:rsidRPr="00C92C09">
        <w:rPr>
          <w:b/>
        </w:rPr>
        <w:t>ModuleTableOrGroup</w:t>
      </w:r>
      <w:proofErr w:type="spellEnd"/>
      <w:r>
        <w:t xml:space="preserve"> and </w:t>
      </w:r>
      <w:proofErr w:type="spellStart"/>
      <w:r w:rsidRPr="00C92C09">
        <w:rPr>
          <w:b/>
        </w:rPr>
        <w:t>ModuleTableVersion</w:t>
      </w:r>
      <w:proofErr w:type="spellEnd"/>
      <w:r>
        <w:t xml:space="preserve"> records added for </w:t>
      </w:r>
      <w:r w:rsidRPr="00C92C09">
        <w:rPr>
          <w:b/>
        </w:rPr>
        <w:t>Module</w:t>
      </w:r>
      <w:r>
        <w:t xml:space="preserve"> 59 and 60 as per </w:t>
      </w:r>
      <w:r w:rsidRPr="00C92C09">
        <w:rPr>
          <w:b/>
        </w:rPr>
        <w:t>Module</w:t>
      </w:r>
      <w:r>
        <w:t>s 44 (</w:t>
      </w:r>
      <w:proofErr w:type="spellStart"/>
      <w:r>
        <w:t>FINREP_Ind_GAAP</w:t>
      </w:r>
      <w:proofErr w:type="spellEnd"/>
      <w:r>
        <w:t>) and 45 (</w:t>
      </w:r>
      <w:proofErr w:type="spellStart"/>
      <w:r>
        <w:t>FINREP_Ind_IFRS</w:t>
      </w:r>
      <w:proofErr w:type="spellEnd"/>
      <w:r>
        <w:t>)</w:t>
      </w:r>
    </w:p>
    <w:p w14:paraId="55B5EB68" w14:textId="77777777" w:rsidR="00C92C09" w:rsidRDefault="00C92C09" w:rsidP="00183058">
      <w:pPr>
        <w:pStyle w:val="ListParagraph"/>
        <w:numPr>
          <w:ilvl w:val="0"/>
          <w:numId w:val="20"/>
        </w:numPr>
      </w:pPr>
      <w:r>
        <w:t xml:space="preserve">Appropriate </w:t>
      </w:r>
      <w:proofErr w:type="spellStart"/>
      <w:r w:rsidRPr="00C92C09">
        <w:rPr>
          <w:b/>
        </w:rPr>
        <w:t>ModuleDimensionImpliedValue</w:t>
      </w:r>
      <w:proofErr w:type="spellEnd"/>
      <w:r>
        <w:t xml:space="preserve">, </w:t>
      </w:r>
      <w:proofErr w:type="spellStart"/>
      <w:r w:rsidRPr="00C92C09">
        <w:rPr>
          <w:b/>
        </w:rPr>
        <w:t>ModuleDataPointRestriction</w:t>
      </w:r>
      <w:proofErr w:type="spellEnd"/>
      <w:r w:rsidR="0022111D">
        <w:rPr>
          <w:b/>
        </w:rPr>
        <w:t xml:space="preserve"> </w:t>
      </w:r>
      <w:r>
        <w:t>records added</w:t>
      </w:r>
    </w:p>
    <w:p w14:paraId="55B5EB69" w14:textId="77777777" w:rsidR="00C05123" w:rsidRPr="0022111D" w:rsidRDefault="00C92C09" w:rsidP="00183058">
      <w:pPr>
        <w:pStyle w:val="ListParagraph"/>
        <w:numPr>
          <w:ilvl w:val="0"/>
          <w:numId w:val="20"/>
        </w:numPr>
      </w:pPr>
      <w:proofErr w:type="spellStart"/>
      <w:r w:rsidRPr="00C92C09">
        <w:rPr>
          <w:b/>
        </w:rPr>
        <w:t>ValidationRule</w:t>
      </w:r>
      <w:proofErr w:type="spellEnd"/>
      <w:r>
        <w:t xml:space="preserve"> and </w:t>
      </w:r>
      <w:r w:rsidR="0022111D" w:rsidRPr="0022111D">
        <w:t>related records</w:t>
      </w:r>
      <w:r w:rsidR="0022111D">
        <w:t xml:space="preserve"> added for the validation rules associated with the new taxonomy</w:t>
      </w:r>
    </w:p>
    <w:p w14:paraId="55B5EB6A" w14:textId="77777777" w:rsidR="007D121B" w:rsidRPr="00AF5AA3" w:rsidRDefault="007D121B" w:rsidP="007C6692">
      <w:pPr>
        <w:pStyle w:val="Titlelevel2"/>
        <w:keepNext/>
      </w:pPr>
      <w:r>
        <w:t xml:space="preserve">XBRL </w:t>
      </w:r>
      <w:r w:rsidRPr="00AF5AA3">
        <w:t>Changes</w:t>
      </w:r>
    </w:p>
    <w:p w14:paraId="55B5EB6B" w14:textId="77777777" w:rsidR="00600178" w:rsidRDefault="007D121B" w:rsidP="007D121B">
      <w:r>
        <w:t xml:space="preserve">The two additional entry points are added into </w:t>
      </w:r>
      <w:r w:rsidR="00600178">
        <w:t>a new</w:t>
      </w:r>
      <w:r>
        <w:t xml:space="preserve"> directory </w:t>
      </w:r>
      <w:r w:rsidR="00600178">
        <w:t>(</w:t>
      </w:r>
      <w:r w:rsidR="00600178" w:rsidRPr="00600178">
        <w:t>\its-2014-05</w:t>
      </w:r>
      <w:r w:rsidR="00600178">
        <w:t>\2015-07-03)within the FINREP folder, alongside the existing 2.3 FINREP folder (</w:t>
      </w:r>
      <w:r w:rsidR="00600178" w:rsidRPr="00600178">
        <w:t>\its-2014-05</w:t>
      </w:r>
      <w:r w:rsidR="00600178">
        <w:t>\2015-02-16).</w:t>
      </w:r>
      <w:r w:rsidR="00695825">
        <w:t xml:space="preserve"> </w:t>
      </w:r>
      <w:r w:rsidR="00600178">
        <w:t>N</w:t>
      </w:r>
      <w:r w:rsidR="00695825">
        <w:t>ote:</w:t>
      </w:r>
      <w:r w:rsidR="00600178">
        <w:t xml:space="preserve"> </w:t>
      </w:r>
      <w:r w:rsidR="00695825">
        <w:t>o</w:t>
      </w:r>
      <w:r w:rsidR="00600178">
        <w:t>nly the packages required for Individual FINREP reporting are included in this release.</w:t>
      </w:r>
    </w:p>
    <w:p w14:paraId="55B5EB6C" w14:textId="77777777" w:rsidR="00E47786" w:rsidRPr="00E75446" w:rsidRDefault="00E47786" w:rsidP="00E75446">
      <w:pPr>
        <w:pStyle w:val="Titlelevel2"/>
        <w:keepNext/>
      </w:pPr>
      <w:r w:rsidRPr="00E75446">
        <w:t>Known Issues</w:t>
      </w:r>
    </w:p>
    <w:p w14:paraId="55B5EB6D" w14:textId="77777777" w:rsidR="00E47786" w:rsidRPr="00AF5AA3" w:rsidRDefault="00AF5AA3" w:rsidP="00360446">
      <w:pPr>
        <w:keepNext/>
        <w:keepLines/>
        <w:rPr>
          <w:i/>
        </w:rPr>
      </w:pPr>
      <w:r w:rsidRPr="00AF5AA3">
        <w:t xml:space="preserve">The same known issue as noted for v2.3.1 remains in place, reporting </w:t>
      </w:r>
      <w:r w:rsidR="00695825">
        <w:t xml:space="preserve">of table F 40.01 </w:t>
      </w:r>
      <w:r w:rsidRPr="00AF5AA3">
        <w:t>should follow the guidance given under 2.3.1</w:t>
      </w:r>
      <w:r>
        <w:rPr>
          <w:i/>
        </w:rPr>
        <w:t xml:space="preserve"> </w:t>
      </w:r>
    </w:p>
    <w:p w14:paraId="55B5EB6E" w14:textId="77777777" w:rsidR="00E75446" w:rsidRDefault="00E75446">
      <w:pPr>
        <w:rPr>
          <w:rFonts w:asciiTheme="majorHAnsi" w:eastAsiaTheme="majorEastAsia" w:hAnsiTheme="majorHAnsi" w:cstheme="majorBidi"/>
          <w:color w:val="2F5773" w:themeColor="text2"/>
          <w:spacing w:val="5"/>
          <w:kern w:val="28"/>
          <w:sz w:val="52"/>
          <w:szCs w:val="52"/>
        </w:rPr>
      </w:pPr>
      <w:r>
        <w:br w:type="page"/>
      </w:r>
    </w:p>
    <w:p w14:paraId="55B5EB6F" w14:textId="77777777" w:rsidR="00B000E3" w:rsidRDefault="00D515AE" w:rsidP="00D515AE">
      <w:pPr>
        <w:pStyle w:val="Titlelevel1"/>
      </w:pPr>
      <w:r w:rsidRPr="00D515AE">
        <w:lastRenderedPageBreak/>
        <w:t>v2.3.</w:t>
      </w:r>
      <w:r>
        <w:t>1</w:t>
      </w:r>
      <w:r w:rsidRPr="00D515AE">
        <w:t xml:space="preserve"> (“2015-A</w:t>
      </w:r>
      <w:r>
        <w:t>-1” Patch</w:t>
      </w:r>
      <w:r w:rsidRPr="00D515AE">
        <w:t>)</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(05/05/2015)</w:t>
      </w:r>
    </w:p>
    <w:p w14:paraId="55B5EB70" w14:textId="77777777" w:rsidR="00B000E3" w:rsidRDefault="00B000E3" w:rsidP="00D515AE">
      <w:pPr>
        <w:pStyle w:val="Titlelevel2"/>
      </w:pPr>
      <w:r>
        <w:t>Purpose</w:t>
      </w:r>
    </w:p>
    <w:p w14:paraId="55B5EB71" w14:textId="77777777" w:rsidR="00B000E3" w:rsidRDefault="00B000E3" w:rsidP="00B000E3">
      <w:r>
        <w:t>The 2.3.1 release is a “patch” release, modifying the FP (funding plans) and SBP (benchmarking) reporting taxonomies to be used for remittance to the EBA to provide distinct entry points (reports) for individual and consolidated data.</w:t>
      </w:r>
      <w:r w:rsidR="00534F52">
        <w:t xml:space="preserve"> This change has been identified to be vital for the proper functioning of a significant number of the European CA’s data collection systems (not least the EBAs own collection system).</w:t>
      </w:r>
    </w:p>
    <w:p w14:paraId="55B5EB72" w14:textId="77777777" w:rsidR="00B000E3" w:rsidRDefault="00B000E3" w:rsidP="00B000E3">
      <w:r>
        <w:t>PLEASE NOTE – reporters who have been directed by their relevant Competent Authority to use XBRL based on the EBA taxonomy to report to the CA, should confirm with their relevant Competent Authority which versions of FP and SBP their CA requires to be used. Reporters should not assume that the 2.3.1 versions will necessarily be utilised by every CA.</w:t>
      </w:r>
    </w:p>
    <w:p w14:paraId="55B5EB73" w14:textId="77777777" w:rsidR="00B000E3" w:rsidRDefault="00B000E3" w:rsidP="00B000E3">
      <w:r w:rsidRPr="00B000E3">
        <w:t xml:space="preserve">The original </w:t>
      </w:r>
      <w:r>
        <w:t>2.3 releases of FP and SBP must NOT be used by CAs for remittance of data to the EBA. The 2.3.1 releases replace the 2.3 versions for this purpose for all reporting reference dates.</w:t>
      </w:r>
    </w:p>
    <w:p w14:paraId="55B5EB74" w14:textId="77777777" w:rsidR="00B000E3" w:rsidRDefault="00B000E3" w:rsidP="00B000E3">
      <w:r>
        <w:t xml:space="preserve">The main data dictionary and the other reporting taxonomies (COREP, FINREP, </w:t>
      </w:r>
      <w:proofErr w:type="gramStart"/>
      <w:r>
        <w:t>AE</w:t>
      </w:r>
      <w:proofErr w:type="gramEnd"/>
      <w:r>
        <w:t>) are unchanged compared to the 2.3 release.</w:t>
      </w:r>
    </w:p>
    <w:p w14:paraId="55B5EB75" w14:textId="77777777" w:rsidR="00B000E3" w:rsidRDefault="006A5AC9" w:rsidP="00D515AE">
      <w:pPr>
        <w:pStyle w:val="Titlelevel2"/>
      </w:pPr>
      <w:r>
        <w:t xml:space="preserve">DPM </w:t>
      </w:r>
      <w:r w:rsidR="00B000E3">
        <w:t>Changes</w:t>
      </w:r>
    </w:p>
    <w:p w14:paraId="55B5EB76" w14:textId="77777777" w:rsidR="00B000E3" w:rsidRDefault="00534F52" w:rsidP="00183058">
      <w:pPr>
        <w:pStyle w:val="ListParagraph"/>
        <w:numPr>
          <w:ilvl w:val="0"/>
          <w:numId w:val="5"/>
        </w:numPr>
      </w:pPr>
      <w:r>
        <w:t>The 2.3 e</w:t>
      </w:r>
      <w:r w:rsidR="00B000E3">
        <w:t xml:space="preserve">ntry points for FP and SBP each replaced by two distinct </w:t>
      </w:r>
      <w:r>
        <w:t>entry points:</w:t>
      </w:r>
    </w:p>
    <w:tbl>
      <w:tblPr>
        <w:tblStyle w:val="EBAtable"/>
        <w:tblW w:w="0" w:type="auto"/>
        <w:tblLayout w:type="fixed"/>
        <w:tblLook w:val="04A0" w:firstRow="1" w:lastRow="0" w:firstColumn="1" w:lastColumn="0" w:noHBand="0" w:noVBand="1"/>
      </w:tblPr>
      <w:tblGrid>
        <w:gridCol w:w="1162"/>
        <w:gridCol w:w="3261"/>
        <w:gridCol w:w="1134"/>
        <w:gridCol w:w="3574"/>
      </w:tblGrid>
      <w:tr w:rsidR="00AA0EE8" w14:paraId="55B5EB7B" w14:textId="77777777" w:rsidTr="00766D0C">
        <w:trPr>
          <w:cnfStyle w:val="100000000000" w:firstRow="1" w:lastRow="0" w:firstColumn="0" w:lastColumn="0" w:oddVBand="0" w:evenVBand="0" w:oddHBand="0" w:evenHBand="0" w:firstRowFirstColumn="0" w:firstRowLastColumn="0" w:lastRowFirstColumn="0" w:lastRowLastColumn="0"/>
        </w:trPr>
        <w:tc>
          <w:tcPr>
            <w:tcW w:w="1162" w:type="dxa"/>
            <w:tcMar>
              <w:left w:w="57" w:type="dxa"/>
              <w:right w:w="57" w:type="dxa"/>
            </w:tcMar>
          </w:tcPr>
          <w:p w14:paraId="55B5EB77" w14:textId="77777777" w:rsidR="00534F52" w:rsidRPr="00534F52" w:rsidRDefault="00534F52" w:rsidP="00B939D1">
            <w:pPr>
              <w:keepLines/>
              <w:rPr>
                <w:b/>
              </w:rPr>
            </w:pPr>
            <w:r w:rsidRPr="00534F52">
              <w:rPr>
                <w:b/>
              </w:rPr>
              <w:t>Was</w:t>
            </w:r>
          </w:p>
        </w:tc>
        <w:tc>
          <w:tcPr>
            <w:tcW w:w="3261" w:type="dxa"/>
            <w:tcMar>
              <w:left w:w="57" w:type="dxa"/>
              <w:right w:w="57" w:type="dxa"/>
            </w:tcMar>
          </w:tcPr>
          <w:p w14:paraId="55B5EB78" w14:textId="77777777" w:rsidR="00534F52" w:rsidRPr="00534F52" w:rsidRDefault="002E6BE9" w:rsidP="00B939D1">
            <w:pPr>
              <w:keepLines/>
              <w:rPr>
                <w:b/>
              </w:rPr>
            </w:pPr>
            <w:r>
              <w:rPr>
                <w:b/>
              </w:rPr>
              <w:t xml:space="preserve">Old </w:t>
            </w:r>
            <w:proofErr w:type="spellStart"/>
            <w:r>
              <w:rPr>
                <w:b/>
              </w:rPr>
              <w:t>SchemaRef</w:t>
            </w:r>
            <w:proofErr w:type="spellEnd"/>
          </w:p>
        </w:tc>
        <w:tc>
          <w:tcPr>
            <w:tcW w:w="1134" w:type="dxa"/>
            <w:tcMar>
              <w:left w:w="57" w:type="dxa"/>
              <w:right w:w="57" w:type="dxa"/>
            </w:tcMar>
          </w:tcPr>
          <w:p w14:paraId="55B5EB79" w14:textId="77777777" w:rsidR="00534F52" w:rsidRPr="00534F52" w:rsidRDefault="00534F52" w:rsidP="00B939D1">
            <w:pPr>
              <w:keepLines/>
              <w:rPr>
                <w:b/>
              </w:rPr>
            </w:pPr>
            <w:r w:rsidRPr="00534F52">
              <w:rPr>
                <w:b/>
              </w:rPr>
              <w:t>Now</w:t>
            </w:r>
          </w:p>
        </w:tc>
        <w:tc>
          <w:tcPr>
            <w:tcW w:w="3574" w:type="dxa"/>
            <w:tcMar>
              <w:left w:w="57" w:type="dxa"/>
              <w:right w:w="57" w:type="dxa"/>
            </w:tcMar>
          </w:tcPr>
          <w:p w14:paraId="55B5EB7A" w14:textId="77777777" w:rsidR="00534F52" w:rsidRPr="00534F52" w:rsidRDefault="002E6BE9" w:rsidP="00B939D1">
            <w:pPr>
              <w:keepLines/>
              <w:rPr>
                <w:b/>
              </w:rPr>
            </w:pPr>
            <w:r>
              <w:rPr>
                <w:b/>
              </w:rPr>
              <w:t xml:space="preserve">New </w:t>
            </w:r>
            <w:proofErr w:type="spellStart"/>
            <w:r>
              <w:rPr>
                <w:b/>
              </w:rPr>
              <w:t>SchemaRef</w:t>
            </w:r>
            <w:proofErr w:type="spellEnd"/>
          </w:p>
        </w:tc>
      </w:tr>
      <w:tr w:rsidR="00AA0EE8" w14:paraId="55B5EB80" w14:textId="77777777" w:rsidTr="00766D0C">
        <w:tc>
          <w:tcPr>
            <w:tcW w:w="1162" w:type="dxa"/>
            <w:vMerge w:val="restart"/>
            <w:tcMar>
              <w:left w:w="57" w:type="dxa"/>
              <w:right w:w="57" w:type="dxa"/>
            </w:tcMar>
          </w:tcPr>
          <w:p w14:paraId="55B5EB7C" w14:textId="77777777" w:rsidR="00AA0EE8" w:rsidRPr="00AA0EE8" w:rsidRDefault="00AA0EE8" w:rsidP="00B939D1">
            <w:pPr>
              <w:keepNext/>
              <w:keepLines/>
              <w:rPr>
                <w:sz w:val="16"/>
              </w:rPr>
            </w:pPr>
            <w:r w:rsidRPr="00AA0EE8">
              <w:rPr>
                <w:sz w:val="16"/>
              </w:rPr>
              <w:t>Funding Plans</w:t>
            </w:r>
          </w:p>
        </w:tc>
        <w:tc>
          <w:tcPr>
            <w:tcW w:w="3261" w:type="dxa"/>
            <w:vMerge w:val="restart"/>
            <w:tcMar>
              <w:left w:w="57" w:type="dxa"/>
              <w:right w:w="57" w:type="dxa"/>
            </w:tcMar>
          </w:tcPr>
          <w:p w14:paraId="55B5EB7D"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fp/gl-2014-04/</w:t>
            </w:r>
            <w:r w:rsidRPr="00B939D1">
              <w:rPr>
                <w:rFonts w:ascii="Arial Narrow" w:hAnsi="Arial Narrow"/>
                <w:b/>
                <w:sz w:val="18"/>
              </w:rPr>
              <w:t>2015-02-16/mod/fp.xsd</w:t>
            </w:r>
          </w:p>
        </w:tc>
        <w:tc>
          <w:tcPr>
            <w:tcW w:w="1134" w:type="dxa"/>
            <w:tcMar>
              <w:left w:w="57" w:type="dxa"/>
              <w:right w:w="57" w:type="dxa"/>
            </w:tcMar>
          </w:tcPr>
          <w:p w14:paraId="55B5EB7E" w14:textId="77777777" w:rsidR="00AA0EE8" w:rsidRPr="00AA0EE8" w:rsidRDefault="00AA0EE8" w:rsidP="00B939D1">
            <w:pPr>
              <w:keepNext/>
              <w:keepLines/>
              <w:rPr>
                <w:sz w:val="16"/>
              </w:rPr>
            </w:pPr>
            <w:r w:rsidRPr="00AA0EE8">
              <w:rPr>
                <w:sz w:val="16"/>
              </w:rPr>
              <w:t>FP Individual</w:t>
            </w:r>
          </w:p>
        </w:tc>
        <w:tc>
          <w:tcPr>
            <w:tcW w:w="3574" w:type="dxa"/>
            <w:tcMar>
              <w:left w:w="57" w:type="dxa"/>
              <w:right w:w="57" w:type="dxa"/>
            </w:tcMar>
          </w:tcPr>
          <w:p w14:paraId="55B5EB7F"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002E6BE9"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2015-05-29/mod/fp_ind.xsd</w:t>
            </w:r>
          </w:p>
        </w:tc>
      </w:tr>
      <w:tr w:rsidR="00AA0EE8" w14:paraId="55B5EB85" w14:textId="77777777" w:rsidTr="00766D0C">
        <w:tc>
          <w:tcPr>
            <w:tcW w:w="1162" w:type="dxa"/>
            <w:vMerge/>
            <w:tcMar>
              <w:left w:w="57" w:type="dxa"/>
              <w:right w:w="57" w:type="dxa"/>
            </w:tcMar>
          </w:tcPr>
          <w:p w14:paraId="55B5EB81" w14:textId="77777777" w:rsidR="00AA0EE8" w:rsidRPr="00AA0EE8" w:rsidRDefault="00AA0EE8" w:rsidP="00B939D1">
            <w:pPr>
              <w:keepLines/>
              <w:rPr>
                <w:sz w:val="16"/>
              </w:rPr>
            </w:pPr>
          </w:p>
        </w:tc>
        <w:tc>
          <w:tcPr>
            <w:tcW w:w="3261" w:type="dxa"/>
            <w:vMerge/>
            <w:tcMar>
              <w:left w:w="57" w:type="dxa"/>
              <w:right w:w="57" w:type="dxa"/>
            </w:tcMar>
          </w:tcPr>
          <w:p w14:paraId="55B5EB82" w14:textId="77777777" w:rsidR="00AA0EE8" w:rsidRPr="00B939D1" w:rsidRDefault="00AA0EE8" w:rsidP="00B939D1">
            <w:pPr>
              <w:keepLines/>
              <w:rPr>
                <w:rFonts w:ascii="Arial Narrow" w:hAnsi="Arial Narrow"/>
                <w:sz w:val="18"/>
              </w:rPr>
            </w:pPr>
          </w:p>
        </w:tc>
        <w:tc>
          <w:tcPr>
            <w:tcW w:w="1134" w:type="dxa"/>
            <w:tcMar>
              <w:left w:w="57" w:type="dxa"/>
              <w:right w:w="57" w:type="dxa"/>
            </w:tcMar>
          </w:tcPr>
          <w:p w14:paraId="55B5EB83" w14:textId="77777777" w:rsidR="00AA0EE8" w:rsidRPr="00AA0EE8" w:rsidRDefault="00AA0EE8" w:rsidP="00B939D1">
            <w:pPr>
              <w:keepLines/>
              <w:rPr>
                <w:sz w:val="16"/>
              </w:rPr>
            </w:pPr>
            <w:r w:rsidRPr="00AA0EE8">
              <w:rPr>
                <w:sz w:val="16"/>
              </w:rPr>
              <w:t>FP Consolidated</w:t>
            </w:r>
          </w:p>
        </w:tc>
        <w:tc>
          <w:tcPr>
            <w:tcW w:w="3574" w:type="dxa"/>
            <w:tcMar>
              <w:left w:w="57" w:type="dxa"/>
              <w:right w:w="57" w:type="dxa"/>
            </w:tcMar>
          </w:tcPr>
          <w:p w14:paraId="55B5EB84" w14:textId="77777777" w:rsidR="00AA0EE8" w:rsidRPr="00B939D1" w:rsidRDefault="00AA0EE8" w:rsidP="00B939D1">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2015-05-29/mod/fp_con.xsd</w:t>
            </w:r>
          </w:p>
        </w:tc>
      </w:tr>
      <w:tr w:rsidR="00AA0EE8" w14:paraId="55B5EB8A" w14:textId="77777777" w:rsidTr="00766D0C">
        <w:tc>
          <w:tcPr>
            <w:tcW w:w="1162" w:type="dxa"/>
            <w:vMerge w:val="restart"/>
            <w:tcMar>
              <w:left w:w="57" w:type="dxa"/>
              <w:right w:w="57" w:type="dxa"/>
            </w:tcMar>
          </w:tcPr>
          <w:p w14:paraId="55B5EB86" w14:textId="77777777" w:rsidR="00AA0EE8" w:rsidRPr="00AA0EE8" w:rsidRDefault="00AA0EE8" w:rsidP="00B939D1">
            <w:pPr>
              <w:keepNext/>
              <w:keepLines/>
              <w:rPr>
                <w:sz w:val="16"/>
              </w:rPr>
            </w:pPr>
            <w:r w:rsidRPr="00AA0EE8">
              <w:rPr>
                <w:sz w:val="16"/>
              </w:rPr>
              <w:t>SBP Benchmarking</w:t>
            </w:r>
          </w:p>
        </w:tc>
        <w:tc>
          <w:tcPr>
            <w:tcW w:w="3261" w:type="dxa"/>
            <w:vMerge w:val="restart"/>
            <w:tcMar>
              <w:left w:w="57" w:type="dxa"/>
              <w:right w:w="57" w:type="dxa"/>
            </w:tcMar>
          </w:tcPr>
          <w:p w14:paraId="55B5EB87"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sbp/cp-2014-07/</w:t>
            </w:r>
            <w:r w:rsidRPr="00B939D1">
              <w:rPr>
                <w:rFonts w:ascii="Arial Narrow" w:hAnsi="Arial Narrow"/>
                <w:b/>
                <w:sz w:val="18"/>
              </w:rPr>
              <w:t>2015-02-16/mod/sbp.xsd</w:t>
            </w:r>
          </w:p>
        </w:tc>
        <w:tc>
          <w:tcPr>
            <w:tcW w:w="1134" w:type="dxa"/>
            <w:tcMar>
              <w:left w:w="57" w:type="dxa"/>
              <w:right w:w="57" w:type="dxa"/>
            </w:tcMar>
          </w:tcPr>
          <w:p w14:paraId="55B5EB88" w14:textId="77777777" w:rsidR="00AA0EE8" w:rsidRPr="00AA0EE8" w:rsidRDefault="00AA0EE8" w:rsidP="00B939D1">
            <w:pPr>
              <w:keepNext/>
              <w:keepLines/>
              <w:rPr>
                <w:sz w:val="16"/>
              </w:rPr>
            </w:pPr>
            <w:r w:rsidRPr="00AA0EE8">
              <w:rPr>
                <w:sz w:val="16"/>
              </w:rPr>
              <w:t>Benchmarking Individual</w:t>
            </w:r>
          </w:p>
        </w:tc>
        <w:tc>
          <w:tcPr>
            <w:tcW w:w="3574" w:type="dxa"/>
            <w:tcMar>
              <w:left w:w="57" w:type="dxa"/>
              <w:right w:w="57" w:type="dxa"/>
            </w:tcMar>
          </w:tcPr>
          <w:p w14:paraId="55B5EB89"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2E6BE9" w:rsidRPr="00B939D1">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2015-05-29/mod/sbp_ind.xsd</w:t>
            </w:r>
          </w:p>
        </w:tc>
      </w:tr>
      <w:tr w:rsidR="00AA0EE8" w14:paraId="55B5EB8F" w14:textId="77777777" w:rsidTr="00766D0C">
        <w:tc>
          <w:tcPr>
            <w:tcW w:w="1162" w:type="dxa"/>
            <w:vMerge/>
            <w:tcMar>
              <w:left w:w="57" w:type="dxa"/>
              <w:right w:w="57" w:type="dxa"/>
            </w:tcMar>
          </w:tcPr>
          <w:p w14:paraId="55B5EB8B" w14:textId="77777777" w:rsidR="00AA0EE8" w:rsidRPr="00AA0EE8" w:rsidRDefault="00AA0EE8" w:rsidP="00B939D1">
            <w:pPr>
              <w:keepLines/>
              <w:rPr>
                <w:sz w:val="16"/>
              </w:rPr>
            </w:pPr>
          </w:p>
        </w:tc>
        <w:tc>
          <w:tcPr>
            <w:tcW w:w="3261" w:type="dxa"/>
            <w:vMerge/>
            <w:tcMar>
              <w:left w:w="57" w:type="dxa"/>
              <w:right w:w="57" w:type="dxa"/>
            </w:tcMar>
          </w:tcPr>
          <w:p w14:paraId="55B5EB8C" w14:textId="77777777" w:rsidR="00AA0EE8" w:rsidRPr="00B939D1" w:rsidRDefault="00AA0EE8" w:rsidP="00B939D1">
            <w:pPr>
              <w:keepLines/>
              <w:rPr>
                <w:rFonts w:ascii="Arial Narrow" w:hAnsi="Arial Narrow"/>
                <w:sz w:val="18"/>
              </w:rPr>
            </w:pPr>
          </w:p>
        </w:tc>
        <w:tc>
          <w:tcPr>
            <w:tcW w:w="1134" w:type="dxa"/>
            <w:tcMar>
              <w:left w:w="57" w:type="dxa"/>
              <w:right w:w="57" w:type="dxa"/>
            </w:tcMar>
          </w:tcPr>
          <w:p w14:paraId="55B5EB8D" w14:textId="77777777" w:rsidR="00AA0EE8" w:rsidRPr="00AA0EE8" w:rsidRDefault="00AA0EE8" w:rsidP="00B939D1">
            <w:pPr>
              <w:keepLines/>
              <w:rPr>
                <w:sz w:val="16"/>
              </w:rPr>
            </w:pPr>
            <w:r w:rsidRPr="00AA0EE8">
              <w:rPr>
                <w:sz w:val="16"/>
              </w:rPr>
              <w:t>Benchmarking Consolidated</w:t>
            </w:r>
          </w:p>
        </w:tc>
        <w:tc>
          <w:tcPr>
            <w:tcW w:w="3574" w:type="dxa"/>
            <w:tcMar>
              <w:left w:w="57" w:type="dxa"/>
              <w:right w:w="57" w:type="dxa"/>
            </w:tcMar>
          </w:tcPr>
          <w:p w14:paraId="55B5EB8E"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2015-05-29/mod/sbp_con.xsd</w:t>
            </w:r>
          </w:p>
        </w:tc>
      </w:tr>
      <w:tr w:rsidR="00AA0EE8" w14:paraId="55B5EB94" w14:textId="77777777" w:rsidTr="00766D0C">
        <w:tc>
          <w:tcPr>
            <w:tcW w:w="1162" w:type="dxa"/>
            <w:vMerge w:val="restart"/>
            <w:tcMar>
              <w:left w:w="57" w:type="dxa"/>
              <w:right w:w="57" w:type="dxa"/>
            </w:tcMar>
          </w:tcPr>
          <w:p w14:paraId="55B5EB90" w14:textId="77777777" w:rsidR="00AA0EE8" w:rsidRPr="00AA0EE8" w:rsidRDefault="00AA0EE8" w:rsidP="00B939D1">
            <w:pPr>
              <w:keepNext/>
              <w:keepLines/>
              <w:rPr>
                <w:sz w:val="16"/>
              </w:rPr>
            </w:pPr>
            <w:r w:rsidRPr="00AA0EE8">
              <w:rPr>
                <w:sz w:val="16"/>
              </w:rPr>
              <w:t>Benchmarking Initial Valuation</w:t>
            </w:r>
          </w:p>
        </w:tc>
        <w:tc>
          <w:tcPr>
            <w:tcW w:w="3261" w:type="dxa"/>
            <w:vMerge w:val="restart"/>
            <w:tcMar>
              <w:left w:w="57" w:type="dxa"/>
              <w:right w:w="57" w:type="dxa"/>
            </w:tcMar>
          </w:tcPr>
          <w:p w14:paraId="55B5EB91"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B939D1" w:rsidRPr="00B939D1">
              <w:rPr>
                <w:rFonts w:ascii="Arial Narrow" w:hAnsi="Arial Narrow"/>
                <w:sz w:val="18"/>
              </w:rPr>
              <w:noBreakHyphen/>
            </w:r>
            <w:r w:rsidRPr="00B939D1">
              <w:rPr>
                <w:rFonts w:ascii="Arial Narrow" w:hAnsi="Arial Narrow"/>
                <w:sz w:val="18"/>
              </w:rPr>
              <w:t>2014</w:t>
            </w:r>
            <w:r w:rsidR="00B939D1" w:rsidRPr="00B939D1">
              <w:rPr>
                <w:rFonts w:ascii="Arial Narrow" w:hAnsi="Arial Narrow"/>
                <w:sz w:val="18"/>
              </w:rPr>
              <w:noBreakHyphen/>
            </w:r>
            <w:r w:rsidRPr="00B939D1">
              <w:rPr>
                <w:rFonts w:ascii="Arial Narrow" w:hAnsi="Arial Narrow"/>
                <w:sz w:val="18"/>
              </w:rPr>
              <w:t>07/</w:t>
            </w:r>
            <w:r w:rsidRPr="00B939D1">
              <w:rPr>
                <w:rFonts w:ascii="Arial Narrow" w:hAnsi="Arial Narrow"/>
                <w:b/>
                <w:sz w:val="18"/>
              </w:rPr>
              <w:t>2015</w:t>
            </w:r>
            <w:r w:rsidR="00B939D1" w:rsidRPr="00B939D1">
              <w:rPr>
                <w:rFonts w:ascii="Arial Narrow" w:hAnsi="Arial Narrow"/>
                <w:b/>
                <w:sz w:val="18"/>
              </w:rPr>
              <w:noBreakHyphen/>
            </w:r>
            <w:r w:rsidRPr="00B939D1">
              <w:rPr>
                <w:rFonts w:ascii="Arial Narrow" w:hAnsi="Arial Narrow"/>
                <w:b/>
                <w:sz w:val="18"/>
              </w:rPr>
              <w:t>02</w:t>
            </w:r>
            <w:r w:rsidR="00B939D1" w:rsidRPr="00B939D1">
              <w:rPr>
                <w:rFonts w:ascii="Arial Narrow" w:hAnsi="Arial Narrow"/>
                <w:b/>
                <w:sz w:val="18"/>
              </w:rPr>
              <w:noBreakHyphen/>
            </w:r>
            <w:r w:rsidRPr="00B939D1">
              <w:rPr>
                <w:rFonts w:ascii="Arial Narrow" w:hAnsi="Arial Narrow"/>
                <w:b/>
                <w:sz w:val="18"/>
              </w:rPr>
              <w:t>16/mod/sbpimv.xsd</w:t>
            </w:r>
          </w:p>
        </w:tc>
        <w:tc>
          <w:tcPr>
            <w:tcW w:w="1134" w:type="dxa"/>
            <w:tcMar>
              <w:left w:w="57" w:type="dxa"/>
              <w:right w:w="57" w:type="dxa"/>
            </w:tcMar>
          </w:tcPr>
          <w:p w14:paraId="55B5EB92" w14:textId="77777777" w:rsidR="00AA0EE8" w:rsidRPr="00AA0EE8" w:rsidRDefault="00AA0EE8" w:rsidP="00B939D1">
            <w:pPr>
              <w:keepLines/>
              <w:rPr>
                <w:sz w:val="16"/>
              </w:rPr>
            </w:pPr>
            <w:r w:rsidRPr="00AA0EE8">
              <w:rPr>
                <w:sz w:val="16"/>
              </w:rPr>
              <w:t>IMV Individual</w:t>
            </w:r>
          </w:p>
        </w:tc>
        <w:tc>
          <w:tcPr>
            <w:tcW w:w="3574" w:type="dxa"/>
            <w:tcMar>
              <w:left w:w="57" w:type="dxa"/>
              <w:right w:w="57" w:type="dxa"/>
            </w:tcMar>
          </w:tcPr>
          <w:p w14:paraId="55B5EB93"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2015-05-29/mod/sbpimv_ind.xsd</w:t>
            </w:r>
          </w:p>
        </w:tc>
      </w:tr>
      <w:tr w:rsidR="00AA0EE8" w14:paraId="55B5EB99" w14:textId="77777777" w:rsidTr="00766D0C">
        <w:tc>
          <w:tcPr>
            <w:tcW w:w="1162" w:type="dxa"/>
            <w:vMerge/>
            <w:tcMar>
              <w:left w:w="57" w:type="dxa"/>
              <w:right w:w="57" w:type="dxa"/>
            </w:tcMar>
          </w:tcPr>
          <w:p w14:paraId="55B5EB95" w14:textId="77777777" w:rsidR="00AA0EE8" w:rsidRPr="00AA0EE8" w:rsidRDefault="00AA0EE8" w:rsidP="00B939D1">
            <w:pPr>
              <w:keepLines/>
              <w:rPr>
                <w:sz w:val="16"/>
              </w:rPr>
            </w:pPr>
          </w:p>
        </w:tc>
        <w:tc>
          <w:tcPr>
            <w:tcW w:w="3261" w:type="dxa"/>
            <w:vMerge/>
            <w:tcMar>
              <w:left w:w="57" w:type="dxa"/>
              <w:right w:w="57" w:type="dxa"/>
            </w:tcMar>
          </w:tcPr>
          <w:p w14:paraId="55B5EB96" w14:textId="77777777" w:rsidR="00AA0EE8" w:rsidRPr="00AA0EE8" w:rsidRDefault="00AA0EE8" w:rsidP="00B939D1">
            <w:pPr>
              <w:keepLines/>
              <w:rPr>
                <w:sz w:val="16"/>
              </w:rPr>
            </w:pPr>
          </w:p>
        </w:tc>
        <w:tc>
          <w:tcPr>
            <w:tcW w:w="1134" w:type="dxa"/>
            <w:tcMar>
              <w:left w:w="57" w:type="dxa"/>
              <w:right w:w="57" w:type="dxa"/>
            </w:tcMar>
          </w:tcPr>
          <w:p w14:paraId="55B5EB97" w14:textId="77777777" w:rsidR="00AA0EE8" w:rsidRPr="00AA0EE8" w:rsidRDefault="00AA0EE8" w:rsidP="00B939D1">
            <w:pPr>
              <w:keepLines/>
              <w:rPr>
                <w:sz w:val="16"/>
              </w:rPr>
            </w:pPr>
            <w:r w:rsidRPr="00AA0EE8">
              <w:rPr>
                <w:sz w:val="16"/>
              </w:rPr>
              <w:t>IMV Consolidated</w:t>
            </w:r>
          </w:p>
        </w:tc>
        <w:tc>
          <w:tcPr>
            <w:tcW w:w="3574" w:type="dxa"/>
            <w:tcMar>
              <w:left w:w="57" w:type="dxa"/>
              <w:right w:w="57" w:type="dxa"/>
            </w:tcMar>
          </w:tcPr>
          <w:p w14:paraId="55B5EB98"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2015-05-29/mod/sbpimv_con.xsd</w:t>
            </w:r>
          </w:p>
        </w:tc>
      </w:tr>
    </w:tbl>
    <w:p w14:paraId="55B5EB9A" w14:textId="77777777" w:rsidR="00534F52" w:rsidRDefault="00534F52" w:rsidP="00B000E3"/>
    <w:p w14:paraId="55B5EB9B"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rPr>
          <w:b/>
        </w:rPr>
      </w:pPr>
      <w:r w:rsidRPr="00534F52">
        <w:rPr>
          <w:b/>
        </w:rPr>
        <w:lastRenderedPageBreak/>
        <w:t>Mapping 2.3 Instance files to 2.3.1</w:t>
      </w:r>
    </w:p>
    <w:p w14:paraId="55B5EB9C" w14:textId="77777777" w:rsidR="00534F52" w:rsidRP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534F52">
        <w:t>S</w:t>
      </w:r>
      <w:r>
        <w:t>i</w:t>
      </w:r>
      <w:r w:rsidRPr="00534F52">
        <w:t>nce</w:t>
      </w:r>
      <w:r>
        <w:t xml:space="preserve"> the data content of 2.3 and 2.3.1 FP and SBP reports are mostly identical (with one exception, see below), is it plausible to map 2.3 Instance Files to 2.3.1 compatible instance files.</w:t>
      </w:r>
    </w:p>
    <w:p w14:paraId="55B5EB9D"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Both the 2.3.1 SBP and SBPIMV reports are identical structures to the 2.3 versions, with the only difference being the explicit differentiation</w:t>
      </w:r>
      <w:r w:rsidR="00AA0EE8">
        <w:t xml:space="preserve"> of individual and c</w:t>
      </w:r>
      <w:r>
        <w:t xml:space="preserve">onsolidated entry points, </w:t>
      </w:r>
      <w:r w:rsidR="00AA0EE8">
        <w:t xml:space="preserve">replacing the </w:t>
      </w:r>
      <w:proofErr w:type="spellStart"/>
      <w:r w:rsidR="00AA0EE8">
        <w:t>schemaR</w:t>
      </w:r>
      <w:r>
        <w:t>ef</w:t>
      </w:r>
      <w:proofErr w:type="spellEnd"/>
      <w:r>
        <w:t xml:space="preserve"> of a valid 2.3 instance file </w:t>
      </w:r>
      <w:r w:rsidR="00AA0EE8">
        <w:t>with the appropriate i</w:t>
      </w:r>
      <w:r>
        <w:t xml:space="preserve">ndividual or </w:t>
      </w:r>
      <w:r w:rsidR="00AA0EE8">
        <w:t>c</w:t>
      </w:r>
      <w:r>
        <w:t xml:space="preserve">onsolidated </w:t>
      </w:r>
      <w:proofErr w:type="spellStart"/>
      <w:r>
        <w:t>schemaRef</w:t>
      </w:r>
      <w:proofErr w:type="spellEnd"/>
      <w:r>
        <w:t xml:space="preserve"> for 2.3.1 would converted the file to a valid 2.3.1 Instance.</w:t>
      </w:r>
    </w:p>
    <w:p w14:paraId="55B5EB9E"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FP table P</w:t>
      </w:r>
      <w:r w:rsidR="00B939D1">
        <w:t xml:space="preserve"> </w:t>
      </w:r>
      <w:r>
        <w:t>00.01 in version 2.3 did not contain a row 020 to indicate consolidation status. This is added in version 2.3.1. As such</w:t>
      </w:r>
      <w:r w:rsidR="00AA0EE8">
        <w:t xml:space="preserve">, as well as mapping the </w:t>
      </w:r>
      <w:proofErr w:type="spellStart"/>
      <w:r w:rsidR="00AA0EE8">
        <w:t>schemaR</w:t>
      </w:r>
      <w:r>
        <w:t>ef</w:t>
      </w:r>
      <w:proofErr w:type="spellEnd"/>
      <w:r>
        <w:t xml:space="preserve"> to the appropriate value based on the consolidation nature of the report</w:t>
      </w:r>
      <w:r w:rsidR="00AA0EE8">
        <w:t>, this data point should be added, i.e. either:</w:t>
      </w:r>
    </w:p>
    <w:p w14:paraId="55B5EB9F"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:x6</w:t>
      </w:r>
      <w:proofErr w:type="gramEnd"/>
      <w:r w:rsidRPr="009037B2">
        <w:rPr>
          <w:b/>
        </w:rPr>
        <w:t>&lt;/eba_met:ei207&gt;</w:t>
      </w:r>
    </w:p>
    <w:p w14:paraId="55B5EBA0"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pPr>
      <w:proofErr w:type="gramStart"/>
      <w:r>
        <w:t>for</w:t>
      </w:r>
      <w:proofErr w:type="gramEnd"/>
      <w:r>
        <w:t xml:space="preserve"> individual, or for consolidated:</w:t>
      </w:r>
    </w:p>
    <w:p w14:paraId="55B5EBA1"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w:t>
      </w:r>
      <w:r>
        <w:rPr>
          <w:b/>
        </w:rPr>
        <w:t>7</w:t>
      </w:r>
      <w:proofErr w:type="gramEnd"/>
      <w:r w:rsidRPr="009037B2">
        <w:rPr>
          <w:b/>
        </w:rPr>
        <w:t>&lt;/eba_met:ei207&gt;</w:t>
      </w:r>
    </w:p>
    <w:p w14:paraId="55B5EBA2" w14:textId="77777777" w:rsidR="00AA0EE8" w:rsidRDefault="00AA0EE8" w:rsidP="00057CFC">
      <w:pPr>
        <w:keepLines/>
        <w:pBdr>
          <w:top w:val="single" w:sz="4" w:space="1" w:color="auto"/>
          <w:left w:val="single" w:sz="4" w:space="4" w:color="auto"/>
          <w:bottom w:val="single" w:sz="4" w:space="1" w:color="auto"/>
          <w:right w:val="single" w:sz="4" w:space="4" w:color="auto"/>
        </w:pBdr>
        <w:ind w:left="720" w:right="425"/>
      </w:pPr>
      <w:proofErr w:type="gramStart"/>
      <w:r>
        <w:t>would</w:t>
      </w:r>
      <w:proofErr w:type="gramEnd"/>
      <w:r>
        <w:t xml:space="preserve"> be added within the &lt;xbrl&gt; tag, </w:t>
      </w:r>
      <w:r w:rsidRPr="009037B2">
        <w:t>where context “c2” is the context already used for ei4 data i</w:t>
      </w:r>
      <w:r>
        <w:t>tem, and assuming the use in the instance of the canonical namespace prefixes (if this is not the case, “</w:t>
      </w:r>
      <w:proofErr w:type="spellStart"/>
      <w:r>
        <w:t>eba_met</w:t>
      </w:r>
      <w:proofErr w:type="spellEnd"/>
      <w:r>
        <w:t>” and “</w:t>
      </w:r>
      <w:proofErr w:type="spellStart"/>
      <w:r>
        <w:t>eba_SC</w:t>
      </w:r>
      <w:proofErr w:type="spellEnd"/>
      <w:r>
        <w:t>” would need to be changed appropriately).</w:t>
      </w:r>
    </w:p>
    <w:p w14:paraId="55B5EBA3" w14:textId="77777777" w:rsidR="00D515AE" w:rsidRDefault="00D515AE" w:rsidP="00B000E3">
      <w:pPr>
        <w:rPr>
          <w:b/>
        </w:rPr>
      </w:pPr>
    </w:p>
    <w:p w14:paraId="55B5EBA4" w14:textId="77777777" w:rsidR="00534F52" w:rsidRDefault="00B939D1" w:rsidP="00D515AE">
      <w:pPr>
        <w:pStyle w:val="Titlelevel3"/>
      </w:pPr>
      <w:r w:rsidRPr="00B939D1">
        <w:t>Table Changes</w:t>
      </w:r>
    </w:p>
    <w:p w14:paraId="55B5EBA5" w14:textId="77777777" w:rsidR="00B939D1" w:rsidRPr="00B939D1" w:rsidRDefault="00B939D1" w:rsidP="00183058">
      <w:pPr>
        <w:pStyle w:val="ListParagraph"/>
        <w:numPr>
          <w:ilvl w:val="0"/>
          <w:numId w:val="5"/>
        </w:numPr>
      </w:pPr>
      <w:r w:rsidRPr="00B939D1">
        <w:t>As noted above, row 020 “</w:t>
      </w:r>
      <w:r w:rsidR="001F0E7F" w:rsidRPr="001F0E7F">
        <w:t>Reporting Level</w:t>
      </w:r>
      <w:r w:rsidRPr="00B939D1">
        <w:t>” added to P 00.01.</w:t>
      </w:r>
    </w:p>
    <w:p w14:paraId="55B5EBA6" w14:textId="77777777" w:rsidR="00B939D1" w:rsidRPr="00B939D1" w:rsidRDefault="00B939D1" w:rsidP="00183058">
      <w:pPr>
        <w:pStyle w:val="ListParagraph"/>
        <w:numPr>
          <w:ilvl w:val="0"/>
          <w:numId w:val="5"/>
        </w:numPr>
      </w:pPr>
      <w:r w:rsidRPr="00B939D1">
        <w:t xml:space="preserve">Label of Open Axis for C 105.02 </w:t>
      </w:r>
      <w:r>
        <w:t>“</w:t>
      </w:r>
      <w:r w:rsidRPr="00B939D1">
        <w:t>Mapping of internal models to portfolios</w:t>
      </w:r>
      <w:r>
        <w:t xml:space="preserve">” </w:t>
      </w:r>
      <w:r w:rsidRPr="00B939D1">
        <w:t>changed from “Portfolio” to “</w:t>
      </w:r>
      <w:r>
        <w:t>Row Number”</w:t>
      </w:r>
      <w:r w:rsidR="001A4CAA">
        <w:t xml:space="preserve"> (minor cosmetic change only, does not affect instance files)</w:t>
      </w:r>
      <w:r>
        <w:t>.</w:t>
      </w:r>
    </w:p>
    <w:p w14:paraId="55B5EBA7" w14:textId="77777777" w:rsidR="00B939D1" w:rsidRDefault="00057CFC" w:rsidP="00D515AE">
      <w:pPr>
        <w:pStyle w:val="Titlelevel3"/>
      </w:pPr>
      <w:r>
        <w:t>Validation Rule Changes</w:t>
      </w:r>
    </w:p>
    <w:p w14:paraId="55B5EBA8" w14:textId="77777777" w:rsidR="006A5AC9" w:rsidRDefault="006A5AC9" w:rsidP="00183058">
      <w:pPr>
        <w:pStyle w:val="ListParagraph"/>
        <w:numPr>
          <w:ilvl w:val="0"/>
          <w:numId w:val="5"/>
        </w:numPr>
      </w:pPr>
      <w:r>
        <w:t>Added check on existence of value for P 00.01 row 020 (e4437_e), and checks that the values of P 00.01 and S 00.01 are agree with the Individual/Consolidated nature of the report (v4438_c - v4441_c).</w:t>
      </w:r>
    </w:p>
    <w:p w14:paraId="55B5EBA9" w14:textId="77777777" w:rsidR="00766D0C" w:rsidRDefault="00766D0C" w:rsidP="00766D0C">
      <w:pPr>
        <w:pStyle w:val="Titlelevel3"/>
      </w:pPr>
      <w:r>
        <w:t>Documentation</w:t>
      </w:r>
      <w:r w:rsidR="00057CFC">
        <w:t xml:space="preserve"> Changes</w:t>
      </w:r>
    </w:p>
    <w:p w14:paraId="55B5EBAA" w14:textId="77777777" w:rsidR="001F0E7F" w:rsidRDefault="001F0E7F" w:rsidP="00183058">
      <w:pPr>
        <w:pStyle w:val="ListParagraph"/>
        <w:numPr>
          <w:ilvl w:val="0"/>
          <w:numId w:val="5"/>
        </w:numPr>
      </w:pPr>
      <w:r w:rsidRPr="001F0E7F">
        <w:t xml:space="preserve">“Not Included in XBRL” marker added to </w:t>
      </w:r>
      <w:r w:rsidR="00766D0C">
        <w:t>validation rules</w:t>
      </w:r>
      <w:r w:rsidR="00766D0C" w:rsidRPr="001F0E7F">
        <w:t xml:space="preserve"> v3330_i and v3331_i </w:t>
      </w:r>
      <w:r w:rsidR="00766D0C">
        <w:t xml:space="preserve">on </w:t>
      </w:r>
      <w:r w:rsidRPr="001F0E7F">
        <w:t xml:space="preserve">2.3 </w:t>
      </w:r>
      <w:proofErr w:type="gramStart"/>
      <w:r w:rsidR="00766D0C">
        <w:t>tab</w:t>
      </w:r>
      <w:proofErr w:type="gramEnd"/>
      <w:r w:rsidRPr="001F0E7F">
        <w:t xml:space="preserve"> </w:t>
      </w:r>
      <w:r w:rsidR="006A5AC9">
        <w:t xml:space="preserve">(was </w:t>
      </w:r>
      <w:r w:rsidR="00766D0C">
        <w:t xml:space="preserve">already </w:t>
      </w:r>
      <w:r w:rsidR="006A5AC9">
        <w:t>present on the other tabs).</w:t>
      </w:r>
    </w:p>
    <w:p w14:paraId="55B5EBAB" w14:textId="77777777" w:rsidR="00057CFC" w:rsidRDefault="00057CFC" w:rsidP="00057CFC"/>
    <w:p w14:paraId="55B5EBAC" w14:textId="77777777" w:rsidR="00057CFC" w:rsidRDefault="00057CFC" w:rsidP="00057CFC">
      <w:pPr>
        <w:pStyle w:val="Titlelevel3"/>
      </w:pPr>
      <w:r>
        <w:t>Unchanged</w:t>
      </w:r>
    </w:p>
    <w:p w14:paraId="55B5EBAD" w14:textId="77777777" w:rsidR="00057CFC" w:rsidRDefault="00057CFC" w:rsidP="00183058">
      <w:pPr>
        <w:pStyle w:val="ListParagraph"/>
        <w:numPr>
          <w:ilvl w:val="0"/>
          <w:numId w:val="5"/>
        </w:numPr>
      </w:pPr>
      <w:r>
        <w:t>Asset Encumbrance remains unchanged from version 2.2 (i.e. v2.2 entry point/taxonomy should continue to be used)</w:t>
      </w:r>
    </w:p>
    <w:p w14:paraId="55B5EBAE" w14:textId="77777777" w:rsidR="00057CFC" w:rsidRDefault="00057CFC" w:rsidP="00183058">
      <w:pPr>
        <w:pStyle w:val="ListParagraph"/>
        <w:numPr>
          <w:ilvl w:val="0"/>
          <w:numId w:val="5"/>
        </w:numPr>
      </w:pPr>
      <w:r>
        <w:t>FINREP remains unchanged from version 2.3</w:t>
      </w:r>
    </w:p>
    <w:p w14:paraId="55B5EBAF" w14:textId="77777777" w:rsidR="00057CFC" w:rsidRDefault="00057CFC" w:rsidP="00183058">
      <w:pPr>
        <w:pStyle w:val="ListParagraph"/>
        <w:numPr>
          <w:ilvl w:val="0"/>
          <w:numId w:val="5"/>
        </w:numPr>
      </w:pPr>
      <w:r>
        <w:t>COREP remains unchanged from version 2.3 (however see Known Issues section below)</w:t>
      </w:r>
    </w:p>
    <w:p w14:paraId="55B5EBB0" w14:textId="77777777" w:rsidR="00057CFC" w:rsidRPr="001F0E7F" w:rsidRDefault="00057CFC" w:rsidP="00057CFC">
      <w:pPr>
        <w:pStyle w:val="ListParagraph"/>
      </w:pPr>
    </w:p>
    <w:p w14:paraId="55B5EBB1" w14:textId="77777777" w:rsidR="00057CFC" w:rsidRPr="00057CFC" w:rsidRDefault="00057CFC" w:rsidP="00057CFC">
      <w:pPr>
        <w:pStyle w:val="Titlelevel2"/>
        <w:keepNext/>
        <w:keepLines/>
        <w:rPr>
          <w:b/>
        </w:rPr>
      </w:pPr>
      <w:r w:rsidRPr="00057CFC">
        <w:rPr>
          <w:b/>
        </w:rPr>
        <w:lastRenderedPageBreak/>
        <w:t>Known Issues</w:t>
      </w:r>
    </w:p>
    <w:p w14:paraId="55B5EBB2" w14:textId="77777777" w:rsidR="00057CFC" w:rsidRDefault="00057CFC" w:rsidP="00183058">
      <w:pPr>
        <w:pStyle w:val="ListParagraph"/>
        <w:keepNext/>
        <w:keepLines/>
        <w:numPr>
          <w:ilvl w:val="0"/>
          <w:numId w:val="5"/>
        </w:numPr>
      </w:pPr>
      <w:r>
        <w:t>The metrics assigned to COREP C 06.02 column 040, and FINREP F 40.01 column 150 are incorrect in v2.3 (and 2.3.1), have been mistakenly swapped over.</w:t>
      </w:r>
    </w:p>
    <w:p w14:paraId="55B5EBB3" w14:textId="77777777" w:rsidR="00057CFC" w:rsidRDefault="00057CFC" w:rsidP="00183058">
      <w:pPr>
        <w:pStyle w:val="ListParagraph"/>
        <w:keepNext/>
        <w:keepLines/>
        <w:numPr>
          <w:ilvl w:val="1"/>
          <w:numId w:val="5"/>
        </w:numPr>
      </w:pPr>
      <w:r>
        <w:t xml:space="preserve">This error has </w:t>
      </w:r>
      <w:r w:rsidRPr="006A5AC9">
        <w:rPr>
          <w:b/>
        </w:rPr>
        <w:t>NOT</w:t>
      </w:r>
      <w:r>
        <w:t xml:space="preserve"> been corrected in v2.3.1, so as to avoid impacting the FINREP or COREP taxonomies</w:t>
      </w:r>
    </w:p>
    <w:p w14:paraId="55B5EBB4" w14:textId="77777777" w:rsidR="00057CFC" w:rsidRDefault="00057CFC" w:rsidP="00183058">
      <w:pPr>
        <w:pStyle w:val="ListParagraph"/>
        <w:keepNext/>
        <w:keepLines/>
        <w:numPr>
          <w:ilvl w:val="1"/>
          <w:numId w:val="5"/>
        </w:numPr>
      </w:pPr>
      <w:r>
        <w:t>F 40.01 col 150 remains a string metric as it was in previous versions, reporters should continue to report this as they have done previously</w:t>
      </w:r>
    </w:p>
    <w:p w14:paraId="55B5EBB5" w14:textId="77777777" w:rsidR="00057CFC" w:rsidRDefault="00057CFC" w:rsidP="00183058">
      <w:pPr>
        <w:pStyle w:val="ListParagraph"/>
        <w:keepNext/>
        <w:keepLines/>
        <w:numPr>
          <w:ilvl w:val="1"/>
          <w:numId w:val="5"/>
        </w:numPr>
      </w:pPr>
      <w:r w:rsidRPr="00766D0C">
        <w:rPr>
          <w:b/>
        </w:rPr>
        <w:t>For COREP, table C 06.02</w:t>
      </w:r>
      <w:r>
        <w:t xml:space="preserve"> the taxonomy allows for column 040 all four values below, but </w:t>
      </w:r>
      <w:r w:rsidRPr="00057CFC">
        <w:rPr>
          <w:b/>
        </w:rPr>
        <w:t>instance files should be reported respecting the supplementary instructions below</w:t>
      </w:r>
      <w:r>
        <w:t xml:space="preserve">: </w:t>
      </w:r>
    </w:p>
    <w:p w14:paraId="55B5EBB6" w14:textId="77777777" w:rsidR="00057CFC" w:rsidRDefault="00057CFC" w:rsidP="00057CFC">
      <w:pPr>
        <w:ind w:left="1080"/>
      </w:pPr>
    </w:p>
    <w:tbl>
      <w:tblPr>
        <w:tblStyle w:val="EBAtable"/>
        <w:tblW w:w="0" w:type="auto"/>
        <w:tblLook w:val="04A0" w:firstRow="1" w:lastRow="0" w:firstColumn="1" w:lastColumn="0" w:noHBand="0" w:noVBand="1"/>
      </w:tblPr>
      <w:tblGrid>
        <w:gridCol w:w="1391"/>
        <w:gridCol w:w="3904"/>
        <w:gridCol w:w="3996"/>
      </w:tblGrid>
      <w:tr w:rsidR="00057CFC" w:rsidRPr="006A5AC9" w14:paraId="55B5EBBA" w14:textId="77777777" w:rsidTr="00587A42">
        <w:trPr>
          <w:cnfStyle w:val="100000000000" w:firstRow="1" w:lastRow="0" w:firstColumn="0" w:lastColumn="0" w:oddVBand="0" w:evenVBand="0" w:oddHBand="0" w:evenHBand="0" w:firstRowFirstColumn="0" w:firstRowLastColumn="0" w:lastRowFirstColumn="0" w:lastRowLastColumn="0"/>
        </w:trPr>
        <w:tc>
          <w:tcPr>
            <w:tcW w:w="1126" w:type="dxa"/>
          </w:tcPr>
          <w:p w14:paraId="55B5EBB7" w14:textId="77777777" w:rsidR="00057CFC" w:rsidRPr="00D515AE" w:rsidRDefault="00057CFC" w:rsidP="00587A42">
            <w:pPr>
              <w:rPr>
                <w:rFonts w:ascii="Arial" w:hAnsi="Arial" w:cs="Arial"/>
                <w:b/>
              </w:rPr>
            </w:pPr>
            <w:r>
              <w:rPr>
                <w:rFonts w:ascii="Arial" w:hAnsi="Arial" w:cs="Arial"/>
                <w:b/>
              </w:rPr>
              <w:t>Member</w:t>
            </w:r>
          </w:p>
        </w:tc>
        <w:tc>
          <w:tcPr>
            <w:tcW w:w="3984" w:type="dxa"/>
          </w:tcPr>
          <w:p w14:paraId="55B5EBB8" w14:textId="77777777" w:rsidR="00057CFC" w:rsidRPr="00D515AE" w:rsidRDefault="00057CFC" w:rsidP="00587A42">
            <w:pPr>
              <w:rPr>
                <w:rFonts w:ascii="Arial" w:hAnsi="Arial" w:cs="Arial"/>
                <w:b/>
              </w:rPr>
            </w:pPr>
            <w:r w:rsidRPr="00D515AE">
              <w:rPr>
                <w:rFonts w:ascii="Arial" w:hAnsi="Arial" w:cs="Arial"/>
                <w:b/>
              </w:rPr>
              <w:t>Label</w:t>
            </w:r>
          </w:p>
        </w:tc>
        <w:tc>
          <w:tcPr>
            <w:tcW w:w="4070" w:type="dxa"/>
          </w:tcPr>
          <w:p w14:paraId="55B5EBB9" w14:textId="77777777" w:rsidR="00057CFC" w:rsidRPr="00D515AE" w:rsidRDefault="00057CFC" w:rsidP="00587A42">
            <w:pPr>
              <w:rPr>
                <w:rFonts w:ascii="Arial" w:hAnsi="Arial" w:cs="Arial"/>
                <w:b/>
              </w:rPr>
            </w:pPr>
            <w:r w:rsidRPr="00D515AE">
              <w:rPr>
                <w:rFonts w:ascii="Arial" w:hAnsi="Arial" w:cs="Arial"/>
                <w:b/>
              </w:rPr>
              <w:t>Supplementary instruction</w:t>
            </w:r>
          </w:p>
        </w:tc>
      </w:tr>
      <w:tr w:rsidR="00057CFC" w:rsidRPr="006A5AC9" w14:paraId="55B5EBBE" w14:textId="77777777" w:rsidTr="00587A42">
        <w:tc>
          <w:tcPr>
            <w:tcW w:w="1126" w:type="dxa"/>
          </w:tcPr>
          <w:p w14:paraId="55B5EBBB" w14:textId="77777777" w:rsidR="00057CFC" w:rsidRPr="00D515AE" w:rsidRDefault="00057CFC" w:rsidP="00587A42">
            <w:pPr>
              <w:rPr>
                <w:rFonts w:ascii="Arial" w:hAnsi="Arial" w:cs="Arial"/>
              </w:rPr>
            </w:pPr>
            <w:r w:rsidRPr="00BC0A15">
              <w:rPr>
                <w:rFonts w:ascii="Arial" w:hAnsi="Arial" w:cs="Arial"/>
              </w:rPr>
              <w:t>eba_Z</w:t>
            </w:r>
            <w:r>
              <w:rPr>
                <w:rFonts w:ascii="Arial" w:hAnsi="Arial" w:cs="Arial"/>
              </w:rPr>
              <w:t>Z:</w:t>
            </w:r>
            <w:r w:rsidRPr="00D515AE">
              <w:rPr>
                <w:rFonts w:ascii="Arial" w:hAnsi="Arial" w:cs="Arial"/>
              </w:rPr>
              <w:t>x29</w:t>
            </w:r>
          </w:p>
        </w:tc>
        <w:tc>
          <w:tcPr>
            <w:tcW w:w="3984" w:type="dxa"/>
          </w:tcPr>
          <w:p w14:paraId="55B5EBBC" w14:textId="77777777" w:rsidR="00057CFC" w:rsidRPr="00D515AE" w:rsidRDefault="00057CFC" w:rsidP="00587A42">
            <w:pPr>
              <w:rPr>
                <w:rFonts w:ascii="Arial" w:hAnsi="Arial" w:cs="Arial"/>
              </w:rPr>
            </w:pPr>
            <w:r w:rsidRPr="00D515AE">
              <w:rPr>
                <w:rFonts w:ascii="Arial" w:hAnsi="Arial" w:cs="Arial"/>
              </w:rPr>
              <w:t>Full consolidation</w:t>
            </w:r>
          </w:p>
        </w:tc>
        <w:tc>
          <w:tcPr>
            <w:tcW w:w="4070" w:type="dxa"/>
          </w:tcPr>
          <w:p w14:paraId="55B5EBBD" w14:textId="77777777" w:rsidR="00057CFC" w:rsidRPr="00D515AE" w:rsidRDefault="00057CFC" w:rsidP="00587A42">
            <w:pPr>
              <w:rPr>
                <w:rFonts w:ascii="Arial" w:hAnsi="Arial" w:cs="Arial"/>
              </w:rPr>
            </w:pPr>
            <w:r w:rsidRPr="00D515AE">
              <w:rPr>
                <w:rFonts w:ascii="Arial" w:hAnsi="Arial" w:cs="Arial"/>
              </w:rPr>
              <w:t>Us</w:t>
            </w:r>
            <w:r>
              <w:rPr>
                <w:rFonts w:ascii="Arial" w:hAnsi="Arial" w:cs="Arial"/>
              </w:rPr>
              <w:t>e</w:t>
            </w:r>
            <w:r w:rsidRPr="00D515AE">
              <w:rPr>
                <w:rFonts w:ascii="Arial" w:hAnsi="Arial" w:cs="Arial"/>
              </w:rPr>
              <w:t xml:space="preserve"> to report value “fully consolidated” ("SF")</w:t>
            </w:r>
          </w:p>
        </w:tc>
      </w:tr>
      <w:tr w:rsidR="00057CFC" w:rsidRPr="006A5AC9" w14:paraId="55B5EBC2" w14:textId="77777777" w:rsidTr="00587A42">
        <w:tc>
          <w:tcPr>
            <w:tcW w:w="1126" w:type="dxa"/>
          </w:tcPr>
          <w:p w14:paraId="55B5EBBF" w14:textId="77777777" w:rsidR="00057CFC" w:rsidRPr="00766D0C" w:rsidRDefault="00057CFC" w:rsidP="00587A42">
            <w:pPr>
              <w:rPr>
                <w:rFonts w:ascii="Arial" w:hAnsi="Arial" w:cs="Arial"/>
              </w:rPr>
            </w:pPr>
            <w:r w:rsidRPr="00766D0C">
              <w:rPr>
                <w:rFonts w:ascii="Arial" w:hAnsi="Arial" w:cs="Arial"/>
              </w:rPr>
              <w:t>eba_ZZ:x30</w:t>
            </w:r>
          </w:p>
        </w:tc>
        <w:tc>
          <w:tcPr>
            <w:tcW w:w="3984" w:type="dxa"/>
          </w:tcPr>
          <w:p w14:paraId="55B5EBC0" w14:textId="77777777" w:rsidR="00057CFC" w:rsidRPr="00766D0C" w:rsidRDefault="00057CFC" w:rsidP="00587A42">
            <w:pPr>
              <w:rPr>
                <w:rFonts w:ascii="Arial" w:hAnsi="Arial" w:cs="Arial"/>
              </w:rPr>
            </w:pPr>
            <w:r w:rsidRPr="00766D0C">
              <w:rPr>
                <w:rFonts w:ascii="Arial" w:hAnsi="Arial" w:cs="Arial"/>
              </w:rPr>
              <w:t>Proportional consolidation</w:t>
            </w:r>
          </w:p>
        </w:tc>
        <w:tc>
          <w:tcPr>
            <w:tcW w:w="4070" w:type="dxa"/>
          </w:tcPr>
          <w:p w14:paraId="55B5EBC1" w14:textId="77777777" w:rsidR="00057CFC" w:rsidRPr="00766D0C" w:rsidRDefault="00057CFC" w:rsidP="00587A42">
            <w:pPr>
              <w:rPr>
                <w:rFonts w:ascii="Arial" w:hAnsi="Arial" w:cs="Arial"/>
              </w:rPr>
            </w:pPr>
            <w:r w:rsidRPr="00766D0C">
              <w:rPr>
                <w:rFonts w:ascii="Arial" w:hAnsi="Arial" w:cs="Arial"/>
              </w:rPr>
              <w:t>DO NOT USE</w:t>
            </w:r>
          </w:p>
        </w:tc>
      </w:tr>
      <w:tr w:rsidR="00057CFC" w:rsidRPr="006A5AC9" w14:paraId="55B5EBC6" w14:textId="77777777" w:rsidTr="00587A42">
        <w:tc>
          <w:tcPr>
            <w:tcW w:w="1126" w:type="dxa"/>
          </w:tcPr>
          <w:p w14:paraId="55B5EBC3" w14:textId="77777777" w:rsidR="00057CFC" w:rsidRPr="00766D0C" w:rsidRDefault="00057CFC" w:rsidP="00587A42">
            <w:pPr>
              <w:rPr>
                <w:rFonts w:ascii="Arial" w:hAnsi="Arial" w:cs="Arial"/>
              </w:rPr>
            </w:pPr>
            <w:r w:rsidRPr="00766D0C">
              <w:rPr>
                <w:rFonts w:ascii="Arial" w:hAnsi="Arial" w:cs="Arial"/>
              </w:rPr>
              <w:t>eba_ZZ:x31</w:t>
            </w:r>
          </w:p>
        </w:tc>
        <w:tc>
          <w:tcPr>
            <w:tcW w:w="3984" w:type="dxa"/>
          </w:tcPr>
          <w:p w14:paraId="55B5EBC4" w14:textId="77777777" w:rsidR="00057CFC" w:rsidRPr="00766D0C" w:rsidRDefault="00057CFC" w:rsidP="00587A42">
            <w:pPr>
              <w:rPr>
                <w:rFonts w:ascii="Arial" w:hAnsi="Arial" w:cs="Arial"/>
              </w:rPr>
            </w:pPr>
            <w:r w:rsidRPr="00766D0C">
              <w:rPr>
                <w:rFonts w:ascii="Arial" w:hAnsi="Arial" w:cs="Arial"/>
              </w:rPr>
              <w:t>Equity method</w:t>
            </w:r>
          </w:p>
        </w:tc>
        <w:tc>
          <w:tcPr>
            <w:tcW w:w="4070" w:type="dxa"/>
          </w:tcPr>
          <w:p w14:paraId="55B5EBC5" w14:textId="77777777" w:rsidR="00057CFC" w:rsidRPr="00766D0C" w:rsidRDefault="00057CFC" w:rsidP="00587A42">
            <w:pPr>
              <w:rPr>
                <w:rFonts w:ascii="Arial" w:hAnsi="Arial" w:cs="Arial"/>
              </w:rPr>
            </w:pPr>
            <w:r w:rsidRPr="00766D0C">
              <w:rPr>
                <w:rFonts w:ascii="Arial" w:hAnsi="Arial" w:cs="Arial"/>
              </w:rPr>
              <w:t>DO NOT USE</w:t>
            </w:r>
          </w:p>
        </w:tc>
      </w:tr>
      <w:tr w:rsidR="00057CFC" w:rsidRPr="006A5AC9" w14:paraId="55B5EBCA" w14:textId="77777777" w:rsidTr="00587A42">
        <w:tc>
          <w:tcPr>
            <w:tcW w:w="1126" w:type="dxa"/>
          </w:tcPr>
          <w:p w14:paraId="55B5EBC7" w14:textId="77777777" w:rsidR="00057CFC" w:rsidRPr="00D515AE" w:rsidRDefault="00057CFC" w:rsidP="00587A42">
            <w:pPr>
              <w:rPr>
                <w:rFonts w:ascii="Arial" w:hAnsi="Arial" w:cs="Arial"/>
              </w:rPr>
            </w:pPr>
            <w:r>
              <w:rPr>
                <w:rFonts w:ascii="Arial" w:hAnsi="Arial" w:cs="Arial"/>
              </w:rPr>
              <w:t>eba_ZZ:</w:t>
            </w:r>
            <w:r w:rsidRPr="00D515AE">
              <w:rPr>
                <w:rFonts w:ascii="Arial" w:hAnsi="Arial" w:cs="Arial"/>
              </w:rPr>
              <w:t>x32</w:t>
            </w:r>
          </w:p>
        </w:tc>
        <w:tc>
          <w:tcPr>
            <w:tcW w:w="3984" w:type="dxa"/>
          </w:tcPr>
          <w:p w14:paraId="55B5EBC8" w14:textId="77777777" w:rsidR="00057CFC" w:rsidRPr="00D515AE" w:rsidRDefault="00057CFC" w:rsidP="00587A42">
            <w:pPr>
              <w:rPr>
                <w:rFonts w:ascii="Arial" w:hAnsi="Arial" w:cs="Arial"/>
              </w:rPr>
            </w:pPr>
            <w:r w:rsidRPr="00D515AE">
              <w:rPr>
                <w:rFonts w:ascii="Arial" w:hAnsi="Arial" w:cs="Arial"/>
              </w:rPr>
              <w:t>Other than Full consolidation, Proportional consolidation, Equity method</w:t>
            </w:r>
          </w:p>
        </w:tc>
        <w:tc>
          <w:tcPr>
            <w:tcW w:w="4070" w:type="dxa"/>
          </w:tcPr>
          <w:p w14:paraId="55B5EBC9" w14:textId="77777777" w:rsidR="00057CFC" w:rsidRPr="00D515AE" w:rsidRDefault="00057CFC" w:rsidP="00587A42">
            <w:pPr>
              <w:rPr>
                <w:rFonts w:ascii="Arial" w:hAnsi="Arial" w:cs="Arial"/>
              </w:rPr>
            </w:pPr>
            <w:r w:rsidRPr="00D515AE">
              <w:rPr>
                <w:rFonts w:ascii="Arial" w:hAnsi="Arial" w:cs="Arial"/>
              </w:rPr>
              <w:t>Usable to report value “partially consolidated” ("SP")</w:t>
            </w:r>
          </w:p>
        </w:tc>
      </w:tr>
    </w:tbl>
    <w:p w14:paraId="55B5EBCB" w14:textId="77777777" w:rsidR="00057CFC" w:rsidRDefault="00057CFC" w:rsidP="00057CFC"/>
    <w:p w14:paraId="55B5EBCC" w14:textId="77777777" w:rsidR="004A28AD" w:rsidRPr="00AC2556" w:rsidRDefault="004A28AD" w:rsidP="004A28AD">
      <w:pPr>
        <w:pStyle w:val="Heading1"/>
      </w:pPr>
      <w:r w:rsidRPr="00AC2556">
        <w:t>2.</w:t>
      </w:r>
      <w:r>
        <w:t>3</w:t>
      </w:r>
      <w:r w:rsidRPr="00AC2556">
        <w:t>.0 (“201</w:t>
      </w:r>
      <w:r>
        <w:t>5-A</w:t>
      </w:r>
      <w:r w:rsidRPr="00AC2556">
        <w:t xml:space="preserve">” Package) </w:t>
      </w:r>
    </w:p>
    <w:p w14:paraId="55B5EBCD" w14:textId="77777777" w:rsidR="00766D0C" w:rsidRDefault="00766D0C">
      <w:pPr>
        <w:rPr>
          <w:rFonts w:asciiTheme="majorHAnsi" w:eastAsiaTheme="majorEastAsia" w:hAnsiTheme="majorHAnsi" w:cstheme="majorBidi"/>
          <w:color w:val="2F5773" w:themeColor="text2"/>
          <w:spacing w:val="5"/>
          <w:kern w:val="28"/>
          <w:sz w:val="52"/>
          <w:szCs w:val="52"/>
        </w:rPr>
      </w:pPr>
      <w:r>
        <w:br w:type="page"/>
      </w:r>
    </w:p>
    <w:p w14:paraId="55B5EBCE" w14:textId="77777777" w:rsidR="004A28AD" w:rsidRDefault="00D515AE" w:rsidP="00D515AE">
      <w:pPr>
        <w:pStyle w:val="Heading2"/>
      </w:pPr>
      <w:r w:rsidRPr="00D515AE">
        <w:lastRenderedPageBreak/>
        <w:t>v2.3.0 (“2015-A” Package)</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(02/03/2015)</w:t>
      </w:r>
    </w:p>
    <w:p w14:paraId="55B5EBCF" w14:textId="77777777" w:rsidR="004A28AD" w:rsidRDefault="00D515AE" w:rsidP="00D515AE">
      <w:pPr>
        <w:pStyle w:val="Titlelevel2"/>
      </w:pPr>
      <w:r>
        <w:t>DPM changes</w:t>
      </w:r>
    </w:p>
    <w:p w14:paraId="55B5EBD0" w14:textId="77777777" w:rsidR="006A3920" w:rsidRDefault="006A3920" w:rsidP="00183058">
      <w:pPr>
        <w:pStyle w:val="ListParagraph"/>
        <w:numPr>
          <w:ilvl w:val="0"/>
          <w:numId w:val="5"/>
        </w:numPr>
      </w:pPr>
      <w:r>
        <w:t>New version of Funding Plans taxonomy – replacing previous version which will not be used.</w:t>
      </w:r>
    </w:p>
    <w:p w14:paraId="55B5EBD1" w14:textId="77777777" w:rsidR="0049741E" w:rsidRDefault="0049741E" w:rsidP="00183058">
      <w:pPr>
        <w:pStyle w:val="ListParagraph"/>
        <w:numPr>
          <w:ilvl w:val="1"/>
          <w:numId w:val="5"/>
        </w:numPr>
      </w:pPr>
      <w:r>
        <w:t>Correction of erroneous modelling of tables P 02.07 and P02.08 (column 010 marked identical to P 01.02</w:t>
      </w:r>
      <w:r w:rsidR="0089263A">
        <w:t>)</w:t>
      </w:r>
      <w:r w:rsidR="007D6736">
        <w:t xml:space="preserve"> </w:t>
      </w:r>
      <w:r>
        <w:t xml:space="preserve"> </w:t>
      </w:r>
    </w:p>
    <w:p w14:paraId="55B5EBD2" w14:textId="77777777" w:rsidR="006A3920" w:rsidRDefault="006A3920" w:rsidP="00183058">
      <w:pPr>
        <w:pStyle w:val="ListParagraph"/>
        <w:numPr>
          <w:ilvl w:val="0"/>
          <w:numId w:val="5"/>
        </w:numPr>
      </w:pPr>
      <w:r>
        <w:t xml:space="preserve">Preliminary version of </w:t>
      </w:r>
      <w:r w:rsidR="00291461">
        <w:t xml:space="preserve">new </w:t>
      </w:r>
      <w:r>
        <w:t xml:space="preserve">Benchmarking </w:t>
      </w:r>
      <w:r w:rsidR="00291461">
        <w:t xml:space="preserve">framework </w:t>
      </w:r>
      <w:r w:rsidR="00273419">
        <w:t>/</w:t>
      </w:r>
      <w:r w:rsidR="00291461">
        <w:t xml:space="preserve"> </w:t>
      </w:r>
      <w:r>
        <w:t>taxonomy included.</w:t>
      </w:r>
    </w:p>
    <w:p w14:paraId="55B5EBD3" w14:textId="77777777" w:rsidR="00BA6A8E" w:rsidRDefault="00BA6A8E" w:rsidP="00183058">
      <w:pPr>
        <w:pStyle w:val="ListParagraph"/>
        <w:numPr>
          <w:ilvl w:val="1"/>
          <w:numId w:val="5"/>
        </w:numPr>
      </w:pPr>
      <w:r>
        <w:t xml:space="preserve">Several tables in Benchmarking </w:t>
      </w:r>
      <w:r w:rsidR="00F441B8">
        <w:t xml:space="preserve">(C 106 – 110) </w:t>
      </w:r>
      <w:r>
        <w:t>require figures to be reported in the intrinsic currency of the value (i.e. the value of a portfolio of USD bonds should be reported in USD, whereas a portfolio of EUR assets should be reported in EUR), rather than converted to equivalents in a single reporting currency (as is the approach in the rest of the EBA reporting). The data to which this reporting approach is applicable is indicated by the application of</w:t>
      </w:r>
      <w:r w:rsidR="004D40E3">
        <w:t xml:space="preserve"> values from</w:t>
      </w:r>
      <w:r>
        <w:t xml:space="preserve"> a new dimension CCA (“</w:t>
      </w:r>
      <w:r w:rsidRPr="00BA6A8E">
        <w:t>Currency conversion approach</w:t>
      </w:r>
      <w:r>
        <w:t>”).</w:t>
      </w:r>
    </w:p>
    <w:p w14:paraId="55B5EBD4" w14:textId="77777777" w:rsidR="00291461" w:rsidRDefault="00291461" w:rsidP="00183058">
      <w:pPr>
        <w:pStyle w:val="ListParagraph"/>
        <w:numPr>
          <w:ilvl w:val="1"/>
          <w:numId w:val="5"/>
        </w:numPr>
      </w:pPr>
      <w:r>
        <w:t>Addition of (decimal) members to be used to report values in market value section of benchmarking that are in different currencies per</w:t>
      </w:r>
      <w:r w:rsidR="004D40E3">
        <w:t xml:space="preserve"> row (by portfolio) as currency-</w:t>
      </w:r>
      <w:r>
        <w:t xml:space="preserve">less numbers to avoid the need for tools to support </w:t>
      </w:r>
      <w:r w:rsidR="004D40E3">
        <w:t xml:space="preserve">full </w:t>
      </w:r>
      <w:r>
        <w:t>multicurrency reporting (</w:t>
      </w:r>
      <w:r w:rsidR="004D40E3">
        <w:t xml:space="preserve">which was </w:t>
      </w:r>
      <w:r>
        <w:t xml:space="preserve">expected to be </w:t>
      </w:r>
      <w:r w:rsidR="00BA6A8E">
        <w:t>problematic in the short term).</w:t>
      </w:r>
    </w:p>
    <w:p w14:paraId="55B5EBD5" w14:textId="77777777" w:rsidR="00291461" w:rsidRDefault="006A3920" w:rsidP="00183058">
      <w:pPr>
        <w:pStyle w:val="ListParagraph"/>
        <w:numPr>
          <w:ilvl w:val="0"/>
          <w:numId w:val="5"/>
        </w:numPr>
      </w:pPr>
      <w:r>
        <w:t>Mi</w:t>
      </w:r>
      <w:r w:rsidR="00273419">
        <w:t>nor changes to COREP and FINREP, including</w:t>
      </w:r>
    </w:p>
    <w:p w14:paraId="55B5EBD6" w14:textId="77777777" w:rsidR="00291461" w:rsidRDefault="00291461" w:rsidP="00183058">
      <w:pPr>
        <w:pStyle w:val="ListParagraph"/>
        <w:numPr>
          <w:ilvl w:val="1"/>
          <w:numId w:val="5"/>
        </w:numPr>
      </w:pPr>
      <w:r w:rsidRPr="00B000E3">
        <w:rPr>
          <w:b/>
        </w:rPr>
        <w:t xml:space="preserve">Tables F 19.00.e and .f removed, </w:t>
      </w:r>
      <w:r>
        <w:t>C 18 sheets 010 and 011 removed, F 19.00.b and .c row 340 added.</w:t>
      </w:r>
    </w:p>
    <w:p w14:paraId="55B5EBD7" w14:textId="77777777" w:rsidR="00237B31" w:rsidRDefault="006A3920" w:rsidP="00183058">
      <w:pPr>
        <w:pStyle w:val="ListParagraph"/>
        <w:numPr>
          <w:ilvl w:val="0"/>
          <w:numId w:val="5"/>
        </w:numPr>
      </w:pPr>
      <w:r>
        <w:t>Asset Encumbrance is unchanged.</w:t>
      </w:r>
    </w:p>
    <w:p w14:paraId="55B5EBD8" w14:textId="77777777" w:rsidR="004A28AD" w:rsidRDefault="007D6736" w:rsidP="00183058">
      <w:pPr>
        <w:pStyle w:val="ListParagraph"/>
        <w:numPr>
          <w:ilvl w:val="0"/>
          <w:numId w:val="5"/>
        </w:numPr>
      </w:pPr>
      <w:r>
        <w:t xml:space="preserve">Changed or Corrected many validation rules, </w:t>
      </w:r>
      <w:r w:rsidR="004A28AD">
        <w:t>"Reacti</w:t>
      </w:r>
      <w:r w:rsidR="00237B31">
        <w:t>vated" several validation rules</w:t>
      </w:r>
    </w:p>
    <w:p w14:paraId="55B5EBD9" w14:textId="77777777" w:rsidR="00237B31" w:rsidRDefault="00237B31" w:rsidP="00237B31">
      <w:pPr>
        <w:pStyle w:val="ListParagraph"/>
      </w:pPr>
    </w:p>
    <w:p w14:paraId="55B5EBDA" w14:textId="77777777" w:rsidR="007D6736" w:rsidRDefault="007D6736" w:rsidP="004A28AD">
      <w:r>
        <w:t>See accompanying documentation for more detail of changes.</w:t>
      </w:r>
    </w:p>
    <w:p w14:paraId="55B5EBDB" w14:textId="77777777" w:rsidR="004A28AD" w:rsidRDefault="004A28AD" w:rsidP="004A28AD"/>
    <w:p w14:paraId="55B5EBDC" w14:textId="77777777" w:rsidR="004A28AD" w:rsidRPr="00D515AE" w:rsidRDefault="00237B31" w:rsidP="00D515AE">
      <w:pPr>
        <w:pStyle w:val="Titlelevel2"/>
      </w:pPr>
      <w:r>
        <w:t>XBRL changes</w:t>
      </w:r>
    </w:p>
    <w:p w14:paraId="55B5EBDD" w14:textId="77777777" w:rsidR="004A28AD" w:rsidRDefault="004A28AD" w:rsidP="00183058">
      <w:pPr>
        <w:pStyle w:val="ListParagraph"/>
        <w:numPr>
          <w:ilvl w:val="0"/>
          <w:numId w:val="9"/>
        </w:numPr>
      </w:pPr>
      <w:r>
        <w:t xml:space="preserve">Decimal metrics are mapped to primary items starting </w:t>
      </w:r>
      <w:r w:rsidR="00BA6A8E">
        <w:t>r</w:t>
      </w:r>
      <w:r>
        <w:t xml:space="preserve"> (i.e. </w:t>
      </w:r>
      <w:r w:rsidR="00BA6A8E">
        <w:t>r</w:t>
      </w:r>
      <w:r>
        <w:t xml:space="preserve">i128). </w:t>
      </w:r>
    </w:p>
    <w:p w14:paraId="55B5EBDE" w14:textId="77777777" w:rsidR="004A28AD" w:rsidRDefault="004A28AD" w:rsidP="00183058">
      <w:pPr>
        <w:pStyle w:val="ListParagraph"/>
        <w:numPr>
          <w:ilvl w:val="0"/>
          <w:numId w:val="9"/>
        </w:numPr>
      </w:pPr>
      <w:r>
        <w:t>Addition o</w:t>
      </w:r>
      <w:r w:rsidR="00237B31">
        <w:t xml:space="preserve">f role refs to various </w:t>
      </w:r>
      <w:proofErr w:type="spellStart"/>
      <w:r w:rsidR="00237B31">
        <w:t>linkbaseR</w:t>
      </w:r>
      <w:r>
        <w:t>ef</w:t>
      </w:r>
      <w:proofErr w:type="spellEnd"/>
      <w:r>
        <w:t xml:space="preserve"> elements, which eliminates warnings generated when validating the taxonomy using several XBRL tools.</w:t>
      </w:r>
    </w:p>
    <w:p w14:paraId="55B5EBDF" w14:textId="77777777" w:rsidR="00F441B8" w:rsidRDefault="00F441B8" w:rsidP="00183058">
      <w:pPr>
        <w:pStyle w:val="ListParagraph"/>
        <w:numPr>
          <w:ilvl w:val="0"/>
          <w:numId w:val="9"/>
        </w:numPr>
      </w:pPr>
      <w:r>
        <w:t xml:space="preserve">Addition of existence rules ("e****_e") requiring the reporting of cells on tables </w:t>
      </w:r>
      <w:proofErr w:type="gramStart"/>
      <w:r>
        <w:t>00.01 .</w:t>
      </w:r>
      <w:proofErr w:type="gramEnd"/>
      <w:r>
        <w:t xml:space="preserve"> </w:t>
      </w:r>
    </w:p>
    <w:p w14:paraId="55B5EBE0" w14:textId="77777777" w:rsidR="00F441B8" w:rsidRDefault="004A28AD" w:rsidP="00183058">
      <w:pPr>
        <w:pStyle w:val="ListParagraph"/>
        <w:numPr>
          <w:ilvl w:val="1"/>
          <w:numId w:val="9"/>
        </w:numPr>
      </w:pPr>
      <w:r>
        <w:t xml:space="preserve">Note that </w:t>
      </w:r>
      <w:r w:rsidR="00DD121A">
        <w:t>the</w:t>
      </w:r>
      <w:r w:rsidR="00F441B8">
        <w:t>se</w:t>
      </w:r>
      <w:r w:rsidR="00DD121A">
        <w:t xml:space="preserve"> </w:t>
      </w:r>
      <w:r>
        <w:t>do not depend on any filing indicators and run whatever.</w:t>
      </w:r>
    </w:p>
    <w:p w14:paraId="55B5EBE1" w14:textId="77777777" w:rsidR="004A28AD" w:rsidRPr="00D515AE" w:rsidRDefault="00237B31" w:rsidP="00D515AE">
      <w:pPr>
        <w:pStyle w:val="Titlelevel2"/>
      </w:pPr>
      <w:r>
        <w:t>Documentation changes</w:t>
      </w:r>
    </w:p>
    <w:p w14:paraId="55B5EBE2" w14:textId="77777777" w:rsidR="004A28AD" w:rsidRDefault="004A28AD" w:rsidP="00183058">
      <w:pPr>
        <w:pStyle w:val="ListParagraph"/>
        <w:numPr>
          <w:ilvl w:val="0"/>
          <w:numId w:val="10"/>
        </w:numPr>
      </w:pPr>
      <w:r>
        <w:t>Changed Taxonomy Architecture</w:t>
      </w:r>
      <w:r w:rsidR="00DD121A">
        <w:t xml:space="preserve"> document</w:t>
      </w:r>
      <w:r>
        <w:t xml:space="preserve"> to list the prefix for decimal types as "</w:t>
      </w:r>
      <w:r w:rsidR="00BA6A8E">
        <w:t>r</w:t>
      </w:r>
      <w:r>
        <w:t>".</w:t>
      </w:r>
    </w:p>
    <w:p w14:paraId="55B5EBE3" w14:textId="77777777" w:rsidR="004A28AD" w:rsidRDefault="004A28AD" w:rsidP="00183058">
      <w:pPr>
        <w:pStyle w:val="ListParagraph"/>
        <w:numPr>
          <w:ilvl w:val="0"/>
          <w:numId w:val="10"/>
        </w:numPr>
      </w:pPr>
      <w:r>
        <w:t xml:space="preserve">Filing rules updated to cover the reporting of </w:t>
      </w:r>
      <w:proofErr w:type="spellStart"/>
      <w:r>
        <w:t>currencyless</w:t>
      </w:r>
      <w:proofErr w:type="spellEnd"/>
      <w:r>
        <w:t xml:space="preserve"> money values using decimal data type, and the use of negative filing indicators</w:t>
      </w:r>
      <w:r w:rsidR="00476AA2">
        <w:t xml:space="preserve"> for indicating intentional non-reporting of templates</w:t>
      </w:r>
      <w:r>
        <w:t>.</w:t>
      </w:r>
    </w:p>
    <w:p w14:paraId="55B5EBE4" w14:textId="77777777" w:rsidR="00F441B8" w:rsidRDefault="00F441B8" w:rsidP="00F441B8">
      <w:pPr>
        <w:pStyle w:val="ListParagraph"/>
      </w:pPr>
    </w:p>
    <w:p w14:paraId="55B5EBE5" w14:textId="77777777" w:rsidR="00E56F2E" w:rsidRDefault="00E56F2E" w:rsidP="00D515AE">
      <w:pPr>
        <w:pStyle w:val="Titlelevel2"/>
      </w:pPr>
      <w:bookmarkStart w:id="16" w:name="OLE_LINK3"/>
      <w:bookmarkStart w:id="17" w:name="OLE_LINK4"/>
      <w:r w:rsidRPr="00D515AE">
        <w:t xml:space="preserve">Tables </w:t>
      </w:r>
      <w:proofErr w:type="gramStart"/>
      <w:r w:rsidRPr="00D515AE">
        <w:t>C  06.01</w:t>
      </w:r>
      <w:proofErr w:type="gramEnd"/>
      <w:r w:rsidRPr="00D515AE">
        <w:t xml:space="preserve"> and C 06.02</w:t>
      </w:r>
    </w:p>
    <w:p w14:paraId="55B5EBE6" w14:textId="77777777" w:rsidR="00E56F2E" w:rsidRDefault="00E56F2E">
      <w:r>
        <w:lastRenderedPageBreak/>
        <w:t>As noted below, in v2.2 table C 06.00 was renamed C 06.02, and C 06.0</w:t>
      </w:r>
      <w:r>
        <w:rPr>
          <w:color w:val="1F497D"/>
        </w:rPr>
        <w:t>1</w:t>
      </w:r>
      <w:r>
        <w:t xml:space="preserve"> was added. In 2.2 they both formed part of the same </w:t>
      </w:r>
      <w:r w:rsidR="00273419">
        <w:t xml:space="preserve">“group solvency” template </w:t>
      </w:r>
      <w:r>
        <w:t xml:space="preserve">filing unit, as indicated in the </w:t>
      </w:r>
      <w:r w:rsidR="00273419">
        <w:t xml:space="preserve">appropriate fields of the </w:t>
      </w:r>
      <w:r>
        <w:t>DPM database and the XBRL taxonomy</w:t>
      </w:r>
      <w:r w:rsidR="00273419">
        <w:t xml:space="preserve">, as per the taxonomy architecture </w:t>
      </w:r>
      <w:r>
        <w:t>– i.e. one filing indicator with the code “C_06.00” was to be used, which would indicate that both were notionally filed (or both were not filed).</w:t>
      </w:r>
    </w:p>
    <w:p w14:paraId="55B5EBE7" w14:textId="77777777" w:rsidR="00E56F2E" w:rsidRDefault="00E56F2E"/>
    <w:p w14:paraId="55B5EBE8" w14:textId="77777777" w:rsidR="00E56F2E" w:rsidRDefault="00E56F2E">
      <w:r>
        <w:t>This did</w:t>
      </w:r>
      <w:r w:rsidR="00273419">
        <w:t xml:space="preserve"> not fit with the implied </w:t>
      </w:r>
      <w:r>
        <w:t xml:space="preserve">naming approach </w:t>
      </w:r>
      <w:r w:rsidR="00273419">
        <w:t>seen</w:t>
      </w:r>
      <w:r>
        <w:t xml:space="preserve"> elsewhere in the EBA </w:t>
      </w:r>
      <w:r w:rsidR="00273419">
        <w:t xml:space="preserve">reporting, </w:t>
      </w:r>
      <w:r>
        <w:t xml:space="preserve">where “.01”, “.02” etc. </w:t>
      </w:r>
      <w:r w:rsidR="00273419">
        <w:t xml:space="preserve">are generally given to </w:t>
      </w:r>
      <w:r>
        <w:t>independently file</w:t>
      </w:r>
      <w:r w:rsidR="00273419">
        <w:t>d</w:t>
      </w:r>
      <w:r>
        <w:t xml:space="preserve"> tables, whereas </w:t>
      </w:r>
      <w:r w:rsidR="00273419">
        <w:t>“.a” or “.x” etc. are given to tables that are sub parts of a template and form part of a single reporting unit.</w:t>
      </w:r>
    </w:p>
    <w:p w14:paraId="55B5EBE9" w14:textId="77777777" w:rsidR="00E56F2E" w:rsidRDefault="00E56F2E"/>
    <w:p w14:paraId="55B5EBEA" w14:textId="77777777" w:rsidR="004A28AD" w:rsidRDefault="00273419">
      <w:pPr>
        <w:rPr>
          <w:rFonts w:ascii="Cambria" w:hAnsi="Cambria" w:cs="Cambria"/>
          <w:b/>
          <w:bCs/>
          <w:sz w:val="28"/>
          <w:szCs w:val="28"/>
        </w:rPr>
      </w:pPr>
      <w:r>
        <w:t>In the 2015-A version of the COREP taxonomy</w:t>
      </w:r>
      <w:r w:rsidR="00E56F2E">
        <w:t xml:space="preserve"> version these tables now form </w:t>
      </w:r>
      <w:r>
        <w:t xml:space="preserve">fully </w:t>
      </w:r>
      <w:r w:rsidR="00E56F2E">
        <w:t xml:space="preserve">independent templates – i.e. they can be </w:t>
      </w:r>
      <w:r>
        <w:t>reported</w:t>
      </w:r>
      <w:r w:rsidR="00E56F2E">
        <w:t xml:space="preserve"> independently</w:t>
      </w:r>
      <w:r>
        <w:t xml:space="preserve"> if necessary (i.e. none, one or the other, or both)</w:t>
      </w:r>
      <w:r w:rsidR="00E56F2E">
        <w:t>, and the filing indicators codes “</w:t>
      </w:r>
      <w:r>
        <w:t>C_06.01” and “C_06.02” should be used – “C_06.00” no longer being used</w:t>
      </w:r>
      <w:r w:rsidR="00E56F2E">
        <w:t>.</w:t>
      </w:r>
    </w:p>
    <w:bookmarkEnd w:id="16"/>
    <w:bookmarkEnd w:id="17"/>
    <w:p w14:paraId="55B5EBEB" w14:textId="77777777" w:rsidR="00237B31" w:rsidRDefault="00237B31" w:rsidP="00237B31">
      <w:pPr>
        <w:pStyle w:val="Heading2"/>
        <w:rPr>
          <w:b/>
        </w:rPr>
      </w:pPr>
      <w:r w:rsidRPr="00AC2556">
        <w:t>v2.2.0 (“2014/07” Package)</w:t>
      </w:r>
      <w:r w:rsidRPr="00237B31">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(1</w:t>
      </w:r>
      <w:r>
        <w:rPr>
          <w:rFonts w:ascii="Arial" w:hAnsi="Arial" w:cs="Arial"/>
          <w:color w:val="696969"/>
          <w:sz w:val="18"/>
          <w:szCs w:val="18"/>
          <w:shd w:val="clear" w:color="auto" w:fill="FFFFFF"/>
        </w:rPr>
        <w:t>8/0</w:t>
      </w:r>
      <w:r w:rsidR="001A4CAA">
        <w:rPr>
          <w:rFonts w:ascii="Arial" w:hAnsi="Arial" w:cs="Arial"/>
          <w:color w:val="696969"/>
          <w:sz w:val="18"/>
          <w:szCs w:val="18"/>
          <w:shd w:val="clear" w:color="auto" w:fill="FFFFFF"/>
        </w:rPr>
        <w:t>8</w:t>
      </w:r>
      <w:r>
        <w:rPr>
          <w:rFonts w:ascii="Arial" w:hAnsi="Arial" w:cs="Arial"/>
          <w:color w:val="696969"/>
          <w:sz w:val="18"/>
          <w:szCs w:val="18"/>
          <w:shd w:val="clear" w:color="auto" w:fill="FFFFFF"/>
        </w:rPr>
        <w:t>/2014)</w:t>
      </w:r>
    </w:p>
    <w:p w14:paraId="55B5EBEC" w14:textId="77777777" w:rsidR="002C36C9" w:rsidRDefault="002C36C9" w:rsidP="002C36C9">
      <w:pPr>
        <w:jc w:val="center"/>
        <w:rPr>
          <w:b/>
        </w:rPr>
      </w:pPr>
      <w:r w:rsidRPr="002C36C9">
        <w:rPr>
          <w:b/>
        </w:rPr>
        <w:t xml:space="preserve">N.B. Applicable for reporting </w:t>
      </w:r>
      <w:r w:rsidR="00A55E27">
        <w:rPr>
          <w:b/>
        </w:rPr>
        <w:t xml:space="preserve">for </w:t>
      </w:r>
      <w:r w:rsidRPr="002C36C9">
        <w:rPr>
          <w:b/>
        </w:rPr>
        <w:t>reference date</w:t>
      </w:r>
      <w:r w:rsidR="00A55E27">
        <w:rPr>
          <w:b/>
        </w:rPr>
        <w:t>s from</w:t>
      </w:r>
      <w:r w:rsidRPr="002C36C9">
        <w:rPr>
          <w:b/>
        </w:rPr>
        <w:t xml:space="preserve"> 31/12/2014</w:t>
      </w:r>
      <w:r w:rsidR="00A55E27">
        <w:rPr>
          <w:b/>
        </w:rPr>
        <w:t xml:space="preserve"> onwards</w:t>
      </w:r>
    </w:p>
    <w:p w14:paraId="55B5EBED" w14:textId="77777777" w:rsidR="00237B31" w:rsidRPr="002C36C9" w:rsidRDefault="00237B31" w:rsidP="002C36C9">
      <w:pPr>
        <w:jc w:val="center"/>
        <w:rPr>
          <w:b/>
        </w:rPr>
      </w:pPr>
    </w:p>
    <w:p w14:paraId="55B5EBEE" w14:textId="77777777" w:rsidR="00B677D6" w:rsidRPr="00AC2556" w:rsidRDefault="00B677D6" w:rsidP="00B677D6">
      <w:bookmarkStart w:id="18" w:name="OLE_LINK5"/>
      <w:bookmarkStart w:id="19" w:name="OLE_LINK6"/>
      <w:bookmarkStart w:id="20" w:name="OLE_LINK7"/>
      <w:r w:rsidRPr="00AC2556">
        <w:t xml:space="preserve">Includes first release </w:t>
      </w:r>
      <w:bookmarkEnd w:id="18"/>
      <w:bookmarkEnd w:id="19"/>
      <w:bookmarkEnd w:id="20"/>
      <w:r w:rsidRPr="00AC2556">
        <w:t>(and first use) version of Funding Plans, and first use</w:t>
      </w:r>
      <w:r w:rsidR="00AC2556" w:rsidRPr="00AC2556">
        <w:t xml:space="preserve"> version of Asset Encumbrance (</w:t>
      </w:r>
      <w:proofErr w:type="spellStart"/>
      <w:r w:rsidR="00AC2556" w:rsidRPr="00AC2556">
        <w:t>n.b</w:t>
      </w:r>
      <w:r w:rsidRPr="00AC2556">
        <w:t>.</w:t>
      </w:r>
      <w:proofErr w:type="spellEnd"/>
      <w:r w:rsidRPr="00AC2556">
        <w:t xml:space="preserve"> very minor change</w:t>
      </w:r>
      <w:r w:rsidR="00AC2556">
        <w:t>s</w:t>
      </w:r>
      <w:r w:rsidRPr="00AC2556">
        <w:t xml:space="preserve"> compared to previous first release version – just grey cells on F32.04.b).</w:t>
      </w:r>
    </w:p>
    <w:p w14:paraId="55B5EBEF" w14:textId="77777777" w:rsidR="00B677D6" w:rsidRPr="00AC2556" w:rsidRDefault="00B677D6" w:rsidP="00D515AE">
      <w:pPr>
        <w:pStyle w:val="Titlelevel2"/>
      </w:pPr>
      <w:r w:rsidRPr="00AC2556">
        <w:t>DPM Changes</w:t>
      </w:r>
    </w:p>
    <w:p w14:paraId="55B5EBF0" w14:textId="77777777" w:rsidR="00B677D6" w:rsidRPr="00AC2556" w:rsidRDefault="00B677D6" w:rsidP="00183058">
      <w:pPr>
        <w:pStyle w:val="ListParagraph"/>
        <w:numPr>
          <w:ilvl w:val="0"/>
          <w:numId w:val="5"/>
        </w:numPr>
      </w:pPr>
      <w:r w:rsidRPr="00AC2556">
        <w:t>Addition of set of Funding Plans templates (P 00.01 to P 03.00)</w:t>
      </w:r>
    </w:p>
    <w:p w14:paraId="55B5EBF1" w14:textId="77777777" w:rsidR="00B677D6" w:rsidRPr="00AC2556" w:rsidRDefault="00B677D6" w:rsidP="00183058">
      <w:pPr>
        <w:pStyle w:val="ListParagraph"/>
        <w:numPr>
          <w:ilvl w:val="1"/>
          <w:numId w:val="5"/>
        </w:numPr>
      </w:pPr>
      <w:r w:rsidRPr="00AC2556">
        <w:t>includes additional DPM/XBRL only table P00.01 (report wide info - Similar to C/F/A 00.01)</w:t>
      </w:r>
    </w:p>
    <w:p w14:paraId="55B5EBF2" w14:textId="77777777" w:rsidR="00B677D6" w:rsidRPr="00AC2556" w:rsidRDefault="00B677D6" w:rsidP="00183058">
      <w:pPr>
        <w:pStyle w:val="ListParagraph"/>
        <w:numPr>
          <w:ilvl w:val="1"/>
          <w:numId w:val="5"/>
        </w:numPr>
      </w:pPr>
      <w:r w:rsidRPr="00AC2556">
        <w:t>Note that this P 00.01 has only details on accounting standard, detailed reporting / consolidation scope of Funding Templates is specified on template P 03.00</w:t>
      </w:r>
    </w:p>
    <w:p w14:paraId="55B5EBF3" w14:textId="77777777" w:rsidR="00B677D6" w:rsidRPr="00AC2556" w:rsidRDefault="00B677D6" w:rsidP="00183058">
      <w:pPr>
        <w:pStyle w:val="ListParagraph"/>
        <w:numPr>
          <w:ilvl w:val="1"/>
          <w:numId w:val="5"/>
        </w:numPr>
      </w:pPr>
      <w:r w:rsidRPr="00AC2556">
        <w:t>N.B header row 009 from P03.00 *not* included in DPM/XBRL (technical constraint).</w:t>
      </w:r>
    </w:p>
    <w:p w14:paraId="55B5EBF4" w14:textId="77777777" w:rsidR="00B677D6" w:rsidRPr="00AC2556" w:rsidRDefault="00B677D6" w:rsidP="00183058">
      <w:pPr>
        <w:pStyle w:val="ListParagraph"/>
        <w:numPr>
          <w:ilvl w:val="0"/>
          <w:numId w:val="5"/>
        </w:numPr>
      </w:pPr>
      <w:r w:rsidRPr="00AC2556">
        <w:t>Add C 06.01 (total summary for some columns of group solvency)</w:t>
      </w:r>
    </w:p>
    <w:p w14:paraId="55B5EBF5" w14:textId="77777777" w:rsidR="00B677D6" w:rsidRPr="00AC2556" w:rsidRDefault="00B677D6" w:rsidP="00183058">
      <w:pPr>
        <w:pStyle w:val="ListParagraph"/>
        <w:numPr>
          <w:ilvl w:val="0"/>
          <w:numId w:val="5"/>
        </w:numPr>
      </w:pPr>
      <w:r w:rsidRPr="00AC2556">
        <w:t>Change table number of C06.00 to C 06.02, label of open row to Entity Code for consistency</w:t>
      </w:r>
    </w:p>
    <w:p w14:paraId="55B5EBF6" w14:textId="77777777" w:rsidR="00B677D6" w:rsidRPr="00AC2556" w:rsidRDefault="00B677D6" w:rsidP="00183058">
      <w:pPr>
        <w:pStyle w:val="ListParagraph"/>
        <w:numPr>
          <w:ilvl w:val="0"/>
          <w:numId w:val="5"/>
        </w:numPr>
      </w:pPr>
      <w:r w:rsidRPr="00AC2556">
        <w:t>Add "Total" member to BT - used in C 06.01</w:t>
      </w:r>
    </w:p>
    <w:p w14:paraId="55B5EBF7" w14:textId="77777777" w:rsidR="00B677D6" w:rsidRPr="00AC2556" w:rsidRDefault="00B677D6" w:rsidP="00183058">
      <w:pPr>
        <w:pStyle w:val="ListParagraph"/>
        <w:numPr>
          <w:ilvl w:val="0"/>
          <w:numId w:val="5"/>
        </w:numPr>
      </w:pPr>
      <w:r w:rsidRPr="00AC2556">
        <w:t xml:space="preserve">C 22.00 row 260 ("Latvian </w:t>
      </w:r>
      <w:proofErr w:type="spellStart"/>
      <w:r w:rsidRPr="00AC2556">
        <w:t>Lats</w:t>
      </w:r>
      <w:proofErr w:type="spellEnd"/>
      <w:r w:rsidRPr="00AC2556">
        <w:t>") removed (old change)</w:t>
      </w:r>
    </w:p>
    <w:p w14:paraId="55B5EBF8" w14:textId="77777777" w:rsidR="00B677D6" w:rsidRPr="00AC2556" w:rsidRDefault="00B677D6" w:rsidP="00183058">
      <w:pPr>
        <w:pStyle w:val="ListParagraph"/>
        <w:numPr>
          <w:ilvl w:val="0"/>
          <w:numId w:val="5"/>
        </w:numPr>
      </w:pPr>
      <w:r w:rsidRPr="00AC2556">
        <w:t>F 16.07.a and F16.07.b row 145 ("Other" (impairments)) added</w:t>
      </w:r>
    </w:p>
    <w:p w14:paraId="55B5EBF9" w14:textId="77777777" w:rsidR="00B677D6" w:rsidRPr="00AC2556" w:rsidRDefault="00B677D6" w:rsidP="00183058">
      <w:pPr>
        <w:pStyle w:val="ListParagraph"/>
        <w:numPr>
          <w:ilvl w:val="0"/>
          <w:numId w:val="5"/>
        </w:numPr>
      </w:pPr>
      <w:r w:rsidRPr="00AC2556">
        <w:t>Delete restrictions in C 08.01a (c260, rows 040 - 060)</w:t>
      </w:r>
    </w:p>
    <w:p w14:paraId="55B5EBFA" w14:textId="77777777" w:rsidR="00B677D6" w:rsidRPr="00AC2556" w:rsidRDefault="00B677D6" w:rsidP="00183058">
      <w:pPr>
        <w:pStyle w:val="ListParagraph"/>
        <w:numPr>
          <w:ilvl w:val="0"/>
          <w:numId w:val="5"/>
        </w:numPr>
      </w:pPr>
      <w:r w:rsidRPr="00AC2556">
        <w:t>Shaded C12 column 360, rows 110 to 240</w:t>
      </w:r>
    </w:p>
    <w:p w14:paraId="55B5EBFB" w14:textId="77777777" w:rsidR="00B677D6" w:rsidRPr="00AC2556" w:rsidRDefault="00B677D6" w:rsidP="00183058">
      <w:pPr>
        <w:pStyle w:val="ListParagraph"/>
        <w:numPr>
          <w:ilvl w:val="0"/>
          <w:numId w:val="5"/>
        </w:numPr>
      </w:pPr>
      <w:r w:rsidRPr="00AC2556">
        <w:t>Shaded F07 col 110, rows 010-050</w:t>
      </w:r>
    </w:p>
    <w:p w14:paraId="55B5EBFC" w14:textId="77777777" w:rsidR="00B677D6" w:rsidRPr="00AC2556" w:rsidRDefault="00B677D6" w:rsidP="00183058">
      <w:pPr>
        <w:pStyle w:val="ListParagraph"/>
        <w:numPr>
          <w:ilvl w:val="0"/>
          <w:numId w:val="5"/>
        </w:numPr>
      </w:pPr>
      <w:r w:rsidRPr="00AC2556">
        <w:t>F 32.04.b, r060, c040-c050  greyed-out and  F 32.04.b, r070, c040-c050 whitened (unrestricted)</w:t>
      </w:r>
    </w:p>
    <w:p w14:paraId="55B5EBFD" w14:textId="77777777" w:rsidR="00B677D6" w:rsidRPr="00AC2556" w:rsidRDefault="00B677D6" w:rsidP="00183058">
      <w:pPr>
        <w:pStyle w:val="ListParagraph"/>
        <w:numPr>
          <w:ilvl w:val="0"/>
          <w:numId w:val="5"/>
        </w:numPr>
      </w:pPr>
      <w:r w:rsidRPr="00AC2556">
        <w:t>Change labels on C01.00 rows 350 &amp; 400 , C 06.02 Columns 140,170,200</w:t>
      </w:r>
    </w:p>
    <w:p w14:paraId="55B5EBFE" w14:textId="77777777" w:rsidR="00B677D6" w:rsidRPr="00AC2556" w:rsidRDefault="00B677D6" w:rsidP="00183058">
      <w:pPr>
        <w:pStyle w:val="ListParagraph"/>
        <w:numPr>
          <w:ilvl w:val="0"/>
          <w:numId w:val="5"/>
        </w:numPr>
      </w:pPr>
      <w:r w:rsidRPr="00AC2556">
        <w:t>Change labels on F01.01 r010, F04.04 c030 c040 , F07.00 c080 c090,F12.00 r020 r160, F20.04 r210</w:t>
      </w:r>
    </w:p>
    <w:p w14:paraId="55B5EBFF" w14:textId="77777777" w:rsidR="00AC2556" w:rsidRPr="00AC2556" w:rsidRDefault="00B677D6" w:rsidP="00183058">
      <w:pPr>
        <w:pStyle w:val="ListParagraph"/>
        <w:numPr>
          <w:ilvl w:val="0"/>
          <w:numId w:val="5"/>
        </w:numPr>
      </w:pPr>
      <w:r w:rsidRPr="00AC2556">
        <w:t>Change label on F 18.00.b c170</w:t>
      </w:r>
    </w:p>
    <w:p w14:paraId="55B5EC00" w14:textId="77777777" w:rsidR="00B677D6" w:rsidRPr="00AC2556" w:rsidRDefault="00AC2556" w:rsidP="00183058">
      <w:pPr>
        <w:pStyle w:val="ListParagraph"/>
        <w:numPr>
          <w:ilvl w:val="0"/>
          <w:numId w:val="5"/>
        </w:numPr>
      </w:pPr>
      <w:r w:rsidRPr="00AC2556">
        <w:lastRenderedPageBreak/>
        <w:t>Various v</w:t>
      </w:r>
      <w:r w:rsidR="00B677D6" w:rsidRPr="00AC2556">
        <w:t>alidation rule changes</w:t>
      </w:r>
      <w:r w:rsidRPr="00AC2556">
        <w:t>.</w:t>
      </w:r>
    </w:p>
    <w:p w14:paraId="55B5EC01" w14:textId="77777777" w:rsidR="00B677D6" w:rsidRPr="00AC2556" w:rsidRDefault="00B677D6" w:rsidP="00B677D6">
      <w:r w:rsidRPr="00AC2556">
        <w:t>N.B. Deactivations not necessarily perfectly up to date with published lists, additional deactivation list for 2.2 (and 2.1) to bring in line to be published shortly.</w:t>
      </w:r>
    </w:p>
    <w:p w14:paraId="55B5EC02" w14:textId="77777777" w:rsidR="00B677D6" w:rsidRPr="00AC2556" w:rsidRDefault="00B677D6" w:rsidP="00D515AE">
      <w:pPr>
        <w:pStyle w:val="Titlelevel2"/>
      </w:pPr>
      <w:r w:rsidRPr="00AC2556">
        <w:t>Taxonomy Changes</w:t>
      </w:r>
    </w:p>
    <w:p w14:paraId="55B5EC03" w14:textId="77777777" w:rsidR="00B677D6" w:rsidRPr="00AC2556" w:rsidRDefault="00B677D6" w:rsidP="00183058">
      <w:pPr>
        <w:pStyle w:val="ListParagraph"/>
        <w:numPr>
          <w:ilvl w:val="0"/>
          <w:numId w:val="5"/>
        </w:numPr>
      </w:pPr>
      <w:r w:rsidRPr="00AC2556">
        <w:t>Addition of FP reporting taxonomy.</w:t>
      </w:r>
    </w:p>
    <w:p w14:paraId="55B5EC04" w14:textId="77777777" w:rsidR="00B677D6" w:rsidRPr="00AC2556" w:rsidRDefault="00B677D6" w:rsidP="00183058">
      <w:pPr>
        <w:pStyle w:val="ListParagraph"/>
        <w:numPr>
          <w:ilvl w:val="0"/>
          <w:numId w:val="5"/>
        </w:numPr>
      </w:pPr>
      <w:r w:rsidRPr="00AC2556">
        <w:t>Creation of x.x.x.1 version of old taxonomies to include suitable non-breaking changes (i.e. could be used interchangeably with x.x.x.0 versions)</w:t>
      </w:r>
    </w:p>
    <w:p w14:paraId="55B5EC05" w14:textId="77777777" w:rsidR="00B677D6" w:rsidRPr="00AC2556" w:rsidRDefault="00B677D6" w:rsidP="00183058">
      <w:pPr>
        <w:pStyle w:val="ListParagraph"/>
        <w:numPr>
          <w:ilvl w:val="1"/>
          <w:numId w:val="5"/>
        </w:numPr>
      </w:pPr>
      <w:r w:rsidRPr="00AC2556">
        <w:t>Simple label corrections</w:t>
      </w:r>
    </w:p>
    <w:p w14:paraId="55B5EC06" w14:textId="77777777" w:rsidR="00B677D6" w:rsidRPr="00AC2556" w:rsidRDefault="00B677D6" w:rsidP="00183058">
      <w:pPr>
        <w:pStyle w:val="ListParagraph"/>
        <w:numPr>
          <w:ilvl w:val="1"/>
          <w:numId w:val="5"/>
        </w:numPr>
      </w:pPr>
      <w:r w:rsidRPr="00AC2556">
        <w:t>Addition of taxonomy end dates (and change of notional date for AE 1.0.0)</w:t>
      </w:r>
    </w:p>
    <w:p w14:paraId="55B5EC07" w14:textId="77777777" w:rsidR="00B677D6" w:rsidRPr="00AC2556" w:rsidRDefault="00B677D6" w:rsidP="00183058">
      <w:pPr>
        <w:pStyle w:val="ListParagraph"/>
        <w:numPr>
          <w:ilvl w:val="1"/>
          <w:numId w:val="5"/>
        </w:numPr>
      </w:pPr>
      <w:r w:rsidRPr="00AC2556">
        <w:t>N.B. these x.x.x.1 versions have the same dictionary package requirements as the originally released x.x.x.0 versions.</w:t>
      </w:r>
    </w:p>
    <w:p w14:paraId="55B5EC08" w14:textId="77777777" w:rsidR="00B677D6" w:rsidRPr="00AC2556" w:rsidRDefault="00B677D6" w:rsidP="00183058">
      <w:pPr>
        <w:pStyle w:val="ListParagraph"/>
        <w:numPr>
          <w:ilvl w:val="1"/>
          <w:numId w:val="5"/>
        </w:numPr>
      </w:pPr>
      <w:r w:rsidRPr="00AC2556">
        <w:t>There is no requirement to adapt system to utilise these versions rather than the x.x.x.0 versions.</w:t>
      </w:r>
    </w:p>
    <w:p w14:paraId="55B5EC09" w14:textId="77777777" w:rsidR="00A55E27" w:rsidRDefault="00A55E27" w:rsidP="00D515AE">
      <w:pPr>
        <w:pStyle w:val="Titlelevel3"/>
      </w:pPr>
      <w:r>
        <w:t xml:space="preserve">Change of XBRL Taxonomy Package labelling pattern </w:t>
      </w:r>
    </w:p>
    <w:p w14:paraId="55B5EC0A" w14:textId="77777777" w:rsidR="00A55E27" w:rsidRPr="00A55E27" w:rsidRDefault="00A55E27" w:rsidP="00A55E27">
      <w:r>
        <w:t xml:space="preserve">To simplify the association of taxonomy versions with the related ITS/DPM/reporting requirements package the taxonomy packages in this release are named according </w:t>
      </w:r>
      <w:r w:rsidR="005909B9">
        <w:t>to the pattern</w:t>
      </w:r>
    </w:p>
    <w:p w14:paraId="55B5EC0B" w14:textId="77777777" w:rsidR="00A55E27" w:rsidRPr="005909B9" w:rsidRDefault="00A55E27" w:rsidP="00A55E27">
      <w:pPr>
        <w:rPr>
          <w:b/>
          <w:color w:val="3F8BD0" w:themeColor="accent6" w:themeTint="99"/>
        </w:rPr>
      </w:pPr>
      <w:proofErr w:type="gramStart"/>
      <w:r w:rsidRPr="005909B9">
        <w:rPr>
          <w:b/>
          <w:color w:val="3F8BD0" w:themeColor="accent6" w:themeTint="99"/>
        </w:rPr>
        <w:t>eba</w:t>
      </w:r>
      <w:r w:rsidRPr="005909B9">
        <w:rPr>
          <w:b/>
          <w:color w:val="D44D2A" w:themeColor="accent3"/>
          <w:u w:val="single"/>
        </w:rPr>
        <w:t>_VERSIONOFDPM/BUSINESSPACKAGE_</w:t>
      </w:r>
      <w:r w:rsidRPr="005909B9">
        <w:rPr>
          <w:b/>
          <w:color w:val="3F8BD0" w:themeColor="accent6" w:themeTint="99"/>
        </w:rPr>
        <w:t>reportingtaxonomycode_VERSIONOFTAXONOMY</w:t>
      </w:r>
      <w:proofErr w:type="gramEnd"/>
      <w:r w:rsidRPr="005909B9">
        <w:rPr>
          <w:b/>
          <w:color w:val="3F8BD0" w:themeColor="accent6" w:themeTint="99"/>
        </w:rPr>
        <w:t xml:space="preserve"> </w:t>
      </w:r>
    </w:p>
    <w:p w14:paraId="55B5EC0C" w14:textId="77777777" w:rsidR="00A55E27" w:rsidRDefault="00A55E27" w:rsidP="00A55E27">
      <w:r>
        <w:t xml:space="preserve">e.g. </w:t>
      </w:r>
      <w:r w:rsidRPr="00924C0E">
        <w:t>eba_corep_2.0.</w:t>
      </w:r>
      <w:r w:rsidR="005909B9">
        <w:t>2.1</w:t>
      </w:r>
      <w:r>
        <w:t xml:space="preserve">.zip </w:t>
      </w:r>
      <w:r>
        <w:sym w:font="Wingdings" w:char="F0E0"/>
      </w:r>
      <w:r w:rsidR="005909B9">
        <w:t xml:space="preserve"> eba</w:t>
      </w:r>
      <w:r w:rsidR="005909B9" w:rsidRPr="005909B9">
        <w:rPr>
          <w:color w:val="D44D2A" w:themeColor="accent3"/>
        </w:rPr>
        <w:t>_2.2_</w:t>
      </w:r>
      <w:r w:rsidR="005909B9">
        <w:t>corep_2.0.2.1.zip</w:t>
      </w:r>
    </w:p>
    <w:p w14:paraId="55B5EC0D" w14:textId="77777777" w:rsidR="00A55E27" w:rsidRDefault="00A55E27" w:rsidP="00A55E27">
      <w:pPr>
        <w:rPr>
          <w:rFonts w:ascii="Courier New" w:hAnsi="Courier New" w:cs="Courier New"/>
          <w:i/>
          <w:color w:val="808080" w:themeColor="background1" w:themeShade="80"/>
        </w:rPr>
      </w:pPr>
    </w:p>
    <w:tbl>
      <w:tblPr>
        <w:tblStyle w:val="EBAtable"/>
        <w:tblW w:w="9242" w:type="dxa"/>
        <w:tblLook w:val="04A0" w:firstRow="1" w:lastRow="0" w:firstColumn="1" w:lastColumn="0" w:noHBand="0" w:noVBand="1"/>
      </w:tblPr>
      <w:tblGrid>
        <w:gridCol w:w="3975"/>
        <w:gridCol w:w="5267"/>
      </w:tblGrid>
      <w:tr w:rsidR="00A55E27" w:rsidRPr="005B4BEF" w14:paraId="55B5EC10" w14:textId="77777777" w:rsidTr="00AA0EE8">
        <w:trPr>
          <w:cnfStyle w:val="100000000000" w:firstRow="1" w:lastRow="0" w:firstColumn="0" w:lastColumn="0" w:oddVBand="0" w:evenVBand="0" w:oddHBand="0" w:evenHBand="0" w:firstRowFirstColumn="0" w:firstRowLastColumn="0" w:lastRowFirstColumn="0" w:lastRowLastColumn="0"/>
        </w:trPr>
        <w:tc>
          <w:tcPr>
            <w:tcW w:w="3975" w:type="dxa"/>
          </w:tcPr>
          <w:p w14:paraId="55B5EC0E" w14:textId="77777777" w:rsidR="00A55E27" w:rsidRPr="005B4BEF" w:rsidRDefault="00A55E27" w:rsidP="00AA0EE8">
            <w:pPr>
              <w:pStyle w:val="Tableheader"/>
            </w:pPr>
            <w:r>
              <w:t>Old</w:t>
            </w:r>
          </w:p>
        </w:tc>
        <w:tc>
          <w:tcPr>
            <w:tcW w:w="5267" w:type="dxa"/>
          </w:tcPr>
          <w:p w14:paraId="55B5EC0F" w14:textId="77777777" w:rsidR="00A55E27" w:rsidRPr="005B4BEF" w:rsidRDefault="00A55E27" w:rsidP="00AA0EE8">
            <w:pPr>
              <w:pStyle w:val="Tableheader"/>
            </w:pPr>
            <w:r w:rsidRPr="005B4BEF">
              <w:t>Becomes</w:t>
            </w:r>
            <w:r w:rsidR="005909B9">
              <w:t>/New in 2.2</w:t>
            </w:r>
          </w:p>
        </w:tc>
      </w:tr>
      <w:tr w:rsidR="00A55E27" w:rsidRPr="005B4BEF" w14:paraId="55B5EC13" w14:textId="77777777" w:rsidTr="00AA0EE8">
        <w:trPr>
          <w:trHeight w:val="170"/>
        </w:trPr>
        <w:tc>
          <w:tcPr>
            <w:tcW w:w="3975" w:type="dxa"/>
          </w:tcPr>
          <w:p w14:paraId="55B5EC11" w14:textId="77777777" w:rsidR="00A55E27" w:rsidRPr="005B4BEF" w:rsidRDefault="00A55E27" w:rsidP="00AA0EE8">
            <w:pPr>
              <w:pStyle w:val="Tabledata"/>
            </w:pPr>
            <w:r w:rsidRPr="005B4BEF">
              <w:t>eba_finrep_2.0.1.1.zip</w:t>
            </w:r>
          </w:p>
        </w:tc>
        <w:tc>
          <w:tcPr>
            <w:tcW w:w="5267" w:type="dxa"/>
          </w:tcPr>
          <w:p w14:paraId="55B5EC12" w14:textId="77777777" w:rsidR="00A55E27" w:rsidRPr="005B4BEF" w:rsidRDefault="00A55E27" w:rsidP="00AA0EE8">
            <w:pPr>
              <w:pStyle w:val="Tabledata"/>
            </w:pPr>
            <w:r w:rsidRPr="005B4BEF">
              <w:t>eba_</w:t>
            </w:r>
            <w:r>
              <w:t>2.0_</w:t>
            </w:r>
            <w:r w:rsidRPr="005B4BEF">
              <w:t>finrep_2.0.1.1.zip</w:t>
            </w:r>
          </w:p>
        </w:tc>
      </w:tr>
      <w:tr w:rsidR="00A55E27" w:rsidRPr="005B4BEF" w14:paraId="55B5EC16" w14:textId="77777777" w:rsidTr="00AA0EE8">
        <w:trPr>
          <w:trHeight w:val="170"/>
        </w:trPr>
        <w:tc>
          <w:tcPr>
            <w:tcW w:w="3975" w:type="dxa"/>
          </w:tcPr>
          <w:p w14:paraId="55B5EC14" w14:textId="77777777" w:rsidR="00A55E27" w:rsidRPr="005B4BEF" w:rsidRDefault="00A55E27" w:rsidP="00AA0EE8">
            <w:pPr>
              <w:pStyle w:val="Tabledata"/>
            </w:pPr>
            <w:r w:rsidRPr="005B4BEF">
              <w:t xml:space="preserve">eba_corep_2.0.1.1.zip </w:t>
            </w:r>
          </w:p>
        </w:tc>
        <w:tc>
          <w:tcPr>
            <w:tcW w:w="5267" w:type="dxa"/>
          </w:tcPr>
          <w:p w14:paraId="55B5EC15" w14:textId="77777777" w:rsidR="00A55E27" w:rsidRPr="005B4BEF" w:rsidRDefault="00A55E27" w:rsidP="00AA0EE8">
            <w:pPr>
              <w:pStyle w:val="Tabledata"/>
            </w:pPr>
            <w:r w:rsidRPr="005B4BEF">
              <w:t>eba_</w:t>
            </w:r>
            <w:r>
              <w:t>2.0_</w:t>
            </w:r>
            <w:r w:rsidRPr="005B4BEF">
              <w:t xml:space="preserve">corep_2.0.1.1.zip </w:t>
            </w:r>
          </w:p>
        </w:tc>
      </w:tr>
      <w:tr w:rsidR="00A55E27" w:rsidRPr="005B4BEF" w14:paraId="55B5EC19" w14:textId="77777777" w:rsidTr="00A55E27">
        <w:trPr>
          <w:trHeight w:val="170"/>
        </w:trPr>
        <w:tc>
          <w:tcPr>
            <w:tcW w:w="3975" w:type="dxa"/>
          </w:tcPr>
          <w:p w14:paraId="55B5EC17" w14:textId="77777777" w:rsidR="00A55E27" w:rsidRPr="005B4BEF" w:rsidRDefault="00A55E27" w:rsidP="00AA0EE8">
            <w:pPr>
              <w:pStyle w:val="Tabledata"/>
            </w:pPr>
            <w:r w:rsidRPr="005B4BEF">
              <w:t>eba_ae_1.0.0.1.zip</w:t>
            </w:r>
          </w:p>
        </w:tc>
        <w:tc>
          <w:tcPr>
            <w:tcW w:w="5267" w:type="dxa"/>
          </w:tcPr>
          <w:p w14:paraId="55B5EC18" w14:textId="77777777" w:rsidR="00A55E27" w:rsidRPr="005B4BEF" w:rsidRDefault="00A55E27" w:rsidP="00AA0EE8">
            <w:pPr>
              <w:pStyle w:val="Tabledata"/>
            </w:pPr>
            <w:r w:rsidRPr="005B4BEF">
              <w:t>eba_</w:t>
            </w:r>
            <w:r>
              <w:t>2.1_</w:t>
            </w:r>
            <w:r w:rsidRPr="005B4BEF">
              <w:t>ae_1.0.0.1.zip</w:t>
            </w:r>
          </w:p>
        </w:tc>
      </w:tr>
      <w:tr w:rsidR="00A55E27" w:rsidRPr="005B4BEF" w14:paraId="55B5EC1C" w14:textId="77777777" w:rsidTr="00A55E27">
        <w:trPr>
          <w:trHeight w:val="170"/>
        </w:trPr>
        <w:tc>
          <w:tcPr>
            <w:tcW w:w="3975" w:type="dxa"/>
          </w:tcPr>
          <w:p w14:paraId="55B5EC1A" w14:textId="77777777" w:rsidR="00A55E27" w:rsidRPr="005B4BEF" w:rsidRDefault="00A55E27" w:rsidP="00AA0EE8">
            <w:pPr>
              <w:pStyle w:val="Tabledata"/>
            </w:pPr>
            <w:r w:rsidRPr="005B4BEF">
              <w:t>eba_corep_2.0.2.1.zip</w:t>
            </w:r>
          </w:p>
        </w:tc>
        <w:tc>
          <w:tcPr>
            <w:tcW w:w="5267" w:type="dxa"/>
          </w:tcPr>
          <w:p w14:paraId="55B5EC1B" w14:textId="77777777" w:rsidR="00A55E27" w:rsidRPr="005B4BEF" w:rsidRDefault="00A55E27" w:rsidP="00AA0EE8">
            <w:pPr>
              <w:pStyle w:val="Tabledata"/>
            </w:pPr>
            <w:r w:rsidRPr="005B4BEF">
              <w:t>eba_</w:t>
            </w:r>
            <w:r>
              <w:t>2.1_</w:t>
            </w:r>
            <w:r w:rsidRPr="005B4BEF">
              <w:t>corep_2.0.2.1.zip</w:t>
            </w:r>
          </w:p>
        </w:tc>
      </w:tr>
      <w:tr w:rsidR="00A55E27" w:rsidRPr="005B4BEF" w14:paraId="55B5EC1F" w14:textId="77777777" w:rsidTr="00A55E27">
        <w:trPr>
          <w:trHeight w:val="170"/>
        </w:trPr>
        <w:tc>
          <w:tcPr>
            <w:tcW w:w="3975" w:type="dxa"/>
          </w:tcPr>
          <w:p w14:paraId="55B5EC1D" w14:textId="77777777" w:rsidR="00A55E27" w:rsidRPr="005B4BEF" w:rsidRDefault="00A55E27" w:rsidP="00AA0EE8">
            <w:pPr>
              <w:pStyle w:val="Tabledata"/>
            </w:pPr>
            <w:r w:rsidRPr="005B4BEF">
              <w:t>eba_finrep_2.1.0.1.zip</w:t>
            </w:r>
          </w:p>
        </w:tc>
        <w:tc>
          <w:tcPr>
            <w:tcW w:w="5267" w:type="dxa"/>
          </w:tcPr>
          <w:p w14:paraId="55B5EC1E" w14:textId="77777777" w:rsidR="00A55E27" w:rsidRPr="005B4BEF" w:rsidRDefault="00A55E27" w:rsidP="00AA0EE8">
            <w:pPr>
              <w:pStyle w:val="Tabledata"/>
            </w:pPr>
            <w:r w:rsidRPr="005B4BEF">
              <w:t>eba_</w:t>
            </w:r>
            <w:r>
              <w:t>2.1_</w:t>
            </w:r>
            <w:r w:rsidRPr="005B4BEF">
              <w:t>finrep_2.1.0.1.zip</w:t>
            </w:r>
          </w:p>
        </w:tc>
      </w:tr>
      <w:tr w:rsidR="00A55E27" w:rsidRPr="005B4BEF" w14:paraId="55B5EC22" w14:textId="77777777" w:rsidTr="00AA0EE8">
        <w:trPr>
          <w:trHeight w:val="170"/>
        </w:trPr>
        <w:tc>
          <w:tcPr>
            <w:tcW w:w="3975" w:type="dxa"/>
          </w:tcPr>
          <w:p w14:paraId="55B5EC20" w14:textId="77777777" w:rsidR="00A55E27" w:rsidRPr="005909B9" w:rsidRDefault="00A55E27" w:rsidP="00AA0EE8">
            <w:pPr>
              <w:pStyle w:val="Tabledata"/>
              <w:rPr>
                <w:i/>
              </w:rPr>
            </w:pPr>
          </w:p>
        </w:tc>
        <w:tc>
          <w:tcPr>
            <w:tcW w:w="5267" w:type="dxa"/>
          </w:tcPr>
          <w:p w14:paraId="55B5EC21" w14:textId="77777777" w:rsidR="00A55E27" w:rsidRPr="005B4BEF" w:rsidRDefault="00A55E27" w:rsidP="00AA0EE8">
            <w:pPr>
              <w:pStyle w:val="Tabledata"/>
            </w:pPr>
            <w:r w:rsidRPr="005B4BEF">
              <w:t>eba_</w:t>
            </w:r>
            <w:r>
              <w:t>2.2_</w:t>
            </w:r>
            <w:r w:rsidRPr="005B4BEF">
              <w:t>ae_1.0.1.0.zip</w:t>
            </w:r>
          </w:p>
        </w:tc>
      </w:tr>
      <w:tr w:rsidR="00A55E27" w:rsidRPr="005B4BEF" w14:paraId="55B5EC25" w14:textId="77777777" w:rsidTr="00AA0EE8">
        <w:trPr>
          <w:trHeight w:val="170"/>
        </w:trPr>
        <w:tc>
          <w:tcPr>
            <w:tcW w:w="3975" w:type="dxa"/>
          </w:tcPr>
          <w:p w14:paraId="55B5EC23" w14:textId="77777777" w:rsidR="00A55E27" w:rsidRPr="005909B9" w:rsidRDefault="00A55E27" w:rsidP="00AA0EE8">
            <w:pPr>
              <w:pStyle w:val="Tabledata"/>
              <w:rPr>
                <w:i/>
              </w:rPr>
            </w:pPr>
          </w:p>
        </w:tc>
        <w:tc>
          <w:tcPr>
            <w:tcW w:w="5267" w:type="dxa"/>
          </w:tcPr>
          <w:p w14:paraId="55B5EC24" w14:textId="77777777" w:rsidR="00A55E27" w:rsidRPr="005B4BEF" w:rsidRDefault="00A55E27" w:rsidP="00AA0EE8">
            <w:pPr>
              <w:pStyle w:val="Tabledata"/>
            </w:pPr>
            <w:r w:rsidRPr="005B4BEF">
              <w:t>eba_</w:t>
            </w:r>
            <w:r>
              <w:t>2.2_</w:t>
            </w:r>
            <w:r w:rsidRPr="005B4BEF">
              <w:t>corep_2.0.3.0.zip</w:t>
            </w:r>
          </w:p>
        </w:tc>
      </w:tr>
      <w:tr w:rsidR="00A55E27" w:rsidRPr="005B4BEF" w14:paraId="55B5EC28" w14:textId="77777777" w:rsidTr="00AA0EE8">
        <w:trPr>
          <w:trHeight w:val="170"/>
        </w:trPr>
        <w:tc>
          <w:tcPr>
            <w:tcW w:w="3975" w:type="dxa"/>
          </w:tcPr>
          <w:p w14:paraId="55B5EC26" w14:textId="77777777" w:rsidR="00A55E27" w:rsidRPr="005909B9" w:rsidRDefault="00A55E27" w:rsidP="00AA0EE8">
            <w:pPr>
              <w:pStyle w:val="Tabledata"/>
              <w:rPr>
                <w:i/>
              </w:rPr>
            </w:pPr>
          </w:p>
        </w:tc>
        <w:tc>
          <w:tcPr>
            <w:tcW w:w="5267" w:type="dxa"/>
          </w:tcPr>
          <w:p w14:paraId="55B5EC27" w14:textId="77777777" w:rsidR="00A55E27" w:rsidRPr="005B4BEF" w:rsidRDefault="00A55E27" w:rsidP="00AA0EE8">
            <w:pPr>
              <w:pStyle w:val="Tabledata"/>
            </w:pPr>
            <w:r w:rsidRPr="005B4BEF">
              <w:t>eba_</w:t>
            </w:r>
            <w:r>
              <w:t>2.2_</w:t>
            </w:r>
            <w:r w:rsidRPr="005B4BEF">
              <w:t>finrep_2.1.1.0.zip</w:t>
            </w:r>
          </w:p>
        </w:tc>
      </w:tr>
      <w:tr w:rsidR="00A55E27" w:rsidRPr="005B4BEF" w14:paraId="55B5EC2B" w14:textId="77777777" w:rsidTr="00AA0EE8">
        <w:trPr>
          <w:trHeight w:val="170"/>
        </w:trPr>
        <w:tc>
          <w:tcPr>
            <w:tcW w:w="3975" w:type="dxa"/>
          </w:tcPr>
          <w:p w14:paraId="55B5EC29" w14:textId="77777777" w:rsidR="00A55E27" w:rsidRPr="005909B9" w:rsidRDefault="00A55E27" w:rsidP="00AA0EE8">
            <w:pPr>
              <w:pStyle w:val="Tabledata"/>
              <w:rPr>
                <w:i/>
              </w:rPr>
            </w:pPr>
          </w:p>
        </w:tc>
        <w:tc>
          <w:tcPr>
            <w:tcW w:w="5267" w:type="dxa"/>
          </w:tcPr>
          <w:p w14:paraId="55B5EC2A" w14:textId="77777777" w:rsidR="00A55E27" w:rsidRPr="005B4BEF" w:rsidRDefault="00A55E27" w:rsidP="00AA0EE8">
            <w:pPr>
              <w:pStyle w:val="Tabledata"/>
            </w:pPr>
            <w:r w:rsidRPr="005B4BEF">
              <w:t>eba_</w:t>
            </w:r>
            <w:r>
              <w:t>2.2_</w:t>
            </w:r>
            <w:r w:rsidRPr="005B4BEF">
              <w:t>fp_1.0.0.0.zip</w:t>
            </w:r>
          </w:p>
        </w:tc>
      </w:tr>
      <w:tr w:rsidR="00A55E27" w:rsidRPr="005B4BEF" w14:paraId="55B5EC2E" w14:textId="77777777" w:rsidTr="00AA0EE8">
        <w:trPr>
          <w:trHeight w:val="170"/>
        </w:trPr>
        <w:tc>
          <w:tcPr>
            <w:tcW w:w="3975" w:type="dxa"/>
          </w:tcPr>
          <w:p w14:paraId="55B5EC2C" w14:textId="77777777" w:rsidR="00A55E27" w:rsidRPr="005909B9" w:rsidRDefault="00A55E27" w:rsidP="00AA0EE8">
            <w:pPr>
              <w:pStyle w:val="Tabledata"/>
              <w:rPr>
                <w:i/>
              </w:rPr>
            </w:pPr>
          </w:p>
        </w:tc>
        <w:tc>
          <w:tcPr>
            <w:tcW w:w="5267" w:type="dxa"/>
          </w:tcPr>
          <w:p w14:paraId="55B5EC2D" w14:textId="77777777" w:rsidR="00A55E27" w:rsidRPr="005B4BEF" w:rsidRDefault="00A55E27" w:rsidP="00AA0EE8">
            <w:pPr>
              <w:pStyle w:val="Tabledata"/>
            </w:pPr>
            <w:r w:rsidRPr="005B4BEF">
              <w:t>eba_</w:t>
            </w:r>
            <w:r>
              <w:t>2.2_</w:t>
            </w:r>
            <w:r w:rsidRPr="005B4BEF">
              <w:t>dict_2.2.0.0.zip</w:t>
            </w:r>
          </w:p>
        </w:tc>
      </w:tr>
    </w:tbl>
    <w:p w14:paraId="55B5EC2F" w14:textId="77777777" w:rsidR="00AC2556" w:rsidRDefault="00AC2556" w:rsidP="00AC2556"/>
    <w:p w14:paraId="55B5EC30" w14:textId="77777777" w:rsidR="005909B9" w:rsidRDefault="005909B9" w:rsidP="00D515AE">
      <w:pPr>
        <w:pStyle w:val="Titlelevel3"/>
      </w:pPr>
      <w:proofErr w:type="gramStart"/>
      <w:r w:rsidRPr="00593C0F">
        <w:t>Blocking of use of non-explicitly mentioned metrics</w:t>
      </w:r>
      <w:r>
        <w:t xml:space="preserve"> at XBRL level</w:t>
      </w:r>
      <w:r w:rsidRPr="00593C0F">
        <w:t>.</w:t>
      </w:r>
      <w:proofErr w:type="gramEnd"/>
      <w:r>
        <w:t xml:space="preserve"> </w:t>
      </w:r>
    </w:p>
    <w:p w14:paraId="55B5EC31" w14:textId="77777777" w:rsidR="005909B9" w:rsidRDefault="005909B9" w:rsidP="005909B9">
      <w:r>
        <w:t xml:space="preserve">Every metric is now linked to a “null” hypercube by default that contains a link to a dimension with no members (i.e. the hypercube actually has no possible elements). The result of this is that any </w:t>
      </w:r>
      <w:r>
        <w:lastRenderedPageBreak/>
        <w:t>metrics included in an instance that are not explicitly given allowed usage in a module (i.e. are supposed to be reported in that report) will now fail XBRL dimensional validation.</w:t>
      </w:r>
    </w:p>
    <w:p w14:paraId="55B5EC32" w14:textId="77777777" w:rsidR="005909B9" w:rsidRDefault="005909B9" w:rsidP="005909B9">
      <w:r>
        <w:t xml:space="preserve">Previously the mechanics of the XBRL specification meant that metrics mentioned without *any* hypercube(s) attached could be used legitimately (at the XBRL level) with any dimensional contexts (they were excluded from dimensional validation).  Since each EBA module imported all the EBA metrics </w:t>
      </w:r>
      <w:proofErr w:type="spellStart"/>
      <w:r>
        <w:t>en</w:t>
      </w:r>
      <w:proofErr w:type="spellEnd"/>
      <w:r>
        <w:t xml:space="preserve"> masse, this meant that any metric *not* actually intended to be used in a particular module, and hence without an explicit hypercube associated in that module, could be used in any dimensional combination without triggering an XBRL validation failure (These instances would breach filing rule 1.8.1 however.</w:t>
      </w:r>
    </w:p>
    <w:p w14:paraId="55B5EC33" w14:textId="77777777" w:rsidR="005909B9" w:rsidRDefault="005909B9" w:rsidP="005909B9">
      <w:r>
        <w:t xml:space="preserve">This will now trigger an XBRL dimensional validation failure, achieved by: </w:t>
      </w:r>
    </w:p>
    <w:p w14:paraId="55B5EC34" w14:textId="77777777" w:rsidR="005909B9" w:rsidRDefault="005909B9" w:rsidP="00183058">
      <w:pPr>
        <w:pStyle w:val="ListParagraph"/>
        <w:numPr>
          <w:ilvl w:val="0"/>
          <w:numId w:val="5"/>
        </w:numPr>
      </w:pPr>
      <w:r>
        <w:t xml:space="preserve">Addition of a specific </w:t>
      </w:r>
      <w:proofErr w:type="spellStart"/>
      <w:r>
        <w:t>roleType</w:t>
      </w:r>
      <w:proofErr w:type="spellEnd"/>
      <w:r>
        <w:t xml:space="preserve"> and dummy “</w:t>
      </w:r>
      <w:proofErr w:type="spellStart"/>
      <w:r>
        <w:t>NullDimension</w:t>
      </w:r>
      <w:proofErr w:type="spellEnd"/>
      <w:r>
        <w:t xml:space="preserve">” dimension into the EBA model.xsd file. </w:t>
      </w:r>
    </w:p>
    <w:p w14:paraId="55B5EC35" w14:textId="77777777" w:rsidR="005909B9" w:rsidRDefault="005909B9" w:rsidP="00183058">
      <w:pPr>
        <w:pStyle w:val="ListParagraph"/>
        <w:numPr>
          <w:ilvl w:val="0"/>
          <w:numId w:val="5"/>
        </w:numPr>
      </w:pPr>
      <w:r>
        <w:t>Creation of a met-def.xml file that links all metrics to a hypercube linked to this null dimension (but not to any members).</w:t>
      </w:r>
    </w:p>
    <w:p w14:paraId="55B5EC36" w14:textId="77777777" w:rsidR="00237B31" w:rsidRDefault="005909B9" w:rsidP="00183058">
      <w:pPr>
        <w:pStyle w:val="ListParagraph"/>
        <w:numPr>
          <w:ilvl w:val="0"/>
          <w:numId w:val="5"/>
        </w:numPr>
      </w:pPr>
      <w:r>
        <w:t>Linking from each of the new entry points to this met-def.xml file.</w:t>
      </w:r>
    </w:p>
    <w:p w14:paraId="55B5EC37" w14:textId="77777777" w:rsidR="00237B31" w:rsidRDefault="00237B31" w:rsidP="00237B31"/>
    <w:p w14:paraId="55B5EC38" w14:textId="77777777" w:rsidR="00237B31" w:rsidRDefault="005909B9" w:rsidP="00237B31">
      <w:r>
        <w:t xml:space="preserve">Since the </w:t>
      </w:r>
      <w:proofErr w:type="spellStart"/>
      <w:r>
        <w:t>hypercubes</w:t>
      </w:r>
      <w:proofErr w:type="spellEnd"/>
      <w:r>
        <w:t xml:space="preserve"> used are additive, any metric intended to be used in a module will also be associated with additional </w:t>
      </w:r>
      <w:proofErr w:type="spellStart"/>
      <w:proofErr w:type="gramStart"/>
      <w:r>
        <w:t>hypercubes</w:t>
      </w:r>
      <w:proofErr w:type="spellEnd"/>
      <w:r>
        <w:t>, that</w:t>
      </w:r>
      <w:proofErr w:type="gramEnd"/>
      <w:r>
        <w:t xml:space="preserve"> will allow it to be used as intended. All others will only have the null hypercube, making them unusable. As they will however have </w:t>
      </w:r>
      <w:r w:rsidRPr="00237B31">
        <w:rPr>
          <w:b/>
        </w:rPr>
        <w:t>a</w:t>
      </w:r>
      <w:r>
        <w:t xml:space="preserve"> hypercube (i.e. the null hypercube) associated they will be eligible for XBRL dimensional validation to enforce their non-use.</w:t>
      </w:r>
    </w:p>
    <w:p w14:paraId="55B5EC39" w14:textId="77777777" w:rsidR="00237B31" w:rsidRDefault="00237B31" w:rsidP="00237B31"/>
    <w:p w14:paraId="55B5EC3A" w14:textId="77777777" w:rsidR="00237B31" w:rsidRDefault="00237B31" w:rsidP="00237B31">
      <w:pPr>
        <w:pStyle w:val="Heading2"/>
      </w:pPr>
      <w:proofErr w:type="gramStart"/>
      <w:r>
        <w:t>v2.1.0.1</w:t>
      </w:r>
      <w:proofErr w:type="gramEnd"/>
      <w:r>
        <w:t xml:space="preserve"> DPM Errata</w:t>
      </w:r>
      <w:r>
        <w:rPr>
          <w:rFonts w:ascii="Arial" w:hAnsi="Arial" w:cs="Arial"/>
          <w:color w:val="696969"/>
          <w:sz w:val="18"/>
          <w:szCs w:val="18"/>
          <w:shd w:val="clear" w:color="auto" w:fill="FFFFFF"/>
        </w:rPr>
        <w:t>(28/07/2014)</w:t>
      </w:r>
    </w:p>
    <w:p w14:paraId="55B5EC3B" w14:textId="77777777" w:rsidR="00AC2556" w:rsidRPr="003D5718" w:rsidRDefault="00237B31" w:rsidP="00237B31">
      <w:pPr>
        <w:pStyle w:val="Subtitle"/>
      </w:pPr>
      <w:r w:rsidRPr="00237B31">
        <w:t>Correction of minor errors in DPM Database</w:t>
      </w:r>
      <w:r w:rsidR="003D5718">
        <w:t xml:space="preserve"> </w:t>
      </w:r>
    </w:p>
    <w:p w14:paraId="55B5EC3C" w14:textId="77777777" w:rsidR="00AC2556" w:rsidRPr="003D5718" w:rsidRDefault="00AC2556" w:rsidP="00AC2556"/>
    <w:p w14:paraId="55B5EC3D" w14:textId="77777777" w:rsidR="00AC2556" w:rsidRPr="003D5718" w:rsidRDefault="00AC2556" w:rsidP="00AC2556">
      <w:r w:rsidRPr="003D5718">
        <w:t xml:space="preserve">N.B. no related taxonomy </w:t>
      </w:r>
      <w:proofErr w:type="gramStart"/>
      <w:r w:rsidRPr="003D5718">
        <w:t>update,</w:t>
      </w:r>
      <w:proofErr w:type="gramEnd"/>
      <w:r w:rsidRPr="003D5718">
        <w:t xml:space="preserve"> corrections do not affect XBRL taxonomy representation.</w:t>
      </w:r>
    </w:p>
    <w:p w14:paraId="55B5EC3E" w14:textId="77777777" w:rsidR="00AC2556" w:rsidRPr="000F3810" w:rsidRDefault="000F3810" w:rsidP="00D515AE">
      <w:pPr>
        <w:pStyle w:val="Titlelevel2"/>
        <w:rPr>
          <w:b/>
        </w:rPr>
      </w:pPr>
      <w:r w:rsidRPr="000F3810">
        <w:t>Table</w:t>
      </w:r>
      <w:r w:rsidRPr="000F3810">
        <w:rPr>
          <w:b/>
        </w:rPr>
        <w:t xml:space="preserve"> </w:t>
      </w:r>
      <w:r w:rsidRPr="000F3810">
        <w:t>Layouts</w:t>
      </w:r>
    </w:p>
    <w:p w14:paraId="55B5EC3F" w14:textId="77777777" w:rsidR="00AC2556" w:rsidRPr="003D5718" w:rsidRDefault="00AC2556" w:rsidP="00AC2556">
      <w:r w:rsidRPr="003D5718">
        <w:t>Annotations of cells in row 100 of Table F31.01 corrected.</w:t>
      </w:r>
    </w:p>
    <w:p w14:paraId="55B5EC40" w14:textId="77777777" w:rsidR="00AC2556" w:rsidRPr="003D5718" w:rsidRDefault="00AC2556" w:rsidP="00AC2556">
      <w:proofErr w:type="spellStart"/>
      <w:r w:rsidRPr="003D5718">
        <w:t>Were</w:t>
      </w:r>
      <w:proofErr w:type="spellEnd"/>
      <w:r w:rsidRPr="003D5718">
        <w:t xml:space="preserve"> missing dimensions implied by row and column headings due to error in data related to the contexts of associated data points in the DPM </w:t>
      </w:r>
      <w:proofErr w:type="gramStart"/>
      <w:r w:rsidRPr="003D5718">
        <w:t>Database.</w:t>
      </w:r>
      <w:proofErr w:type="gramEnd"/>
    </w:p>
    <w:p w14:paraId="55B5EC41" w14:textId="77777777" w:rsidR="00AC2556" w:rsidRPr="003D5718" w:rsidRDefault="00AC2556" w:rsidP="00AC2556">
      <w:r w:rsidRPr="003D5718">
        <w:t>See correction to database for more details</w:t>
      </w:r>
    </w:p>
    <w:p w14:paraId="55B5EC42" w14:textId="77777777" w:rsidR="00AC2556" w:rsidRPr="000F3810" w:rsidRDefault="00AC2556" w:rsidP="00D515AE">
      <w:pPr>
        <w:pStyle w:val="Titlelevel2"/>
      </w:pPr>
      <w:r w:rsidRPr="000F3810">
        <w:t>DPM Database</w:t>
      </w:r>
    </w:p>
    <w:p w14:paraId="55B5EC43" w14:textId="77777777" w:rsidR="000F3810" w:rsidRDefault="000F3810" w:rsidP="000F3810">
      <w:r w:rsidRPr="003D5718">
        <w:t xml:space="preserve">Set incorrect </w:t>
      </w:r>
      <w:proofErr w:type="spellStart"/>
      <w:r w:rsidRPr="003D5718">
        <w:t>AllowsDefaultMember</w:t>
      </w:r>
      <w:proofErr w:type="spellEnd"/>
      <w:r w:rsidRPr="003D5718">
        <w:t xml:space="preserve"> flag for </w:t>
      </w:r>
      <w:proofErr w:type="spellStart"/>
      <w:r w:rsidRPr="003D5718">
        <w:t>OpenMemberRestrictions</w:t>
      </w:r>
      <w:proofErr w:type="spellEnd"/>
      <w:r w:rsidRPr="003D5718">
        <w:t xml:space="preserve"> 1 and 5.</w:t>
      </w:r>
    </w:p>
    <w:p w14:paraId="55B5EC44" w14:textId="77777777" w:rsidR="00AC2556" w:rsidRPr="003D5718" w:rsidRDefault="00AC2556" w:rsidP="00AC2556">
      <w:r w:rsidRPr="003D5718">
        <w:t>Correction of errors in Contexts for 6 data points on F31.01</w:t>
      </w:r>
    </w:p>
    <w:p w14:paraId="55B5EC45" w14:textId="77777777" w:rsidR="003D5718" w:rsidRPr="003D5718" w:rsidRDefault="003D5718" w:rsidP="003D5718">
      <w:pPr>
        <w:rPr>
          <w:b/>
        </w:rPr>
      </w:pPr>
      <w:r w:rsidRPr="003D5718">
        <w:rPr>
          <w:b/>
        </w:rPr>
        <w:t>Missing Contexts:</w:t>
      </w:r>
    </w:p>
    <w:tbl>
      <w:tblPr>
        <w:tblStyle w:val="EBAtable"/>
        <w:tblW w:w="0" w:type="auto"/>
        <w:tblLayout w:type="fixed"/>
        <w:tblLook w:val="04A0" w:firstRow="1" w:lastRow="0" w:firstColumn="1" w:lastColumn="0" w:noHBand="0" w:noVBand="1"/>
      </w:tblPr>
      <w:tblGrid>
        <w:gridCol w:w="1242"/>
        <w:gridCol w:w="2764"/>
        <w:gridCol w:w="5285"/>
      </w:tblGrid>
      <w:tr w:rsidR="003D5718" w:rsidRPr="003D5718" w14:paraId="55B5EC49" w14:textId="77777777" w:rsidTr="00AA0EE8">
        <w:trPr>
          <w:cnfStyle w:val="100000000000" w:firstRow="1" w:lastRow="0" w:firstColumn="0" w:lastColumn="0" w:oddVBand="0" w:evenVBand="0" w:oddHBand="0" w:evenHBand="0" w:firstRowFirstColumn="0" w:firstRowLastColumn="0" w:lastRowFirstColumn="0" w:lastRowLastColumn="0"/>
        </w:trPr>
        <w:tc>
          <w:tcPr>
            <w:tcW w:w="1242" w:type="dxa"/>
          </w:tcPr>
          <w:p w14:paraId="55B5EC46" w14:textId="77777777" w:rsidR="003D5718" w:rsidRPr="003D5718" w:rsidRDefault="003D5718" w:rsidP="00AA0EE8">
            <w:pPr>
              <w:pStyle w:val="Tableheader"/>
            </w:pPr>
            <w:proofErr w:type="spellStart"/>
            <w:r w:rsidRPr="003D5718">
              <w:t>ContextID</w:t>
            </w:r>
            <w:proofErr w:type="spellEnd"/>
          </w:p>
        </w:tc>
        <w:tc>
          <w:tcPr>
            <w:tcW w:w="2764" w:type="dxa"/>
          </w:tcPr>
          <w:p w14:paraId="55B5EC47" w14:textId="77777777" w:rsidR="003D5718" w:rsidRPr="003D5718" w:rsidRDefault="003D5718" w:rsidP="00AA0EE8">
            <w:pPr>
              <w:pStyle w:val="Tableheader"/>
            </w:pPr>
            <w:r w:rsidRPr="003D5718">
              <w:tab/>
            </w:r>
            <w:proofErr w:type="spellStart"/>
            <w:r w:rsidRPr="003D5718">
              <w:t>ContextKey</w:t>
            </w:r>
            <w:proofErr w:type="spellEnd"/>
          </w:p>
        </w:tc>
        <w:tc>
          <w:tcPr>
            <w:tcW w:w="5285" w:type="dxa"/>
          </w:tcPr>
          <w:p w14:paraId="55B5EC48" w14:textId="77777777" w:rsidR="003D5718" w:rsidRPr="003D5718" w:rsidRDefault="003D5718" w:rsidP="00AA0EE8">
            <w:pPr>
              <w:pStyle w:val="Tableheader"/>
            </w:pPr>
            <w:r w:rsidRPr="003D5718">
              <w:tab/>
            </w:r>
            <w:proofErr w:type="spellStart"/>
            <w:r w:rsidRPr="003D5718">
              <w:t>XbrlContextKey</w:t>
            </w:r>
            <w:proofErr w:type="spellEnd"/>
          </w:p>
        </w:tc>
      </w:tr>
      <w:tr w:rsidR="003D5718" w:rsidRPr="003D5718" w14:paraId="55B5EC4D" w14:textId="77777777" w:rsidTr="00AA0EE8">
        <w:tc>
          <w:tcPr>
            <w:tcW w:w="1242" w:type="dxa"/>
          </w:tcPr>
          <w:p w14:paraId="55B5EC4A" w14:textId="77777777" w:rsidR="003D5718" w:rsidRPr="003D5718" w:rsidRDefault="003D5718" w:rsidP="00AA0EE8">
            <w:pPr>
              <w:pStyle w:val="Tabledata"/>
              <w:rPr>
                <w:b/>
              </w:rPr>
            </w:pPr>
            <w:r w:rsidRPr="003D5718">
              <w:rPr>
                <w:b/>
              </w:rPr>
              <w:t>63000</w:t>
            </w:r>
          </w:p>
        </w:tc>
        <w:tc>
          <w:tcPr>
            <w:tcW w:w="2764" w:type="dxa"/>
          </w:tcPr>
          <w:p w14:paraId="55B5EC4B" w14:textId="77777777" w:rsidR="003D5718" w:rsidRPr="003D5718" w:rsidRDefault="003D5718" w:rsidP="00AA0EE8">
            <w:pPr>
              <w:pStyle w:val="Tabledata"/>
              <w:rPr>
                <w:b/>
              </w:rPr>
            </w:pPr>
            <w:r w:rsidRPr="003D5718">
              <w:rPr>
                <w:b/>
              </w:rPr>
              <w:t>BAS1516IMS1801MCY2255RPR2672</w:t>
            </w:r>
          </w:p>
        </w:tc>
        <w:tc>
          <w:tcPr>
            <w:tcW w:w="5285" w:type="dxa"/>
          </w:tcPr>
          <w:p w14:paraId="55B5EC4C" w14:textId="77777777" w:rsidR="003D5718" w:rsidRPr="003D5718" w:rsidRDefault="003D5718" w:rsidP="00AA0EE8">
            <w:pPr>
              <w:pStyle w:val="Tabledata"/>
              <w:rPr>
                <w:b/>
              </w:rPr>
            </w:pPr>
            <w:r w:rsidRPr="003D5718">
              <w:rPr>
                <w:b/>
              </w:rPr>
              <w:t>BAS=eba_BA:x10,IMS=eba_IM:x3,MCY=eba_MC:x251,RPR=eba_RP:x4</w:t>
            </w:r>
          </w:p>
        </w:tc>
      </w:tr>
      <w:tr w:rsidR="003D5718" w:rsidRPr="003D5718" w14:paraId="55B5EC51" w14:textId="77777777" w:rsidTr="00AA0EE8">
        <w:tc>
          <w:tcPr>
            <w:tcW w:w="1242" w:type="dxa"/>
          </w:tcPr>
          <w:p w14:paraId="55B5EC4E" w14:textId="77777777" w:rsidR="003D5718" w:rsidRPr="003D5718" w:rsidRDefault="003D5718" w:rsidP="00AA0EE8">
            <w:pPr>
              <w:pStyle w:val="Tabledata"/>
              <w:rPr>
                <w:b/>
              </w:rPr>
            </w:pPr>
            <w:r w:rsidRPr="003D5718">
              <w:rPr>
                <w:b/>
              </w:rPr>
              <w:lastRenderedPageBreak/>
              <w:t>63001</w:t>
            </w:r>
          </w:p>
        </w:tc>
        <w:tc>
          <w:tcPr>
            <w:tcW w:w="2764" w:type="dxa"/>
          </w:tcPr>
          <w:p w14:paraId="55B5EC4F" w14:textId="77777777" w:rsidR="003D5718" w:rsidRPr="003D5718" w:rsidRDefault="003D5718" w:rsidP="00AA0EE8">
            <w:pPr>
              <w:pStyle w:val="Tabledata"/>
              <w:rPr>
                <w:b/>
              </w:rPr>
            </w:pPr>
            <w:r w:rsidRPr="003D5718">
              <w:rPr>
                <w:b/>
              </w:rPr>
              <w:t>BAS1516IMS1801MCY2255RPR2673</w:t>
            </w:r>
          </w:p>
        </w:tc>
        <w:tc>
          <w:tcPr>
            <w:tcW w:w="5285" w:type="dxa"/>
          </w:tcPr>
          <w:p w14:paraId="55B5EC50" w14:textId="77777777" w:rsidR="003D5718" w:rsidRPr="003D5718" w:rsidRDefault="003D5718" w:rsidP="00AA0EE8">
            <w:pPr>
              <w:pStyle w:val="Tabledata"/>
              <w:rPr>
                <w:b/>
              </w:rPr>
            </w:pPr>
            <w:r w:rsidRPr="003D5718">
              <w:rPr>
                <w:b/>
              </w:rPr>
              <w:t>BAS=eba_BA:x10,IMS=eba_IM:x3,MCY=eba_MC:x251,RPR=eba_RP:x5</w:t>
            </w:r>
          </w:p>
        </w:tc>
      </w:tr>
      <w:tr w:rsidR="003D5718" w:rsidRPr="003D5718" w14:paraId="55B5EC55" w14:textId="77777777" w:rsidTr="00AA0EE8">
        <w:tc>
          <w:tcPr>
            <w:tcW w:w="1242" w:type="dxa"/>
          </w:tcPr>
          <w:p w14:paraId="55B5EC52" w14:textId="77777777" w:rsidR="003D5718" w:rsidRPr="003D5718" w:rsidRDefault="003D5718" w:rsidP="00AA0EE8">
            <w:pPr>
              <w:pStyle w:val="Tabledata"/>
              <w:rPr>
                <w:b/>
              </w:rPr>
            </w:pPr>
            <w:r w:rsidRPr="003D5718">
              <w:rPr>
                <w:b/>
              </w:rPr>
              <w:t>63002</w:t>
            </w:r>
          </w:p>
        </w:tc>
        <w:tc>
          <w:tcPr>
            <w:tcW w:w="2764" w:type="dxa"/>
          </w:tcPr>
          <w:p w14:paraId="55B5EC53" w14:textId="77777777" w:rsidR="003D5718" w:rsidRPr="003D5718" w:rsidRDefault="003D5718" w:rsidP="00AA0EE8">
            <w:pPr>
              <w:pStyle w:val="Tabledata"/>
              <w:rPr>
                <w:b/>
              </w:rPr>
            </w:pPr>
            <w:r w:rsidRPr="003D5718">
              <w:rPr>
                <w:b/>
              </w:rPr>
              <w:t>BAS1516IMS1801MCY2255RPR2676</w:t>
            </w:r>
          </w:p>
        </w:tc>
        <w:tc>
          <w:tcPr>
            <w:tcW w:w="5285" w:type="dxa"/>
          </w:tcPr>
          <w:p w14:paraId="55B5EC54" w14:textId="77777777" w:rsidR="003D5718" w:rsidRPr="003D5718" w:rsidRDefault="003D5718" w:rsidP="00AA0EE8">
            <w:pPr>
              <w:pStyle w:val="Tabledata"/>
              <w:rPr>
                <w:b/>
              </w:rPr>
            </w:pPr>
            <w:r w:rsidRPr="003D5718">
              <w:rPr>
                <w:b/>
              </w:rPr>
              <w:t>BAS=eba_BA:x10,IMS=eba_IM:x3,MCY=eba_MC:x251,RPR=eba_RP:x8</w:t>
            </w:r>
          </w:p>
        </w:tc>
      </w:tr>
      <w:tr w:rsidR="003D5718" w:rsidRPr="003D5718" w14:paraId="55B5EC59" w14:textId="77777777" w:rsidTr="00AA0EE8">
        <w:tc>
          <w:tcPr>
            <w:tcW w:w="1242" w:type="dxa"/>
          </w:tcPr>
          <w:p w14:paraId="55B5EC56" w14:textId="77777777" w:rsidR="003D5718" w:rsidRPr="003D5718" w:rsidRDefault="003D5718" w:rsidP="00AA0EE8">
            <w:pPr>
              <w:pStyle w:val="Tabledata"/>
              <w:rPr>
                <w:b/>
              </w:rPr>
            </w:pPr>
            <w:r w:rsidRPr="003D5718">
              <w:rPr>
                <w:b/>
              </w:rPr>
              <w:t>63003</w:t>
            </w:r>
          </w:p>
        </w:tc>
        <w:tc>
          <w:tcPr>
            <w:tcW w:w="2764" w:type="dxa"/>
          </w:tcPr>
          <w:p w14:paraId="55B5EC57" w14:textId="77777777" w:rsidR="003D5718" w:rsidRPr="003D5718" w:rsidRDefault="003D5718" w:rsidP="00AA0EE8">
            <w:pPr>
              <w:pStyle w:val="Tabledata"/>
              <w:rPr>
                <w:b/>
              </w:rPr>
            </w:pPr>
            <w:r w:rsidRPr="003D5718">
              <w:rPr>
                <w:b/>
              </w:rPr>
              <w:t>BAS1516IMS1801MCY2255RPR2679</w:t>
            </w:r>
          </w:p>
        </w:tc>
        <w:tc>
          <w:tcPr>
            <w:tcW w:w="5285" w:type="dxa"/>
          </w:tcPr>
          <w:p w14:paraId="55B5EC58" w14:textId="77777777" w:rsidR="003D5718" w:rsidRPr="003D5718" w:rsidRDefault="003D5718" w:rsidP="00AA0EE8">
            <w:pPr>
              <w:pStyle w:val="Tabledata"/>
              <w:rPr>
                <w:b/>
              </w:rPr>
            </w:pPr>
            <w:r w:rsidRPr="003D5718">
              <w:rPr>
                <w:b/>
              </w:rPr>
              <w:t>BAS=eba_BA:x10,IMS=eba_IM:x3,MCY=eba_MC:x251,RPR=eba_RP:x10</w:t>
            </w:r>
          </w:p>
        </w:tc>
      </w:tr>
      <w:tr w:rsidR="003D5718" w:rsidRPr="003D5718" w14:paraId="55B5EC5D" w14:textId="77777777" w:rsidTr="00AA0EE8">
        <w:tc>
          <w:tcPr>
            <w:tcW w:w="1242" w:type="dxa"/>
          </w:tcPr>
          <w:p w14:paraId="55B5EC5A" w14:textId="77777777" w:rsidR="003D5718" w:rsidRPr="003D5718" w:rsidRDefault="003D5718" w:rsidP="00AA0EE8">
            <w:pPr>
              <w:pStyle w:val="Tabledata"/>
              <w:rPr>
                <w:b/>
              </w:rPr>
            </w:pPr>
            <w:r w:rsidRPr="003D5718">
              <w:rPr>
                <w:b/>
              </w:rPr>
              <w:t>63004</w:t>
            </w:r>
          </w:p>
        </w:tc>
        <w:tc>
          <w:tcPr>
            <w:tcW w:w="2764" w:type="dxa"/>
          </w:tcPr>
          <w:p w14:paraId="55B5EC5B" w14:textId="77777777" w:rsidR="003D5718" w:rsidRPr="003D5718" w:rsidRDefault="003D5718" w:rsidP="00AA0EE8">
            <w:pPr>
              <w:pStyle w:val="Tabledata"/>
              <w:rPr>
                <w:b/>
              </w:rPr>
            </w:pPr>
            <w:r w:rsidRPr="003D5718">
              <w:rPr>
                <w:b/>
              </w:rPr>
              <w:t>BAS1516IMS1801MCY2255RPR2680</w:t>
            </w:r>
          </w:p>
        </w:tc>
        <w:tc>
          <w:tcPr>
            <w:tcW w:w="5285" w:type="dxa"/>
          </w:tcPr>
          <w:p w14:paraId="55B5EC5C" w14:textId="77777777" w:rsidR="003D5718" w:rsidRPr="003D5718" w:rsidRDefault="003D5718" w:rsidP="00AA0EE8">
            <w:pPr>
              <w:pStyle w:val="Tabledata"/>
              <w:rPr>
                <w:b/>
              </w:rPr>
            </w:pPr>
            <w:r w:rsidRPr="003D5718">
              <w:rPr>
                <w:b/>
              </w:rPr>
              <w:t>BAS=eba_BA:x10,IMS=eba_IM:x3,MCY=eba_MC:x251,RPR=eba_RP:x1</w:t>
            </w:r>
          </w:p>
        </w:tc>
      </w:tr>
    </w:tbl>
    <w:p w14:paraId="55B5EC5E" w14:textId="77777777" w:rsidR="00AC2556" w:rsidRPr="003D5718" w:rsidRDefault="00AC2556" w:rsidP="00AC2556"/>
    <w:p w14:paraId="55B5EC5F" w14:textId="77777777" w:rsidR="003D5718" w:rsidRDefault="003D5718" w:rsidP="003D5718">
      <w:r>
        <w:t>Missing Context Definition Entries:</w:t>
      </w:r>
    </w:p>
    <w:tbl>
      <w:tblPr>
        <w:tblStyle w:val="EBAtable"/>
        <w:tblW w:w="0" w:type="auto"/>
        <w:tblLook w:val="04A0" w:firstRow="1" w:lastRow="0" w:firstColumn="1" w:lastColumn="0" w:noHBand="0" w:noVBand="1"/>
      </w:tblPr>
      <w:tblGrid>
        <w:gridCol w:w="3097"/>
        <w:gridCol w:w="3097"/>
        <w:gridCol w:w="3097"/>
      </w:tblGrid>
      <w:tr w:rsidR="003D5718" w:rsidRPr="005A77ED" w14:paraId="55B5EC63" w14:textId="77777777" w:rsidTr="00AA0EE8">
        <w:trPr>
          <w:cnfStyle w:val="100000000000" w:firstRow="1" w:lastRow="0" w:firstColumn="0" w:lastColumn="0" w:oddVBand="0" w:evenVBand="0" w:oddHBand="0" w:evenHBand="0" w:firstRowFirstColumn="0" w:firstRowLastColumn="0" w:lastRowFirstColumn="0" w:lastRowLastColumn="0"/>
        </w:trPr>
        <w:tc>
          <w:tcPr>
            <w:tcW w:w="3097" w:type="dxa"/>
          </w:tcPr>
          <w:p w14:paraId="55B5EC60" w14:textId="77777777" w:rsidR="003D5718" w:rsidRPr="005A77ED" w:rsidRDefault="003D5718" w:rsidP="00AA0EE8">
            <w:pPr>
              <w:pStyle w:val="Tableheader"/>
            </w:pPr>
            <w:proofErr w:type="spellStart"/>
            <w:r w:rsidRPr="005A77ED">
              <w:t>ContextID</w:t>
            </w:r>
            <w:proofErr w:type="spellEnd"/>
          </w:p>
        </w:tc>
        <w:tc>
          <w:tcPr>
            <w:tcW w:w="3097" w:type="dxa"/>
          </w:tcPr>
          <w:p w14:paraId="55B5EC61" w14:textId="77777777" w:rsidR="003D5718" w:rsidRPr="005A77ED" w:rsidRDefault="003D5718" w:rsidP="00AA0EE8">
            <w:pPr>
              <w:pStyle w:val="Tableheader"/>
            </w:pPr>
            <w:proofErr w:type="spellStart"/>
            <w:r w:rsidRPr="005A77ED">
              <w:t>DimensionID</w:t>
            </w:r>
            <w:proofErr w:type="spellEnd"/>
          </w:p>
        </w:tc>
        <w:tc>
          <w:tcPr>
            <w:tcW w:w="3097" w:type="dxa"/>
          </w:tcPr>
          <w:p w14:paraId="55B5EC62" w14:textId="77777777" w:rsidR="003D5718" w:rsidRPr="005A77ED" w:rsidRDefault="003D5718" w:rsidP="00AA0EE8">
            <w:pPr>
              <w:pStyle w:val="Tableheader"/>
            </w:pPr>
            <w:proofErr w:type="spellStart"/>
            <w:r w:rsidRPr="005A77ED">
              <w:t>MemberID</w:t>
            </w:r>
            <w:proofErr w:type="spellEnd"/>
          </w:p>
        </w:tc>
      </w:tr>
      <w:tr w:rsidR="003D5718" w:rsidRPr="005A77ED" w14:paraId="55B5EC67" w14:textId="77777777" w:rsidTr="00AA0EE8">
        <w:tc>
          <w:tcPr>
            <w:tcW w:w="3097" w:type="dxa"/>
          </w:tcPr>
          <w:p w14:paraId="55B5EC64" w14:textId="77777777" w:rsidR="003D5718" w:rsidRPr="005A77ED" w:rsidRDefault="003D5718" w:rsidP="00AA0EE8">
            <w:pPr>
              <w:pStyle w:val="Tabledata"/>
            </w:pPr>
            <w:r w:rsidRPr="005A77ED">
              <w:t>63000</w:t>
            </w:r>
          </w:p>
        </w:tc>
        <w:tc>
          <w:tcPr>
            <w:tcW w:w="3097" w:type="dxa"/>
          </w:tcPr>
          <w:p w14:paraId="55B5EC65" w14:textId="77777777" w:rsidR="003D5718" w:rsidRPr="005A77ED" w:rsidRDefault="003D5718" w:rsidP="00AA0EE8">
            <w:pPr>
              <w:pStyle w:val="Tabledata"/>
            </w:pPr>
            <w:r w:rsidRPr="005A77ED">
              <w:t>110</w:t>
            </w:r>
          </w:p>
        </w:tc>
        <w:tc>
          <w:tcPr>
            <w:tcW w:w="3097" w:type="dxa"/>
          </w:tcPr>
          <w:p w14:paraId="55B5EC66" w14:textId="77777777" w:rsidR="003D5718" w:rsidRPr="005A77ED" w:rsidRDefault="003D5718" w:rsidP="00AA0EE8">
            <w:pPr>
              <w:pStyle w:val="Tabledata"/>
            </w:pPr>
            <w:r w:rsidRPr="005A77ED">
              <w:t>1516</w:t>
            </w:r>
          </w:p>
        </w:tc>
      </w:tr>
      <w:tr w:rsidR="003D5718" w:rsidRPr="005A77ED" w14:paraId="55B5EC6B" w14:textId="77777777" w:rsidTr="00AA0EE8">
        <w:tc>
          <w:tcPr>
            <w:tcW w:w="3097" w:type="dxa"/>
          </w:tcPr>
          <w:p w14:paraId="55B5EC68" w14:textId="77777777" w:rsidR="003D5718" w:rsidRPr="005A77ED" w:rsidRDefault="003D5718" w:rsidP="00AA0EE8">
            <w:pPr>
              <w:pStyle w:val="Tabledata"/>
            </w:pPr>
            <w:r w:rsidRPr="005A77ED">
              <w:t>63000</w:t>
            </w:r>
          </w:p>
        </w:tc>
        <w:tc>
          <w:tcPr>
            <w:tcW w:w="3097" w:type="dxa"/>
          </w:tcPr>
          <w:p w14:paraId="55B5EC69" w14:textId="77777777" w:rsidR="003D5718" w:rsidRPr="005A77ED" w:rsidRDefault="003D5718" w:rsidP="00AA0EE8">
            <w:pPr>
              <w:pStyle w:val="Tabledata"/>
            </w:pPr>
            <w:r w:rsidRPr="005A77ED">
              <w:t>120</w:t>
            </w:r>
          </w:p>
        </w:tc>
        <w:tc>
          <w:tcPr>
            <w:tcW w:w="3097" w:type="dxa"/>
          </w:tcPr>
          <w:p w14:paraId="55B5EC6A" w14:textId="77777777" w:rsidR="003D5718" w:rsidRPr="005A77ED" w:rsidRDefault="003D5718" w:rsidP="00AA0EE8">
            <w:pPr>
              <w:pStyle w:val="Tabledata"/>
            </w:pPr>
            <w:r w:rsidRPr="005A77ED">
              <w:t>2255</w:t>
            </w:r>
          </w:p>
        </w:tc>
      </w:tr>
      <w:tr w:rsidR="003D5718" w:rsidRPr="005A77ED" w14:paraId="55B5EC6F" w14:textId="77777777" w:rsidTr="00AA0EE8">
        <w:tc>
          <w:tcPr>
            <w:tcW w:w="3097" w:type="dxa"/>
          </w:tcPr>
          <w:p w14:paraId="55B5EC6C" w14:textId="77777777" w:rsidR="003D5718" w:rsidRPr="005A77ED" w:rsidRDefault="003D5718" w:rsidP="00AA0EE8">
            <w:pPr>
              <w:pStyle w:val="Tabledata"/>
            </w:pPr>
            <w:r w:rsidRPr="005A77ED">
              <w:t>63000</w:t>
            </w:r>
          </w:p>
        </w:tc>
        <w:tc>
          <w:tcPr>
            <w:tcW w:w="3097" w:type="dxa"/>
          </w:tcPr>
          <w:p w14:paraId="55B5EC6D" w14:textId="77777777" w:rsidR="003D5718" w:rsidRPr="005A77ED" w:rsidRDefault="003D5718" w:rsidP="00AA0EE8">
            <w:pPr>
              <w:pStyle w:val="Tabledata"/>
            </w:pPr>
            <w:r w:rsidRPr="005A77ED">
              <w:t>390</w:t>
            </w:r>
          </w:p>
        </w:tc>
        <w:tc>
          <w:tcPr>
            <w:tcW w:w="3097" w:type="dxa"/>
          </w:tcPr>
          <w:p w14:paraId="55B5EC6E" w14:textId="77777777" w:rsidR="003D5718" w:rsidRPr="005A77ED" w:rsidRDefault="003D5718" w:rsidP="00AA0EE8">
            <w:pPr>
              <w:pStyle w:val="Tabledata"/>
            </w:pPr>
            <w:r w:rsidRPr="005A77ED">
              <w:t>1801</w:t>
            </w:r>
          </w:p>
        </w:tc>
      </w:tr>
      <w:tr w:rsidR="003D5718" w:rsidRPr="005A77ED" w14:paraId="55B5EC73" w14:textId="77777777" w:rsidTr="00AA0EE8">
        <w:tc>
          <w:tcPr>
            <w:tcW w:w="3097" w:type="dxa"/>
          </w:tcPr>
          <w:p w14:paraId="55B5EC70" w14:textId="77777777" w:rsidR="003D5718" w:rsidRPr="005A77ED" w:rsidRDefault="003D5718" w:rsidP="00AA0EE8">
            <w:pPr>
              <w:pStyle w:val="Tabledata"/>
            </w:pPr>
            <w:r w:rsidRPr="005A77ED">
              <w:t>63000</w:t>
            </w:r>
          </w:p>
        </w:tc>
        <w:tc>
          <w:tcPr>
            <w:tcW w:w="3097" w:type="dxa"/>
          </w:tcPr>
          <w:p w14:paraId="55B5EC71" w14:textId="77777777" w:rsidR="003D5718" w:rsidRPr="005A77ED" w:rsidRDefault="003D5718" w:rsidP="00AA0EE8">
            <w:pPr>
              <w:pStyle w:val="Tabledata"/>
            </w:pPr>
            <w:r w:rsidRPr="005A77ED">
              <w:t>525</w:t>
            </w:r>
          </w:p>
        </w:tc>
        <w:tc>
          <w:tcPr>
            <w:tcW w:w="3097" w:type="dxa"/>
          </w:tcPr>
          <w:p w14:paraId="55B5EC72" w14:textId="77777777" w:rsidR="003D5718" w:rsidRPr="005A77ED" w:rsidRDefault="003D5718" w:rsidP="00AA0EE8">
            <w:pPr>
              <w:pStyle w:val="Tabledata"/>
            </w:pPr>
            <w:r w:rsidRPr="005A77ED">
              <w:t>2672</w:t>
            </w:r>
          </w:p>
        </w:tc>
      </w:tr>
      <w:tr w:rsidR="003D5718" w:rsidRPr="005A77ED" w14:paraId="55B5EC77" w14:textId="77777777" w:rsidTr="00AA0EE8">
        <w:tc>
          <w:tcPr>
            <w:tcW w:w="3097" w:type="dxa"/>
          </w:tcPr>
          <w:p w14:paraId="55B5EC74" w14:textId="77777777" w:rsidR="003D5718" w:rsidRPr="005A77ED" w:rsidRDefault="003D5718" w:rsidP="00AA0EE8">
            <w:pPr>
              <w:pStyle w:val="Tabledata"/>
            </w:pPr>
            <w:r w:rsidRPr="005A77ED">
              <w:t>63001</w:t>
            </w:r>
          </w:p>
        </w:tc>
        <w:tc>
          <w:tcPr>
            <w:tcW w:w="3097" w:type="dxa"/>
          </w:tcPr>
          <w:p w14:paraId="55B5EC75" w14:textId="77777777" w:rsidR="003D5718" w:rsidRPr="005A77ED" w:rsidRDefault="003D5718" w:rsidP="00AA0EE8">
            <w:pPr>
              <w:pStyle w:val="Tabledata"/>
            </w:pPr>
            <w:r w:rsidRPr="005A77ED">
              <w:t>110</w:t>
            </w:r>
          </w:p>
        </w:tc>
        <w:tc>
          <w:tcPr>
            <w:tcW w:w="3097" w:type="dxa"/>
          </w:tcPr>
          <w:p w14:paraId="55B5EC76" w14:textId="77777777" w:rsidR="003D5718" w:rsidRPr="005A77ED" w:rsidRDefault="003D5718" w:rsidP="00AA0EE8">
            <w:pPr>
              <w:pStyle w:val="Tabledata"/>
            </w:pPr>
            <w:r w:rsidRPr="005A77ED">
              <w:t>1516</w:t>
            </w:r>
          </w:p>
        </w:tc>
      </w:tr>
      <w:tr w:rsidR="003D5718" w:rsidRPr="005A77ED" w14:paraId="55B5EC7B" w14:textId="77777777" w:rsidTr="00AA0EE8">
        <w:tc>
          <w:tcPr>
            <w:tcW w:w="3097" w:type="dxa"/>
          </w:tcPr>
          <w:p w14:paraId="55B5EC78" w14:textId="77777777" w:rsidR="003D5718" w:rsidRPr="005A77ED" w:rsidRDefault="003D5718" w:rsidP="00AA0EE8">
            <w:pPr>
              <w:pStyle w:val="Tabledata"/>
            </w:pPr>
            <w:r w:rsidRPr="005A77ED">
              <w:t>63001</w:t>
            </w:r>
          </w:p>
        </w:tc>
        <w:tc>
          <w:tcPr>
            <w:tcW w:w="3097" w:type="dxa"/>
          </w:tcPr>
          <w:p w14:paraId="55B5EC79" w14:textId="77777777" w:rsidR="003D5718" w:rsidRPr="005A77ED" w:rsidRDefault="003D5718" w:rsidP="00AA0EE8">
            <w:pPr>
              <w:pStyle w:val="Tabledata"/>
            </w:pPr>
            <w:r w:rsidRPr="005A77ED">
              <w:t>120</w:t>
            </w:r>
          </w:p>
        </w:tc>
        <w:tc>
          <w:tcPr>
            <w:tcW w:w="3097" w:type="dxa"/>
          </w:tcPr>
          <w:p w14:paraId="55B5EC7A" w14:textId="77777777" w:rsidR="003D5718" w:rsidRPr="005A77ED" w:rsidRDefault="003D5718" w:rsidP="00AA0EE8">
            <w:pPr>
              <w:pStyle w:val="Tabledata"/>
            </w:pPr>
            <w:r w:rsidRPr="005A77ED">
              <w:t>2255</w:t>
            </w:r>
          </w:p>
        </w:tc>
      </w:tr>
      <w:tr w:rsidR="003D5718" w:rsidRPr="005A77ED" w14:paraId="55B5EC7F" w14:textId="77777777" w:rsidTr="00AA0EE8">
        <w:tc>
          <w:tcPr>
            <w:tcW w:w="3097" w:type="dxa"/>
          </w:tcPr>
          <w:p w14:paraId="55B5EC7C" w14:textId="77777777" w:rsidR="003D5718" w:rsidRPr="005A77ED" w:rsidRDefault="003D5718" w:rsidP="00AA0EE8">
            <w:pPr>
              <w:pStyle w:val="Tabledata"/>
            </w:pPr>
            <w:r w:rsidRPr="005A77ED">
              <w:t>63001</w:t>
            </w:r>
          </w:p>
        </w:tc>
        <w:tc>
          <w:tcPr>
            <w:tcW w:w="3097" w:type="dxa"/>
          </w:tcPr>
          <w:p w14:paraId="55B5EC7D" w14:textId="77777777" w:rsidR="003D5718" w:rsidRPr="005A77ED" w:rsidRDefault="003D5718" w:rsidP="00AA0EE8">
            <w:pPr>
              <w:pStyle w:val="Tabledata"/>
            </w:pPr>
            <w:r w:rsidRPr="005A77ED">
              <w:t>390</w:t>
            </w:r>
          </w:p>
        </w:tc>
        <w:tc>
          <w:tcPr>
            <w:tcW w:w="3097" w:type="dxa"/>
          </w:tcPr>
          <w:p w14:paraId="55B5EC7E" w14:textId="77777777" w:rsidR="003D5718" w:rsidRPr="005A77ED" w:rsidRDefault="003D5718" w:rsidP="00AA0EE8">
            <w:pPr>
              <w:pStyle w:val="Tabledata"/>
            </w:pPr>
            <w:r w:rsidRPr="005A77ED">
              <w:t>1801</w:t>
            </w:r>
          </w:p>
        </w:tc>
      </w:tr>
      <w:tr w:rsidR="003D5718" w:rsidRPr="005A77ED" w14:paraId="55B5EC83" w14:textId="77777777" w:rsidTr="00AA0EE8">
        <w:tc>
          <w:tcPr>
            <w:tcW w:w="3097" w:type="dxa"/>
          </w:tcPr>
          <w:p w14:paraId="55B5EC80" w14:textId="77777777" w:rsidR="003D5718" w:rsidRPr="005A77ED" w:rsidRDefault="003D5718" w:rsidP="00AA0EE8">
            <w:pPr>
              <w:pStyle w:val="Tabledata"/>
            </w:pPr>
            <w:r w:rsidRPr="005A77ED">
              <w:t>63001</w:t>
            </w:r>
          </w:p>
        </w:tc>
        <w:tc>
          <w:tcPr>
            <w:tcW w:w="3097" w:type="dxa"/>
          </w:tcPr>
          <w:p w14:paraId="55B5EC81" w14:textId="77777777" w:rsidR="003D5718" w:rsidRPr="005A77ED" w:rsidRDefault="003D5718" w:rsidP="00AA0EE8">
            <w:pPr>
              <w:pStyle w:val="Tabledata"/>
            </w:pPr>
            <w:r w:rsidRPr="005A77ED">
              <w:t>525</w:t>
            </w:r>
          </w:p>
        </w:tc>
        <w:tc>
          <w:tcPr>
            <w:tcW w:w="3097" w:type="dxa"/>
          </w:tcPr>
          <w:p w14:paraId="55B5EC82" w14:textId="77777777" w:rsidR="003D5718" w:rsidRPr="005A77ED" w:rsidRDefault="003D5718" w:rsidP="00AA0EE8">
            <w:pPr>
              <w:pStyle w:val="Tabledata"/>
            </w:pPr>
            <w:r w:rsidRPr="005A77ED">
              <w:t>2673</w:t>
            </w:r>
          </w:p>
        </w:tc>
      </w:tr>
      <w:tr w:rsidR="003D5718" w:rsidRPr="005A77ED" w14:paraId="55B5EC87" w14:textId="77777777" w:rsidTr="00AA0EE8">
        <w:tc>
          <w:tcPr>
            <w:tcW w:w="3097" w:type="dxa"/>
          </w:tcPr>
          <w:p w14:paraId="55B5EC84" w14:textId="77777777" w:rsidR="003D5718" w:rsidRPr="005A77ED" w:rsidRDefault="003D5718" w:rsidP="00AA0EE8">
            <w:pPr>
              <w:pStyle w:val="Tabledata"/>
            </w:pPr>
            <w:r w:rsidRPr="005A77ED">
              <w:t>63002</w:t>
            </w:r>
          </w:p>
        </w:tc>
        <w:tc>
          <w:tcPr>
            <w:tcW w:w="3097" w:type="dxa"/>
          </w:tcPr>
          <w:p w14:paraId="55B5EC85" w14:textId="77777777" w:rsidR="003D5718" w:rsidRPr="005A77ED" w:rsidRDefault="003D5718" w:rsidP="00AA0EE8">
            <w:pPr>
              <w:pStyle w:val="Tabledata"/>
            </w:pPr>
            <w:r w:rsidRPr="005A77ED">
              <w:t>110</w:t>
            </w:r>
          </w:p>
        </w:tc>
        <w:tc>
          <w:tcPr>
            <w:tcW w:w="3097" w:type="dxa"/>
          </w:tcPr>
          <w:p w14:paraId="55B5EC86" w14:textId="77777777" w:rsidR="003D5718" w:rsidRPr="005A77ED" w:rsidRDefault="003D5718" w:rsidP="00AA0EE8">
            <w:pPr>
              <w:pStyle w:val="Tabledata"/>
            </w:pPr>
            <w:r w:rsidRPr="005A77ED">
              <w:t>1516</w:t>
            </w:r>
          </w:p>
        </w:tc>
      </w:tr>
      <w:tr w:rsidR="003D5718" w:rsidRPr="005A77ED" w14:paraId="55B5EC8B" w14:textId="77777777" w:rsidTr="00AA0EE8">
        <w:tc>
          <w:tcPr>
            <w:tcW w:w="3097" w:type="dxa"/>
          </w:tcPr>
          <w:p w14:paraId="55B5EC88" w14:textId="77777777" w:rsidR="003D5718" w:rsidRPr="005A77ED" w:rsidRDefault="003D5718" w:rsidP="00AA0EE8">
            <w:pPr>
              <w:pStyle w:val="Tabledata"/>
            </w:pPr>
            <w:r w:rsidRPr="005A77ED">
              <w:t>63002</w:t>
            </w:r>
          </w:p>
        </w:tc>
        <w:tc>
          <w:tcPr>
            <w:tcW w:w="3097" w:type="dxa"/>
          </w:tcPr>
          <w:p w14:paraId="55B5EC89" w14:textId="77777777" w:rsidR="003D5718" w:rsidRPr="005A77ED" w:rsidRDefault="003D5718" w:rsidP="00AA0EE8">
            <w:pPr>
              <w:pStyle w:val="Tabledata"/>
            </w:pPr>
            <w:r w:rsidRPr="005A77ED">
              <w:t>120</w:t>
            </w:r>
          </w:p>
        </w:tc>
        <w:tc>
          <w:tcPr>
            <w:tcW w:w="3097" w:type="dxa"/>
          </w:tcPr>
          <w:p w14:paraId="55B5EC8A" w14:textId="77777777" w:rsidR="003D5718" w:rsidRPr="005A77ED" w:rsidRDefault="003D5718" w:rsidP="00AA0EE8">
            <w:pPr>
              <w:pStyle w:val="Tabledata"/>
            </w:pPr>
            <w:r w:rsidRPr="005A77ED">
              <w:t>2255</w:t>
            </w:r>
          </w:p>
        </w:tc>
      </w:tr>
      <w:tr w:rsidR="003D5718" w:rsidRPr="005A77ED" w14:paraId="55B5EC8F" w14:textId="77777777" w:rsidTr="00AA0EE8">
        <w:tc>
          <w:tcPr>
            <w:tcW w:w="3097" w:type="dxa"/>
          </w:tcPr>
          <w:p w14:paraId="55B5EC8C" w14:textId="77777777" w:rsidR="003D5718" w:rsidRPr="005A77ED" w:rsidRDefault="003D5718" w:rsidP="00AA0EE8">
            <w:pPr>
              <w:pStyle w:val="Tabledata"/>
            </w:pPr>
            <w:r w:rsidRPr="005A77ED">
              <w:t>63002</w:t>
            </w:r>
          </w:p>
        </w:tc>
        <w:tc>
          <w:tcPr>
            <w:tcW w:w="3097" w:type="dxa"/>
          </w:tcPr>
          <w:p w14:paraId="55B5EC8D" w14:textId="77777777" w:rsidR="003D5718" w:rsidRPr="005A77ED" w:rsidRDefault="003D5718" w:rsidP="00AA0EE8">
            <w:pPr>
              <w:pStyle w:val="Tabledata"/>
            </w:pPr>
            <w:r w:rsidRPr="005A77ED">
              <w:t>390</w:t>
            </w:r>
          </w:p>
        </w:tc>
        <w:tc>
          <w:tcPr>
            <w:tcW w:w="3097" w:type="dxa"/>
          </w:tcPr>
          <w:p w14:paraId="55B5EC8E" w14:textId="77777777" w:rsidR="003D5718" w:rsidRPr="005A77ED" w:rsidRDefault="003D5718" w:rsidP="00AA0EE8">
            <w:pPr>
              <w:pStyle w:val="Tabledata"/>
            </w:pPr>
            <w:r w:rsidRPr="005A77ED">
              <w:t>1801</w:t>
            </w:r>
          </w:p>
        </w:tc>
      </w:tr>
      <w:tr w:rsidR="003D5718" w:rsidRPr="005A77ED" w14:paraId="55B5EC93" w14:textId="77777777" w:rsidTr="00AA0EE8">
        <w:tc>
          <w:tcPr>
            <w:tcW w:w="3097" w:type="dxa"/>
          </w:tcPr>
          <w:p w14:paraId="55B5EC90" w14:textId="77777777" w:rsidR="003D5718" w:rsidRPr="005A77ED" w:rsidRDefault="003D5718" w:rsidP="00AA0EE8">
            <w:pPr>
              <w:pStyle w:val="Tabledata"/>
            </w:pPr>
            <w:r w:rsidRPr="005A77ED">
              <w:t>63002</w:t>
            </w:r>
          </w:p>
        </w:tc>
        <w:tc>
          <w:tcPr>
            <w:tcW w:w="3097" w:type="dxa"/>
          </w:tcPr>
          <w:p w14:paraId="55B5EC91" w14:textId="77777777" w:rsidR="003D5718" w:rsidRPr="005A77ED" w:rsidRDefault="003D5718" w:rsidP="00AA0EE8">
            <w:pPr>
              <w:pStyle w:val="Tabledata"/>
            </w:pPr>
            <w:r w:rsidRPr="005A77ED">
              <w:t>525</w:t>
            </w:r>
          </w:p>
        </w:tc>
        <w:tc>
          <w:tcPr>
            <w:tcW w:w="3097" w:type="dxa"/>
          </w:tcPr>
          <w:p w14:paraId="55B5EC92" w14:textId="77777777" w:rsidR="003D5718" w:rsidRPr="005A77ED" w:rsidRDefault="003D5718" w:rsidP="00AA0EE8">
            <w:pPr>
              <w:pStyle w:val="Tabledata"/>
            </w:pPr>
            <w:r w:rsidRPr="005A77ED">
              <w:t>2676</w:t>
            </w:r>
          </w:p>
        </w:tc>
      </w:tr>
      <w:tr w:rsidR="003D5718" w:rsidRPr="005A77ED" w14:paraId="55B5EC97" w14:textId="77777777" w:rsidTr="00AA0EE8">
        <w:tc>
          <w:tcPr>
            <w:tcW w:w="3097" w:type="dxa"/>
          </w:tcPr>
          <w:p w14:paraId="55B5EC94" w14:textId="77777777" w:rsidR="003D5718" w:rsidRPr="005A77ED" w:rsidRDefault="003D5718" w:rsidP="00AA0EE8">
            <w:pPr>
              <w:pStyle w:val="Tabledata"/>
            </w:pPr>
            <w:r w:rsidRPr="005A77ED">
              <w:t>63003</w:t>
            </w:r>
          </w:p>
        </w:tc>
        <w:tc>
          <w:tcPr>
            <w:tcW w:w="3097" w:type="dxa"/>
          </w:tcPr>
          <w:p w14:paraId="55B5EC95" w14:textId="77777777" w:rsidR="003D5718" w:rsidRPr="005A77ED" w:rsidRDefault="003D5718" w:rsidP="00AA0EE8">
            <w:pPr>
              <w:pStyle w:val="Tabledata"/>
            </w:pPr>
            <w:r w:rsidRPr="005A77ED">
              <w:t>110</w:t>
            </w:r>
          </w:p>
        </w:tc>
        <w:tc>
          <w:tcPr>
            <w:tcW w:w="3097" w:type="dxa"/>
          </w:tcPr>
          <w:p w14:paraId="55B5EC96" w14:textId="77777777" w:rsidR="003D5718" w:rsidRPr="005A77ED" w:rsidRDefault="003D5718" w:rsidP="00AA0EE8">
            <w:pPr>
              <w:pStyle w:val="Tabledata"/>
            </w:pPr>
            <w:r w:rsidRPr="005A77ED">
              <w:t>1516</w:t>
            </w:r>
          </w:p>
        </w:tc>
      </w:tr>
      <w:tr w:rsidR="003D5718" w:rsidRPr="005A77ED" w14:paraId="55B5EC9B" w14:textId="77777777" w:rsidTr="00AA0EE8">
        <w:tc>
          <w:tcPr>
            <w:tcW w:w="3097" w:type="dxa"/>
          </w:tcPr>
          <w:p w14:paraId="55B5EC98" w14:textId="77777777" w:rsidR="003D5718" w:rsidRPr="005A77ED" w:rsidRDefault="003D5718" w:rsidP="00AA0EE8">
            <w:pPr>
              <w:pStyle w:val="Tabledata"/>
            </w:pPr>
            <w:r w:rsidRPr="005A77ED">
              <w:t>63003</w:t>
            </w:r>
          </w:p>
        </w:tc>
        <w:tc>
          <w:tcPr>
            <w:tcW w:w="3097" w:type="dxa"/>
          </w:tcPr>
          <w:p w14:paraId="55B5EC99" w14:textId="77777777" w:rsidR="003D5718" w:rsidRPr="005A77ED" w:rsidRDefault="003D5718" w:rsidP="00AA0EE8">
            <w:pPr>
              <w:pStyle w:val="Tabledata"/>
            </w:pPr>
            <w:r w:rsidRPr="005A77ED">
              <w:t>120</w:t>
            </w:r>
          </w:p>
        </w:tc>
        <w:tc>
          <w:tcPr>
            <w:tcW w:w="3097" w:type="dxa"/>
          </w:tcPr>
          <w:p w14:paraId="55B5EC9A" w14:textId="77777777" w:rsidR="003D5718" w:rsidRPr="005A77ED" w:rsidRDefault="003D5718" w:rsidP="00AA0EE8">
            <w:pPr>
              <w:pStyle w:val="Tabledata"/>
            </w:pPr>
            <w:r w:rsidRPr="005A77ED">
              <w:t>2255</w:t>
            </w:r>
          </w:p>
        </w:tc>
      </w:tr>
      <w:tr w:rsidR="003D5718" w:rsidRPr="005A77ED" w14:paraId="55B5EC9F" w14:textId="77777777" w:rsidTr="00AA0EE8">
        <w:tc>
          <w:tcPr>
            <w:tcW w:w="3097" w:type="dxa"/>
          </w:tcPr>
          <w:p w14:paraId="55B5EC9C" w14:textId="77777777" w:rsidR="003D5718" w:rsidRPr="005A77ED" w:rsidRDefault="003D5718" w:rsidP="00AA0EE8">
            <w:pPr>
              <w:pStyle w:val="Tabledata"/>
            </w:pPr>
            <w:r w:rsidRPr="005A77ED">
              <w:t>63003</w:t>
            </w:r>
          </w:p>
        </w:tc>
        <w:tc>
          <w:tcPr>
            <w:tcW w:w="3097" w:type="dxa"/>
          </w:tcPr>
          <w:p w14:paraId="55B5EC9D" w14:textId="77777777" w:rsidR="003D5718" w:rsidRPr="005A77ED" w:rsidRDefault="003D5718" w:rsidP="00AA0EE8">
            <w:pPr>
              <w:pStyle w:val="Tabledata"/>
            </w:pPr>
            <w:r w:rsidRPr="005A77ED">
              <w:t>390</w:t>
            </w:r>
          </w:p>
        </w:tc>
        <w:tc>
          <w:tcPr>
            <w:tcW w:w="3097" w:type="dxa"/>
          </w:tcPr>
          <w:p w14:paraId="55B5EC9E" w14:textId="77777777" w:rsidR="003D5718" w:rsidRPr="005A77ED" w:rsidRDefault="003D5718" w:rsidP="00AA0EE8">
            <w:pPr>
              <w:pStyle w:val="Tabledata"/>
            </w:pPr>
            <w:r w:rsidRPr="005A77ED">
              <w:t>1801</w:t>
            </w:r>
          </w:p>
        </w:tc>
      </w:tr>
      <w:tr w:rsidR="003D5718" w:rsidRPr="005A77ED" w14:paraId="55B5ECA3" w14:textId="77777777" w:rsidTr="00AA0EE8">
        <w:tc>
          <w:tcPr>
            <w:tcW w:w="3097" w:type="dxa"/>
          </w:tcPr>
          <w:p w14:paraId="55B5ECA0" w14:textId="77777777" w:rsidR="003D5718" w:rsidRPr="005A77ED" w:rsidRDefault="003D5718" w:rsidP="00AA0EE8">
            <w:pPr>
              <w:pStyle w:val="Tabledata"/>
            </w:pPr>
            <w:r w:rsidRPr="005A77ED">
              <w:t>63003</w:t>
            </w:r>
          </w:p>
        </w:tc>
        <w:tc>
          <w:tcPr>
            <w:tcW w:w="3097" w:type="dxa"/>
          </w:tcPr>
          <w:p w14:paraId="55B5ECA1" w14:textId="77777777" w:rsidR="003D5718" w:rsidRPr="005A77ED" w:rsidRDefault="003D5718" w:rsidP="00AA0EE8">
            <w:pPr>
              <w:pStyle w:val="Tabledata"/>
            </w:pPr>
            <w:r w:rsidRPr="005A77ED">
              <w:t>525</w:t>
            </w:r>
          </w:p>
        </w:tc>
        <w:tc>
          <w:tcPr>
            <w:tcW w:w="3097" w:type="dxa"/>
          </w:tcPr>
          <w:p w14:paraId="55B5ECA2" w14:textId="77777777" w:rsidR="003D5718" w:rsidRPr="005A77ED" w:rsidRDefault="003D5718" w:rsidP="00AA0EE8">
            <w:pPr>
              <w:pStyle w:val="Tabledata"/>
            </w:pPr>
            <w:r w:rsidRPr="005A77ED">
              <w:t>2679</w:t>
            </w:r>
          </w:p>
        </w:tc>
      </w:tr>
      <w:tr w:rsidR="003D5718" w:rsidRPr="005A77ED" w14:paraId="55B5ECA7" w14:textId="77777777" w:rsidTr="00AA0EE8">
        <w:tc>
          <w:tcPr>
            <w:tcW w:w="3097" w:type="dxa"/>
          </w:tcPr>
          <w:p w14:paraId="55B5ECA4" w14:textId="77777777" w:rsidR="003D5718" w:rsidRPr="005A77ED" w:rsidRDefault="003D5718" w:rsidP="00AA0EE8">
            <w:pPr>
              <w:pStyle w:val="Tabledata"/>
            </w:pPr>
            <w:r w:rsidRPr="005A77ED">
              <w:t>63004</w:t>
            </w:r>
          </w:p>
        </w:tc>
        <w:tc>
          <w:tcPr>
            <w:tcW w:w="3097" w:type="dxa"/>
          </w:tcPr>
          <w:p w14:paraId="55B5ECA5" w14:textId="77777777" w:rsidR="003D5718" w:rsidRPr="005A77ED" w:rsidRDefault="003D5718" w:rsidP="00AA0EE8">
            <w:pPr>
              <w:pStyle w:val="Tabledata"/>
            </w:pPr>
            <w:r w:rsidRPr="005A77ED">
              <w:t>110</w:t>
            </w:r>
          </w:p>
        </w:tc>
        <w:tc>
          <w:tcPr>
            <w:tcW w:w="3097" w:type="dxa"/>
          </w:tcPr>
          <w:p w14:paraId="55B5ECA6" w14:textId="77777777" w:rsidR="003D5718" w:rsidRPr="005A77ED" w:rsidRDefault="003D5718" w:rsidP="00AA0EE8">
            <w:pPr>
              <w:pStyle w:val="Tabledata"/>
            </w:pPr>
            <w:r w:rsidRPr="005A77ED">
              <w:t>1516</w:t>
            </w:r>
          </w:p>
        </w:tc>
      </w:tr>
      <w:tr w:rsidR="003D5718" w:rsidRPr="005A77ED" w14:paraId="55B5ECAB" w14:textId="77777777" w:rsidTr="00AA0EE8">
        <w:tc>
          <w:tcPr>
            <w:tcW w:w="3097" w:type="dxa"/>
          </w:tcPr>
          <w:p w14:paraId="55B5ECA8" w14:textId="77777777" w:rsidR="003D5718" w:rsidRPr="005A77ED" w:rsidRDefault="003D5718" w:rsidP="00AA0EE8">
            <w:pPr>
              <w:pStyle w:val="Tabledata"/>
            </w:pPr>
            <w:r w:rsidRPr="005A77ED">
              <w:t>63004</w:t>
            </w:r>
          </w:p>
        </w:tc>
        <w:tc>
          <w:tcPr>
            <w:tcW w:w="3097" w:type="dxa"/>
          </w:tcPr>
          <w:p w14:paraId="55B5ECA9" w14:textId="77777777" w:rsidR="003D5718" w:rsidRPr="005A77ED" w:rsidRDefault="003D5718" w:rsidP="00AA0EE8">
            <w:pPr>
              <w:pStyle w:val="Tabledata"/>
            </w:pPr>
            <w:r w:rsidRPr="005A77ED">
              <w:t>120</w:t>
            </w:r>
          </w:p>
        </w:tc>
        <w:tc>
          <w:tcPr>
            <w:tcW w:w="3097" w:type="dxa"/>
          </w:tcPr>
          <w:p w14:paraId="55B5ECAA" w14:textId="77777777" w:rsidR="003D5718" w:rsidRPr="005A77ED" w:rsidRDefault="003D5718" w:rsidP="00AA0EE8">
            <w:pPr>
              <w:pStyle w:val="Tabledata"/>
            </w:pPr>
            <w:r w:rsidRPr="005A77ED">
              <w:t>2255</w:t>
            </w:r>
          </w:p>
        </w:tc>
      </w:tr>
      <w:tr w:rsidR="003D5718" w:rsidRPr="005A77ED" w14:paraId="55B5ECAF" w14:textId="77777777" w:rsidTr="00AA0EE8">
        <w:tc>
          <w:tcPr>
            <w:tcW w:w="3097" w:type="dxa"/>
          </w:tcPr>
          <w:p w14:paraId="55B5ECAC" w14:textId="77777777" w:rsidR="003D5718" w:rsidRPr="005A77ED" w:rsidRDefault="003D5718" w:rsidP="00AA0EE8">
            <w:pPr>
              <w:pStyle w:val="Tabledata"/>
            </w:pPr>
            <w:r w:rsidRPr="005A77ED">
              <w:lastRenderedPageBreak/>
              <w:t>63004</w:t>
            </w:r>
          </w:p>
        </w:tc>
        <w:tc>
          <w:tcPr>
            <w:tcW w:w="3097" w:type="dxa"/>
          </w:tcPr>
          <w:p w14:paraId="55B5ECAD" w14:textId="77777777" w:rsidR="003D5718" w:rsidRPr="005A77ED" w:rsidRDefault="003D5718" w:rsidP="00AA0EE8">
            <w:pPr>
              <w:pStyle w:val="Tabledata"/>
            </w:pPr>
            <w:r w:rsidRPr="005A77ED">
              <w:t>390</w:t>
            </w:r>
          </w:p>
        </w:tc>
        <w:tc>
          <w:tcPr>
            <w:tcW w:w="3097" w:type="dxa"/>
          </w:tcPr>
          <w:p w14:paraId="55B5ECAE" w14:textId="77777777" w:rsidR="003D5718" w:rsidRPr="005A77ED" w:rsidRDefault="003D5718" w:rsidP="00AA0EE8">
            <w:pPr>
              <w:pStyle w:val="Tabledata"/>
            </w:pPr>
            <w:r w:rsidRPr="005A77ED">
              <w:t>1801</w:t>
            </w:r>
          </w:p>
        </w:tc>
      </w:tr>
      <w:tr w:rsidR="003D5718" w14:paraId="55B5ECB3" w14:textId="77777777" w:rsidTr="00AA0EE8">
        <w:tc>
          <w:tcPr>
            <w:tcW w:w="3097" w:type="dxa"/>
          </w:tcPr>
          <w:p w14:paraId="55B5ECB0" w14:textId="77777777" w:rsidR="003D5718" w:rsidRPr="005A77ED" w:rsidRDefault="003D5718" w:rsidP="00AA0EE8">
            <w:pPr>
              <w:pStyle w:val="Tabledata"/>
            </w:pPr>
            <w:r w:rsidRPr="005A77ED">
              <w:t>63004</w:t>
            </w:r>
          </w:p>
        </w:tc>
        <w:tc>
          <w:tcPr>
            <w:tcW w:w="3097" w:type="dxa"/>
          </w:tcPr>
          <w:p w14:paraId="55B5ECB1" w14:textId="77777777" w:rsidR="003D5718" w:rsidRPr="005A77ED" w:rsidRDefault="003D5718" w:rsidP="00AA0EE8">
            <w:pPr>
              <w:pStyle w:val="Tabledata"/>
            </w:pPr>
            <w:r w:rsidRPr="005A77ED">
              <w:t>525</w:t>
            </w:r>
          </w:p>
        </w:tc>
        <w:tc>
          <w:tcPr>
            <w:tcW w:w="3097" w:type="dxa"/>
          </w:tcPr>
          <w:p w14:paraId="55B5ECB2" w14:textId="77777777" w:rsidR="003D5718" w:rsidRPr="005A77ED" w:rsidRDefault="003D5718" w:rsidP="00AA0EE8">
            <w:pPr>
              <w:pStyle w:val="Tabledata"/>
            </w:pPr>
            <w:r w:rsidRPr="005A77ED">
              <w:t>2680</w:t>
            </w:r>
          </w:p>
        </w:tc>
      </w:tr>
    </w:tbl>
    <w:p w14:paraId="55B5ECB4" w14:textId="77777777" w:rsidR="003D5718" w:rsidRDefault="003D5718" w:rsidP="003D5718"/>
    <w:p w14:paraId="55B5ECB5" w14:textId="77777777" w:rsidR="003D5718" w:rsidRDefault="003D5718" w:rsidP="003D5718">
      <w:r>
        <w:t xml:space="preserve">Corrected </w:t>
      </w:r>
      <w:proofErr w:type="spellStart"/>
      <w:r>
        <w:t>ContextIDs</w:t>
      </w:r>
      <w:proofErr w:type="spellEnd"/>
      <w:r>
        <w:t xml:space="preserve"> for Data Point Versions:</w:t>
      </w:r>
    </w:p>
    <w:tbl>
      <w:tblPr>
        <w:tblStyle w:val="EBAtable"/>
        <w:tblW w:w="0" w:type="auto"/>
        <w:tblLook w:val="04A0" w:firstRow="1" w:lastRow="0" w:firstColumn="1" w:lastColumn="0" w:noHBand="0" w:noVBand="1"/>
      </w:tblPr>
      <w:tblGrid>
        <w:gridCol w:w="4645"/>
        <w:gridCol w:w="4646"/>
      </w:tblGrid>
      <w:tr w:rsidR="003D5718" w:rsidRPr="005A77ED" w14:paraId="55B5ECB8" w14:textId="77777777" w:rsidTr="000F3810">
        <w:trPr>
          <w:cnfStyle w:val="100000000000" w:firstRow="1" w:lastRow="0" w:firstColumn="0" w:lastColumn="0" w:oddVBand="0" w:evenVBand="0" w:oddHBand="0" w:evenHBand="0" w:firstRowFirstColumn="0" w:firstRowLastColumn="0" w:lastRowFirstColumn="0" w:lastRowLastColumn="0"/>
        </w:trPr>
        <w:tc>
          <w:tcPr>
            <w:tcW w:w="4645" w:type="dxa"/>
          </w:tcPr>
          <w:p w14:paraId="55B5ECB6" w14:textId="77777777" w:rsidR="003D5718" w:rsidRPr="005A77ED" w:rsidRDefault="003D5718" w:rsidP="00AA0EE8">
            <w:pPr>
              <w:pStyle w:val="Tableheader"/>
            </w:pPr>
            <w:proofErr w:type="spellStart"/>
            <w:r w:rsidRPr="005A77ED">
              <w:t>DataPointVID</w:t>
            </w:r>
            <w:proofErr w:type="spellEnd"/>
          </w:p>
        </w:tc>
        <w:tc>
          <w:tcPr>
            <w:tcW w:w="4646" w:type="dxa"/>
          </w:tcPr>
          <w:p w14:paraId="55B5ECB7" w14:textId="77777777" w:rsidR="003D5718" w:rsidRPr="005A77ED" w:rsidRDefault="003D5718" w:rsidP="00AA0EE8">
            <w:pPr>
              <w:pStyle w:val="Tableheader"/>
            </w:pPr>
            <w:proofErr w:type="spellStart"/>
            <w:r w:rsidRPr="005A77ED">
              <w:t>ContextID</w:t>
            </w:r>
            <w:proofErr w:type="spellEnd"/>
          </w:p>
        </w:tc>
      </w:tr>
      <w:tr w:rsidR="003D5718" w:rsidRPr="005A77ED" w14:paraId="55B5ECBB" w14:textId="77777777" w:rsidTr="000F3810">
        <w:tc>
          <w:tcPr>
            <w:tcW w:w="4645" w:type="dxa"/>
          </w:tcPr>
          <w:p w14:paraId="55B5ECB9" w14:textId="77777777" w:rsidR="003D5718" w:rsidRPr="005A77ED" w:rsidRDefault="003D5718" w:rsidP="00AA0EE8">
            <w:pPr>
              <w:pStyle w:val="Tabledata"/>
            </w:pPr>
            <w:r w:rsidRPr="005A77ED">
              <w:t>110964</w:t>
            </w:r>
          </w:p>
        </w:tc>
        <w:tc>
          <w:tcPr>
            <w:tcW w:w="4646" w:type="dxa"/>
          </w:tcPr>
          <w:p w14:paraId="55B5ECBA" w14:textId="77777777" w:rsidR="003D5718" w:rsidRPr="005A77ED" w:rsidRDefault="003D5718" w:rsidP="00AA0EE8">
            <w:pPr>
              <w:pStyle w:val="Tabledata"/>
            </w:pPr>
            <w:r w:rsidRPr="005A77ED">
              <w:t>63000</w:t>
            </w:r>
          </w:p>
        </w:tc>
      </w:tr>
      <w:tr w:rsidR="003D5718" w:rsidRPr="005A77ED" w14:paraId="55B5ECBE" w14:textId="77777777" w:rsidTr="000F3810">
        <w:tc>
          <w:tcPr>
            <w:tcW w:w="4645" w:type="dxa"/>
          </w:tcPr>
          <w:p w14:paraId="55B5ECBC" w14:textId="77777777" w:rsidR="003D5718" w:rsidRPr="005A77ED" w:rsidRDefault="003D5718" w:rsidP="00AA0EE8">
            <w:pPr>
              <w:pStyle w:val="Tabledata"/>
            </w:pPr>
            <w:r w:rsidRPr="005A77ED">
              <w:t>110965</w:t>
            </w:r>
          </w:p>
        </w:tc>
        <w:tc>
          <w:tcPr>
            <w:tcW w:w="4646" w:type="dxa"/>
          </w:tcPr>
          <w:p w14:paraId="55B5ECBD" w14:textId="77777777" w:rsidR="003D5718" w:rsidRPr="005A77ED" w:rsidRDefault="003D5718" w:rsidP="00AA0EE8">
            <w:pPr>
              <w:pStyle w:val="Tabledata"/>
            </w:pPr>
            <w:r w:rsidRPr="005A77ED">
              <w:t>63001</w:t>
            </w:r>
          </w:p>
        </w:tc>
      </w:tr>
      <w:tr w:rsidR="003D5718" w:rsidRPr="005A77ED" w14:paraId="55B5ECC1" w14:textId="77777777" w:rsidTr="000F3810">
        <w:tc>
          <w:tcPr>
            <w:tcW w:w="4645" w:type="dxa"/>
          </w:tcPr>
          <w:p w14:paraId="55B5ECBF" w14:textId="77777777" w:rsidR="003D5718" w:rsidRPr="005A77ED" w:rsidRDefault="003D5718" w:rsidP="00AA0EE8">
            <w:pPr>
              <w:pStyle w:val="Tabledata"/>
            </w:pPr>
            <w:r w:rsidRPr="005A77ED">
              <w:t>110966</w:t>
            </w:r>
          </w:p>
        </w:tc>
        <w:tc>
          <w:tcPr>
            <w:tcW w:w="4646" w:type="dxa"/>
          </w:tcPr>
          <w:p w14:paraId="55B5ECC0" w14:textId="77777777" w:rsidR="003D5718" w:rsidRPr="005A77ED" w:rsidRDefault="003D5718" w:rsidP="00AA0EE8">
            <w:pPr>
              <w:pStyle w:val="Tabledata"/>
            </w:pPr>
            <w:r w:rsidRPr="005A77ED">
              <w:t>63002</w:t>
            </w:r>
          </w:p>
        </w:tc>
      </w:tr>
      <w:tr w:rsidR="003D5718" w:rsidRPr="005A77ED" w14:paraId="55B5ECC4" w14:textId="77777777" w:rsidTr="000F3810">
        <w:tc>
          <w:tcPr>
            <w:tcW w:w="4645" w:type="dxa"/>
          </w:tcPr>
          <w:p w14:paraId="55B5ECC2" w14:textId="77777777" w:rsidR="003D5718" w:rsidRPr="005A77ED" w:rsidRDefault="003D5718" w:rsidP="00AA0EE8">
            <w:pPr>
              <w:pStyle w:val="Tabledata"/>
            </w:pPr>
            <w:r w:rsidRPr="005A77ED">
              <w:t>110967</w:t>
            </w:r>
          </w:p>
        </w:tc>
        <w:tc>
          <w:tcPr>
            <w:tcW w:w="4646" w:type="dxa"/>
          </w:tcPr>
          <w:p w14:paraId="55B5ECC3" w14:textId="77777777" w:rsidR="003D5718" w:rsidRPr="005A77ED" w:rsidRDefault="003D5718" w:rsidP="00AA0EE8">
            <w:pPr>
              <w:pStyle w:val="Tabledata"/>
            </w:pPr>
            <w:r w:rsidRPr="005A77ED">
              <w:t>63003</w:t>
            </w:r>
          </w:p>
        </w:tc>
      </w:tr>
      <w:tr w:rsidR="003D5718" w:rsidRPr="005A77ED" w14:paraId="55B5ECC7" w14:textId="77777777" w:rsidTr="000F3810">
        <w:tc>
          <w:tcPr>
            <w:tcW w:w="4645" w:type="dxa"/>
          </w:tcPr>
          <w:p w14:paraId="55B5ECC5" w14:textId="77777777" w:rsidR="003D5718" w:rsidRPr="005A77ED" w:rsidRDefault="003D5718" w:rsidP="00AA0EE8">
            <w:pPr>
              <w:pStyle w:val="Tabledata"/>
            </w:pPr>
            <w:r w:rsidRPr="005A77ED">
              <w:t>110968</w:t>
            </w:r>
          </w:p>
        </w:tc>
        <w:tc>
          <w:tcPr>
            <w:tcW w:w="4646" w:type="dxa"/>
          </w:tcPr>
          <w:p w14:paraId="55B5ECC6" w14:textId="77777777" w:rsidR="003D5718" w:rsidRPr="005A77ED" w:rsidRDefault="003D5718" w:rsidP="00AA0EE8">
            <w:pPr>
              <w:pStyle w:val="Tabledata"/>
            </w:pPr>
            <w:r w:rsidRPr="005A77ED">
              <w:t>63004</w:t>
            </w:r>
          </w:p>
        </w:tc>
      </w:tr>
    </w:tbl>
    <w:p w14:paraId="55B5ECC8" w14:textId="77777777" w:rsidR="00237B31" w:rsidRDefault="00237B31" w:rsidP="003D5718">
      <w:pPr>
        <w:pStyle w:val="Heading1"/>
        <w:rPr>
          <w:rFonts w:asciiTheme="minorHAnsi" w:eastAsiaTheme="minorEastAsia" w:hAnsiTheme="minorHAnsi" w:cstheme="minorBidi"/>
          <w:b w:val="0"/>
          <w:bCs w:val="0"/>
          <w:caps w:val="0"/>
          <w:color w:val="auto"/>
          <w:sz w:val="22"/>
          <w:szCs w:val="24"/>
        </w:rPr>
      </w:pPr>
    </w:p>
    <w:p w14:paraId="55B5ECC9" w14:textId="77777777" w:rsidR="003D5718" w:rsidRDefault="00237B31" w:rsidP="00237B31">
      <w:pPr>
        <w:pStyle w:val="Heading2"/>
      </w:pPr>
      <w:r w:rsidRPr="00237B31">
        <w:t>v2.1.0.1 (Taxonomy Bug fix)</w:t>
      </w:r>
      <w:r>
        <w:t xml:space="preserve"> </w:t>
      </w:r>
      <w:r w:rsidR="003D5718">
        <w:rPr>
          <w:rFonts w:ascii="Arial" w:hAnsi="Arial" w:cs="Arial"/>
          <w:color w:val="696969"/>
          <w:sz w:val="18"/>
          <w:szCs w:val="18"/>
          <w:shd w:val="clear" w:color="auto" w:fill="FFFFFF"/>
        </w:rPr>
        <w:t>(15/07/2014)</w:t>
      </w:r>
    </w:p>
    <w:p w14:paraId="55B5ECCA" w14:textId="77777777" w:rsidR="003D5718" w:rsidRDefault="003D5718" w:rsidP="003D5718"/>
    <w:p w14:paraId="55B5ECCB" w14:textId="77777777" w:rsidR="003D5718" w:rsidRDefault="003D5718" w:rsidP="003D5718">
      <w:r>
        <w:t>Sadly the previously published version included a technical error in the label files for the GA and CU hierarchies</w:t>
      </w:r>
      <w:r>
        <w:rPr>
          <w:rStyle w:val="FootnoteReference"/>
        </w:rPr>
        <w:footnoteReference w:id="13"/>
      </w:r>
      <w:r>
        <w:t>. As a result the taxonomy was not in fact valid XBRL.</w:t>
      </w:r>
    </w:p>
    <w:p w14:paraId="55B5ECCC" w14:textId="77777777" w:rsidR="003D5718" w:rsidRDefault="003D5718" w:rsidP="003D5718">
      <w:r>
        <w:t>This release replaces the dictionary package (eba_dict_2.1.0.1.zip) with one containing the corrected files (eba_dict_2.1.0.1.zip). The previous dictionary files should no longer be used, and eba_dict_2.1.0.1.zip (the files contained in it if not using the taxonomy package feature) must be used instead.</w:t>
      </w:r>
    </w:p>
    <w:p w14:paraId="55B5ECCD" w14:textId="77777777" w:rsidR="000378E5" w:rsidRDefault="00237B31" w:rsidP="00237B31">
      <w:pPr>
        <w:pStyle w:val="Heading2"/>
      </w:pPr>
      <w:r>
        <w:t>v2.1.0 (“2014/03” Package)</w:t>
      </w:r>
      <w:r w:rsidR="000378E5">
        <w:t xml:space="preserve"> </w:t>
      </w:r>
      <w:r w:rsidR="000F3810">
        <w:rPr>
          <w:rFonts w:ascii="Arial" w:hAnsi="Arial" w:cs="Arial"/>
          <w:color w:val="696969"/>
          <w:sz w:val="18"/>
          <w:szCs w:val="18"/>
          <w:shd w:val="clear" w:color="auto" w:fill="FFFFFF"/>
        </w:rPr>
        <w:t>(08/07/2014)</w:t>
      </w:r>
    </w:p>
    <w:p w14:paraId="55B5ECCE" w14:textId="77777777" w:rsidR="000378E5" w:rsidRDefault="000378E5" w:rsidP="00D515AE">
      <w:pPr>
        <w:pStyle w:val="Titlelevel2"/>
      </w:pPr>
      <w:r>
        <w:t>Arrangement into discrete “components” for distribution:</w:t>
      </w:r>
    </w:p>
    <w:p w14:paraId="55B5ECCF" w14:textId="77777777" w:rsidR="000378E5" w:rsidRPr="00953BEF" w:rsidRDefault="000378E5" w:rsidP="000378E5">
      <w:r>
        <w:t>The taxonomy has been packaged into discrete chunks to aid distribution, usage, and clarity of purpose and changes</w:t>
      </w:r>
      <w:r w:rsidR="00105BA1">
        <w:rPr>
          <w:rStyle w:val="FootnoteReference"/>
        </w:rPr>
        <w:footnoteReference w:id="14"/>
      </w:r>
      <w:r>
        <w:t xml:space="preserve">. The different chunks are </w:t>
      </w:r>
    </w:p>
    <w:p w14:paraId="55B5ECD0" w14:textId="77777777" w:rsidR="000378E5" w:rsidRDefault="000378E5" w:rsidP="00183058">
      <w:pPr>
        <w:pStyle w:val="ListParagraph"/>
        <w:numPr>
          <w:ilvl w:val="0"/>
          <w:numId w:val="8"/>
        </w:numPr>
      </w:pPr>
      <w:r>
        <w:t>(5 archives) Reporting Taxonomy versions (e.g. eba_corep_2.1.0.0.zip)</w:t>
      </w:r>
    </w:p>
    <w:p w14:paraId="55B5ECD1" w14:textId="77777777" w:rsidR="000378E5" w:rsidRDefault="000378E5" w:rsidP="00183058">
      <w:pPr>
        <w:pStyle w:val="ListParagraph"/>
        <w:numPr>
          <w:ilvl w:val="0"/>
          <w:numId w:val="8"/>
        </w:numPr>
      </w:pPr>
      <w:r>
        <w:t xml:space="preserve">(1 archive) Dictionary and EBA support files (files from the </w:t>
      </w:r>
      <w:proofErr w:type="spellStart"/>
      <w:r>
        <w:t>dict</w:t>
      </w:r>
      <w:proofErr w:type="spellEnd"/>
      <w:r>
        <w:t xml:space="preserve"> folder, </w:t>
      </w:r>
      <w:proofErr w:type="spellStart"/>
      <w:r>
        <w:t>ext</w:t>
      </w:r>
      <w:proofErr w:type="spellEnd"/>
      <w:r>
        <w:t xml:space="preserve">/model.xsd, and fws.xsd, </w:t>
      </w:r>
      <w:r w:rsidRPr="00953BEF">
        <w:t>fws-lab-codes.xml</w:t>
      </w:r>
      <w:r>
        <w:t xml:space="preserve"> and fws-lab-en.xml from the </w:t>
      </w:r>
      <w:proofErr w:type="spellStart"/>
      <w:r>
        <w:t>fws</w:t>
      </w:r>
      <w:proofErr w:type="spellEnd"/>
      <w:r>
        <w:t xml:space="preserve"> folder in a single versioned eba_dict_2.1.0.0.zip)</w:t>
      </w:r>
    </w:p>
    <w:p w14:paraId="55B5ECD2" w14:textId="77777777" w:rsidR="000378E5" w:rsidRDefault="000378E5" w:rsidP="00183058">
      <w:pPr>
        <w:pStyle w:val="ListParagraph"/>
        <w:numPr>
          <w:ilvl w:val="0"/>
          <w:numId w:val="8"/>
        </w:numPr>
      </w:pPr>
      <w:r>
        <w:lastRenderedPageBreak/>
        <w:t>(2 archives) Non-EBA files supplied for purely convenience (file sets from eurofiling.info and xbrl.org)</w:t>
      </w:r>
      <w:r>
        <w:rPr>
          <w:rStyle w:val="FootnoteReference"/>
        </w:rPr>
        <w:footnoteReference w:id="15"/>
      </w:r>
      <w:r>
        <w:t>.</w:t>
      </w:r>
    </w:p>
    <w:p w14:paraId="55B5ECD3" w14:textId="77777777" w:rsidR="000378E5" w:rsidRDefault="000378E5" w:rsidP="000378E5"/>
    <w:p w14:paraId="55B5ECD4" w14:textId="77777777" w:rsidR="000378E5" w:rsidRDefault="007F2F4F" w:rsidP="000378E5">
      <w:r>
        <w:t xml:space="preserve">Each of the </w:t>
      </w:r>
      <w:r w:rsidR="000378E5">
        <w:t xml:space="preserve">Reporting taxonomy </w:t>
      </w:r>
      <w:r>
        <w:t xml:space="preserve">components, and the </w:t>
      </w:r>
      <w:r w:rsidR="000378E5">
        <w:t>dictionary component</w:t>
      </w:r>
      <w:r>
        <w:t>,</w:t>
      </w:r>
      <w:r w:rsidR="000378E5">
        <w:t xml:space="preserve"> are supplied as potential “taxonomy packages”, utilising the “Taxonomy Package 1.0 - Public Working Draft 15 January 2014” specification.</w:t>
      </w:r>
    </w:p>
    <w:p w14:paraId="55B5ECD5" w14:textId="77777777" w:rsidR="000378E5" w:rsidRDefault="000378E5" w:rsidP="000378E5">
      <w:r>
        <w:t>Dictionary components are intended to be incremental, such that later versions may be safely used in place of earlier versions (and are released on the website as “in place” updates/overwrites and additions).</w:t>
      </w:r>
    </w:p>
    <w:p w14:paraId="55B5ECD6" w14:textId="77777777" w:rsidR="000378E5" w:rsidRDefault="000378E5" w:rsidP="000378E5">
      <w:r>
        <w:t>Reporting taxonomy components reference, and so require (files from) the appropriate version (or later) of the dictionary component to also be available, so may not be usable offline as-is in all software. As always, taxonomy consumers are responsible for suitably configuring their particular XBRL software.</w:t>
      </w:r>
    </w:p>
    <w:p w14:paraId="55B5ECD7" w14:textId="77777777" w:rsidR="000378E5" w:rsidRDefault="000378E5" w:rsidP="000378E5">
      <w:r>
        <w:t>To recover the complete set of taxonomy files, simply extract/unzip all the components into the same location.</w:t>
      </w:r>
    </w:p>
    <w:p w14:paraId="55B5ECD8" w14:textId="77777777" w:rsidR="000378E5" w:rsidRDefault="000378E5" w:rsidP="00D515AE">
      <w:pPr>
        <w:pStyle w:val="Titlelevel2"/>
      </w:pPr>
      <w:r>
        <w:t>Change of semantics for versioning numbers:</w:t>
      </w:r>
    </w:p>
    <w:p w14:paraId="55B5ECD9" w14:textId="77777777" w:rsidR="000378E5" w:rsidRDefault="000378E5" w:rsidP="000378E5">
      <w:r>
        <w:t xml:space="preserve">Old System – </w:t>
      </w:r>
      <w:proofErr w:type="spellStart"/>
      <w:r>
        <w:t>a.b.c</w:t>
      </w:r>
      <w:proofErr w:type="spellEnd"/>
      <w:r>
        <w:t xml:space="preserve"> where: </w:t>
      </w:r>
    </w:p>
    <w:p w14:paraId="55B5ECDA" w14:textId="77777777" w:rsidR="000378E5" w:rsidRDefault="000378E5" w:rsidP="00183058">
      <w:pPr>
        <w:pStyle w:val="ListParagraph"/>
        <w:numPr>
          <w:ilvl w:val="0"/>
          <w:numId w:val="6"/>
        </w:numPr>
      </w:pPr>
      <w:r>
        <w:t>major breaking version (i.e. regulatory framework renewal or complete dictionary change)</w:t>
      </w:r>
    </w:p>
    <w:p w14:paraId="55B5ECDB" w14:textId="77777777" w:rsidR="000378E5" w:rsidRDefault="000378E5" w:rsidP="00183058">
      <w:pPr>
        <w:pStyle w:val="ListParagraph"/>
        <w:numPr>
          <w:ilvl w:val="0"/>
          <w:numId w:val="6"/>
        </w:numPr>
      </w:pPr>
      <w:r>
        <w:t>minor breaking version (i.e. new business content or corrections),</w:t>
      </w:r>
    </w:p>
    <w:p w14:paraId="55B5ECDC" w14:textId="77777777" w:rsidR="000378E5" w:rsidRDefault="000378E5" w:rsidP="00183058">
      <w:pPr>
        <w:pStyle w:val="ListParagraph"/>
        <w:numPr>
          <w:ilvl w:val="0"/>
          <w:numId w:val="6"/>
        </w:numPr>
      </w:pPr>
      <w:r>
        <w:t xml:space="preserve">non-breaking revision (primarily validation rule and label changes and technical level fixes) </w:t>
      </w:r>
    </w:p>
    <w:p w14:paraId="55B5ECDD" w14:textId="77777777" w:rsidR="000378E5" w:rsidRDefault="000378E5" w:rsidP="000378E5">
      <w:r>
        <w:t xml:space="preserve">New system </w:t>
      </w:r>
      <w:proofErr w:type="spellStart"/>
      <w:r>
        <w:t>a.b.c.d.e</w:t>
      </w:r>
      <w:proofErr w:type="spellEnd"/>
      <w:r>
        <w:t xml:space="preserve"> where:</w:t>
      </w:r>
    </w:p>
    <w:p w14:paraId="55B5ECDE" w14:textId="77777777" w:rsidR="000378E5" w:rsidRDefault="000378E5" w:rsidP="00183058">
      <w:pPr>
        <w:pStyle w:val="ListParagraph"/>
        <w:numPr>
          <w:ilvl w:val="0"/>
          <w:numId w:val="7"/>
        </w:numPr>
      </w:pPr>
      <w:r>
        <w:t>major breaking version (i.e. regulatory framework renewal or complete dictionary change)</w:t>
      </w:r>
    </w:p>
    <w:p w14:paraId="55B5ECDF" w14:textId="77777777" w:rsidR="000378E5" w:rsidRDefault="000378E5" w:rsidP="00183058">
      <w:pPr>
        <w:pStyle w:val="ListParagraph"/>
        <w:numPr>
          <w:ilvl w:val="0"/>
          <w:numId w:val="7"/>
        </w:numPr>
      </w:pPr>
      <w:r>
        <w:t>significant business content change (e.g. new templates) – breaking change</w:t>
      </w:r>
    </w:p>
    <w:p w14:paraId="55B5ECE0" w14:textId="77777777" w:rsidR="000378E5" w:rsidRDefault="000378E5" w:rsidP="00183058">
      <w:pPr>
        <w:pStyle w:val="ListParagraph"/>
        <w:numPr>
          <w:ilvl w:val="0"/>
          <w:numId w:val="7"/>
        </w:numPr>
      </w:pPr>
      <w:r>
        <w:t xml:space="preserve">minor breaking changes - business content corrections and technical corrections/changes </w:t>
      </w:r>
    </w:p>
    <w:p w14:paraId="55B5ECE1" w14:textId="77777777" w:rsidR="000378E5" w:rsidRDefault="000378E5" w:rsidP="00183058">
      <w:pPr>
        <w:pStyle w:val="ListParagraph"/>
        <w:numPr>
          <w:ilvl w:val="0"/>
          <w:numId w:val="7"/>
        </w:numPr>
      </w:pPr>
      <w:r>
        <w:t>non-breaking revisions (primarily validation rule and label changes and technical level fixes)</w:t>
      </w:r>
      <w:r>
        <w:rPr>
          <w:rStyle w:val="FootnoteReference"/>
        </w:rPr>
        <w:footnoteReference w:id="16"/>
      </w:r>
    </w:p>
    <w:p w14:paraId="55B5ECE2" w14:textId="77777777" w:rsidR="000378E5" w:rsidRDefault="000378E5" w:rsidP="00183058">
      <w:pPr>
        <w:pStyle w:val="ListParagraph"/>
        <w:numPr>
          <w:ilvl w:val="0"/>
          <w:numId w:val="7"/>
        </w:numPr>
      </w:pPr>
      <w:r>
        <w:t>possible modifier for internal and public working versions</w:t>
      </w:r>
      <w:r>
        <w:rPr>
          <w:rStyle w:val="FootnoteReference"/>
        </w:rPr>
        <w:footnoteReference w:id="17"/>
      </w:r>
      <w:r>
        <w:t xml:space="preserve"> </w:t>
      </w:r>
    </w:p>
    <w:p w14:paraId="55B5ECE3" w14:textId="77777777" w:rsidR="000378E5" w:rsidRDefault="000378E5" w:rsidP="000378E5">
      <w:proofErr w:type="gramStart"/>
      <w:r>
        <w:t xml:space="preserve">Where “breaking” is primarily defined as the capacity of XBRL systems to successfully </w:t>
      </w:r>
      <w:r w:rsidRPr="005E598F">
        <w:rPr>
          <w:u w:val="single"/>
        </w:rPr>
        <w:t>structurally</w:t>
      </w:r>
      <w:r>
        <w:t xml:space="preserve"> validate instance files based on either revision using either interchangeable.</w:t>
      </w:r>
      <w:proofErr w:type="gramEnd"/>
    </w:p>
    <w:p w14:paraId="55B5ECE4" w14:textId="77777777" w:rsidR="000378E5" w:rsidRDefault="000378E5" w:rsidP="000378E5">
      <w:r>
        <w:t>The components of the composite taxonomy (dictionary and individual reporting taxonomy versions) are numbered individually based on this system.</w:t>
      </w:r>
    </w:p>
    <w:p w14:paraId="55B5ECE5" w14:textId="77777777" w:rsidR="00B107EE" w:rsidRDefault="00B107EE" w:rsidP="000378E5"/>
    <w:p w14:paraId="55B5ECE6" w14:textId="77777777" w:rsidR="00B107EE" w:rsidRDefault="00B107EE" w:rsidP="00D515AE">
      <w:pPr>
        <w:pStyle w:val="Titlelevel2"/>
      </w:pPr>
      <w:r>
        <w:t>DPM Changes</w:t>
      </w:r>
    </w:p>
    <w:p w14:paraId="55B5ECE7" w14:textId="77777777" w:rsidR="00B107EE" w:rsidRDefault="00B107EE" w:rsidP="00183058">
      <w:pPr>
        <w:pStyle w:val="ListParagraph"/>
        <w:numPr>
          <w:ilvl w:val="0"/>
          <w:numId w:val="5"/>
        </w:numPr>
      </w:pPr>
      <w:r>
        <w:t>Open axis of F34.00.c changed from column to sheet as per Consultation feedback</w:t>
      </w:r>
    </w:p>
    <w:p w14:paraId="55B5ECE8" w14:textId="77777777" w:rsidR="00B107EE" w:rsidRDefault="00B107EE" w:rsidP="00183058">
      <w:pPr>
        <w:pStyle w:val="ListParagraph"/>
        <w:numPr>
          <w:ilvl w:val="0"/>
          <w:numId w:val="5"/>
        </w:numPr>
      </w:pPr>
      <w:r>
        <w:t>Hierarchies CU3 and GA5 replaced by CU3_1 and GA5_1 respectively. GA5_1 contains "Other Countries", CU3_1 contains "Other Currencies" (not currently to be used).</w:t>
      </w:r>
    </w:p>
    <w:p w14:paraId="55B5ECE9" w14:textId="77777777" w:rsidR="00B107EE" w:rsidRDefault="00B107EE" w:rsidP="00183058">
      <w:pPr>
        <w:pStyle w:val="ListParagraph"/>
        <w:numPr>
          <w:ilvl w:val="0"/>
          <w:numId w:val="5"/>
        </w:numPr>
      </w:pPr>
      <w:r>
        <w:t>Adjusted hierarchy in GA4 to indicate that non-geographic entities fall under/form part of "Other Countries"</w:t>
      </w:r>
    </w:p>
    <w:p w14:paraId="55B5ECEA" w14:textId="77777777" w:rsidR="00B107EE" w:rsidRDefault="00B107EE" w:rsidP="00183058">
      <w:pPr>
        <w:pStyle w:val="ListParagraph"/>
        <w:numPr>
          <w:ilvl w:val="0"/>
          <w:numId w:val="5"/>
        </w:numPr>
      </w:pPr>
      <w:r>
        <w:t>Removed erroneous restrictions on rows 320-340, col 110 on F 19.00.a (as reported in Public Consultation)</w:t>
      </w:r>
    </w:p>
    <w:p w14:paraId="55B5ECEB" w14:textId="77777777" w:rsidR="00B107EE" w:rsidRDefault="00B107EE" w:rsidP="00183058">
      <w:pPr>
        <w:pStyle w:val="ListParagraph"/>
        <w:numPr>
          <w:ilvl w:val="0"/>
          <w:numId w:val="5"/>
        </w:numPr>
      </w:pPr>
      <w:r>
        <w:lastRenderedPageBreak/>
        <w:t>Added missing restrictions on rows 020-440, col 037 on F 08.01.a (as reported in Public Consultation)</w:t>
      </w:r>
    </w:p>
    <w:p w14:paraId="55B5ECEC" w14:textId="77777777" w:rsidR="00B107EE" w:rsidRDefault="00B107EE" w:rsidP="00183058">
      <w:pPr>
        <w:pStyle w:val="ListParagraph"/>
        <w:numPr>
          <w:ilvl w:val="0"/>
          <w:numId w:val="5"/>
        </w:numPr>
      </w:pPr>
      <w:r>
        <w:t>Added missing restrictions on rows 020 and 030, column 022 in F 20.5</w:t>
      </w:r>
    </w:p>
    <w:p w14:paraId="55B5ECED" w14:textId="77777777" w:rsidR="00B107EE" w:rsidRDefault="00B107EE" w:rsidP="00183058">
      <w:pPr>
        <w:pStyle w:val="ListParagraph"/>
        <w:numPr>
          <w:ilvl w:val="0"/>
          <w:numId w:val="5"/>
        </w:numPr>
      </w:pPr>
      <w:r>
        <w:t>Label for F 18 column 070 changed from "…past-due &lt; 90" to "…past-due &lt;= 90"</w:t>
      </w:r>
    </w:p>
    <w:p w14:paraId="55B5ECEE" w14:textId="77777777" w:rsidR="00B107EE" w:rsidRDefault="00B107EE" w:rsidP="00183058">
      <w:pPr>
        <w:pStyle w:val="ListParagraph"/>
        <w:numPr>
          <w:ilvl w:val="0"/>
          <w:numId w:val="5"/>
        </w:numPr>
      </w:pPr>
      <w:r>
        <w:t>Additional attributes applied to column 170 in tables F 19 and F 18 to distinguish the data in these columns (as reported in Public Consultation)</w:t>
      </w:r>
    </w:p>
    <w:p w14:paraId="55B5ECEF" w14:textId="77777777" w:rsidR="00B107EE" w:rsidRDefault="00B107EE" w:rsidP="00183058">
      <w:pPr>
        <w:pStyle w:val="ListParagraph"/>
        <w:numPr>
          <w:ilvl w:val="0"/>
          <w:numId w:val="5"/>
        </w:numPr>
      </w:pPr>
      <w:r>
        <w:t xml:space="preserve">DB - Addition of (3rd) </w:t>
      </w:r>
      <w:proofErr w:type="spellStart"/>
      <w:r>
        <w:t>CellPosition</w:t>
      </w:r>
      <w:proofErr w:type="spellEnd"/>
      <w:r>
        <w:t xml:space="preserve"> records (for ordinate with code "999") for cells (on tables with) with open z axes. Inclusion of DPM table layout queries, removal of erroneous out-of-date queries.</w:t>
      </w:r>
    </w:p>
    <w:p w14:paraId="55B5ECF0" w14:textId="77777777" w:rsidR="00B107EE" w:rsidRDefault="00B107EE" w:rsidP="00183058">
      <w:pPr>
        <w:pStyle w:val="ListParagraph"/>
        <w:numPr>
          <w:ilvl w:val="0"/>
          <w:numId w:val="5"/>
        </w:numPr>
      </w:pPr>
      <w:proofErr w:type="spellStart"/>
      <w:r>
        <w:t>ContextOfDataPoints</w:t>
      </w:r>
      <w:proofErr w:type="spellEnd"/>
      <w:r>
        <w:t xml:space="preserve"> table now indicates whether the “default member</w:t>
      </w:r>
      <w:proofErr w:type="gramStart"/>
      <w:r>
        <w:t>”  is</w:t>
      </w:r>
      <w:proofErr w:type="gramEnd"/>
      <w:r>
        <w:t xml:space="preserve"> allowed for open dimensions (a default member does not appear in the XBRL context, so can cause complexity when mapping these </w:t>
      </w:r>
      <w:proofErr w:type="spellStart"/>
      <w:r>
        <w:t>datapoints</w:t>
      </w:r>
      <w:proofErr w:type="spellEnd"/>
      <w:r>
        <w:t xml:space="preserve"> if not expected) – </w:t>
      </w:r>
      <w:proofErr w:type="spellStart"/>
      <w:r>
        <w:t>Contextkey</w:t>
      </w:r>
      <w:proofErr w:type="spellEnd"/>
      <w:r>
        <w:t xml:space="preserve"> field includes “???” instead of “999” where the default member is allowed, XBRL context key includes “?” instead of “*”.</w:t>
      </w:r>
    </w:p>
    <w:p w14:paraId="55B5ECF1" w14:textId="77777777" w:rsidR="00B107EE" w:rsidRDefault="00B107EE" w:rsidP="00183058">
      <w:pPr>
        <w:pStyle w:val="ListParagraph"/>
        <w:numPr>
          <w:ilvl w:val="0"/>
          <w:numId w:val="5"/>
        </w:numPr>
      </w:pPr>
      <w:r>
        <w:t>More explicitly indicate which open axis tables the “All” member is allowed (only C 15).</w:t>
      </w:r>
    </w:p>
    <w:p w14:paraId="55B5ECF2" w14:textId="77777777" w:rsidR="00B107EE" w:rsidRDefault="00B107EE" w:rsidP="00183058">
      <w:pPr>
        <w:pStyle w:val="ListParagraph"/>
        <w:numPr>
          <w:ilvl w:val="0"/>
          <w:numId w:val="5"/>
        </w:numPr>
      </w:pPr>
      <w:r>
        <w:t xml:space="preserve">Concepts added for </w:t>
      </w:r>
      <w:proofErr w:type="spellStart"/>
      <w:r>
        <w:t>hierarchyNodes</w:t>
      </w:r>
      <w:proofErr w:type="spellEnd"/>
      <w:r>
        <w:t xml:space="preserve"> so as to indicate currency period (i.e. “from” and “to” dates for changes)</w:t>
      </w:r>
    </w:p>
    <w:p w14:paraId="55B5ECF3" w14:textId="77777777" w:rsidR="00B107EE" w:rsidRDefault="00B107EE" w:rsidP="00237B31">
      <w:pPr>
        <w:pStyle w:val="Titlelevel3"/>
      </w:pPr>
      <w:r>
        <w:t>Known Issues:</w:t>
      </w:r>
    </w:p>
    <w:p w14:paraId="55B5ECF4" w14:textId="77777777" w:rsidR="00B107EE" w:rsidRDefault="00B107EE" w:rsidP="00183058">
      <w:pPr>
        <w:pStyle w:val="ListParagraph"/>
        <w:numPr>
          <w:ilvl w:val="0"/>
          <w:numId w:val="5"/>
        </w:numPr>
      </w:pPr>
      <w:r>
        <w:t xml:space="preserve">C 06.00 Group Solvency - the Excel "template" includes a first line total section which is not represented in the DPM or XBRL reporting. Data for this line is not to be reported. </w:t>
      </w:r>
    </w:p>
    <w:p w14:paraId="55B5ECF5" w14:textId="77777777" w:rsidR="00B107EE" w:rsidRDefault="00B107EE" w:rsidP="00183058">
      <w:pPr>
        <w:pStyle w:val="ListParagraph"/>
        <w:numPr>
          <w:ilvl w:val="0"/>
          <w:numId w:val="5"/>
        </w:numPr>
      </w:pPr>
      <w:r>
        <w:t>Data type of C 14.00 column 180 ("Number of Exposures" is integer, not text or enumeration as implied by instructions ("institution shall report the letter code according to the relevant interval: (a) N&lt;6; (b) 6=N&lt;34 (c) 34=N&lt;=100; (d) 100&lt;N&lt;=1000; (e) N&gt;1000."). Institutions should report exact numbers of exposures rather than letter codes. The instructions will be changed in the near future.</w:t>
      </w:r>
    </w:p>
    <w:p w14:paraId="55B5ECF6" w14:textId="77777777" w:rsidR="00B107EE" w:rsidRDefault="00B107EE" w:rsidP="00183058">
      <w:pPr>
        <w:pStyle w:val="ListParagraph"/>
        <w:numPr>
          <w:ilvl w:val="0"/>
          <w:numId w:val="5"/>
        </w:numPr>
      </w:pPr>
      <w:r>
        <w:t>Hierarchies GA1, GA2 and GA3 are not currently used anywhere</w:t>
      </w:r>
    </w:p>
    <w:p w14:paraId="55B5ECF7" w14:textId="77777777" w:rsidR="00B107EE" w:rsidRDefault="00B107EE" w:rsidP="00D515AE">
      <w:pPr>
        <w:pStyle w:val="Titlelevel2"/>
      </w:pPr>
      <w:r>
        <w:t>Other Taxonomy Changes</w:t>
      </w:r>
    </w:p>
    <w:p w14:paraId="55B5ECF8" w14:textId="77777777" w:rsidR="00B107EE" w:rsidRDefault="00B107EE" w:rsidP="00D515AE">
      <w:pPr>
        <w:pStyle w:val="Titlelevel3"/>
      </w:pPr>
      <w:r>
        <w:t>Bug Fixes:</w:t>
      </w:r>
    </w:p>
    <w:p w14:paraId="55B5ECF9" w14:textId="77777777" w:rsidR="00B107EE" w:rsidRDefault="00B107EE" w:rsidP="00183058">
      <w:pPr>
        <w:pStyle w:val="ListParagraph"/>
        <w:numPr>
          <w:ilvl w:val="0"/>
          <w:numId w:val="5"/>
        </w:numPr>
      </w:pPr>
      <w:r>
        <w:t xml:space="preserve">New </w:t>
      </w:r>
      <w:proofErr w:type="spellStart"/>
      <w:r>
        <w:t>Eurofiling</w:t>
      </w:r>
      <w:proofErr w:type="spellEnd"/>
      <w:r>
        <w:t xml:space="preserve"> interval arithmetic file included, corrects </w:t>
      </w:r>
      <w:r w:rsidRPr="00BC2D1D">
        <w:t>calculation of threshold for product and division where operands are of different sign</w:t>
      </w:r>
    </w:p>
    <w:p w14:paraId="55B5ECFA" w14:textId="77777777" w:rsidR="00B107EE" w:rsidRDefault="00B107EE" w:rsidP="00183058">
      <w:pPr>
        <w:pStyle w:val="ListParagraph"/>
        <w:numPr>
          <w:ilvl w:val="0"/>
          <w:numId w:val="5"/>
        </w:numPr>
      </w:pPr>
      <w:r>
        <w:t>Systematic mapping error for sums over an open axis in validation rules corrected (several rules reactivated as a result)</w:t>
      </w:r>
    </w:p>
    <w:p w14:paraId="55B5ECFB" w14:textId="77777777" w:rsidR="00B107EE" w:rsidRDefault="00B107EE" w:rsidP="00183058">
      <w:pPr>
        <w:pStyle w:val="ListParagraph"/>
        <w:numPr>
          <w:ilvl w:val="0"/>
          <w:numId w:val="5"/>
        </w:numPr>
      </w:pPr>
      <w:r>
        <w:t>Incorrect inclusion of some tables in modules via incorrectly defined assertion sets corrected.</w:t>
      </w:r>
    </w:p>
    <w:p w14:paraId="55B5ECFC" w14:textId="77777777" w:rsidR="00B107EE" w:rsidRDefault="00B107EE" w:rsidP="00183058">
      <w:pPr>
        <w:pStyle w:val="ListParagraph"/>
        <w:numPr>
          <w:ilvl w:val="0"/>
          <w:numId w:val="5"/>
        </w:numPr>
      </w:pPr>
      <w:r>
        <w:t xml:space="preserve">Corrected exclusion of default member from open axis </w:t>
      </w:r>
      <w:proofErr w:type="spellStart"/>
      <w:r>
        <w:t>hypercubes</w:t>
      </w:r>
      <w:proofErr w:type="spellEnd"/>
      <w:r>
        <w:t xml:space="preserve"> (where required)</w:t>
      </w:r>
    </w:p>
    <w:p w14:paraId="55B5ECFD" w14:textId="77777777" w:rsidR="00B107EE" w:rsidRDefault="00B107EE" w:rsidP="00D515AE">
      <w:pPr>
        <w:pStyle w:val="Titlelevel3"/>
      </w:pPr>
      <w:r>
        <w:t>Changes</w:t>
      </w:r>
    </w:p>
    <w:p w14:paraId="55B5ECFE" w14:textId="77777777" w:rsidR="00B107EE" w:rsidRDefault="00B107EE" w:rsidP="00B107EE">
      <w:r>
        <w:t xml:space="preserve"> Triggering of validation rules (via preconditions) limited to only the exact set of tables as specified in the validation rule documentation, rather than previous approach of taking into account where identical data points enabled the same rule to be applied on other (sets of) tables. Validation messages should now more closely align with the identified problem.</w:t>
      </w:r>
    </w:p>
    <w:p w14:paraId="55B5ECFF" w14:textId="77777777" w:rsidR="00237B31" w:rsidRDefault="00237B31" w:rsidP="00237B31">
      <w:pPr>
        <w:pStyle w:val="Heading2"/>
      </w:pPr>
      <w:r w:rsidRPr="00237B31">
        <w:lastRenderedPageBreak/>
        <w:t xml:space="preserve">v2.1.0 (“2014/03” Package) </w:t>
      </w:r>
    </w:p>
    <w:p w14:paraId="55B5ED00" w14:textId="77777777" w:rsidR="00237B31" w:rsidRDefault="00237B31" w:rsidP="00237B31">
      <w:pPr>
        <w:pStyle w:val="Subtitle"/>
      </w:pPr>
      <w:r w:rsidRPr="00237B31">
        <w:t>Public Consultation</w:t>
      </w:r>
    </w:p>
    <w:p w14:paraId="55B5ED01" w14:textId="77777777" w:rsidR="000378E5" w:rsidRDefault="000378E5" w:rsidP="000378E5">
      <w:pPr>
        <w:pStyle w:val="Heading1"/>
      </w:pPr>
      <w:r>
        <w:t>v2.1.0 (“2014/03” Package) Public Consultation</w:t>
      </w:r>
    </w:p>
    <w:p w14:paraId="55B5ED02" w14:textId="77777777" w:rsidR="000378E5" w:rsidRDefault="000378E5" w:rsidP="00D515AE">
      <w:pPr>
        <w:pStyle w:val="Titlelevel3"/>
      </w:pPr>
      <w:r>
        <w:t xml:space="preserve">Differences c.f. DPMs </w:t>
      </w:r>
      <w:r w:rsidRPr="00F37007">
        <w:t>published</w:t>
      </w:r>
      <w:r>
        <w:t xml:space="preserve"> accompanying ITS.</w:t>
      </w:r>
    </w:p>
    <w:p w14:paraId="55B5ED03" w14:textId="77777777" w:rsidR="000378E5" w:rsidRDefault="000378E5" w:rsidP="00183058">
      <w:pPr>
        <w:pStyle w:val="ListParagraph"/>
        <w:numPr>
          <w:ilvl w:val="0"/>
          <w:numId w:val="5"/>
        </w:numPr>
      </w:pPr>
      <w:r>
        <w:t>Addition of general information table A00.01 (equivalent to C00.01 and F00.01, to be reported with all Asset encumbrance instances).</w:t>
      </w:r>
    </w:p>
    <w:p w14:paraId="55B5ED04" w14:textId="77777777" w:rsidR="000378E5" w:rsidRDefault="000378E5" w:rsidP="00D515AE">
      <w:pPr>
        <w:pStyle w:val="Titlelevel3"/>
      </w:pPr>
      <w:r>
        <w:t xml:space="preserve">Corrections to align with </w:t>
      </w:r>
      <w:proofErr w:type="gramStart"/>
      <w:r>
        <w:t>ITS</w:t>
      </w:r>
      <w:proofErr w:type="gramEnd"/>
      <w:r>
        <w:t xml:space="preserve">, that are not “backwards compatible at the instance level”: </w:t>
      </w:r>
    </w:p>
    <w:p w14:paraId="55B5ED05" w14:textId="77777777" w:rsidR="000378E5" w:rsidRDefault="000378E5" w:rsidP="00183058">
      <w:pPr>
        <w:pStyle w:val="ListParagraph"/>
        <w:numPr>
          <w:ilvl w:val="0"/>
          <w:numId w:val="4"/>
        </w:numPr>
      </w:pPr>
      <w:r>
        <w:t>C02.00 r210 (“Equity”) changed MC member used in order to align with C07.00a</w:t>
      </w:r>
      <w:r>
        <w:tab/>
      </w:r>
    </w:p>
    <w:p w14:paraId="55B5ED06" w14:textId="77777777" w:rsidR="000378E5" w:rsidRPr="005A5FF7" w:rsidRDefault="000378E5" w:rsidP="00183058">
      <w:pPr>
        <w:pStyle w:val="ListParagraph"/>
        <w:numPr>
          <w:ilvl w:val="0"/>
          <w:numId w:val="4"/>
        </w:numPr>
        <w:rPr>
          <w:i/>
        </w:rPr>
      </w:pPr>
      <w:r w:rsidRPr="005A5FF7">
        <w:rPr>
          <w:i/>
        </w:rPr>
        <w:t xml:space="preserve">C07.00 (all </w:t>
      </w:r>
      <w:proofErr w:type="spellStart"/>
      <w:r w:rsidRPr="005A5FF7">
        <w:rPr>
          <w:i/>
        </w:rPr>
        <w:t>subtables</w:t>
      </w:r>
      <w:proofErr w:type="spellEnd"/>
      <w:r w:rsidRPr="005A5FF7">
        <w:rPr>
          <w:i/>
        </w:rPr>
        <w:t>) delete c020 (“Of which: arising from default fund contributions”)</w:t>
      </w:r>
    </w:p>
    <w:p w14:paraId="55B5ED07" w14:textId="77777777" w:rsidR="000378E5" w:rsidRDefault="000378E5" w:rsidP="00183058">
      <w:pPr>
        <w:pStyle w:val="ListParagraph"/>
        <w:numPr>
          <w:ilvl w:val="0"/>
          <w:numId w:val="4"/>
        </w:numPr>
      </w:pPr>
      <w:r>
        <w:t>C09.01 restriction (grey shading) removed for c050 to c060 of r100</w:t>
      </w:r>
    </w:p>
    <w:p w14:paraId="55B5ED08" w14:textId="77777777" w:rsidR="000378E5" w:rsidRDefault="000378E5" w:rsidP="00183058">
      <w:pPr>
        <w:pStyle w:val="ListParagraph"/>
        <w:numPr>
          <w:ilvl w:val="0"/>
          <w:numId w:val="4"/>
        </w:numPr>
      </w:pPr>
      <w:r>
        <w:t>C25.00 added restriction (grey shading) to {r030, c110} and {r040, c110}</w:t>
      </w:r>
      <w:r>
        <w:tab/>
      </w:r>
    </w:p>
    <w:p w14:paraId="55B5ED09" w14:textId="77777777" w:rsidR="000378E5" w:rsidRDefault="000378E5" w:rsidP="00183058">
      <w:pPr>
        <w:pStyle w:val="ListParagraph"/>
        <w:numPr>
          <w:ilvl w:val="0"/>
          <w:numId w:val="4"/>
        </w:numPr>
      </w:pPr>
      <w:r>
        <w:t>F08.01 (</w:t>
      </w:r>
      <w:proofErr w:type="spellStart"/>
      <w:r>
        <w:t>a+b</w:t>
      </w:r>
      <w:proofErr w:type="spellEnd"/>
      <w:r>
        <w:t>) missing column 037 (“Hedge Accounting”) added (identical to F1.2 row 150)</w:t>
      </w:r>
    </w:p>
    <w:p w14:paraId="55B5ED0A" w14:textId="77777777" w:rsidR="000378E5" w:rsidRPr="005A5FF7" w:rsidRDefault="000378E5" w:rsidP="00183058">
      <w:pPr>
        <w:pStyle w:val="ListParagraph"/>
        <w:numPr>
          <w:ilvl w:val="0"/>
          <w:numId w:val="4"/>
        </w:numPr>
        <w:rPr>
          <w:i/>
        </w:rPr>
      </w:pPr>
      <w:r>
        <w:t>F40.01 missing column 095 added (modelled similarly to C27.00 counterparty sector)</w:t>
      </w:r>
    </w:p>
    <w:p w14:paraId="55B5ED0B" w14:textId="77777777" w:rsidR="000378E5" w:rsidRDefault="000378E5" w:rsidP="00183058">
      <w:pPr>
        <w:pStyle w:val="ListParagraph"/>
        <w:numPr>
          <w:ilvl w:val="0"/>
          <w:numId w:val="4"/>
        </w:numPr>
      </w:pPr>
      <w:r>
        <w:t>F41.02 deleted restriction of {r020, c030}</w:t>
      </w:r>
      <w:r>
        <w:tab/>
      </w:r>
    </w:p>
    <w:p w14:paraId="55B5ED0C" w14:textId="77777777" w:rsidR="000378E5" w:rsidRDefault="000378E5" w:rsidP="00183058">
      <w:pPr>
        <w:pStyle w:val="ListParagraph"/>
        <w:numPr>
          <w:ilvl w:val="0"/>
          <w:numId w:val="4"/>
        </w:numPr>
      </w:pPr>
      <w:r>
        <w:t>PL members' names corrected. The term “designated” deleted in the following cases:</w:t>
      </w:r>
      <w:r>
        <w:tab/>
      </w:r>
    </w:p>
    <w:p w14:paraId="55B5ED0D" w14:textId="77777777" w:rsidR="000378E5" w:rsidRPr="00E05D74" w:rsidRDefault="000378E5" w:rsidP="00183058">
      <w:pPr>
        <w:pStyle w:val="ListParagraph"/>
        <w:numPr>
          <w:ilvl w:val="1"/>
          <w:numId w:val="4"/>
        </w:numPr>
        <w:rPr>
          <w:sz w:val="20"/>
        </w:rPr>
      </w:pPr>
      <w:r w:rsidRPr="00E05D74">
        <w:rPr>
          <w:sz w:val="20"/>
        </w:rPr>
        <w:t>2591</w:t>
      </w:r>
      <w:r w:rsidRPr="00E05D74">
        <w:rPr>
          <w:sz w:val="20"/>
        </w:rPr>
        <w:tab/>
        <w:t>PL</w:t>
      </w:r>
      <w:proofErr w:type="gramStart"/>
      <w:r w:rsidRPr="00E05D74">
        <w:rPr>
          <w:sz w:val="20"/>
        </w:rPr>
        <w:t>:x19</w:t>
      </w:r>
      <w:proofErr w:type="gramEnd"/>
      <w:r w:rsidRPr="00E05D74">
        <w:rPr>
          <w:sz w:val="20"/>
        </w:rPr>
        <w:tab/>
        <w:t xml:space="preserve">Financial assets designated at fair value through profit or loss. Hybrid contracts </w:t>
      </w:r>
      <w:r w:rsidRPr="00E05D74">
        <w:rPr>
          <w:strike/>
          <w:sz w:val="20"/>
        </w:rPr>
        <w:t>designated</w:t>
      </w:r>
      <w:r w:rsidRPr="00E05D74">
        <w:rPr>
          <w:sz w:val="20"/>
        </w:rPr>
        <w:t xml:space="preserve">, </w:t>
      </w:r>
      <w:proofErr w:type="gramStart"/>
      <w:r w:rsidRPr="00E05D74">
        <w:rPr>
          <w:sz w:val="20"/>
        </w:rPr>
        <w:t>Financial</w:t>
      </w:r>
      <w:proofErr w:type="gramEnd"/>
      <w:r w:rsidRPr="00E05D74">
        <w:rPr>
          <w:sz w:val="20"/>
        </w:rPr>
        <w:t xml:space="preserve"> liabilities designated at fair value through profit or loss. Hybrid contracts </w:t>
      </w:r>
      <w:r w:rsidRPr="00E05D74">
        <w:rPr>
          <w:strike/>
          <w:sz w:val="20"/>
        </w:rPr>
        <w:t>designated</w:t>
      </w:r>
    </w:p>
    <w:p w14:paraId="55B5ED0E" w14:textId="77777777" w:rsidR="000378E5" w:rsidRPr="00E05D74" w:rsidRDefault="000378E5" w:rsidP="00183058">
      <w:pPr>
        <w:pStyle w:val="ListParagraph"/>
        <w:numPr>
          <w:ilvl w:val="1"/>
          <w:numId w:val="4"/>
        </w:numPr>
        <w:rPr>
          <w:sz w:val="20"/>
        </w:rPr>
      </w:pPr>
      <w:r w:rsidRPr="00E05D74">
        <w:rPr>
          <w:sz w:val="20"/>
        </w:rPr>
        <w:t>3205</w:t>
      </w:r>
      <w:r w:rsidRPr="00E05D74">
        <w:rPr>
          <w:sz w:val="20"/>
        </w:rPr>
        <w:tab/>
        <w:t>PL</w:t>
      </w:r>
      <w:proofErr w:type="gramStart"/>
      <w:r w:rsidRPr="00E05D74">
        <w:rPr>
          <w:sz w:val="20"/>
        </w:rPr>
        <w:t>:x55</w:t>
      </w:r>
      <w:proofErr w:type="gramEnd"/>
      <w:r w:rsidRPr="00E05D74">
        <w:rPr>
          <w:sz w:val="20"/>
        </w:rPr>
        <w:tab/>
        <w:t xml:space="preserve">Financial liabilities designated at fair value through profit or loss. Hybrid contracts </w:t>
      </w:r>
      <w:r w:rsidRPr="00E05D74">
        <w:rPr>
          <w:strike/>
          <w:sz w:val="20"/>
        </w:rPr>
        <w:t>designated</w:t>
      </w:r>
    </w:p>
    <w:p w14:paraId="55B5ED0F" w14:textId="77777777" w:rsidR="000378E5" w:rsidRDefault="000378E5" w:rsidP="00183058">
      <w:pPr>
        <w:pStyle w:val="ListParagraph"/>
        <w:numPr>
          <w:ilvl w:val="1"/>
          <w:numId w:val="4"/>
        </w:numPr>
      </w:pPr>
      <w:r w:rsidRPr="00E05D74">
        <w:rPr>
          <w:sz w:val="20"/>
        </w:rPr>
        <w:t>3208</w:t>
      </w:r>
      <w:r w:rsidRPr="00E05D74">
        <w:rPr>
          <w:sz w:val="20"/>
        </w:rPr>
        <w:tab/>
        <w:t>PL</w:t>
      </w:r>
      <w:proofErr w:type="gramStart"/>
      <w:r w:rsidRPr="00E05D74">
        <w:rPr>
          <w:sz w:val="20"/>
        </w:rPr>
        <w:t>:x58</w:t>
      </w:r>
      <w:proofErr w:type="gramEnd"/>
      <w:r w:rsidRPr="00E05D74">
        <w:rPr>
          <w:sz w:val="20"/>
        </w:rPr>
        <w:tab/>
        <w:t xml:space="preserve">Financial assets designated at fair value through profit or loss. Hybrid contracts </w:t>
      </w:r>
      <w:r w:rsidRPr="00E05D74">
        <w:rPr>
          <w:strike/>
          <w:sz w:val="20"/>
        </w:rPr>
        <w:t>designated</w:t>
      </w:r>
      <w:r>
        <w:tab/>
      </w:r>
    </w:p>
    <w:p w14:paraId="55B5ED10" w14:textId="77777777" w:rsidR="000378E5" w:rsidRDefault="000378E5" w:rsidP="00D515AE">
      <w:pPr>
        <w:pStyle w:val="Titlelevel3"/>
      </w:pPr>
      <w:r>
        <w:t>Incremental addition of Asset Encumbrance reporting requirements:</w:t>
      </w:r>
    </w:p>
    <w:p w14:paraId="55B5ED11" w14:textId="77777777" w:rsidR="000378E5" w:rsidRDefault="000378E5" w:rsidP="00183058">
      <w:pPr>
        <w:pStyle w:val="ListParagraph"/>
        <w:numPr>
          <w:ilvl w:val="0"/>
          <w:numId w:val="4"/>
        </w:numPr>
      </w:pPr>
      <w:r>
        <w:t>New framework and taxonomy</w:t>
      </w:r>
    </w:p>
    <w:p w14:paraId="55B5ED12" w14:textId="77777777" w:rsidR="000378E5" w:rsidRDefault="000378E5" w:rsidP="00183058">
      <w:pPr>
        <w:pStyle w:val="ListParagraph"/>
        <w:numPr>
          <w:ilvl w:val="0"/>
          <w:numId w:val="4"/>
        </w:numPr>
      </w:pPr>
      <w:r>
        <w:t>New tables F32.xx-F36.xx</w:t>
      </w:r>
    </w:p>
    <w:p w14:paraId="55B5ED13" w14:textId="77777777" w:rsidR="000378E5" w:rsidRDefault="000378E5" w:rsidP="00183058">
      <w:pPr>
        <w:pStyle w:val="ListParagraph"/>
        <w:numPr>
          <w:ilvl w:val="0"/>
          <w:numId w:val="4"/>
        </w:numPr>
      </w:pPr>
      <w:r>
        <w:t>Additional members in TI, MC and AT</w:t>
      </w:r>
    </w:p>
    <w:p w14:paraId="55B5ED14" w14:textId="77777777" w:rsidR="00237B31" w:rsidRDefault="00237B31" w:rsidP="00237B31">
      <w:pPr>
        <w:pStyle w:val="ListParagraph"/>
      </w:pPr>
    </w:p>
    <w:p w14:paraId="55B5ED15" w14:textId="77777777" w:rsidR="000378E5" w:rsidRDefault="000378E5" w:rsidP="00237B31">
      <w:pPr>
        <w:pStyle w:val="Titlelevel3"/>
      </w:pPr>
      <w:r>
        <w:t>Addition of Forbearance and Non-performing Exposures, and consequent adjustments to existing FINREP tables:</w:t>
      </w:r>
    </w:p>
    <w:p w14:paraId="55B5ED16" w14:textId="77777777" w:rsidR="000378E5" w:rsidRDefault="000378E5" w:rsidP="00183058">
      <w:pPr>
        <w:pStyle w:val="ListParagraph"/>
        <w:numPr>
          <w:ilvl w:val="0"/>
          <w:numId w:val="4"/>
        </w:numPr>
      </w:pPr>
      <w:r>
        <w:t>New tables in FINREP part 1, F18.xx and F19.xx</w:t>
      </w:r>
    </w:p>
    <w:p w14:paraId="55B5ED17" w14:textId="77777777" w:rsidR="000378E5" w:rsidRDefault="000378E5" w:rsidP="00183058">
      <w:pPr>
        <w:pStyle w:val="ListParagraph"/>
        <w:numPr>
          <w:ilvl w:val="0"/>
          <w:numId w:val="4"/>
        </w:numPr>
      </w:pPr>
      <w:r>
        <w:t>F06.00 added c012(“Of which: non-performing”)</w:t>
      </w:r>
    </w:p>
    <w:p w14:paraId="55B5ED18" w14:textId="77777777" w:rsidR="000378E5" w:rsidRDefault="000378E5" w:rsidP="00183058">
      <w:pPr>
        <w:pStyle w:val="ListParagraph"/>
        <w:numPr>
          <w:ilvl w:val="0"/>
          <w:numId w:val="4"/>
        </w:numPr>
      </w:pPr>
      <w:r>
        <w:t>F09.01 added r021,r101,r181 (“Of which: non-performing”), removed r020,r100,r180</w:t>
      </w:r>
      <w:r>
        <w:tab/>
        <w:t>(“Of which: Defaulted”)</w:t>
      </w:r>
    </w:p>
    <w:p w14:paraId="55B5ED19" w14:textId="77777777" w:rsidR="000378E5" w:rsidRDefault="000378E5" w:rsidP="00183058">
      <w:pPr>
        <w:pStyle w:val="ListParagraph"/>
        <w:numPr>
          <w:ilvl w:val="0"/>
          <w:numId w:val="4"/>
        </w:numPr>
      </w:pPr>
      <w:r>
        <w:lastRenderedPageBreak/>
        <w:t>F20.04 removed c020 (“Of which: defaulted”), added c022 (“Of which: debt forbearance”), c025 (“Of which: non performing”)</w:t>
      </w:r>
    </w:p>
    <w:p w14:paraId="55B5ED1A" w14:textId="77777777" w:rsidR="000378E5" w:rsidRDefault="000378E5" w:rsidP="00183058">
      <w:pPr>
        <w:pStyle w:val="ListParagraph"/>
        <w:numPr>
          <w:ilvl w:val="0"/>
          <w:numId w:val="4"/>
        </w:numPr>
      </w:pPr>
      <w:r>
        <w:t>F20.05a removed c020</w:t>
      </w:r>
      <w:r w:rsidRPr="0055681B">
        <w:t xml:space="preserve"> </w:t>
      </w:r>
      <w:proofErr w:type="spellStart"/>
      <w:r>
        <w:t>c020</w:t>
      </w:r>
      <w:proofErr w:type="spellEnd"/>
      <w:r>
        <w:t xml:space="preserve"> (“Of which: defaulted”), added c022 (“Of which: debt forbearance”), c025 (“Of which: non performing”)</w:t>
      </w:r>
    </w:p>
    <w:p w14:paraId="55B5ED1B" w14:textId="77777777" w:rsidR="000378E5" w:rsidRDefault="000378E5" w:rsidP="00183058">
      <w:pPr>
        <w:pStyle w:val="ListParagraph"/>
        <w:numPr>
          <w:ilvl w:val="0"/>
          <w:numId w:val="4"/>
        </w:numPr>
      </w:pPr>
      <w:r>
        <w:t>F20.07 add r012 (“Of which: non performing”)</w:t>
      </w:r>
      <w:r>
        <w:tab/>
      </w:r>
    </w:p>
    <w:p w14:paraId="55B5ED1C" w14:textId="77777777" w:rsidR="000378E5" w:rsidRDefault="000378E5" w:rsidP="00183058">
      <w:pPr>
        <w:pStyle w:val="ListParagraph"/>
        <w:numPr>
          <w:ilvl w:val="0"/>
          <w:numId w:val="4"/>
        </w:numPr>
      </w:pPr>
      <w:r>
        <w:t>F30.02 removed r020 (“of which: non performing”),r130 (“of which: defaulted”),  added r021, r131 (both “of which: non performing”)</w:t>
      </w:r>
    </w:p>
    <w:p w14:paraId="55B5ED1D" w14:textId="77777777" w:rsidR="000378E5" w:rsidRDefault="000378E5" w:rsidP="00183058">
      <w:pPr>
        <w:pStyle w:val="ListParagraph"/>
        <w:numPr>
          <w:ilvl w:val="0"/>
          <w:numId w:val="4"/>
        </w:numPr>
      </w:pPr>
      <w:r>
        <w:t>F31.01 changed categorisation of r100 (“of which: defaulted”)</w:t>
      </w:r>
    </w:p>
    <w:p w14:paraId="55B5ED1E" w14:textId="77777777" w:rsidR="000378E5" w:rsidRDefault="000378E5" w:rsidP="00183058">
      <w:pPr>
        <w:pStyle w:val="ListParagraph"/>
        <w:numPr>
          <w:ilvl w:val="0"/>
          <w:numId w:val="4"/>
        </w:numPr>
      </w:pPr>
      <w:r>
        <w:t>New Dimensions PFS (performing status) and FBS (Forbearance status)</w:t>
      </w:r>
    </w:p>
    <w:p w14:paraId="55B5ED1F" w14:textId="77777777" w:rsidR="000378E5" w:rsidRDefault="000378E5" w:rsidP="00183058">
      <w:pPr>
        <w:pStyle w:val="ListParagraph"/>
        <w:numPr>
          <w:ilvl w:val="0"/>
          <w:numId w:val="4"/>
        </w:numPr>
      </w:pPr>
      <w:r>
        <w:t>Additional members in IM and PL</w:t>
      </w:r>
    </w:p>
    <w:p w14:paraId="55B5ED20" w14:textId="77777777" w:rsidR="00237B31" w:rsidRDefault="00237B31" w:rsidP="00237B31">
      <w:pPr>
        <w:pStyle w:val="ListParagraph"/>
      </w:pPr>
    </w:p>
    <w:p w14:paraId="55B5ED21" w14:textId="77777777" w:rsidR="000378E5" w:rsidRDefault="000378E5" w:rsidP="00237B31">
      <w:pPr>
        <w:pStyle w:val="Titlelevel3"/>
      </w:pPr>
      <w:r>
        <w:t xml:space="preserve">Minor corrections to labelling to align with EC publication of </w:t>
      </w:r>
      <w:proofErr w:type="gramStart"/>
      <w:r>
        <w:t>ITS</w:t>
      </w:r>
      <w:proofErr w:type="gramEnd"/>
      <w:r>
        <w:t>:</w:t>
      </w:r>
    </w:p>
    <w:p w14:paraId="55B5ED22" w14:textId="77777777" w:rsidR="000378E5" w:rsidRPr="00867180" w:rsidRDefault="000378E5" w:rsidP="00183058">
      <w:pPr>
        <w:pStyle w:val="ListParagraph"/>
        <w:numPr>
          <w:ilvl w:val="0"/>
          <w:numId w:val="4"/>
        </w:numPr>
      </w:pPr>
      <w:r w:rsidRPr="00867180">
        <w:t>C05.02 corrected label of r090 and r120 to r140</w:t>
      </w:r>
    </w:p>
    <w:p w14:paraId="55B5ED23" w14:textId="77777777" w:rsidR="00237B31" w:rsidRDefault="000378E5" w:rsidP="00183058">
      <w:pPr>
        <w:pStyle w:val="ListParagraph"/>
        <w:numPr>
          <w:ilvl w:val="0"/>
          <w:numId w:val="4"/>
        </w:numPr>
      </w:pPr>
      <w:r w:rsidRPr="00867180">
        <w:t>F40.0</w:t>
      </w:r>
      <w:r w:rsidR="00237B31">
        <w:t>1 corrected label of column 090</w:t>
      </w:r>
    </w:p>
    <w:p w14:paraId="55B5ED24" w14:textId="77777777" w:rsidR="00237B31" w:rsidRDefault="00237B31" w:rsidP="00237B31">
      <w:pPr>
        <w:pStyle w:val="Heading2"/>
      </w:pPr>
      <w:r w:rsidRPr="00237B31">
        <w:t>v2.0.1 (Technical correction release)</w:t>
      </w:r>
    </w:p>
    <w:p w14:paraId="55B5ED25" w14:textId="77777777" w:rsidR="000378E5" w:rsidRDefault="000378E5" w:rsidP="00237B31">
      <w:r>
        <w:t xml:space="preserve">Bug Fix – duplicate locator links in some files </w:t>
      </w:r>
    </w:p>
    <w:p w14:paraId="55B5ED26" w14:textId="77777777" w:rsidR="00237B31" w:rsidRPr="001F59D5" w:rsidRDefault="00237B31" w:rsidP="00237B31">
      <w:pPr>
        <w:pStyle w:val="Heading2"/>
      </w:pPr>
      <w:r>
        <w:t>v2.0.0 (Public Release)</w:t>
      </w:r>
    </w:p>
    <w:p w14:paraId="55B5ED27" w14:textId="77777777" w:rsidR="000378E5" w:rsidRDefault="000378E5" w:rsidP="00D515AE">
      <w:pPr>
        <w:pStyle w:val="Titlelevel3"/>
      </w:pPr>
      <w:r>
        <w:t>Bug Fixes:</w:t>
      </w:r>
    </w:p>
    <w:p w14:paraId="55B5ED28" w14:textId="77777777" w:rsidR="000378E5" w:rsidRDefault="000378E5" w:rsidP="00183058">
      <w:pPr>
        <w:pStyle w:val="ListParagraph"/>
        <w:numPr>
          <w:ilvl w:val="0"/>
          <w:numId w:val="4"/>
        </w:numPr>
      </w:pPr>
      <w:r>
        <w:t>Systematic mapping error affecting many Hierarchies (resulting in them being out of order) corrected.</w:t>
      </w:r>
    </w:p>
    <w:p w14:paraId="55B5ED29" w14:textId="77777777" w:rsidR="000378E5" w:rsidRDefault="000378E5" w:rsidP="00183058">
      <w:pPr>
        <w:pStyle w:val="ListParagraph"/>
        <w:numPr>
          <w:ilvl w:val="0"/>
          <w:numId w:val="4"/>
        </w:numPr>
      </w:pPr>
      <w:r>
        <w:t xml:space="preserve">Inclusion of </w:t>
      </w:r>
      <w:proofErr w:type="spellStart"/>
      <w:r>
        <w:t>RewriteUri</w:t>
      </w:r>
      <w:proofErr w:type="spellEnd"/>
      <w:r>
        <w:t xml:space="preserve"> element in catalog.xml</w:t>
      </w:r>
    </w:p>
    <w:p w14:paraId="55B5ED2A" w14:textId="77777777" w:rsidR="000378E5" w:rsidRDefault="000378E5" w:rsidP="00183058">
      <w:pPr>
        <w:pStyle w:val="ListParagraph"/>
        <w:numPr>
          <w:ilvl w:val="0"/>
          <w:numId w:val="4"/>
        </w:numPr>
      </w:pPr>
      <w:r>
        <w:t>Removal of .taxonomyPackage.xml file</w:t>
      </w:r>
    </w:p>
    <w:p w14:paraId="55B5ED2B" w14:textId="77777777" w:rsidR="000378E5" w:rsidRDefault="000378E5" w:rsidP="00183058">
      <w:pPr>
        <w:pStyle w:val="ListParagraph"/>
        <w:numPr>
          <w:ilvl w:val="0"/>
          <w:numId w:val="4"/>
        </w:numPr>
      </w:pPr>
      <w:r>
        <w:t>Interval Arithmetic libraries updated</w:t>
      </w:r>
    </w:p>
    <w:p w14:paraId="55B5ED2C" w14:textId="77777777" w:rsidR="000378E5" w:rsidRDefault="000378E5" w:rsidP="00183058">
      <w:pPr>
        <w:pStyle w:val="ListParagraph"/>
        <w:numPr>
          <w:ilvl w:val="1"/>
          <w:numId w:val="4"/>
        </w:numPr>
      </w:pPr>
      <w:r>
        <w:t>Handle “INF” for decimal attributes</w:t>
      </w:r>
    </w:p>
    <w:p w14:paraId="55B5ED2D" w14:textId="77777777" w:rsidR="000378E5" w:rsidRDefault="000378E5" w:rsidP="00183058">
      <w:pPr>
        <w:pStyle w:val="ListParagraph"/>
        <w:numPr>
          <w:ilvl w:val="1"/>
          <w:numId w:val="4"/>
        </w:numPr>
      </w:pPr>
      <w:r>
        <w:t xml:space="preserve">Handle empty sequences </w:t>
      </w:r>
    </w:p>
    <w:p w14:paraId="55B5ED2E" w14:textId="77777777" w:rsidR="000378E5" w:rsidRDefault="000378E5" w:rsidP="00D515AE">
      <w:pPr>
        <w:pStyle w:val="Titlelevel3"/>
      </w:pPr>
      <w:r>
        <w:t>DPM Corrections</w:t>
      </w:r>
    </w:p>
    <w:p w14:paraId="55B5ED2F" w14:textId="77777777" w:rsidR="000378E5" w:rsidRDefault="000378E5" w:rsidP="00183058">
      <w:pPr>
        <w:pStyle w:val="ListParagraph"/>
        <w:numPr>
          <w:ilvl w:val="0"/>
          <w:numId w:val="4"/>
        </w:numPr>
      </w:pPr>
      <w:r>
        <w:t xml:space="preserve">Correction of naming of two flow type members, which were missing the “(flow)” required by naming convention used for metrics: </w:t>
      </w:r>
    </w:p>
    <w:p w14:paraId="55B5ED30" w14:textId="77777777" w:rsidR="00237B31" w:rsidRDefault="00237B31" w:rsidP="00237B31">
      <w:pPr>
        <w:pStyle w:val="ListParagraph"/>
      </w:pPr>
    </w:p>
    <w:p w14:paraId="55B5ED31" w14:textId="77777777" w:rsidR="000378E5" w:rsidRDefault="000378E5" w:rsidP="000378E5">
      <w:r>
        <w:t>1187 (md69)</w:t>
      </w:r>
      <w:r>
        <w:tab/>
        <w:t xml:space="preserve">Changes in Defined benefit obligations other than Current service cost, Interest cost, Contributions paid by plan participants, Actuarial gains and losses, </w:t>
      </w:r>
      <w:proofErr w:type="gramStart"/>
      <w:r>
        <w:t>Foreign</w:t>
      </w:r>
      <w:proofErr w:type="gramEnd"/>
      <w:r>
        <w:t xml:space="preserve"> currency exchange, Benefits paid, Past service cost, Business combinations or divestiture </w:t>
      </w:r>
      <w:r w:rsidRPr="00174A17">
        <w:rPr>
          <w:i/>
        </w:rPr>
        <w:t>(flow)</w:t>
      </w:r>
      <w:r>
        <w:tab/>
      </w:r>
    </w:p>
    <w:p w14:paraId="55B5ED32" w14:textId="77777777" w:rsidR="00237B31" w:rsidRDefault="00237B31" w:rsidP="000378E5"/>
    <w:p w14:paraId="55B5ED33" w14:textId="77777777" w:rsidR="00A011A3" w:rsidRDefault="000378E5" w:rsidP="00237B31">
      <w:pPr>
        <w:rPr>
          <w:i/>
        </w:rPr>
      </w:pPr>
      <w:r>
        <w:t>1190 (md72)</w:t>
      </w:r>
      <w:r>
        <w:tab/>
        <w:t xml:space="preserve">Changes in equity other than those explicitly reported </w:t>
      </w:r>
      <w:r w:rsidRPr="00174A17">
        <w:rPr>
          <w:i/>
        </w:rPr>
        <w:t>(flow)</w:t>
      </w:r>
    </w:p>
    <w:p w14:paraId="55B5ED34" w14:textId="77777777" w:rsidR="00237B31" w:rsidRDefault="00237B31" w:rsidP="00237B31">
      <w:pPr>
        <w:rPr>
          <w:i/>
        </w:rPr>
      </w:pPr>
    </w:p>
    <w:p w14:paraId="55B5ED35" w14:textId="77777777" w:rsidR="00237B31" w:rsidRPr="00237B31" w:rsidRDefault="00237B31" w:rsidP="00237B31">
      <w:pPr>
        <w:pStyle w:val="Heading2"/>
      </w:pPr>
      <w:r w:rsidRPr="00237B31">
        <w:t>V2.0.0 (Public Consultation)</w:t>
      </w:r>
    </w:p>
    <w:p w14:paraId="55B5ED36" w14:textId="77777777" w:rsidR="00237B31" w:rsidRPr="00237B31" w:rsidRDefault="00237B31" w:rsidP="00237B31">
      <w:r w:rsidRPr="00237B31">
        <w:t>Baseline</w:t>
      </w:r>
    </w:p>
    <w:sectPr w:rsidR="00237B31" w:rsidRPr="00237B31" w:rsidSect="00D515AE">
      <w:headerReference w:type="even" r:id="rId11"/>
      <w:headerReference w:type="default" r:id="rId12"/>
      <w:footerReference w:type="even" r:id="rId13"/>
      <w:footerReference w:type="default" r:id="rId14"/>
      <w:headerReference w:type="first" r:id="rId15"/>
      <w:footerReference w:type="first" r:id="rId16"/>
      <w:pgSz w:w="11909" w:h="16834" w:code="9"/>
      <w:pgMar w:top="2237" w:right="1417" w:bottom="1417" w:left="1417"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6C3362" w14:textId="77777777" w:rsidR="00360C84" w:rsidRDefault="00360C84">
      <w:r>
        <w:separator/>
      </w:r>
    </w:p>
  </w:endnote>
  <w:endnote w:type="continuationSeparator" w:id="0">
    <w:p w14:paraId="1E1FD89A" w14:textId="77777777" w:rsidR="00360C84" w:rsidRDefault="00360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66D54" w14:textId="77777777" w:rsidR="001E5C84" w:rsidRDefault="001E5C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9D925" w14:textId="77777777" w:rsidR="001E5C84" w:rsidRPr="00433B41" w:rsidRDefault="001E5C84" w:rsidP="00433B41">
    <w:pPr>
      <w:pStyle w:val="Footer"/>
      <w:jc w:val="center"/>
      <w:rPr>
        <w:sz w:val="14"/>
      </w:rPr>
    </w:pPr>
    <w:r>
      <w:rPr>
        <w:sz w:val="14"/>
      </w:rPr>
      <w:t>W</w:t>
    </w:r>
    <w:r w:rsidRPr="00433B41">
      <w:rPr>
        <w:sz w:val="14"/>
      </w:rPr>
      <w:t xml:space="preserve">ebsite: </w:t>
    </w:r>
    <w:hyperlink r:id="rId1" w:history="1">
      <w:r w:rsidRPr="00196D6B">
        <w:rPr>
          <w:rStyle w:val="Hyperlink"/>
          <w:sz w:val="14"/>
        </w:rPr>
        <w:t>http://eba.europa.eu</w:t>
      </w:r>
    </w:hyperlink>
    <w:r w:rsidRPr="00433B41">
      <w:rPr>
        <w:sz w:val="14"/>
      </w:rPr>
      <w:t xml:space="preserve">, Single Rulebook Q&amp;A </w:t>
    </w:r>
    <w:hyperlink r:id="rId2" w:history="1">
      <w:r w:rsidRPr="00433B41">
        <w:rPr>
          <w:rStyle w:val="Hyperlink"/>
          <w:sz w:val="14"/>
        </w:rPr>
        <w:t>http://www.eba.europa.eu/single-rule-book-qa</w:t>
      </w:r>
    </w:hyperlink>
    <w:r w:rsidRPr="00433B41">
      <w:rPr>
        <w:sz w:val="14"/>
      </w:rPr>
      <w:t xml:space="preserve">, XBRL specific queries: </w:t>
    </w:r>
    <w:hyperlink r:id="rId3" w:history="1">
      <w:r w:rsidRPr="00433B41">
        <w:rPr>
          <w:rStyle w:val="Hyperlink"/>
          <w:sz w:val="14"/>
        </w:rPr>
        <w:t>eba-xbrl@eba.europa.eu</w:t>
      </w:r>
    </w:hyperlink>
    <w:r w:rsidRPr="00433B41">
      <w:rPr>
        <w:sz w:val="14"/>
      </w:rPr>
      <w:t xml:space="preserve"> </w:t>
    </w:r>
  </w:p>
  <w:p w14:paraId="55B5ED3D" w14:textId="77777777" w:rsidR="001E5C84" w:rsidRPr="00F4602F" w:rsidRDefault="001E5C84" w:rsidP="00A77E78">
    <w:pPr>
      <w:pStyle w:val="Footer"/>
      <w:jc w:val="center"/>
      <w:rPr>
        <w:rFonts w:ascii="Times New Roman" w:hAnsi="Times New Roman" w:cs="Times New Roman"/>
        <w:sz w:val="20"/>
        <w:szCs w:val="20"/>
      </w:rPr>
    </w:pPr>
    <w:r w:rsidRPr="00F4602F">
      <w:rPr>
        <w:rFonts w:ascii="Times New Roman" w:hAnsi="Times New Roman" w:cs="Times New Roman"/>
        <w:sz w:val="20"/>
        <w:szCs w:val="20"/>
      </w:rPr>
      <w:fldChar w:fldCharType="begin"/>
    </w:r>
    <w:r w:rsidRPr="00F4602F">
      <w:rPr>
        <w:rFonts w:ascii="Times New Roman" w:hAnsi="Times New Roman" w:cs="Times New Roman"/>
        <w:sz w:val="20"/>
        <w:szCs w:val="20"/>
      </w:rPr>
      <w:instrText xml:space="preserve"> PAGE   \* MERGEFORMAT </w:instrText>
    </w:r>
    <w:r w:rsidRPr="00F4602F">
      <w:rPr>
        <w:rFonts w:ascii="Times New Roman" w:hAnsi="Times New Roman" w:cs="Times New Roman"/>
        <w:sz w:val="20"/>
        <w:szCs w:val="20"/>
      </w:rPr>
      <w:fldChar w:fldCharType="separate"/>
    </w:r>
    <w:r w:rsidR="00506CC2">
      <w:rPr>
        <w:rFonts w:ascii="Times New Roman" w:hAnsi="Times New Roman" w:cs="Times New Roman"/>
        <w:noProof/>
        <w:sz w:val="20"/>
        <w:szCs w:val="20"/>
      </w:rPr>
      <w:t>33</w:t>
    </w:r>
    <w:r w:rsidRPr="00F4602F">
      <w:rPr>
        <w:rFonts w:ascii="Times New Roman" w:hAnsi="Times New Roman" w:cs="Times New Roman"/>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8553C" w14:textId="26F3BC4F" w:rsidR="001E5C84" w:rsidRPr="00433B41" w:rsidRDefault="001E5C84" w:rsidP="00D9244A">
    <w:pPr>
      <w:pStyle w:val="Footer"/>
      <w:jc w:val="center"/>
      <w:rPr>
        <w:sz w:val="14"/>
      </w:rPr>
    </w:pPr>
    <w:r>
      <w:rPr>
        <w:sz w:val="14"/>
      </w:rPr>
      <w:t>W</w:t>
    </w:r>
    <w:r w:rsidRPr="00433B41">
      <w:rPr>
        <w:sz w:val="14"/>
      </w:rPr>
      <w:t xml:space="preserve">ebsite: </w:t>
    </w:r>
    <w:hyperlink r:id="rId1" w:history="1">
      <w:r w:rsidRPr="00196D6B">
        <w:rPr>
          <w:rStyle w:val="Hyperlink"/>
          <w:sz w:val="14"/>
        </w:rPr>
        <w:t>http://eba.europa.eu</w:t>
      </w:r>
    </w:hyperlink>
    <w:r w:rsidRPr="00433B41">
      <w:rPr>
        <w:sz w:val="14"/>
      </w:rPr>
      <w:t xml:space="preserve">, Single Rulebook Q&amp;A </w:t>
    </w:r>
    <w:hyperlink r:id="rId2" w:history="1">
      <w:r w:rsidRPr="00433B41">
        <w:rPr>
          <w:rStyle w:val="Hyperlink"/>
          <w:sz w:val="14"/>
        </w:rPr>
        <w:t>http://www.eba.europa.eu/single-rule-book-qa</w:t>
      </w:r>
    </w:hyperlink>
    <w:r w:rsidRPr="00433B41">
      <w:rPr>
        <w:sz w:val="14"/>
      </w:rPr>
      <w:t xml:space="preserve">, XBRL specific queries: </w:t>
    </w:r>
    <w:hyperlink r:id="rId3" w:history="1">
      <w:r w:rsidRPr="00433B41">
        <w:rPr>
          <w:rStyle w:val="Hyperlink"/>
          <w:sz w:val="14"/>
        </w:rPr>
        <w:t>eba-xbrl@eba.europa.eu</w:t>
      </w:r>
    </w:hyperlink>
    <w:r w:rsidRPr="00433B41">
      <w:rPr>
        <w:sz w:val="14"/>
      </w:rPr>
      <w:t xml:space="preserve"> </w:t>
    </w:r>
  </w:p>
  <w:p w14:paraId="55B5ED40" w14:textId="657A9C76" w:rsidR="001E5C84" w:rsidRDefault="001E5C84" w:rsidP="00D9244A">
    <w:pPr>
      <w:pStyle w:val="Foot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506CC2">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86C980" w14:textId="77777777" w:rsidR="00360C84" w:rsidRDefault="00360C84">
      <w:r>
        <w:separator/>
      </w:r>
    </w:p>
  </w:footnote>
  <w:footnote w:type="continuationSeparator" w:id="0">
    <w:p w14:paraId="46A69770" w14:textId="77777777" w:rsidR="00360C84" w:rsidRDefault="00360C84">
      <w:r>
        <w:continuationSeparator/>
      </w:r>
    </w:p>
  </w:footnote>
  <w:footnote w:id="1">
    <w:p w14:paraId="458F1318" w14:textId="2B31723A" w:rsidR="001E5C84" w:rsidRDefault="001E5C84">
      <w:pPr>
        <w:pStyle w:val="FootnoteText"/>
      </w:pPr>
      <w:r>
        <w:rPr>
          <w:rStyle w:val="FootnoteReference"/>
        </w:rPr>
        <w:footnoteRef/>
      </w:r>
      <w:r>
        <w:t xml:space="preserve"> Note the different usage/meaning of “non-blocking”</w:t>
      </w:r>
    </w:p>
  </w:footnote>
  <w:footnote w:id="2">
    <w:p w14:paraId="6CA1FAC5" w14:textId="77777777" w:rsidR="001E5C84" w:rsidRDefault="001E5C84" w:rsidP="0061233C">
      <w:pPr>
        <w:pStyle w:val="FootnoteText"/>
      </w:pPr>
      <w:r>
        <w:rPr>
          <w:rStyle w:val="FootnoteReference"/>
        </w:rPr>
        <w:footnoteRef/>
      </w:r>
      <w:r>
        <w:t xml:space="preserve"> Which are retained</w:t>
      </w:r>
    </w:p>
  </w:footnote>
  <w:footnote w:id="3">
    <w:p w14:paraId="1FFE8E54" w14:textId="7EEF4649" w:rsidR="001E5C84" w:rsidRDefault="001E5C84">
      <w:pPr>
        <w:pStyle w:val="FootnoteText"/>
      </w:pPr>
      <w:r>
        <w:rPr>
          <w:rStyle w:val="FootnoteReference"/>
        </w:rPr>
        <w:footnoteRef/>
      </w:r>
      <w:r>
        <w:t xml:space="preserve"> </w:t>
      </w:r>
      <w:r w:rsidRPr="00F66EEB">
        <w:t xml:space="preserve">32 rules, </w:t>
      </w:r>
      <w:bookmarkStart w:id="11" w:name="OLE_LINK8"/>
      <w:bookmarkStart w:id="12" w:name="OLE_LINK9"/>
      <w:r w:rsidRPr="00F66EEB">
        <w:t>v4533-4548 and v4672-4687</w:t>
      </w:r>
      <w:bookmarkEnd w:id="11"/>
      <w:bookmarkEnd w:id="12"/>
      <w:r w:rsidRPr="00F66EEB">
        <w:t xml:space="preserve">, all of the form </w:t>
      </w:r>
      <w:r>
        <w:t>“{</w:t>
      </w:r>
      <w:proofErr w:type="spellStart"/>
      <w:r>
        <w:t>rXXX</w:t>
      </w:r>
      <w:proofErr w:type="spellEnd"/>
      <w:r>
        <w:t>}=sum(</w:t>
      </w:r>
      <w:proofErr w:type="spellStart"/>
      <w:r>
        <w:t>rYYY</w:t>
      </w:r>
      <w:proofErr w:type="spellEnd"/>
      <w:r>
        <w:t>-</w:t>
      </w:r>
      <w:r w:rsidRPr="00F66EEB">
        <w:t>ZZZ)</w:t>
      </w:r>
      <w:r>
        <w:t>”</w:t>
      </w:r>
      <w:r w:rsidRPr="00F66EEB">
        <w:t xml:space="preserve"> with a </w:t>
      </w:r>
      <w:r>
        <w:t xml:space="preserve">row </w:t>
      </w:r>
      <w:r w:rsidRPr="00F66EEB">
        <w:t xml:space="preserve">scope restriction </w:t>
      </w:r>
      <w:r>
        <w:t>of (</w:t>
      </w:r>
      <w:r w:rsidRPr="00F66EEB">
        <w:t>XXX</w:t>
      </w:r>
      <w:r>
        <w:t>)</w:t>
      </w:r>
    </w:p>
  </w:footnote>
  <w:footnote w:id="4">
    <w:p w14:paraId="7BB4D340" w14:textId="59CD9FE4" w:rsidR="001E5C84" w:rsidRDefault="001E5C84">
      <w:pPr>
        <w:pStyle w:val="FootnoteText"/>
      </w:pPr>
      <w:r>
        <w:rPr>
          <w:rStyle w:val="FootnoteReference"/>
        </w:rPr>
        <w:footnoteRef/>
      </w:r>
      <w:r>
        <w:t xml:space="preserve"> 3 rules, v4741_h-v4743_h</w:t>
      </w:r>
    </w:p>
  </w:footnote>
  <w:footnote w:id="5">
    <w:p w14:paraId="6F8B85F2" w14:textId="35A8D7E9" w:rsidR="001E5C84" w:rsidRDefault="001E5C84" w:rsidP="00455509">
      <w:pPr>
        <w:pStyle w:val="FootnoteText"/>
      </w:pPr>
      <w:r>
        <w:rPr>
          <w:rStyle w:val="FootnoteReference"/>
        </w:rPr>
        <w:footnoteRef/>
      </w:r>
      <w:r>
        <w:t xml:space="preserve"> I.e. 2.4.1.0 / 2.4.1.1, or 2.5.0.0 / 2.5.0.1</w:t>
      </w:r>
    </w:p>
  </w:footnote>
  <w:footnote w:id="6">
    <w:p w14:paraId="4447D222" w14:textId="03D91849" w:rsidR="001E5C84" w:rsidRDefault="001E5C84">
      <w:pPr>
        <w:pStyle w:val="FootnoteText"/>
      </w:pPr>
      <w:r>
        <w:rPr>
          <w:rStyle w:val="FootnoteReference"/>
        </w:rPr>
        <w:footnoteRef/>
      </w:r>
      <w:r>
        <w:t xml:space="preserve"> I.e. appropriately disabling/ignoring the output of these rules and ensuring compliance with them by other means.</w:t>
      </w:r>
    </w:p>
  </w:footnote>
  <w:footnote w:id="7">
    <w:p w14:paraId="5CD8650A" w14:textId="317BADB4" w:rsidR="001E5C84" w:rsidRDefault="001E5C84">
      <w:pPr>
        <w:pStyle w:val="FootnoteText"/>
      </w:pPr>
      <w:r>
        <w:rPr>
          <w:rStyle w:val="FootnoteReference"/>
        </w:rPr>
        <w:footnoteRef/>
      </w:r>
      <w:r>
        <w:t xml:space="preserve"> </w:t>
      </w:r>
      <w:r w:rsidRPr="00455509">
        <w:t>Additionally, parties who utilise the EBA XBRL taxonomy directly in “online” mode - i.e. directly reference the files from the canonical URLs, rather than (the more typical approach of) caching the files locally, will automatically and transparently utilis</w:t>
      </w:r>
      <w:r>
        <w:t>e these corrected versions.</w:t>
      </w:r>
    </w:p>
  </w:footnote>
  <w:footnote w:id="8">
    <w:p w14:paraId="62527207" w14:textId="77777777" w:rsidR="001E5C84" w:rsidRDefault="001E5C84" w:rsidP="00F823CC">
      <w:pPr>
        <w:pStyle w:val="FootnoteText"/>
      </w:pPr>
      <w:r>
        <w:rPr>
          <w:rStyle w:val="FootnoteReference"/>
        </w:rPr>
        <w:footnoteRef/>
      </w:r>
      <w:r>
        <w:t xml:space="preserve"> where {C 02.00,r060,c010,s000} previously with </w:t>
      </w:r>
      <w:proofErr w:type="spellStart"/>
      <w:r>
        <w:t>DataPointVID</w:t>
      </w:r>
      <w:proofErr w:type="spellEnd"/>
      <w:r>
        <w:t xml:space="preserve"> 78020 (and </w:t>
      </w:r>
      <w:proofErr w:type="spellStart"/>
      <w:r>
        <w:t>DataPointID</w:t>
      </w:r>
      <w:proofErr w:type="spellEnd"/>
      <w:r>
        <w:t xml:space="preserve"> 78020) has been deliberately remodelled to exactly match the existing modelling of cell {C 07.00.a,r010,c220,s001} with </w:t>
      </w:r>
      <w:proofErr w:type="spellStart"/>
      <w:r>
        <w:t>DataPointVID</w:t>
      </w:r>
      <w:proofErr w:type="spellEnd"/>
      <w:r>
        <w:t xml:space="preserve"> 78917 (and </w:t>
      </w:r>
      <w:proofErr w:type="spellStart"/>
      <w:r>
        <w:t>DataPointID</w:t>
      </w:r>
      <w:proofErr w:type="spellEnd"/>
      <w:r>
        <w:t xml:space="preserve"> 78917) so that in future only one figure will be reported representing both of these cells).</w:t>
      </w:r>
    </w:p>
  </w:footnote>
  <w:footnote w:id="9">
    <w:p w14:paraId="5293590B" w14:textId="1BFB7F68" w:rsidR="001E5C84" w:rsidRDefault="001E5C84">
      <w:pPr>
        <w:pStyle w:val="FootnoteText"/>
      </w:pPr>
      <w:r>
        <w:rPr>
          <w:rStyle w:val="FootnoteReference"/>
        </w:rPr>
        <w:footnoteRef/>
      </w:r>
      <w:r>
        <w:t xml:space="preserve"> Which also independently include this correction to validation rule </w:t>
      </w:r>
      <w:proofErr w:type="gramStart"/>
      <w:r>
        <w:t>implementations.</w:t>
      </w:r>
      <w:proofErr w:type="gramEnd"/>
    </w:p>
  </w:footnote>
  <w:footnote w:id="10">
    <w:p w14:paraId="55B5ED43" w14:textId="77777777" w:rsidR="001E5C84" w:rsidRDefault="001E5C84" w:rsidP="00D77280">
      <w:pPr>
        <w:pStyle w:val="FootnoteText"/>
      </w:pPr>
      <w:r>
        <w:rPr>
          <w:rStyle w:val="FootnoteReference"/>
        </w:rPr>
        <w:footnoteRef/>
      </w:r>
      <w:r>
        <w:t xml:space="preserve"> </w:t>
      </w:r>
      <w:hyperlink r:id="rId1" w:history="1">
        <w:r w:rsidRPr="00EE5701">
          <w:rPr>
            <w:rStyle w:val="Hyperlink"/>
          </w:rPr>
          <w:t>https://www.eba.europa.eu/single-rule-book-qa</w:t>
        </w:r>
      </w:hyperlink>
      <w:r>
        <w:t xml:space="preserve"> </w:t>
      </w:r>
    </w:p>
  </w:footnote>
  <w:footnote w:id="11">
    <w:p w14:paraId="55B5ED44" w14:textId="77777777" w:rsidR="001E5C84" w:rsidRDefault="001E5C84" w:rsidP="00D77280">
      <w:pPr>
        <w:pStyle w:val="FootnoteText"/>
      </w:pPr>
      <w:r>
        <w:rPr>
          <w:rStyle w:val="FootnoteReference"/>
        </w:rPr>
        <w:footnoteRef/>
      </w:r>
      <w:r>
        <w:t xml:space="preserve"> “</w:t>
      </w:r>
      <w:proofErr w:type="gramStart"/>
      <w:r>
        <w:t>consistent</w:t>
      </w:r>
      <w:proofErr w:type="gramEnd"/>
      <w:r>
        <w:t>” essentially meaning that the same ISO code should, where possible, be used for the currency unit as is in the member code.</w:t>
      </w:r>
    </w:p>
  </w:footnote>
  <w:footnote w:id="12">
    <w:p w14:paraId="55B5ED45" w14:textId="77777777" w:rsidR="001E5C84" w:rsidRDefault="001E5C84" w:rsidP="00D77280">
      <w:pPr>
        <w:pStyle w:val="FootnoteText"/>
      </w:pPr>
      <w:r>
        <w:rPr>
          <w:rStyle w:val="FootnoteReference"/>
        </w:rPr>
        <w:footnoteRef/>
      </w:r>
      <w:r>
        <w:t xml:space="preserve"> See for example the list appropriate to the 2015 exercise in Annex I at </w:t>
      </w:r>
      <w:hyperlink r:id="rId2" w:history="1">
        <w:r w:rsidRPr="00EE5701">
          <w:rPr>
            <w:rStyle w:val="Hyperlink"/>
          </w:rPr>
          <w:t>http://www.eba.europa.eu/regulation-and-policy/other-topics/regulatory-and-implementing-technical-standards-on-benchmarking-portfolios</w:t>
        </w:r>
      </w:hyperlink>
    </w:p>
  </w:footnote>
  <w:footnote w:id="13">
    <w:p w14:paraId="55B5ED46" w14:textId="77777777" w:rsidR="001E5C84" w:rsidRDefault="001E5C84" w:rsidP="003D5718">
      <w:pPr>
        <w:pStyle w:val="FootnoteText"/>
      </w:pPr>
      <w:r>
        <w:rPr>
          <w:rStyle w:val="FootnoteReference"/>
        </w:rPr>
        <w:footnoteRef/>
      </w:r>
      <w:r>
        <w:t xml:space="preserve"> The </w:t>
      </w:r>
      <w:proofErr w:type="spellStart"/>
      <w:r>
        <w:t>xlink</w:t>
      </w:r>
      <w:proofErr w:type="spellEnd"/>
      <w:r>
        <w:t xml:space="preserve"> labels generated for two elements clashed</w:t>
      </w:r>
    </w:p>
  </w:footnote>
  <w:footnote w:id="14">
    <w:p w14:paraId="55B5ED47" w14:textId="77777777" w:rsidR="001E5C84" w:rsidRDefault="001E5C84">
      <w:pPr>
        <w:pStyle w:val="FootnoteText"/>
      </w:pPr>
      <w:r>
        <w:rPr>
          <w:rStyle w:val="FootnoteReference"/>
        </w:rPr>
        <w:footnoteRef/>
      </w:r>
      <w:r>
        <w:t xml:space="preserve"> </w:t>
      </w:r>
      <w:r w:rsidRPr="006E696D">
        <w:t>The original 2.0.1 taxonomy is supplied similarly packaged for reference</w:t>
      </w:r>
    </w:p>
  </w:footnote>
  <w:footnote w:id="15">
    <w:p w14:paraId="55B5ED48" w14:textId="77777777" w:rsidR="001E5C84" w:rsidRDefault="001E5C84" w:rsidP="000378E5">
      <w:pPr>
        <w:pStyle w:val="FootnoteText"/>
      </w:pPr>
      <w:r>
        <w:rPr>
          <w:rStyle w:val="FootnoteReference"/>
        </w:rPr>
        <w:footnoteRef/>
      </w:r>
      <w:r>
        <w:t xml:space="preserve"> N.B. the respective organisations and their websites remain the authoritative sources for these files.</w:t>
      </w:r>
    </w:p>
  </w:footnote>
  <w:footnote w:id="16">
    <w:p w14:paraId="55B5ED49" w14:textId="77777777" w:rsidR="001E5C84" w:rsidRDefault="001E5C84" w:rsidP="000378E5">
      <w:pPr>
        <w:pStyle w:val="FootnoteText"/>
      </w:pPr>
      <w:r>
        <w:rPr>
          <w:rStyle w:val="FootnoteReference"/>
        </w:rPr>
        <w:footnoteRef/>
      </w:r>
      <w:r>
        <w:t xml:space="preserve"> N.B. previous 2.0.1 release would under the new system  have been labelled 2.0.0.1</w:t>
      </w:r>
    </w:p>
    <w:p w14:paraId="55B5ED4A" w14:textId="77777777" w:rsidR="001E5C84" w:rsidRDefault="001E5C84" w:rsidP="000378E5">
      <w:pPr>
        <w:pStyle w:val="FootnoteText"/>
      </w:pPr>
    </w:p>
  </w:footnote>
  <w:footnote w:id="17">
    <w:p w14:paraId="55B5ED4B" w14:textId="77777777" w:rsidR="001E5C84" w:rsidRDefault="001E5C84" w:rsidP="000378E5">
      <w:pPr>
        <w:pStyle w:val="FootnoteText"/>
      </w:pPr>
      <w:r>
        <w:rPr>
          <w:rStyle w:val="FootnoteReference"/>
        </w:rPr>
        <w:footnoteRef/>
      </w:r>
      <w:r>
        <w:t xml:space="preserve"> I.e. public consultation version on “2.1.0” Package would be referred to as 2.1.0.0.PWD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7C1FE" w14:textId="77777777" w:rsidR="001E5C84" w:rsidRDefault="001E5C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5F153" w14:textId="77777777" w:rsidR="001E5C84" w:rsidRDefault="001E5C8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5ED3E" w14:textId="77777777" w:rsidR="001E5C84" w:rsidRDefault="001E5C84" w:rsidP="00D515AE">
    <w:pPr>
      <w:pStyle w:val="Runningtitle"/>
    </w:pPr>
    <w:r>
      <w:rPr>
        <w:noProof/>
      </w:rPr>
      <w:drawing>
        <wp:anchor distT="0" distB="0" distL="114300" distR="114300" simplePos="0" relativeHeight="251659264" behindDoc="1" locked="1" layoutInCell="1" allowOverlap="0" wp14:anchorId="55B5ED41" wp14:editId="55B5ED42">
          <wp:simplePos x="0" y="0"/>
          <wp:positionH relativeFrom="page">
            <wp:posOffset>4702175</wp:posOffset>
          </wp:positionH>
          <wp:positionV relativeFrom="page">
            <wp:posOffset>450215</wp:posOffset>
          </wp:positionV>
          <wp:extent cx="1941830" cy="719455"/>
          <wp:effectExtent l="0" t="0" r="0" b="0"/>
          <wp:wrapNone/>
          <wp:docPr id="11"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val="1"/>
                    </a:ext>
                  </a:extLst>
                </pic:spPr>
              </pic:pic>
            </a:graphicData>
          </a:graphic>
        </wp:anchor>
      </w:drawing>
    </w:r>
    <w:r>
      <w:t>DPM / XBRL Taxonomy Revision NOTES</w:t>
    </w:r>
  </w:p>
  <w:p w14:paraId="55B5ED3F" w14:textId="77777777" w:rsidR="001E5C84" w:rsidRDefault="001E5C84" w:rsidP="00951473">
    <w:pPr>
      <w:pStyle w:val="Heade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0D0A99"/>
    <w:multiLevelType w:val="hybridMultilevel"/>
    <w:tmpl w:val="A6884F46"/>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0C337E9"/>
    <w:multiLevelType w:val="hybridMultilevel"/>
    <w:tmpl w:val="0986A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3710F59"/>
    <w:multiLevelType w:val="hybridMultilevel"/>
    <w:tmpl w:val="53C04EBC"/>
    <w:lvl w:ilvl="0" w:tplc="548A9044">
      <w:start w:val="1"/>
      <w:numFmt w:val="decimal"/>
      <w:pStyle w:val="Baseparagraphnumbered"/>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pStyle w:val="Heading9"/>
      <w:lvlText w:val="%9."/>
      <w:lvlJc w:val="right"/>
      <w:pPr>
        <w:ind w:left="7047" w:hanging="180"/>
      </w:pPr>
    </w:lvl>
  </w:abstractNum>
  <w:abstractNum w:abstractNumId="6">
    <w:nsid w:val="17903210"/>
    <w:multiLevelType w:val="hybridMultilevel"/>
    <w:tmpl w:val="7CE4BEBC"/>
    <w:lvl w:ilvl="0" w:tplc="20D8546C">
      <w:start w:val="1"/>
      <w:numFmt w:val="bullet"/>
      <w:lvlRestart w:val="0"/>
      <w:pStyle w:val="Bulleted1"/>
      <w:lvlText w:val=""/>
      <w:lvlJc w:val="left"/>
      <w:pPr>
        <w:tabs>
          <w:tab w:val="num" w:pos="851"/>
        </w:tabs>
        <w:ind w:left="851" w:hanging="284"/>
      </w:pPr>
      <w:rPr>
        <w:rFonts w:ascii="Symbol" w:hAnsi="Symbol" w:cs="Symbol" w:hint="default"/>
        <w:color w:val="C0C0C0"/>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Wingdings" w:hint="default"/>
      </w:rPr>
    </w:lvl>
    <w:lvl w:ilvl="3" w:tplc="040B0001">
      <w:start w:val="1"/>
      <w:numFmt w:val="bullet"/>
      <w:lvlText w:val=""/>
      <w:lvlJc w:val="left"/>
      <w:pPr>
        <w:tabs>
          <w:tab w:val="num" w:pos="2880"/>
        </w:tabs>
        <w:ind w:left="2880" w:hanging="360"/>
      </w:pPr>
      <w:rPr>
        <w:rFonts w:ascii="Symbol" w:hAnsi="Symbol" w:cs="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Wingdings" w:hint="default"/>
      </w:rPr>
    </w:lvl>
    <w:lvl w:ilvl="6" w:tplc="040B0001">
      <w:start w:val="1"/>
      <w:numFmt w:val="bullet"/>
      <w:lvlText w:val=""/>
      <w:lvlJc w:val="left"/>
      <w:pPr>
        <w:tabs>
          <w:tab w:val="num" w:pos="5040"/>
        </w:tabs>
        <w:ind w:left="5040" w:hanging="360"/>
      </w:pPr>
      <w:rPr>
        <w:rFonts w:ascii="Symbol" w:hAnsi="Symbol" w:cs="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Wingdings" w:hint="default"/>
      </w:rPr>
    </w:lvl>
  </w:abstractNum>
  <w:abstractNum w:abstractNumId="7">
    <w:nsid w:val="1BCC2423"/>
    <w:multiLevelType w:val="hybridMultilevel"/>
    <w:tmpl w:val="22A45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CE757EE"/>
    <w:multiLevelType w:val="hybridMultilevel"/>
    <w:tmpl w:val="FF1EC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D0B464E"/>
    <w:multiLevelType w:val="multilevel"/>
    <w:tmpl w:val="0AF82F2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nsid w:val="2F244746"/>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7085C72"/>
    <w:multiLevelType w:val="hybridMultilevel"/>
    <w:tmpl w:val="844CF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85C6A9A"/>
    <w:multiLevelType w:val="hybridMultilevel"/>
    <w:tmpl w:val="C4E64628"/>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2C31E3"/>
    <w:multiLevelType w:val="hybridMultilevel"/>
    <w:tmpl w:val="D90E9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FBC5573"/>
    <w:multiLevelType w:val="hybridMultilevel"/>
    <w:tmpl w:val="E7263F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400740C"/>
    <w:multiLevelType w:val="hybridMultilevel"/>
    <w:tmpl w:val="B7EA31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73575A8"/>
    <w:multiLevelType w:val="hybridMultilevel"/>
    <w:tmpl w:val="F224DA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CF08B9"/>
    <w:multiLevelType w:val="hybridMultilevel"/>
    <w:tmpl w:val="B802D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B56383E"/>
    <w:multiLevelType w:val="hybridMultilevel"/>
    <w:tmpl w:val="E2AA1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00B5AFA"/>
    <w:multiLevelType w:val="hybridMultilevel"/>
    <w:tmpl w:val="D5C8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37D71DC"/>
    <w:multiLevelType w:val="hybridMultilevel"/>
    <w:tmpl w:val="BDDE7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4AE38D2"/>
    <w:multiLevelType w:val="hybridMultilevel"/>
    <w:tmpl w:val="13F4C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nsid w:val="6D785F45"/>
    <w:multiLevelType w:val="hybridMultilevel"/>
    <w:tmpl w:val="4FF61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7174BA"/>
    <w:multiLevelType w:val="hybridMultilevel"/>
    <w:tmpl w:val="D22EA4D2"/>
    <w:lvl w:ilvl="0" w:tplc="5FD87966">
      <w:numFmt w:val="bullet"/>
      <w:lvlText w:val="•"/>
      <w:lvlJc w:val="left"/>
      <w:pPr>
        <w:ind w:left="1080" w:hanging="72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5796670"/>
    <w:multiLevelType w:val="hybridMultilevel"/>
    <w:tmpl w:val="2AA42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AE919E1"/>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B4E2A41"/>
    <w:multiLevelType w:val="hybridMultilevel"/>
    <w:tmpl w:val="B4A47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5"/>
  </w:num>
  <w:num w:numId="4">
    <w:abstractNumId w:val="18"/>
  </w:num>
  <w:num w:numId="5">
    <w:abstractNumId w:val="16"/>
  </w:num>
  <w:num w:numId="6">
    <w:abstractNumId w:val="30"/>
  </w:num>
  <w:num w:numId="7">
    <w:abstractNumId w:val="10"/>
  </w:num>
  <w:num w:numId="8">
    <w:abstractNumId w:val="24"/>
  </w:num>
  <w:num w:numId="9">
    <w:abstractNumId w:val="15"/>
  </w:num>
  <w:num w:numId="10">
    <w:abstractNumId w:val="21"/>
  </w:num>
  <w:num w:numId="11">
    <w:abstractNumId w:val="9"/>
  </w:num>
  <w:num w:numId="12">
    <w:abstractNumId w:val="1"/>
  </w:num>
  <w:num w:numId="13">
    <w:abstractNumId w:val="0"/>
  </w:num>
  <w:num w:numId="14">
    <w:abstractNumId w:val="27"/>
  </w:num>
  <w:num w:numId="15">
    <w:abstractNumId w:val="2"/>
  </w:num>
  <w:num w:numId="16">
    <w:abstractNumId w:val="17"/>
  </w:num>
  <w:num w:numId="17">
    <w:abstractNumId w:val="25"/>
  </w:num>
  <w:num w:numId="18">
    <w:abstractNumId w:val="13"/>
  </w:num>
  <w:num w:numId="19">
    <w:abstractNumId w:val="19"/>
  </w:num>
  <w:num w:numId="20">
    <w:abstractNumId w:val="20"/>
  </w:num>
  <w:num w:numId="21">
    <w:abstractNumId w:val="28"/>
  </w:num>
  <w:num w:numId="22">
    <w:abstractNumId w:val="29"/>
  </w:num>
  <w:num w:numId="23">
    <w:abstractNumId w:val="14"/>
  </w:num>
  <w:num w:numId="24">
    <w:abstractNumId w:val="26"/>
  </w:num>
  <w:num w:numId="25">
    <w:abstractNumId w:val="8"/>
  </w:num>
  <w:num w:numId="26">
    <w:abstractNumId w:val="7"/>
  </w:num>
  <w:num w:numId="27">
    <w:abstractNumId w:val="22"/>
  </w:num>
  <w:num w:numId="28">
    <w:abstractNumId w:val="4"/>
  </w:num>
  <w:num w:numId="29">
    <w:abstractNumId w:val="31"/>
  </w:num>
  <w:num w:numId="30">
    <w:abstractNumId w:val="2"/>
  </w:num>
  <w:num w:numId="31">
    <w:abstractNumId w:val="23"/>
  </w:num>
  <w:num w:numId="32">
    <w:abstractNumId w:val="11"/>
  </w:num>
  <w:num w:numId="33">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FC428CEB"/>
  </w:docVars>
  <w:rsids>
    <w:rsidRoot w:val="00997CA0"/>
    <w:rsid w:val="000016D7"/>
    <w:rsid w:val="00001AB3"/>
    <w:rsid w:val="00004107"/>
    <w:rsid w:val="00004348"/>
    <w:rsid w:val="000043AD"/>
    <w:rsid w:val="00004FA0"/>
    <w:rsid w:val="00006001"/>
    <w:rsid w:val="0000662A"/>
    <w:rsid w:val="000069C4"/>
    <w:rsid w:val="000072E1"/>
    <w:rsid w:val="00007E20"/>
    <w:rsid w:val="000101C7"/>
    <w:rsid w:val="00011C13"/>
    <w:rsid w:val="00011F6D"/>
    <w:rsid w:val="00012388"/>
    <w:rsid w:val="0001352D"/>
    <w:rsid w:val="00013A62"/>
    <w:rsid w:val="000156CB"/>
    <w:rsid w:val="000156E6"/>
    <w:rsid w:val="00016865"/>
    <w:rsid w:val="000202C1"/>
    <w:rsid w:val="00020912"/>
    <w:rsid w:val="00020A16"/>
    <w:rsid w:val="00020D39"/>
    <w:rsid w:val="00021564"/>
    <w:rsid w:val="000215BA"/>
    <w:rsid w:val="000219C1"/>
    <w:rsid w:val="00022FC2"/>
    <w:rsid w:val="000231C2"/>
    <w:rsid w:val="00023C56"/>
    <w:rsid w:val="00024782"/>
    <w:rsid w:val="0002787E"/>
    <w:rsid w:val="00027C9A"/>
    <w:rsid w:val="00030435"/>
    <w:rsid w:val="000321C4"/>
    <w:rsid w:val="00032CF2"/>
    <w:rsid w:val="00033F06"/>
    <w:rsid w:val="00033F26"/>
    <w:rsid w:val="0003455C"/>
    <w:rsid w:val="000353B5"/>
    <w:rsid w:val="00035483"/>
    <w:rsid w:val="0003592C"/>
    <w:rsid w:val="00035A91"/>
    <w:rsid w:val="000368D1"/>
    <w:rsid w:val="0003690D"/>
    <w:rsid w:val="00036EFB"/>
    <w:rsid w:val="00037576"/>
    <w:rsid w:val="000378BB"/>
    <w:rsid w:val="000378E5"/>
    <w:rsid w:val="000407A2"/>
    <w:rsid w:val="00041E5D"/>
    <w:rsid w:val="00042587"/>
    <w:rsid w:val="000428BD"/>
    <w:rsid w:val="00043476"/>
    <w:rsid w:val="00046440"/>
    <w:rsid w:val="00047117"/>
    <w:rsid w:val="000475EA"/>
    <w:rsid w:val="00047CC4"/>
    <w:rsid w:val="00050EBA"/>
    <w:rsid w:val="00052E3F"/>
    <w:rsid w:val="00052EBD"/>
    <w:rsid w:val="0005423A"/>
    <w:rsid w:val="00054E71"/>
    <w:rsid w:val="00055164"/>
    <w:rsid w:val="00055C2E"/>
    <w:rsid w:val="00055D0A"/>
    <w:rsid w:val="000568A5"/>
    <w:rsid w:val="00056A93"/>
    <w:rsid w:val="00057AD9"/>
    <w:rsid w:val="00057CFC"/>
    <w:rsid w:val="00060012"/>
    <w:rsid w:val="00060ADA"/>
    <w:rsid w:val="00060D3C"/>
    <w:rsid w:val="00060E49"/>
    <w:rsid w:val="000610D4"/>
    <w:rsid w:val="0006119E"/>
    <w:rsid w:val="00061240"/>
    <w:rsid w:val="000625D7"/>
    <w:rsid w:val="00063AC5"/>
    <w:rsid w:val="00063CDC"/>
    <w:rsid w:val="00064DDB"/>
    <w:rsid w:val="00064E55"/>
    <w:rsid w:val="0006587A"/>
    <w:rsid w:val="000664A2"/>
    <w:rsid w:val="000664CD"/>
    <w:rsid w:val="0006775E"/>
    <w:rsid w:val="00067E51"/>
    <w:rsid w:val="000700DD"/>
    <w:rsid w:val="00070233"/>
    <w:rsid w:val="00074165"/>
    <w:rsid w:val="000753EF"/>
    <w:rsid w:val="00076040"/>
    <w:rsid w:val="00076E49"/>
    <w:rsid w:val="0008059B"/>
    <w:rsid w:val="00080A2B"/>
    <w:rsid w:val="00080ACD"/>
    <w:rsid w:val="00080CF2"/>
    <w:rsid w:val="0008136A"/>
    <w:rsid w:val="00081488"/>
    <w:rsid w:val="000817F0"/>
    <w:rsid w:val="000818EE"/>
    <w:rsid w:val="000823E4"/>
    <w:rsid w:val="00082993"/>
    <w:rsid w:val="0008322A"/>
    <w:rsid w:val="00083342"/>
    <w:rsid w:val="00083D0B"/>
    <w:rsid w:val="00085266"/>
    <w:rsid w:val="00085E6C"/>
    <w:rsid w:val="00086636"/>
    <w:rsid w:val="000870D0"/>
    <w:rsid w:val="000877DB"/>
    <w:rsid w:val="00090072"/>
    <w:rsid w:val="00090290"/>
    <w:rsid w:val="0009029D"/>
    <w:rsid w:val="0009151E"/>
    <w:rsid w:val="0009377D"/>
    <w:rsid w:val="000944A6"/>
    <w:rsid w:val="00094839"/>
    <w:rsid w:val="00095C8F"/>
    <w:rsid w:val="000A0789"/>
    <w:rsid w:val="000A1BBF"/>
    <w:rsid w:val="000A1C83"/>
    <w:rsid w:val="000A4B87"/>
    <w:rsid w:val="000A563C"/>
    <w:rsid w:val="000A7467"/>
    <w:rsid w:val="000B0209"/>
    <w:rsid w:val="000B16A6"/>
    <w:rsid w:val="000B1E14"/>
    <w:rsid w:val="000B1FF7"/>
    <w:rsid w:val="000B24A4"/>
    <w:rsid w:val="000B3743"/>
    <w:rsid w:val="000B4206"/>
    <w:rsid w:val="000B459F"/>
    <w:rsid w:val="000B6170"/>
    <w:rsid w:val="000B68E7"/>
    <w:rsid w:val="000B770B"/>
    <w:rsid w:val="000B7913"/>
    <w:rsid w:val="000C0853"/>
    <w:rsid w:val="000C18BB"/>
    <w:rsid w:val="000C207D"/>
    <w:rsid w:val="000C2D4D"/>
    <w:rsid w:val="000C4003"/>
    <w:rsid w:val="000C4467"/>
    <w:rsid w:val="000C4F17"/>
    <w:rsid w:val="000C5406"/>
    <w:rsid w:val="000C5461"/>
    <w:rsid w:val="000C6060"/>
    <w:rsid w:val="000C6BB3"/>
    <w:rsid w:val="000D0172"/>
    <w:rsid w:val="000D109B"/>
    <w:rsid w:val="000D2FBE"/>
    <w:rsid w:val="000D3181"/>
    <w:rsid w:val="000D4322"/>
    <w:rsid w:val="000D5189"/>
    <w:rsid w:val="000D5799"/>
    <w:rsid w:val="000D7959"/>
    <w:rsid w:val="000D7A32"/>
    <w:rsid w:val="000D7C40"/>
    <w:rsid w:val="000D7E87"/>
    <w:rsid w:val="000E0265"/>
    <w:rsid w:val="000E0326"/>
    <w:rsid w:val="000E118B"/>
    <w:rsid w:val="000E1F1A"/>
    <w:rsid w:val="000E3052"/>
    <w:rsid w:val="000E3461"/>
    <w:rsid w:val="000E47DF"/>
    <w:rsid w:val="000E55D6"/>
    <w:rsid w:val="000E5836"/>
    <w:rsid w:val="000E6F25"/>
    <w:rsid w:val="000E7062"/>
    <w:rsid w:val="000E79C7"/>
    <w:rsid w:val="000F05FC"/>
    <w:rsid w:val="000F29E5"/>
    <w:rsid w:val="000F2FCC"/>
    <w:rsid w:val="000F3477"/>
    <w:rsid w:val="000F3810"/>
    <w:rsid w:val="000F3EE5"/>
    <w:rsid w:val="000F4CA7"/>
    <w:rsid w:val="000F5B02"/>
    <w:rsid w:val="000F6C55"/>
    <w:rsid w:val="000F744C"/>
    <w:rsid w:val="000F7D02"/>
    <w:rsid w:val="000F7DB3"/>
    <w:rsid w:val="00100107"/>
    <w:rsid w:val="00103354"/>
    <w:rsid w:val="0010417E"/>
    <w:rsid w:val="0010463B"/>
    <w:rsid w:val="00104E8B"/>
    <w:rsid w:val="00105BA1"/>
    <w:rsid w:val="00107717"/>
    <w:rsid w:val="00110189"/>
    <w:rsid w:val="001103A6"/>
    <w:rsid w:val="00110A58"/>
    <w:rsid w:val="00110E3E"/>
    <w:rsid w:val="00111E7D"/>
    <w:rsid w:val="00112465"/>
    <w:rsid w:val="001136C9"/>
    <w:rsid w:val="00113BFD"/>
    <w:rsid w:val="00114042"/>
    <w:rsid w:val="00114B71"/>
    <w:rsid w:val="00114E64"/>
    <w:rsid w:val="0011514C"/>
    <w:rsid w:val="00115996"/>
    <w:rsid w:val="00115D78"/>
    <w:rsid w:val="00116621"/>
    <w:rsid w:val="00120345"/>
    <w:rsid w:val="001212D0"/>
    <w:rsid w:val="001225E5"/>
    <w:rsid w:val="001226FA"/>
    <w:rsid w:val="0012332E"/>
    <w:rsid w:val="001235DB"/>
    <w:rsid w:val="0012470F"/>
    <w:rsid w:val="00124E7E"/>
    <w:rsid w:val="00124FC0"/>
    <w:rsid w:val="00125ED2"/>
    <w:rsid w:val="00126837"/>
    <w:rsid w:val="00126AF1"/>
    <w:rsid w:val="0012744C"/>
    <w:rsid w:val="00127845"/>
    <w:rsid w:val="00130F8B"/>
    <w:rsid w:val="00131856"/>
    <w:rsid w:val="001320D5"/>
    <w:rsid w:val="00132684"/>
    <w:rsid w:val="00133775"/>
    <w:rsid w:val="00133E89"/>
    <w:rsid w:val="00134711"/>
    <w:rsid w:val="00134D10"/>
    <w:rsid w:val="00134F05"/>
    <w:rsid w:val="001354FC"/>
    <w:rsid w:val="00135BCC"/>
    <w:rsid w:val="001363C4"/>
    <w:rsid w:val="00136ED4"/>
    <w:rsid w:val="0014032B"/>
    <w:rsid w:val="0014085F"/>
    <w:rsid w:val="00140A1F"/>
    <w:rsid w:val="001419B7"/>
    <w:rsid w:val="0014278C"/>
    <w:rsid w:val="001429F7"/>
    <w:rsid w:val="0014349E"/>
    <w:rsid w:val="001444B4"/>
    <w:rsid w:val="0014526E"/>
    <w:rsid w:val="00145B79"/>
    <w:rsid w:val="00146507"/>
    <w:rsid w:val="00152FE2"/>
    <w:rsid w:val="001531BB"/>
    <w:rsid w:val="00153F5B"/>
    <w:rsid w:val="00155629"/>
    <w:rsid w:val="00156A70"/>
    <w:rsid w:val="00156E95"/>
    <w:rsid w:val="001572E2"/>
    <w:rsid w:val="00157477"/>
    <w:rsid w:val="0015768C"/>
    <w:rsid w:val="00157867"/>
    <w:rsid w:val="00157B5A"/>
    <w:rsid w:val="00160C4A"/>
    <w:rsid w:val="00162577"/>
    <w:rsid w:val="00163498"/>
    <w:rsid w:val="0016396C"/>
    <w:rsid w:val="0016440D"/>
    <w:rsid w:val="00165568"/>
    <w:rsid w:val="00165A58"/>
    <w:rsid w:val="00167162"/>
    <w:rsid w:val="00167AE3"/>
    <w:rsid w:val="0017214C"/>
    <w:rsid w:val="00172335"/>
    <w:rsid w:val="00172537"/>
    <w:rsid w:val="001729E8"/>
    <w:rsid w:val="00172A38"/>
    <w:rsid w:val="00172AFC"/>
    <w:rsid w:val="00174124"/>
    <w:rsid w:val="00174560"/>
    <w:rsid w:val="00174A17"/>
    <w:rsid w:val="00176011"/>
    <w:rsid w:val="001776D7"/>
    <w:rsid w:val="00180184"/>
    <w:rsid w:val="001805E5"/>
    <w:rsid w:val="001810BC"/>
    <w:rsid w:val="001810F5"/>
    <w:rsid w:val="00181420"/>
    <w:rsid w:val="0018149B"/>
    <w:rsid w:val="0018173E"/>
    <w:rsid w:val="00181D84"/>
    <w:rsid w:val="00182C36"/>
    <w:rsid w:val="00183058"/>
    <w:rsid w:val="00183D35"/>
    <w:rsid w:val="00184180"/>
    <w:rsid w:val="0018447E"/>
    <w:rsid w:val="001859A4"/>
    <w:rsid w:val="00187BD9"/>
    <w:rsid w:val="00190211"/>
    <w:rsid w:val="001913E7"/>
    <w:rsid w:val="00191843"/>
    <w:rsid w:val="0019382E"/>
    <w:rsid w:val="00194235"/>
    <w:rsid w:val="0019507B"/>
    <w:rsid w:val="00196117"/>
    <w:rsid w:val="001967C4"/>
    <w:rsid w:val="00196EF7"/>
    <w:rsid w:val="001974FE"/>
    <w:rsid w:val="001A0CA9"/>
    <w:rsid w:val="001A19AF"/>
    <w:rsid w:val="001A2EC8"/>
    <w:rsid w:val="001A2F3E"/>
    <w:rsid w:val="001A3127"/>
    <w:rsid w:val="001A3361"/>
    <w:rsid w:val="001A348A"/>
    <w:rsid w:val="001A4447"/>
    <w:rsid w:val="001A4CAA"/>
    <w:rsid w:val="001A4D91"/>
    <w:rsid w:val="001A53C6"/>
    <w:rsid w:val="001A53D3"/>
    <w:rsid w:val="001A5978"/>
    <w:rsid w:val="001A60B8"/>
    <w:rsid w:val="001A6B78"/>
    <w:rsid w:val="001A6E2D"/>
    <w:rsid w:val="001A7266"/>
    <w:rsid w:val="001A7890"/>
    <w:rsid w:val="001B034F"/>
    <w:rsid w:val="001B0667"/>
    <w:rsid w:val="001B09F0"/>
    <w:rsid w:val="001B1F73"/>
    <w:rsid w:val="001B1FD0"/>
    <w:rsid w:val="001B31BE"/>
    <w:rsid w:val="001B4836"/>
    <w:rsid w:val="001B6B8A"/>
    <w:rsid w:val="001B6CF3"/>
    <w:rsid w:val="001B7013"/>
    <w:rsid w:val="001B70B0"/>
    <w:rsid w:val="001B765B"/>
    <w:rsid w:val="001B78A3"/>
    <w:rsid w:val="001C0F1D"/>
    <w:rsid w:val="001C0F48"/>
    <w:rsid w:val="001C15FC"/>
    <w:rsid w:val="001C1D43"/>
    <w:rsid w:val="001C280C"/>
    <w:rsid w:val="001C2EC1"/>
    <w:rsid w:val="001C4AA6"/>
    <w:rsid w:val="001C504F"/>
    <w:rsid w:val="001C532F"/>
    <w:rsid w:val="001C6AD9"/>
    <w:rsid w:val="001C7D77"/>
    <w:rsid w:val="001D0B90"/>
    <w:rsid w:val="001D1280"/>
    <w:rsid w:val="001D19DF"/>
    <w:rsid w:val="001D2684"/>
    <w:rsid w:val="001D2686"/>
    <w:rsid w:val="001D33F9"/>
    <w:rsid w:val="001D4144"/>
    <w:rsid w:val="001D4313"/>
    <w:rsid w:val="001D62DD"/>
    <w:rsid w:val="001D672C"/>
    <w:rsid w:val="001D7397"/>
    <w:rsid w:val="001D754C"/>
    <w:rsid w:val="001D7A87"/>
    <w:rsid w:val="001E0E59"/>
    <w:rsid w:val="001E115B"/>
    <w:rsid w:val="001E19F9"/>
    <w:rsid w:val="001E284B"/>
    <w:rsid w:val="001E2E37"/>
    <w:rsid w:val="001E388F"/>
    <w:rsid w:val="001E435A"/>
    <w:rsid w:val="001E4433"/>
    <w:rsid w:val="001E46BF"/>
    <w:rsid w:val="001E4E23"/>
    <w:rsid w:val="001E54DA"/>
    <w:rsid w:val="001E5C84"/>
    <w:rsid w:val="001F0E7F"/>
    <w:rsid w:val="001F0F77"/>
    <w:rsid w:val="001F1237"/>
    <w:rsid w:val="001F1EA1"/>
    <w:rsid w:val="001F25B2"/>
    <w:rsid w:val="001F36F2"/>
    <w:rsid w:val="001F3E7C"/>
    <w:rsid w:val="001F4069"/>
    <w:rsid w:val="001F4608"/>
    <w:rsid w:val="001F501D"/>
    <w:rsid w:val="001F5754"/>
    <w:rsid w:val="001F59D5"/>
    <w:rsid w:val="001F5B32"/>
    <w:rsid w:val="001F604A"/>
    <w:rsid w:val="001F6B05"/>
    <w:rsid w:val="001F78EC"/>
    <w:rsid w:val="0020199D"/>
    <w:rsid w:val="002021E0"/>
    <w:rsid w:val="002037A3"/>
    <w:rsid w:val="002046F4"/>
    <w:rsid w:val="002047A5"/>
    <w:rsid w:val="00204AFF"/>
    <w:rsid w:val="00204F23"/>
    <w:rsid w:val="00205CDC"/>
    <w:rsid w:val="00206359"/>
    <w:rsid w:val="002067D6"/>
    <w:rsid w:val="00211E76"/>
    <w:rsid w:val="002123AD"/>
    <w:rsid w:val="00212449"/>
    <w:rsid w:val="00212453"/>
    <w:rsid w:val="00212BD7"/>
    <w:rsid w:val="002132A1"/>
    <w:rsid w:val="00213E6A"/>
    <w:rsid w:val="00214BD3"/>
    <w:rsid w:val="00214F85"/>
    <w:rsid w:val="0021519E"/>
    <w:rsid w:val="002157DB"/>
    <w:rsid w:val="00215BC0"/>
    <w:rsid w:val="00215C4E"/>
    <w:rsid w:val="00215CFD"/>
    <w:rsid w:val="0021663E"/>
    <w:rsid w:val="00216FA6"/>
    <w:rsid w:val="002171AD"/>
    <w:rsid w:val="002171DB"/>
    <w:rsid w:val="00217301"/>
    <w:rsid w:val="00217434"/>
    <w:rsid w:val="00220B75"/>
    <w:rsid w:val="0022111D"/>
    <w:rsid w:val="00222815"/>
    <w:rsid w:val="002230AE"/>
    <w:rsid w:val="002231ED"/>
    <w:rsid w:val="0022391F"/>
    <w:rsid w:val="00224421"/>
    <w:rsid w:val="002258CF"/>
    <w:rsid w:val="002261B6"/>
    <w:rsid w:val="00226A98"/>
    <w:rsid w:val="00226F9B"/>
    <w:rsid w:val="00230716"/>
    <w:rsid w:val="0023080F"/>
    <w:rsid w:val="00230B33"/>
    <w:rsid w:val="0023149E"/>
    <w:rsid w:val="002315CE"/>
    <w:rsid w:val="002317E2"/>
    <w:rsid w:val="0023187E"/>
    <w:rsid w:val="00231CC7"/>
    <w:rsid w:val="00232517"/>
    <w:rsid w:val="002326DA"/>
    <w:rsid w:val="00233381"/>
    <w:rsid w:val="00233A3A"/>
    <w:rsid w:val="00234561"/>
    <w:rsid w:val="00235A5C"/>
    <w:rsid w:val="00235BDC"/>
    <w:rsid w:val="00236179"/>
    <w:rsid w:val="002370F8"/>
    <w:rsid w:val="00237148"/>
    <w:rsid w:val="00237567"/>
    <w:rsid w:val="00237AF6"/>
    <w:rsid w:val="00237B31"/>
    <w:rsid w:val="002400E5"/>
    <w:rsid w:val="0024143C"/>
    <w:rsid w:val="002418F3"/>
    <w:rsid w:val="00243158"/>
    <w:rsid w:val="00243215"/>
    <w:rsid w:val="00243250"/>
    <w:rsid w:val="0024328B"/>
    <w:rsid w:val="00244918"/>
    <w:rsid w:val="00244E2F"/>
    <w:rsid w:val="00245C98"/>
    <w:rsid w:val="002475EE"/>
    <w:rsid w:val="0024791A"/>
    <w:rsid w:val="00250BB3"/>
    <w:rsid w:val="00251368"/>
    <w:rsid w:val="00251488"/>
    <w:rsid w:val="002521C7"/>
    <w:rsid w:val="00252FF5"/>
    <w:rsid w:val="00254C15"/>
    <w:rsid w:val="00255D5F"/>
    <w:rsid w:val="00260DC6"/>
    <w:rsid w:val="0026127D"/>
    <w:rsid w:val="002622C1"/>
    <w:rsid w:val="002624A5"/>
    <w:rsid w:val="002637BE"/>
    <w:rsid w:val="00264747"/>
    <w:rsid w:val="0026480B"/>
    <w:rsid w:val="0026499C"/>
    <w:rsid w:val="00264CBE"/>
    <w:rsid w:val="00266670"/>
    <w:rsid w:val="0026683A"/>
    <w:rsid w:val="0026749E"/>
    <w:rsid w:val="00270AE7"/>
    <w:rsid w:val="00273419"/>
    <w:rsid w:val="00274334"/>
    <w:rsid w:val="00274A23"/>
    <w:rsid w:val="0027548D"/>
    <w:rsid w:val="00275597"/>
    <w:rsid w:val="002769D5"/>
    <w:rsid w:val="002774CB"/>
    <w:rsid w:val="0027756F"/>
    <w:rsid w:val="002779E9"/>
    <w:rsid w:val="0028022D"/>
    <w:rsid w:val="00281936"/>
    <w:rsid w:val="00283EF8"/>
    <w:rsid w:val="002851C8"/>
    <w:rsid w:val="002856FA"/>
    <w:rsid w:val="00290819"/>
    <w:rsid w:val="00291447"/>
    <w:rsid w:val="00291461"/>
    <w:rsid w:val="002914E0"/>
    <w:rsid w:val="002937F6"/>
    <w:rsid w:val="00293BB8"/>
    <w:rsid w:val="00295124"/>
    <w:rsid w:val="002959FD"/>
    <w:rsid w:val="00297975"/>
    <w:rsid w:val="002A0E31"/>
    <w:rsid w:val="002A1B93"/>
    <w:rsid w:val="002A1E50"/>
    <w:rsid w:val="002A2101"/>
    <w:rsid w:val="002A39CE"/>
    <w:rsid w:val="002A4F50"/>
    <w:rsid w:val="002A514E"/>
    <w:rsid w:val="002A5353"/>
    <w:rsid w:val="002A56C9"/>
    <w:rsid w:val="002A65D0"/>
    <w:rsid w:val="002A69B3"/>
    <w:rsid w:val="002A73C6"/>
    <w:rsid w:val="002A7AE4"/>
    <w:rsid w:val="002A7F29"/>
    <w:rsid w:val="002B07E3"/>
    <w:rsid w:val="002B0975"/>
    <w:rsid w:val="002B19BA"/>
    <w:rsid w:val="002B1A04"/>
    <w:rsid w:val="002B321F"/>
    <w:rsid w:val="002B431C"/>
    <w:rsid w:val="002B4E3E"/>
    <w:rsid w:val="002B5008"/>
    <w:rsid w:val="002B59B9"/>
    <w:rsid w:val="002B609F"/>
    <w:rsid w:val="002B7FF0"/>
    <w:rsid w:val="002C0822"/>
    <w:rsid w:val="002C0E22"/>
    <w:rsid w:val="002C0F60"/>
    <w:rsid w:val="002C11A8"/>
    <w:rsid w:val="002C18E4"/>
    <w:rsid w:val="002C21E9"/>
    <w:rsid w:val="002C2687"/>
    <w:rsid w:val="002C2F8D"/>
    <w:rsid w:val="002C2FFF"/>
    <w:rsid w:val="002C36C9"/>
    <w:rsid w:val="002C3DA0"/>
    <w:rsid w:val="002C4FDF"/>
    <w:rsid w:val="002C5803"/>
    <w:rsid w:val="002C777A"/>
    <w:rsid w:val="002D0922"/>
    <w:rsid w:val="002D1CF7"/>
    <w:rsid w:val="002D2099"/>
    <w:rsid w:val="002D218B"/>
    <w:rsid w:val="002D2351"/>
    <w:rsid w:val="002D2736"/>
    <w:rsid w:val="002D2F3D"/>
    <w:rsid w:val="002D3377"/>
    <w:rsid w:val="002D44E0"/>
    <w:rsid w:val="002D678C"/>
    <w:rsid w:val="002E18AF"/>
    <w:rsid w:val="002E1BEB"/>
    <w:rsid w:val="002E3B8B"/>
    <w:rsid w:val="002E3C58"/>
    <w:rsid w:val="002E4614"/>
    <w:rsid w:val="002E5450"/>
    <w:rsid w:val="002E6BE9"/>
    <w:rsid w:val="002E7EC5"/>
    <w:rsid w:val="002F0AA6"/>
    <w:rsid w:val="002F0F2C"/>
    <w:rsid w:val="002F11CC"/>
    <w:rsid w:val="002F1C5D"/>
    <w:rsid w:val="002F1FBD"/>
    <w:rsid w:val="002F2A51"/>
    <w:rsid w:val="002F2F34"/>
    <w:rsid w:val="002F35A0"/>
    <w:rsid w:val="002F3C22"/>
    <w:rsid w:val="002F449D"/>
    <w:rsid w:val="002F5C98"/>
    <w:rsid w:val="002F6832"/>
    <w:rsid w:val="002F7A8C"/>
    <w:rsid w:val="003005B8"/>
    <w:rsid w:val="003006D2"/>
    <w:rsid w:val="00301959"/>
    <w:rsid w:val="00304E01"/>
    <w:rsid w:val="00305888"/>
    <w:rsid w:val="00306912"/>
    <w:rsid w:val="003071E0"/>
    <w:rsid w:val="0030776D"/>
    <w:rsid w:val="00310FA0"/>
    <w:rsid w:val="00312927"/>
    <w:rsid w:val="003129B6"/>
    <w:rsid w:val="00313342"/>
    <w:rsid w:val="003140BE"/>
    <w:rsid w:val="003143A4"/>
    <w:rsid w:val="00314F35"/>
    <w:rsid w:val="003156F0"/>
    <w:rsid w:val="00316840"/>
    <w:rsid w:val="00317173"/>
    <w:rsid w:val="00317C74"/>
    <w:rsid w:val="00320BB6"/>
    <w:rsid w:val="00324AC7"/>
    <w:rsid w:val="00324D85"/>
    <w:rsid w:val="00325199"/>
    <w:rsid w:val="003261C7"/>
    <w:rsid w:val="00326210"/>
    <w:rsid w:val="00333467"/>
    <w:rsid w:val="00333671"/>
    <w:rsid w:val="0033401A"/>
    <w:rsid w:val="003344D3"/>
    <w:rsid w:val="00334F5B"/>
    <w:rsid w:val="003355DD"/>
    <w:rsid w:val="00335E7C"/>
    <w:rsid w:val="00335EA0"/>
    <w:rsid w:val="003362BF"/>
    <w:rsid w:val="00336B8E"/>
    <w:rsid w:val="003372AB"/>
    <w:rsid w:val="00337B16"/>
    <w:rsid w:val="003401C2"/>
    <w:rsid w:val="00340CC6"/>
    <w:rsid w:val="0034156C"/>
    <w:rsid w:val="0034347A"/>
    <w:rsid w:val="00343837"/>
    <w:rsid w:val="0034575B"/>
    <w:rsid w:val="00346BE1"/>
    <w:rsid w:val="00347344"/>
    <w:rsid w:val="003479BE"/>
    <w:rsid w:val="0035058E"/>
    <w:rsid w:val="00350E21"/>
    <w:rsid w:val="00351662"/>
    <w:rsid w:val="00351868"/>
    <w:rsid w:val="00351971"/>
    <w:rsid w:val="00351B0D"/>
    <w:rsid w:val="00352DD9"/>
    <w:rsid w:val="00354582"/>
    <w:rsid w:val="00354982"/>
    <w:rsid w:val="00354F47"/>
    <w:rsid w:val="00355396"/>
    <w:rsid w:val="003556B2"/>
    <w:rsid w:val="003557C0"/>
    <w:rsid w:val="00356638"/>
    <w:rsid w:val="003576B5"/>
    <w:rsid w:val="00357A61"/>
    <w:rsid w:val="00360446"/>
    <w:rsid w:val="003607D6"/>
    <w:rsid w:val="00360C84"/>
    <w:rsid w:val="00363880"/>
    <w:rsid w:val="00363A0E"/>
    <w:rsid w:val="0036468A"/>
    <w:rsid w:val="00365DE2"/>
    <w:rsid w:val="003707C5"/>
    <w:rsid w:val="00371FE1"/>
    <w:rsid w:val="003721B6"/>
    <w:rsid w:val="00373183"/>
    <w:rsid w:val="003732CC"/>
    <w:rsid w:val="00375C6D"/>
    <w:rsid w:val="0037627A"/>
    <w:rsid w:val="00377A52"/>
    <w:rsid w:val="00377B94"/>
    <w:rsid w:val="00381126"/>
    <w:rsid w:val="00382DB6"/>
    <w:rsid w:val="00383282"/>
    <w:rsid w:val="00383876"/>
    <w:rsid w:val="00384338"/>
    <w:rsid w:val="0038492C"/>
    <w:rsid w:val="0038537D"/>
    <w:rsid w:val="00385DDC"/>
    <w:rsid w:val="00387CB9"/>
    <w:rsid w:val="00391C30"/>
    <w:rsid w:val="003923BD"/>
    <w:rsid w:val="00392953"/>
    <w:rsid w:val="00393445"/>
    <w:rsid w:val="00394317"/>
    <w:rsid w:val="00394670"/>
    <w:rsid w:val="00395558"/>
    <w:rsid w:val="0039578D"/>
    <w:rsid w:val="003959B8"/>
    <w:rsid w:val="0039682C"/>
    <w:rsid w:val="0039718A"/>
    <w:rsid w:val="003971C6"/>
    <w:rsid w:val="00397757"/>
    <w:rsid w:val="003A0DE6"/>
    <w:rsid w:val="003A1018"/>
    <w:rsid w:val="003A2259"/>
    <w:rsid w:val="003A2F1B"/>
    <w:rsid w:val="003A308A"/>
    <w:rsid w:val="003A43D8"/>
    <w:rsid w:val="003A4CB7"/>
    <w:rsid w:val="003A52CE"/>
    <w:rsid w:val="003A5892"/>
    <w:rsid w:val="003A6144"/>
    <w:rsid w:val="003A6BFE"/>
    <w:rsid w:val="003A773D"/>
    <w:rsid w:val="003A7D7D"/>
    <w:rsid w:val="003A7F5A"/>
    <w:rsid w:val="003B2FEC"/>
    <w:rsid w:val="003B32E3"/>
    <w:rsid w:val="003B3701"/>
    <w:rsid w:val="003B3C84"/>
    <w:rsid w:val="003B4894"/>
    <w:rsid w:val="003B537F"/>
    <w:rsid w:val="003B5442"/>
    <w:rsid w:val="003B587E"/>
    <w:rsid w:val="003B5ED9"/>
    <w:rsid w:val="003B6B34"/>
    <w:rsid w:val="003B7B33"/>
    <w:rsid w:val="003C0C69"/>
    <w:rsid w:val="003C2353"/>
    <w:rsid w:val="003C35B4"/>
    <w:rsid w:val="003C3793"/>
    <w:rsid w:val="003C4316"/>
    <w:rsid w:val="003C4D01"/>
    <w:rsid w:val="003C56B4"/>
    <w:rsid w:val="003C652D"/>
    <w:rsid w:val="003C683C"/>
    <w:rsid w:val="003C6980"/>
    <w:rsid w:val="003C7592"/>
    <w:rsid w:val="003C7E9A"/>
    <w:rsid w:val="003D0543"/>
    <w:rsid w:val="003D0DA0"/>
    <w:rsid w:val="003D16B4"/>
    <w:rsid w:val="003D1740"/>
    <w:rsid w:val="003D1968"/>
    <w:rsid w:val="003D252B"/>
    <w:rsid w:val="003D2FB2"/>
    <w:rsid w:val="003D3055"/>
    <w:rsid w:val="003D3852"/>
    <w:rsid w:val="003D54A4"/>
    <w:rsid w:val="003D5718"/>
    <w:rsid w:val="003D6173"/>
    <w:rsid w:val="003D67E2"/>
    <w:rsid w:val="003D7E57"/>
    <w:rsid w:val="003E0C65"/>
    <w:rsid w:val="003E109D"/>
    <w:rsid w:val="003E28A9"/>
    <w:rsid w:val="003E28C1"/>
    <w:rsid w:val="003E30D4"/>
    <w:rsid w:val="003E463A"/>
    <w:rsid w:val="003E466B"/>
    <w:rsid w:val="003E4A93"/>
    <w:rsid w:val="003E4B96"/>
    <w:rsid w:val="003E4F57"/>
    <w:rsid w:val="003E5163"/>
    <w:rsid w:val="003E5235"/>
    <w:rsid w:val="003E5EFB"/>
    <w:rsid w:val="003E6616"/>
    <w:rsid w:val="003E6735"/>
    <w:rsid w:val="003E6BCF"/>
    <w:rsid w:val="003E71D7"/>
    <w:rsid w:val="003E7A8C"/>
    <w:rsid w:val="003E7BBE"/>
    <w:rsid w:val="003E7E52"/>
    <w:rsid w:val="003E7F01"/>
    <w:rsid w:val="003F1AE6"/>
    <w:rsid w:val="003F1C8A"/>
    <w:rsid w:val="003F1D15"/>
    <w:rsid w:val="003F1E56"/>
    <w:rsid w:val="003F2017"/>
    <w:rsid w:val="003F2D51"/>
    <w:rsid w:val="003F3E3D"/>
    <w:rsid w:val="003F4503"/>
    <w:rsid w:val="003F60D3"/>
    <w:rsid w:val="003F67DD"/>
    <w:rsid w:val="003F7332"/>
    <w:rsid w:val="00403529"/>
    <w:rsid w:val="0040495E"/>
    <w:rsid w:val="00405AC4"/>
    <w:rsid w:val="00406EBB"/>
    <w:rsid w:val="00407B08"/>
    <w:rsid w:val="00410B5B"/>
    <w:rsid w:val="00410E09"/>
    <w:rsid w:val="00413725"/>
    <w:rsid w:val="004145F3"/>
    <w:rsid w:val="004149AC"/>
    <w:rsid w:val="00414ED5"/>
    <w:rsid w:val="00415310"/>
    <w:rsid w:val="00415598"/>
    <w:rsid w:val="00415A1C"/>
    <w:rsid w:val="00415CF3"/>
    <w:rsid w:val="004161F1"/>
    <w:rsid w:val="004173DC"/>
    <w:rsid w:val="004211D3"/>
    <w:rsid w:val="0042214F"/>
    <w:rsid w:val="00423C87"/>
    <w:rsid w:val="00424450"/>
    <w:rsid w:val="00424AA1"/>
    <w:rsid w:val="00425961"/>
    <w:rsid w:val="0042748B"/>
    <w:rsid w:val="004278BA"/>
    <w:rsid w:val="00427E63"/>
    <w:rsid w:val="00430668"/>
    <w:rsid w:val="0043208D"/>
    <w:rsid w:val="00433204"/>
    <w:rsid w:val="00433B41"/>
    <w:rsid w:val="00433BF4"/>
    <w:rsid w:val="00435B21"/>
    <w:rsid w:val="004369DA"/>
    <w:rsid w:val="00437836"/>
    <w:rsid w:val="00437C12"/>
    <w:rsid w:val="00437F29"/>
    <w:rsid w:val="00440DBC"/>
    <w:rsid w:val="00441845"/>
    <w:rsid w:val="004419F4"/>
    <w:rsid w:val="00442A09"/>
    <w:rsid w:val="00444A3D"/>
    <w:rsid w:val="00444AD4"/>
    <w:rsid w:val="004450DE"/>
    <w:rsid w:val="0044632F"/>
    <w:rsid w:val="00446FEC"/>
    <w:rsid w:val="0045131A"/>
    <w:rsid w:val="0045148F"/>
    <w:rsid w:val="004517C4"/>
    <w:rsid w:val="00452B9F"/>
    <w:rsid w:val="0045413F"/>
    <w:rsid w:val="004547CF"/>
    <w:rsid w:val="00454AD2"/>
    <w:rsid w:val="00455509"/>
    <w:rsid w:val="00455822"/>
    <w:rsid w:val="00457090"/>
    <w:rsid w:val="00460093"/>
    <w:rsid w:val="00460E12"/>
    <w:rsid w:val="004617FC"/>
    <w:rsid w:val="00461E55"/>
    <w:rsid w:val="00462DF1"/>
    <w:rsid w:val="00463043"/>
    <w:rsid w:val="00463851"/>
    <w:rsid w:val="00464227"/>
    <w:rsid w:val="004647FE"/>
    <w:rsid w:val="00464A90"/>
    <w:rsid w:val="00464FA6"/>
    <w:rsid w:val="0046503C"/>
    <w:rsid w:val="00465BD0"/>
    <w:rsid w:val="0046612B"/>
    <w:rsid w:val="00470E23"/>
    <w:rsid w:val="004712BE"/>
    <w:rsid w:val="00471DED"/>
    <w:rsid w:val="00473352"/>
    <w:rsid w:val="004734CE"/>
    <w:rsid w:val="004734FF"/>
    <w:rsid w:val="004741A9"/>
    <w:rsid w:val="00475D2E"/>
    <w:rsid w:val="00476202"/>
    <w:rsid w:val="00476AA2"/>
    <w:rsid w:val="00477AF1"/>
    <w:rsid w:val="00477F8A"/>
    <w:rsid w:val="00481C87"/>
    <w:rsid w:val="00483151"/>
    <w:rsid w:val="004833DC"/>
    <w:rsid w:val="00483D58"/>
    <w:rsid w:val="0048423A"/>
    <w:rsid w:val="00484DA8"/>
    <w:rsid w:val="00485042"/>
    <w:rsid w:val="004853F9"/>
    <w:rsid w:val="004858FA"/>
    <w:rsid w:val="004859F7"/>
    <w:rsid w:val="00486501"/>
    <w:rsid w:val="004871CA"/>
    <w:rsid w:val="00490136"/>
    <w:rsid w:val="00490ADB"/>
    <w:rsid w:val="00491799"/>
    <w:rsid w:val="004917DE"/>
    <w:rsid w:val="004928E6"/>
    <w:rsid w:val="0049360B"/>
    <w:rsid w:val="00493C6C"/>
    <w:rsid w:val="00494244"/>
    <w:rsid w:val="00494669"/>
    <w:rsid w:val="0049741E"/>
    <w:rsid w:val="004976D5"/>
    <w:rsid w:val="004A2498"/>
    <w:rsid w:val="004A2856"/>
    <w:rsid w:val="004A28AD"/>
    <w:rsid w:val="004A2F5E"/>
    <w:rsid w:val="004A3849"/>
    <w:rsid w:val="004A3C74"/>
    <w:rsid w:val="004A3CB8"/>
    <w:rsid w:val="004A3EB4"/>
    <w:rsid w:val="004A45C2"/>
    <w:rsid w:val="004A4849"/>
    <w:rsid w:val="004A4F8C"/>
    <w:rsid w:val="004A5D1A"/>
    <w:rsid w:val="004A6964"/>
    <w:rsid w:val="004A6DF4"/>
    <w:rsid w:val="004A706C"/>
    <w:rsid w:val="004A74CE"/>
    <w:rsid w:val="004B07C3"/>
    <w:rsid w:val="004B1987"/>
    <w:rsid w:val="004B2570"/>
    <w:rsid w:val="004B3930"/>
    <w:rsid w:val="004B5377"/>
    <w:rsid w:val="004B5F13"/>
    <w:rsid w:val="004B6816"/>
    <w:rsid w:val="004B794A"/>
    <w:rsid w:val="004B7DAC"/>
    <w:rsid w:val="004C026E"/>
    <w:rsid w:val="004C1E23"/>
    <w:rsid w:val="004C2BC2"/>
    <w:rsid w:val="004C2D69"/>
    <w:rsid w:val="004C305B"/>
    <w:rsid w:val="004C3CA7"/>
    <w:rsid w:val="004C46BE"/>
    <w:rsid w:val="004C5701"/>
    <w:rsid w:val="004C6B34"/>
    <w:rsid w:val="004C6D37"/>
    <w:rsid w:val="004C7965"/>
    <w:rsid w:val="004D0ED2"/>
    <w:rsid w:val="004D0FA6"/>
    <w:rsid w:val="004D131C"/>
    <w:rsid w:val="004D292B"/>
    <w:rsid w:val="004D2FB7"/>
    <w:rsid w:val="004D3F6A"/>
    <w:rsid w:val="004D3FF1"/>
    <w:rsid w:val="004D40E3"/>
    <w:rsid w:val="004D4419"/>
    <w:rsid w:val="004D4950"/>
    <w:rsid w:val="004D5107"/>
    <w:rsid w:val="004D5D8A"/>
    <w:rsid w:val="004D66D0"/>
    <w:rsid w:val="004D6A0B"/>
    <w:rsid w:val="004D794B"/>
    <w:rsid w:val="004E0DD7"/>
    <w:rsid w:val="004E1554"/>
    <w:rsid w:val="004E15F8"/>
    <w:rsid w:val="004E18BA"/>
    <w:rsid w:val="004E1F64"/>
    <w:rsid w:val="004E31A6"/>
    <w:rsid w:val="004E371C"/>
    <w:rsid w:val="004E3AA6"/>
    <w:rsid w:val="004E3FB5"/>
    <w:rsid w:val="004E402F"/>
    <w:rsid w:val="004E44C2"/>
    <w:rsid w:val="004E4584"/>
    <w:rsid w:val="004E7631"/>
    <w:rsid w:val="004E7BF8"/>
    <w:rsid w:val="004F06C3"/>
    <w:rsid w:val="004F0BE7"/>
    <w:rsid w:val="004F1019"/>
    <w:rsid w:val="004F17BE"/>
    <w:rsid w:val="004F2EDA"/>
    <w:rsid w:val="004F2FF8"/>
    <w:rsid w:val="004F3B17"/>
    <w:rsid w:val="004F3CF5"/>
    <w:rsid w:val="004F4773"/>
    <w:rsid w:val="004F4841"/>
    <w:rsid w:val="004F4E18"/>
    <w:rsid w:val="004F5112"/>
    <w:rsid w:val="004F5B88"/>
    <w:rsid w:val="004F626D"/>
    <w:rsid w:val="004F66CC"/>
    <w:rsid w:val="004F68B3"/>
    <w:rsid w:val="004F7276"/>
    <w:rsid w:val="005000F6"/>
    <w:rsid w:val="0050032E"/>
    <w:rsid w:val="00502606"/>
    <w:rsid w:val="00502F28"/>
    <w:rsid w:val="005032F1"/>
    <w:rsid w:val="005054C1"/>
    <w:rsid w:val="00506CC2"/>
    <w:rsid w:val="0050720A"/>
    <w:rsid w:val="00507B25"/>
    <w:rsid w:val="00507C32"/>
    <w:rsid w:val="00510BB5"/>
    <w:rsid w:val="00511F7C"/>
    <w:rsid w:val="0051241C"/>
    <w:rsid w:val="005128EF"/>
    <w:rsid w:val="00513CF0"/>
    <w:rsid w:val="0051417E"/>
    <w:rsid w:val="00515596"/>
    <w:rsid w:val="005156EF"/>
    <w:rsid w:val="00516924"/>
    <w:rsid w:val="0051695D"/>
    <w:rsid w:val="00517076"/>
    <w:rsid w:val="00517A39"/>
    <w:rsid w:val="00517DFA"/>
    <w:rsid w:val="00521222"/>
    <w:rsid w:val="00521496"/>
    <w:rsid w:val="005232C6"/>
    <w:rsid w:val="00530A68"/>
    <w:rsid w:val="00532A21"/>
    <w:rsid w:val="00532C1A"/>
    <w:rsid w:val="005340FD"/>
    <w:rsid w:val="00534F52"/>
    <w:rsid w:val="00535248"/>
    <w:rsid w:val="00536E37"/>
    <w:rsid w:val="005404DB"/>
    <w:rsid w:val="00540697"/>
    <w:rsid w:val="00541905"/>
    <w:rsid w:val="00541C52"/>
    <w:rsid w:val="005436B2"/>
    <w:rsid w:val="005438E6"/>
    <w:rsid w:val="00543C01"/>
    <w:rsid w:val="005442CA"/>
    <w:rsid w:val="005444EE"/>
    <w:rsid w:val="00544F87"/>
    <w:rsid w:val="00545E3A"/>
    <w:rsid w:val="0054690E"/>
    <w:rsid w:val="00547074"/>
    <w:rsid w:val="00547229"/>
    <w:rsid w:val="00552360"/>
    <w:rsid w:val="00552A91"/>
    <w:rsid w:val="00552C86"/>
    <w:rsid w:val="00553695"/>
    <w:rsid w:val="00553926"/>
    <w:rsid w:val="005565D1"/>
    <w:rsid w:val="0055681B"/>
    <w:rsid w:val="005569A3"/>
    <w:rsid w:val="0055755B"/>
    <w:rsid w:val="00561D54"/>
    <w:rsid w:val="005629A0"/>
    <w:rsid w:val="00562B2B"/>
    <w:rsid w:val="0056410E"/>
    <w:rsid w:val="00564D6A"/>
    <w:rsid w:val="00565ED8"/>
    <w:rsid w:val="00565F98"/>
    <w:rsid w:val="005668D5"/>
    <w:rsid w:val="00566E00"/>
    <w:rsid w:val="0057058C"/>
    <w:rsid w:val="005706B2"/>
    <w:rsid w:val="00571082"/>
    <w:rsid w:val="005724C2"/>
    <w:rsid w:val="0057276D"/>
    <w:rsid w:val="005732AD"/>
    <w:rsid w:val="00574394"/>
    <w:rsid w:val="00575735"/>
    <w:rsid w:val="00575AA1"/>
    <w:rsid w:val="00577428"/>
    <w:rsid w:val="005803E3"/>
    <w:rsid w:val="00581138"/>
    <w:rsid w:val="005816B6"/>
    <w:rsid w:val="00582C90"/>
    <w:rsid w:val="0058330B"/>
    <w:rsid w:val="00583938"/>
    <w:rsid w:val="00584F11"/>
    <w:rsid w:val="00585111"/>
    <w:rsid w:val="00585C4B"/>
    <w:rsid w:val="00585C60"/>
    <w:rsid w:val="00585DAC"/>
    <w:rsid w:val="00587A42"/>
    <w:rsid w:val="005909B9"/>
    <w:rsid w:val="00590B1D"/>
    <w:rsid w:val="00590B81"/>
    <w:rsid w:val="005918E7"/>
    <w:rsid w:val="0059204B"/>
    <w:rsid w:val="00592707"/>
    <w:rsid w:val="005928B3"/>
    <w:rsid w:val="00592E6C"/>
    <w:rsid w:val="00593B58"/>
    <w:rsid w:val="005955C1"/>
    <w:rsid w:val="005955FF"/>
    <w:rsid w:val="00595737"/>
    <w:rsid w:val="00595B38"/>
    <w:rsid w:val="00595F51"/>
    <w:rsid w:val="0059637F"/>
    <w:rsid w:val="0059669D"/>
    <w:rsid w:val="005966A1"/>
    <w:rsid w:val="005967DF"/>
    <w:rsid w:val="005974BE"/>
    <w:rsid w:val="00597875"/>
    <w:rsid w:val="005A02B6"/>
    <w:rsid w:val="005A0AF9"/>
    <w:rsid w:val="005A1ABC"/>
    <w:rsid w:val="005A1BF6"/>
    <w:rsid w:val="005A33DA"/>
    <w:rsid w:val="005A483A"/>
    <w:rsid w:val="005A5FF7"/>
    <w:rsid w:val="005A63E4"/>
    <w:rsid w:val="005A683A"/>
    <w:rsid w:val="005A73B8"/>
    <w:rsid w:val="005A74CE"/>
    <w:rsid w:val="005A77E5"/>
    <w:rsid w:val="005A7BC0"/>
    <w:rsid w:val="005B1779"/>
    <w:rsid w:val="005B2E38"/>
    <w:rsid w:val="005B411B"/>
    <w:rsid w:val="005B4E7C"/>
    <w:rsid w:val="005B59DB"/>
    <w:rsid w:val="005B5F45"/>
    <w:rsid w:val="005B6185"/>
    <w:rsid w:val="005B67D9"/>
    <w:rsid w:val="005B728F"/>
    <w:rsid w:val="005C0918"/>
    <w:rsid w:val="005C0A4F"/>
    <w:rsid w:val="005C18DC"/>
    <w:rsid w:val="005C1E0D"/>
    <w:rsid w:val="005C2674"/>
    <w:rsid w:val="005C3558"/>
    <w:rsid w:val="005C3968"/>
    <w:rsid w:val="005C3A6D"/>
    <w:rsid w:val="005C4DDE"/>
    <w:rsid w:val="005C760D"/>
    <w:rsid w:val="005D0581"/>
    <w:rsid w:val="005D1393"/>
    <w:rsid w:val="005D15B6"/>
    <w:rsid w:val="005D1870"/>
    <w:rsid w:val="005D1F42"/>
    <w:rsid w:val="005D32D5"/>
    <w:rsid w:val="005D3E1A"/>
    <w:rsid w:val="005D631E"/>
    <w:rsid w:val="005D695F"/>
    <w:rsid w:val="005E0FDD"/>
    <w:rsid w:val="005E1899"/>
    <w:rsid w:val="005E1A2D"/>
    <w:rsid w:val="005E1D84"/>
    <w:rsid w:val="005E4166"/>
    <w:rsid w:val="005E42C3"/>
    <w:rsid w:val="005E4371"/>
    <w:rsid w:val="005E4859"/>
    <w:rsid w:val="005E6679"/>
    <w:rsid w:val="005E74FC"/>
    <w:rsid w:val="005E76C3"/>
    <w:rsid w:val="005E77B0"/>
    <w:rsid w:val="005F08FA"/>
    <w:rsid w:val="005F09BE"/>
    <w:rsid w:val="005F1E09"/>
    <w:rsid w:val="005F2BDB"/>
    <w:rsid w:val="005F40EC"/>
    <w:rsid w:val="005F49DB"/>
    <w:rsid w:val="005F5131"/>
    <w:rsid w:val="005F5313"/>
    <w:rsid w:val="005F5536"/>
    <w:rsid w:val="005F5FBE"/>
    <w:rsid w:val="005F6B28"/>
    <w:rsid w:val="005F6D8A"/>
    <w:rsid w:val="005F7726"/>
    <w:rsid w:val="005F7CC1"/>
    <w:rsid w:val="005F7E79"/>
    <w:rsid w:val="006000D4"/>
    <w:rsid w:val="00600178"/>
    <w:rsid w:val="006012E4"/>
    <w:rsid w:val="006017B2"/>
    <w:rsid w:val="00601882"/>
    <w:rsid w:val="006018BD"/>
    <w:rsid w:val="00604516"/>
    <w:rsid w:val="0060474C"/>
    <w:rsid w:val="00604A57"/>
    <w:rsid w:val="00604E81"/>
    <w:rsid w:val="006057BB"/>
    <w:rsid w:val="0060581C"/>
    <w:rsid w:val="00606BCA"/>
    <w:rsid w:val="00606E33"/>
    <w:rsid w:val="0060795B"/>
    <w:rsid w:val="00610879"/>
    <w:rsid w:val="00610A57"/>
    <w:rsid w:val="0061233C"/>
    <w:rsid w:val="00614CE9"/>
    <w:rsid w:val="00616272"/>
    <w:rsid w:val="00617050"/>
    <w:rsid w:val="00617EC7"/>
    <w:rsid w:val="00620A9F"/>
    <w:rsid w:val="00620C65"/>
    <w:rsid w:val="00621172"/>
    <w:rsid w:val="00622460"/>
    <w:rsid w:val="006230C6"/>
    <w:rsid w:val="00624ABF"/>
    <w:rsid w:val="00625CE0"/>
    <w:rsid w:val="00625D93"/>
    <w:rsid w:val="00626B8A"/>
    <w:rsid w:val="006301F5"/>
    <w:rsid w:val="00631F9E"/>
    <w:rsid w:val="006321D8"/>
    <w:rsid w:val="00632C80"/>
    <w:rsid w:val="00634364"/>
    <w:rsid w:val="006346AE"/>
    <w:rsid w:val="006354EF"/>
    <w:rsid w:val="00635AE7"/>
    <w:rsid w:val="00637090"/>
    <w:rsid w:val="00641ABF"/>
    <w:rsid w:val="00641D8E"/>
    <w:rsid w:val="00641FC7"/>
    <w:rsid w:val="00645764"/>
    <w:rsid w:val="0064714B"/>
    <w:rsid w:val="00650BBB"/>
    <w:rsid w:val="006516F9"/>
    <w:rsid w:val="00652140"/>
    <w:rsid w:val="00653D50"/>
    <w:rsid w:val="0065425D"/>
    <w:rsid w:val="00655288"/>
    <w:rsid w:val="00656816"/>
    <w:rsid w:val="00657390"/>
    <w:rsid w:val="00657434"/>
    <w:rsid w:val="0066038A"/>
    <w:rsid w:val="00661AAF"/>
    <w:rsid w:val="006621BE"/>
    <w:rsid w:val="00662855"/>
    <w:rsid w:val="0066298A"/>
    <w:rsid w:val="006634C1"/>
    <w:rsid w:val="00664463"/>
    <w:rsid w:val="006653F1"/>
    <w:rsid w:val="006659D5"/>
    <w:rsid w:val="00665D4F"/>
    <w:rsid w:val="00667D1F"/>
    <w:rsid w:val="006713D9"/>
    <w:rsid w:val="00672EFE"/>
    <w:rsid w:val="0067333F"/>
    <w:rsid w:val="0067359B"/>
    <w:rsid w:val="00675C65"/>
    <w:rsid w:val="00676D1B"/>
    <w:rsid w:val="00677E6A"/>
    <w:rsid w:val="006800C7"/>
    <w:rsid w:val="00680338"/>
    <w:rsid w:val="00681568"/>
    <w:rsid w:val="006815D1"/>
    <w:rsid w:val="00682688"/>
    <w:rsid w:val="00683ECF"/>
    <w:rsid w:val="00683F20"/>
    <w:rsid w:val="006841B0"/>
    <w:rsid w:val="00684871"/>
    <w:rsid w:val="006855E3"/>
    <w:rsid w:val="006867ED"/>
    <w:rsid w:val="00687BC1"/>
    <w:rsid w:val="00690A4D"/>
    <w:rsid w:val="006913C0"/>
    <w:rsid w:val="0069165C"/>
    <w:rsid w:val="00695130"/>
    <w:rsid w:val="00695825"/>
    <w:rsid w:val="006960EF"/>
    <w:rsid w:val="006973AA"/>
    <w:rsid w:val="00697681"/>
    <w:rsid w:val="006A0A9B"/>
    <w:rsid w:val="006A1528"/>
    <w:rsid w:val="006A1810"/>
    <w:rsid w:val="006A1A38"/>
    <w:rsid w:val="006A1CC9"/>
    <w:rsid w:val="006A2CFA"/>
    <w:rsid w:val="006A3920"/>
    <w:rsid w:val="006A3F44"/>
    <w:rsid w:val="006A4480"/>
    <w:rsid w:val="006A56F5"/>
    <w:rsid w:val="006A5AC9"/>
    <w:rsid w:val="006A5E0E"/>
    <w:rsid w:val="006A63F5"/>
    <w:rsid w:val="006A6755"/>
    <w:rsid w:val="006A7A49"/>
    <w:rsid w:val="006B01F1"/>
    <w:rsid w:val="006B02D5"/>
    <w:rsid w:val="006B2E59"/>
    <w:rsid w:val="006B3C5D"/>
    <w:rsid w:val="006B3F35"/>
    <w:rsid w:val="006B470C"/>
    <w:rsid w:val="006B5900"/>
    <w:rsid w:val="006B76F6"/>
    <w:rsid w:val="006C154B"/>
    <w:rsid w:val="006C244A"/>
    <w:rsid w:val="006C253E"/>
    <w:rsid w:val="006C41FF"/>
    <w:rsid w:val="006C420C"/>
    <w:rsid w:val="006C5FFF"/>
    <w:rsid w:val="006C6358"/>
    <w:rsid w:val="006C65AD"/>
    <w:rsid w:val="006C70D4"/>
    <w:rsid w:val="006D00C7"/>
    <w:rsid w:val="006D0155"/>
    <w:rsid w:val="006D0676"/>
    <w:rsid w:val="006D0D31"/>
    <w:rsid w:val="006D1916"/>
    <w:rsid w:val="006D1EC8"/>
    <w:rsid w:val="006D203E"/>
    <w:rsid w:val="006D5EE5"/>
    <w:rsid w:val="006D5F6B"/>
    <w:rsid w:val="006D643C"/>
    <w:rsid w:val="006D7A90"/>
    <w:rsid w:val="006D7AE4"/>
    <w:rsid w:val="006E0822"/>
    <w:rsid w:val="006E08A7"/>
    <w:rsid w:val="006E091C"/>
    <w:rsid w:val="006E0CCA"/>
    <w:rsid w:val="006E0D3E"/>
    <w:rsid w:val="006E115C"/>
    <w:rsid w:val="006E1615"/>
    <w:rsid w:val="006E2CEF"/>
    <w:rsid w:val="006E2E67"/>
    <w:rsid w:val="006E49B0"/>
    <w:rsid w:val="006E579E"/>
    <w:rsid w:val="006E587D"/>
    <w:rsid w:val="006E669B"/>
    <w:rsid w:val="006E7383"/>
    <w:rsid w:val="006E7F3B"/>
    <w:rsid w:val="006F24F5"/>
    <w:rsid w:val="006F3FB7"/>
    <w:rsid w:val="006F75AE"/>
    <w:rsid w:val="00700778"/>
    <w:rsid w:val="00700995"/>
    <w:rsid w:val="007014C3"/>
    <w:rsid w:val="00702038"/>
    <w:rsid w:val="007031F8"/>
    <w:rsid w:val="007039B5"/>
    <w:rsid w:val="0070466E"/>
    <w:rsid w:val="00706DD6"/>
    <w:rsid w:val="00707351"/>
    <w:rsid w:val="007075FB"/>
    <w:rsid w:val="00707F75"/>
    <w:rsid w:val="00710B87"/>
    <w:rsid w:val="007115FF"/>
    <w:rsid w:val="00711DFB"/>
    <w:rsid w:val="007124AA"/>
    <w:rsid w:val="00712B66"/>
    <w:rsid w:val="007130A6"/>
    <w:rsid w:val="00714593"/>
    <w:rsid w:val="007159B3"/>
    <w:rsid w:val="007166DB"/>
    <w:rsid w:val="00717160"/>
    <w:rsid w:val="0072061C"/>
    <w:rsid w:val="00720A80"/>
    <w:rsid w:val="007226EF"/>
    <w:rsid w:val="007238E0"/>
    <w:rsid w:val="00724AE7"/>
    <w:rsid w:val="00724B46"/>
    <w:rsid w:val="00726723"/>
    <w:rsid w:val="0072724B"/>
    <w:rsid w:val="007273C7"/>
    <w:rsid w:val="007275F3"/>
    <w:rsid w:val="007278AE"/>
    <w:rsid w:val="00727979"/>
    <w:rsid w:val="00727CB2"/>
    <w:rsid w:val="00727DFD"/>
    <w:rsid w:val="00730CED"/>
    <w:rsid w:val="00731DA1"/>
    <w:rsid w:val="00731EA2"/>
    <w:rsid w:val="00732600"/>
    <w:rsid w:val="00733842"/>
    <w:rsid w:val="00735604"/>
    <w:rsid w:val="00735C64"/>
    <w:rsid w:val="00737804"/>
    <w:rsid w:val="00737B6B"/>
    <w:rsid w:val="00740511"/>
    <w:rsid w:val="00741238"/>
    <w:rsid w:val="00741643"/>
    <w:rsid w:val="0074165C"/>
    <w:rsid w:val="00741B78"/>
    <w:rsid w:val="00742173"/>
    <w:rsid w:val="007422B1"/>
    <w:rsid w:val="00743076"/>
    <w:rsid w:val="007433D6"/>
    <w:rsid w:val="0074393D"/>
    <w:rsid w:val="0074520C"/>
    <w:rsid w:val="0074596E"/>
    <w:rsid w:val="0074717A"/>
    <w:rsid w:val="007471D2"/>
    <w:rsid w:val="00747624"/>
    <w:rsid w:val="00747CEC"/>
    <w:rsid w:val="00750630"/>
    <w:rsid w:val="00751055"/>
    <w:rsid w:val="00751B50"/>
    <w:rsid w:val="00751CF6"/>
    <w:rsid w:val="00752BC0"/>
    <w:rsid w:val="00752E17"/>
    <w:rsid w:val="00753761"/>
    <w:rsid w:val="00753A87"/>
    <w:rsid w:val="00753F9D"/>
    <w:rsid w:val="00754142"/>
    <w:rsid w:val="00754274"/>
    <w:rsid w:val="0075573B"/>
    <w:rsid w:val="00756441"/>
    <w:rsid w:val="007576E2"/>
    <w:rsid w:val="00757AC7"/>
    <w:rsid w:val="00760EED"/>
    <w:rsid w:val="007614D1"/>
    <w:rsid w:val="007615C9"/>
    <w:rsid w:val="00761A03"/>
    <w:rsid w:val="00761A2A"/>
    <w:rsid w:val="00762426"/>
    <w:rsid w:val="00762830"/>
    <w:rsid w:val="00762BA5"/>
    <w:rsid w:val="007643B0"/>
    <w:rsid w:val="00764ECE"/>
    <w:rsid w:val="00765BA7"/>
    <w:rsid w:val="007667C4"/>
    <w:rsid w:val="00766D0C"/>
    <w:rsid w:val="00767747"/>
    <w:rsid w:val="007678BB"/>
    <w:rsid w:val="00767A7B"/>
    <w:rsid w:val="00767AB8"/>
    <w:rsid w:val="00767B2C"/>
    <w:rsid w:val="007707AA"/>
    <w:rsid w:val="0077118F"/>
    <w:rsid w:val="00771C02"/>
    <w:rsid w:val="00772008"/>
    <w:rsid w:val="007739CF"/>
    <w:rsid w:val="00774202"/>
    <w:rsid w:val="0077493B"/>
    <w:rsid w:val="00774FEA"/>
    <w:rsid w:val="00776037"/>
    <w:rsid w:val="007765DB"/>
    <w:rsid w:val="00777088"/>
    <w:rsid w:val="0077709C"/>
    <w:rsid w:val="0077744B"/>
    <w:rsid w:val="007775CE"/>
    <w:rsid w:val="00780161"/>
    <w:rsid w:val="007839F9"/>
    <w:rsid w:val="00783AF8"/>
    <w:rsid w:val="00783C75"/>
    <w:rsid w:val="00783D23"/>
    <w:rsid w:val="00784CE7"/>
    <w:rsid w:val="007857CB"/>
    <w:rsid w:val="007875F2"/>
    <w:rsid w:val="00787AAD"/>
    <w:rsid w:val="0079149E"/>
    <w:rsid w:val="00791875"/>
    <w:rsid w:val="007918C9"/>
    <w:rsid w:val="007922E7"/>
    <w:rsid w:val="00792BE8"/>
    <w:rsid w:val="00793CCC"/>
    <w:rsid w:val="00794065"/>
    <w:rsid w:val="00795DD0"/>
    <w:rsid w:val="00796783"/>
    <w:rsid w:val="007A14CF"/>
    <w:rsid w:val="007A1A44"/>
    <w:rsid w:val="007A1FBD"/>
    <w:rsid w:val="007A251B"/>
    <w:rsid w:val="007A2FF8"/>
    <w:rsid w:val="007A3648"/>
    <w:rsid w:val="007A3EE6"/>
    <w:rsid w:val="007A4C0F"/>
    <w:rsid w:val="007A4DD8"/>
    <w:rsid w:val="007A4EDC"/>
    <w:rsid w:val="007A63F8"/>
    <w:rsid w:val="007A6639"/>
    <w:rsid w:val="007A6ACC"/>
    <w:rsid w:val="007A74B9"/>
    <w:rsid w:val="007B3D73"/>
    <w:rsid w:val="007B3E93"/>
    <w:rsid w:val="007B54AA"/>
    <w:rsid w:val="007B5784"/>
    <w:rsid w:val="007B6124"/>
    <w:rsid w:val="007C00F8"/>
    <w:rsid w:val="007C0C9E"/>
    <w:rsid w:val="007C2EA7"/>
    <w:rsid w:val="007C3711"/>
    <w:rsid w:val="007C3944"/>
    <w:rsid w:val="007C4AD7"/>
    <w:rsid w:val="007C4D43"/>
    <w:rsid w:val="007C65EA"/>
    <w:rsid w:val="007C6692"/>
    <w:rsid w:val="007C703D"/>
    <w:rsid w:val="007C7E76"/>
    <w:rsid w:val="007D0398"/>
    <w:rsid w:val="007D0DF3"/>
    <w:rsid w:val="007D121B"/>
    <w:rsid w:val="007D17CA"/>
    <w:rsid w:val="007D2917"/>
    <w:rsid w:val="007D3102"/>
    <w:rsid w:val="007D3BD0"/>
    <w:rsid w:val="007D4797"/>
    <w:rsid w:val="007D4CD3"/>
    <w:rsid w:val="007D5D64"/>
    <w:rsid w:val="007D6736"/>
    <w:rsid w:val="007D741A"/>
    <w:rsid w:val="007D7468"/>
    <w:rsid w:val="007E0754"/>
    <w:rsid w:val="007E1F32"/>
    <w:rsid w:val="007E28B1"/>
    <w:rsid w:val="007E48DC"/>
    <w:rsid w:val="007E49E4"/>
    <w:rsid w:val="007E522C"/>
    <w:rsid w:val="007E5AB1"/>
    <w:rsid w:val="007E6B60"/>
    <w:rsid w:val="007E6F2F"/>
    <w:rsid w:val="007E727D"/>
    <w:rsid w:val="007E7308"/>
    <w:rsid w:val="007E765C"/>
    <w:rsid w:val="007E7BBE"/>
    <w:rsid w:val="007F1D8F"/>
    <w:rsid w:val="007F2F4F"/>
    <w:rsid w:val="007F3472"/>
    <w:rsid w:val="007F4833"/>
    <w:rsid w:val="007F4F68"/>
    <w:rsid w:val="007F52AF"/>
    <w:rsid w:val="007F66F9"/>
    <w:rsid w:val="007F67D9"/>
    <w:rsid w:val="007F6C65"/>
    <w:rsid w:val="007F7452"/>
    <w:rsid w:val="00800898"/>
    <w:rsid w:val="00800D43"/>
    <w:rsid w:val="00801836"/>
    <w:rsid w:val="008021AD"/>
    <w:rsid w:val="00802BE7"/>
    <w:rsid w:val="00803CC0"/>
    <w:rsid w:val="00805164"/>
    <w:rsid w:val="00805880"/>
    <w:rsid w:val="00805D5A"/>
    <w:rsid w:val="00805E0E"/>
    <w:rsid w:val="008105E0"/>
    <w:rsid w:val="00810ACC"/>
    <w:rsid w:val="00810E42"/>
    <w:rsid w:val="00812DC0"/>
    <w:rsid w:val="00813A00"/>
    <w:rsid w:val="00813A52"/>
    <w:rsid w:val="00813BB2"/>
    <w:rsid w:val="00813D5B"/>
    <w:rsid w:val="00814C1A"/>
    <w:rsid w:val="00814C8D"/>
    <w:rsid w:val="0081692C"/>
    <w:rsid w:val="00816A40"/>
    <w:rsid w:val="00820B2B"/>
    <w:rsid w:val="00821B44"/>
    <w:rsid w:val="00821B76"/>
    <w:rsid w:val="0082237F"/>
    <w:rsid w:val="00823E7E"/>
    <w:rsid w:val="0082493A"/>
    <w:rsid w:val="00824996"/>
    <w:rsid w:val="00825949"/>
    <w:rsid w:val="00825EE5"/>
    <w:rsid w:val="00826855"/>
    <w:rsid w:val="00826D27"/>
    <w:rsid w:val="00826E48"/>
    <w:rsid w:val="008270E1"/>
    <w:rsid w:val="00827671"/>
    <w:rsid w:val="00827F56"/>
    <w:rsid w:val="00832C69"/>
    <w:rsid w:val="0083304A"/>
    <w:rsid w:val="008340B1"/>
    <w:rsid w:val="008343FD"/>
    <w:rsid w:val="00834CE3"/>
    <w:rsid w:val="008350C5"/>
    <w:rsid w:val="008353B0"/>
    <w:rsid w:val="008359AC"/>
    <w:rsid w:val="00835AA1"/>
    <w:rsid w:val="00835FDF"/>
    <w:rsid w:val="00837087"/>
    <w:rsid w:val="00837850"/>
    <w:rsid w:val="00837AE8"/>
    <w:rsid w:val="00840228"/>
    <w:rsid w:val="00843260"/>
    <w:rsid w:val="0084357B"/>
    <w:rsid w:val="008438DD"/>
    <w:rsid w:val="0084390D"/>
    <w:rsid w:val="008441EA"/>
    <w:rsid w:val="008442AA"/>
    <w:rsid w:val="00846942"/>
    <w:rsid w:val="00846C01"/>
    <w:rsid w:val="0085049F"/>
    <w:rsid w:val="00851475"/>
    <w:rsid w:val="00851B11"/>
    <w:rsid w:val="008529DE"/>
    <w:rsid w:val="00852C51"/>
    <w:rsid w:val="00852E5B"/>
    <w:rsid w:val="00853539"/>
    <w:rsid w:val="00854397"/>
    <w:rsid w:val="00855CED"/>
    <w:rsid w:val="00856C7D"/>
    <w:rsid w:val="008570C1"/>
    <w:rsid w:val="00857BBE"/>
    <w:rsid w:val="00857EF9"/>
    <w:rsid w:val="00860C0D"/>
    <w:rsid w:val="0086180C"/>
    <w:rsid w:val="00861974"/>
    <w:rsid w:val="00862071"/>
    <w:rsid w:val="0086237C"/>
    <w:rsid w:val="00863ACE"/>
    <w:rsid w:val="0086416B"/>
    <w:rsid w:val="0086482D"/>
    <w:rsid w:val="008665E4"/>
    <w:rsid w:val="00867180"/>
    <w:rsid w:val="008676F3"/>
    <w:rsid w:val="00867D4A"/>
    <w:rsid w:val="00870C9F"/>
    <w:rsid w:val="008732EE"/>
    <w:rsid w:val="008751BE"/>
    <w:rsid w:val="00875ABB"/>
    <w:rsid w:val="008760A4"/>
    <w:rsid w:val="0087661C"/>
    <w:rsid w:val="0087704E"/>
    <w:rsid w:val="00880409"/>
    <w:rsid w:val="00881917"/>
    <w:rsid w:val="00881FA7"/>
    <w:rsid w:val="00882919"/>
    <w:rsid w:val="008838ED"/>
    <w:rsid w:val="00884FD8"/>
    <w:rsid w:val="0088507A"/>
    <w:rsid w:val="00885F28"/>
    <w:rsid w:val="00886579"/>
    <w:rsid w:val="00886621"/>
    <w:rsid w:val="0088685B"/>
    <w:rsid w:val="0088734A"/>
    <w:rsid w:val="0088759A"/>
    <w:rsid w:val="00887DD7"/>
    <w:rsid w:val="0089263A"/>
    <w:rsid w:val="00892826"/>
    <w:rsid w:val="008928A6"/>
    <w:rsid w:val="00892B43"/>
    <w:rsid w:val="00892BAB"/>
    <w:rsid w:val="008931C7"/>
    <w:rsid w:val="00893726"/>
    <w:rsid w:val="008948E5"/>
    <w:rsid w:val="0089741B"/>
    <w:rsid w:val="008A0692"/>
    <w:rsid w:val="008A092B"/>
    <w:rsid w:val="008A201D"/>
    <w:rsid w:val="008A23C8"/>
    <w:rsid w:val="008A2961"/>
    <w:rsid w:val="008A428A"/>
    <w:rsid w:val="008A4C48"/>
    <w:rsid w:val="008A59A4"/>
    <w:rsid w:val="008A5EBE"/>
    <w:rsid w:val="008A64C4"/>
    <w:rsid w:val="008A74DD"/>
    <w:rsid w:val="008A7812"/>
    <w:rsid w:val="008A7D49"/>
    <w:rsid w:val="008B03D4"/>
    <w:rsid w:val="008B0F56"/>
    <w:rsid w:val="008B137F"/>
    <w:rsid w:val="008B16EE"/>
    <w:rsid w:val="008B1705"/>
    <w:rsid w:val="008B1B02"/>
    <w:rsid w:val="008B3534"/>
    <w:rsid w:val="008B4ADD"/>
    <w:rsid w:val="008B4DC1"/>
    <w:rsid w:val="008B4DEA"/>
    <w:rsid w:val="008B4EC9"/>
    <w:rsid w:val="008B7F0D"/>
    <w:rsid w:val="008C0563"/>
    <w:rsid w:val="008C163F"/>
    <w:rsid w:val="008C1871"/>
    <w:rsid w:val="008C2BF1"/>
    <w:rsid w:val="008C35F6"/>
    <w:rsid w:val="008C53DE"/>
    <w:rsid w:val="008C5A17"/>
    <w:rsid w:val="008C6146"/>
    <w:rsid w:val="008C63ED"/>
    <w:rsid w:val="008C6502"/>
    <w:rsid w:val="008C7816"/>
    <w:rsid w:val="008C7E2E"/>
    <w:rsid w:val="008D05CD"/>
    <w:rsid w:val="008D082E"/>
    <w:rsid w:val="008D1C39"/>
    <w:rsid w:val="008D1D1F"/>
    <w:rsid w:val="008D3723"/>
    <w:rsid w:val="008D3CFB"/>
    <w:rsid w:val="008D3E70"/>
    <w:rsid w:val="008D40CD"/>
    <w:rsid w:val="008D440A"/>
    <w:rsid w:val="008D4F5C"/>
    <w:rsid w:val="008D6881"/>
    <w:rsid w:val="008D76EE"/>
    <w:rsid w:val="008E00EC"/>
    <w:rsid w:val="008E0C27"/>
    <w:rsid w:val="008E1F11"/>
    <w:rsid w:val="008E3E1F"/>
    <w:rsid w:val="008E4689"/>
    <w:rsid w:val="008E475E"/>
    <w:rsid w:val="008E4F99"/>
    <w:rsid w:val="008E60D8"/>
    <w:rsid w:val="008E68A0"/>
    <w:rsid w:val="008F07CE"/>
    <w:rsid w:val="008F0C10"/>
    <w:rsid w:val="008F114C"/>
    <w:rsid w:val="008F2099"/>
    <w:rsid w:val="008F2FD7"/>
    <w:rsid w:val="008F30AB"/>
    <w:rsid w:val="008F469F"/>
    <w:rsid w:val="008F4AA8"/>
    <w:rsid w:val="008F6019"/>
    <w:rsid w:val="009025E5"/>
    <w:rsid w:val="00903271"/>
    <w:rsid w:val="00903C50"/>
    <w:rsid w:val="00904749"/>
    <w:rsid w:val="00904B42"/>
    <w:rsid w:val="0090648A"/>
    <w:rsid w:val="0091003D"/>
    <w:rsid w:val="00910768"/>
    <w:rsid w:val="00910BFE"/>
    <w:rsid w:val="009118E0"/>
    <w:rsid w:val="00912F46"/>
    <w:rsid w:val="00913412"/>
    <w:rsid w:val="009140BF"/>
    <w:rsid w:val="00914F3E"/>
    <w:rsid w:val="00915359"/>
    <w:rsid w:val="00915D0F"/>
    <w:rsid w:val="0091685D"/>
    <w:rsid w:val="009169B5"/>
    <w:rsid w:val="0091731A"/>
    <w:rsid w:val="009200BD"/>
    <w:rsid w:val="00920579"/>
    <w:rsid w:val="00920801"/>
    <w:rsid w:val="009216C9"/>
    <w:rsid w:val="00921A48"/>
    <w:rsid w:val="00922C68"/>
    <w:rsid w:val="00922F31"/>
    <w:rsid w:val="00923CC5"/>
    <w:rsid w:val="00925452"/>
    <w:rsid w:val="00925692"/>
    <w:rsid w:val="00926667"/>
    <w:rsid w:val="0092757D"/>
    <w:rsid w:val="009306CA"/>
    <w:rsid w:val="00930FA5"/>
    <w:rsid w:val="009312F5"/>
    <w:rsid w:val="00932F73"/>
    <w:rsid w:val="009347EA"/>
    <w:rsid w:val="00934971"/>
    <w:rsid w:val="00942DA8"/>
    <w:rsid w:val="0094341F"/>
    <w:rsid w:val="009444D7"/>
    <w:rsid w:val="00945480"/>
    <w:rsid w:val="00945499"/>
    <w:rsid w:val="0094647C"/>
    <w:rsid w:val="00947474"/>
    <w:rsid w:val="009475EA"/>
    <w:rsid w:val="00947961"/>
    <w:rsid w:val="00947D15"/>
    <w:rsid w:val="00950098"/>
    <w:rsid w:val="0095121B"/>
    <w:rsid w:val="00951473"/>
    <w:rsid w:val="00955CC1"/>
    <w:rsid w:val="00955E94"/>
    <w:rsid w:val="00957589"/>
    <w:rsid w:val="00957EDE"/>
    <w:rsid w:val="00960AF4"/>
    <w:rsid w:val="009618B5"/>
    <w:rsid w:val="00961AEF"/>
    <w:rsid w:val="00961B80"/>
    <w:rsid w:val="009624AA"/>
    <w:rsid w:val="0096268C"/>
    <w:rsid w:val="009628C8"/>
    <w:rsid w:val="00962941"/>
    <w:rsid w:val="00963E45"/>
    <w:rsid w:val="00964890"/>
    <w:rsid w:val="00964FA2"/>
    <w:rsid w:val="009651B3"/>
    <w:rsid w:val="009655C4"/>
    <w:rsid w:val="00966296"/>
    <w:rsid w:val="0096670E"/>
    <w:rsid w:val="009679C4"/>
    <w:rsid w:val="00967AA7"/>
    <w:rsid w:val="00967CA9"/>
    <w:rsid w:val="00967E73"/>
    <w:rsid w:val="00970BC5"/>
    <w:rsid w:val="009712DF"/>
    <w:rsid w:val="00972653"/>
    <w:rsid w:val="009737D5"/>
    <w:rsid w:val="0097389E"/>
    <w:rsid w:val="00974ECB"/>
    <w:rsid w:val="009754A0"/>
    <w:rsid w:val="00976073"/>
    <w:rsid w:val="00976DA7"/>
    <w:rsid w:val="00976DB7"/>
    <w:rsid w:val="00977E6F"/>
    <w:rsid w:val="0098333E"/>
    <w:rsid w:val="009844E5"/>
    <w:rsid w:val="00985540"/>
    <w:rsid w:val="009858F2"/>
    <w:rsid w:val="00985CC5"/>
    <w:rsid w:val="00986EF5"/>
    <w:rsid w:val="00987E6D"/>
    <w:rsid w:val="00990C0C"/>
    <w:rsid w:val="009910FE"/>
    <w:rsid w:val="00991591"/>
    <w:rsid w:val="00991A68"/>
    <w:rsid w:val="00991CD4"/>
    <w:rsid w:val="0099216F"/>
    <w:rsid w:val="00993CD9"/>
    <w:rsid w:val="009943CD"/>
    <w:rsid w:val="009952E4"/>
    <w:rsid w:val="009955B5"/>
    <w:rsid w:val="00995CAC"/>
    <w:rsid w:val="00997CA0"/>
    <w:rsid w:val="00997D2A"/>
    <w:rsid w:val="009A05E3"/>
    <w:rsid w:val="009A3D39"/>
    <w:rsid w:val="009A4C11"/>
    <w:rsid w:val="009A55BB"/>
    <w:rsid w:val="009A62EF"/>
    <w:rsid w:val="009A63B0"/>
    <w:rsid w:val="009A651A"/>
    <w:rsid w:val="009A6759"/>
    <w:rsid w:val="009B038A"/>
    <w:rsid w:val="009B090A"/>
    <w:rsid w:val="009B124B"/>
    <w:rsid w:val="009B1B3F"/>
    <w:rsid w:val="009B2863"/>
    <w:rsid w:val="009B3BBF"/>
    <w:rsid w:val="009B3E6D"/>
    <w:rsid w:val="009B456C"/>
    <w:rsid w:val="009B5694"/>
    <w:rsid w:val="009B5D5C"/>
    <w:rsid w:val="009B67B6"/>
    <w:rsid w:val="009B6986"/>
    <w:rsid w:val="009B6BAF"/>
    <w:rsid w:val="009B6D5C"/>
    <w:rsid w:val="009B72FE"/>
    <w:rsid w:val="009B7BCC"/>
    <w:rsid w:val="009C1C4D"/>
    <w:rsid w:val="009C2839"/>
    <w:rsid w:val="009C4B14"/>
    <w:rsid w:val="009C5492"/>
    <w:rsid w:val="009C5588"/>
    <w:rsid w:val="009C55A2"/>
    <w:rsid w:val="009C6DF4"/>
    <w:rsid w:val="009C7AB1"/>
    <w:rsid w:val="009D1FF0"/>
    <w:rsid w:val="009D23D8"/>
    <w:rsid w:val="009D2C44"/>
    <w:rsid w:val="009D3808"/>
    <w:rsid w:val="009D63DF"/>
    <w:rsid w:val="009D6F28"/>
    <w:rsid w:val="009D7971"/>
    <w:rsid w:val="009D7E42"/>
    <w:rsid w:val="009E02C2"/>
    <w:rsid w:val="009E0977"/>
    <w:rsid w:val="009E1A48"/>
    <w:rsid w:val="009E21C0"/>
    <w:rsid w:val="009E31ED"/>
    <w:rsid w:val="009E343B"/>
    <w:rsid w:val="009E3BE8"/>
    <w:rsid w:val="009E5215"/>
    <w:rsid w:val="009E538A"/>
    <w:rsid w:val="009E5B16"/>
    <w:rsid w:val="009E6897"/>
    <w:rsid w:val="009E6B62"/>
    <w:rsid w:val="009E6DE5"/>
    <w:rsid w:val="009E75D2"/>
    <w:rsid w:val="009E7681"/>
    <w:rsid w:val="009F1652"/>
    <w:rsid w:val="009F181D"/>
    <w:rsid w:val="009F242C"/>
    <w:rsid w:val="009F2DFD"/>
    <w:rsid w:val="009F2E9A"/>
    <w:rsid w:val="009F3203"/>
    <w:rsid w:val="009F3668"/>
    <w:rsid w:val="009F47F4"/>
    <w:rsid w:val="009F4F72"/>
    <w:rsid w:val="009F612C"/>
    <w:rsid w:val="009F6AFB"/>
    <w:rsid w:val="009F6D75"/>
    <w:rsid w:val="00A011A3"/>
    <w:rsid w:val="00A01BFC"/>
    <w:rsid w:val="00A02A70"/>
    <w:rsid w:val="00A02E1D"/>
    <w:rsid w:val="00A0323C"/>
    <w:rsid w:val="00A0416E"/>
    <w:rsid w:val="00A0515E"/>
    <w:rsid w:val="00A06D63"/>
    <w:rsid w:val="00A07B82"/>
    <w:rsid w:val="00A11D38"/>
    <w:rsid w:val="00A12212"/>
    <w:rsid w:val="00A122D7"/>
    <w:rsid w:val="00A122E1"/>
    <w:rsid w:val="00A135B7"/>
    <w:rsid w:val="00A1369F"/>
    <w:rsid w:val="00A14D23"/>
    <w:rsid w:val="00A15769"/>
    <w:rsid w:val="00A16961"/>
    <w:rsid w:val="00A16D78"/>
    <w:rsid w:val="00A17E2D"/>
    <w:rsid w:val="00A22425"/>
    <w:rsid w:val="00A237F7"/>
    <w:rsid w:val="00A2385B"/>
    <w:rsid w:val="00A25356"/>
    <w:rsid w:val="00A256FF"/>
    <w:rsid w:val="00A26A16"/>
    <w:rsid w:val="00A30054"/>
    <w:rsid w:val="00A307D6"/>
    <w:rsid w:val="00A313DB"/>
    <w:rsid w:val="00A3159F"/>
    <w:rsid w:val="00A31C70"/>
    <w:rsid w:val="00A34F4A"/>
    <w:rsid w:val="00A35461"/>
    <w:rsid w:val="00A35B82"/>
    <w:rsid w:val="00A36A9A"/>
    <w:rsid w:val="00A36BA6"/>
    <w:rsid w:val="00A36F46"/>
    <w:rsid w:val="00A37181"/>
    <w:rsid w:val="00A37338"/>
    <w:rsid w:val="00A41F85"/>
    <w:rsid w:val="00A42563"/>
    <w:rsid w:val="00A42E88"/>
    <w:rsid w:val="00A43575"/>
    <w:rsid w:val="00A43A9D"/>
    <w:rsid w:val="00A44D27"/>
    <w:rsid w:val="00A4604E"/>
    <w:rsid w:val="00A50ACC"/>
    <w:rsid w:val="00A50C52"/>
    <w:rsid w:val="00A50CC9"/>
    <w:rsid w:val="00A526CE"/>
    <w:rsid w:val="00A53462"/>
    <w:rsid w:val="00A540E6"/>
    <w:rsid w:val="00A54A24"/>
    <w:rsid w:val="00A54A88"/>
    <w:rsid w:val="00A54BCA"/>
    <w:rsid w:val="00A55E03"/>
    <w:rsid w:val="00A55E27"/>
    <w:rsid w:val="00A5653D"/>
    <w:rsid w:val="00A56D10"/>
    <w:rsid w:val="00A56E83"/>
    <w:rsid w:val="00A5712D"/>
    <w:rsid w:val="00A575C9"/>
    <w:rsid w:val="00A57884"/>
    <w:rsid w:val="00A57E46"/>
    <w:rsid w:val="00A6197B"/>
    <w:rsid w:val="00A62602"/>
    <w:rsid w:val="00A63B65"/>
    <w:rsid w:val="00A66385"/>
    <w:rsid w:val="00A67711"/>
    <w:rsid w:val="00A6783A"/>
    <w:rsid w:val="00A67ED8"/>
    <w:rsid w:val="00A704B5"/>
    <w:rsid w:val="00A70B13"/>
    <w:rsid w:val="00A70EAC"/>
    <w:rsid w:val="00A72BEE"/>
    <w:rsid w:val="00A74707"/>
    <w:rsid w:val="00A75391"/>
    <w:rsid w:val="00A76718"/>
    <w:rsid w:val="00A7751C"/>
    <w:rsid w:val="00A77E78"/>
    <w:rsid w:val="00A805C3"/>
    <w:rsid w:val="00A81A6F"/>
    <w:rsid w:val="00A83B07"/>
    <w:rsid w:val="00A83C17"/>
    <w:rsid w:val="00A845FA"/>
    <w:rsid w:val="00A85586"/>
    <w:rsid w:val="00A8577D"/>
    <w:rsid w:val="00A871FB"/>
    <w:rsid w:val="00A900F1"/>
    <w:rsid w:val="00A90A2C"/>
    <w:rsid w:val="00A91DB3"/>
    <w:rsid w:val="00A92CB6"/>
    <w:rsid w:val="00A9301D"/>
    <w:rsid w:val="00A93E8D"/>
    <w:rsid w:val="00A946D4"/>
    <w:rsid w:val="00A96197"/>
    <w:rsid w:val="00A96668"/>
    <w:rsid w:val="00A973A9"/>
    <w:rsid w:val="00A97A99"/>
    <w:rsid w:val="00AA0EE8"/>
    <w:rsid w:val="00AA106A"/>
    <w:rsid w:val="00AA206E"/>
    <w:rsid w:val="00AA2DE2"/>
    <w:rsid w:val="00AA31E6"/>
    <w:rsid w:val="00AA359C"/>
    <w:rsid w:val="00AA3F2C"/>
    <w:rsid w:val="00AA470D"/>
    <w:rsid w:val="00AA47EB"/>
    <w:rsid w:val="00AA4DF9"/>
    <w:rsid w:val="00AA5C93"/>
    <w:rsid w:val="00AA5E7A"/>
    <w:rsid w:val="00AA619F"/>
    <w:rsid w:val="00AA6716"/>
    <w:rsid w:val="00AA6DC5"/>
    <w:rsid w:val="00AA714A"/>
    <w:rsid w:val="00AA7AE4"/>
    <w:rsid w:val="00AB00A9"/>
    <w:rsid w:val="00AB1736"/>
    <w:rsid w:val="00AB25CF"/>
    <w:rsid w:val="00AB3EB0"/>
    <w:rsid w:val="00AB4489"/>
    <w:rsid w:val="00AB68CA"/>
    <w:rsid w:val="00AB6DC8"/>
    <w:rsid w:val="00AB6F8B"/>
    <w:rsid w:val="00AC1CBE"/>
    <w:rsid w:val="00AC23E9"/>
    <w:rsid w:val="00AC2556"/>
    <w:rsid w:val="00AC306E"/>
    <w:rsid w:val="00AC367C"/>
    <w:rsid w:val="00AC3799"/>
    <w:rsid w:val="00AC3841"/>
    <w:rsid w:val="00AC38C1"/>
    <w:rsid w:val="00AC4720"/>
    <w:rsid w:val="00AC4C4E"/>
    <w:rsid w:val="00AC5982"/>
    <w:rsid w:val="00AC5A25"/>
    <w:rsid w:val="00AC7374"/>
    <w:rsid w:val="00AC769F"/>
    <w:rsid w:val="00AC7ACA"/>
    <w:rsid w:val="00AD0395"/>
    <w:rsid w:val="00AD1609"/>
    <w:rsid w:val="00AD209D"/>
    <w:rsid w:val="00AD231B"/>
    <w:rsid w:val="00AD317A"/>
    <w:rsid w:val="00AD3656"/>
    <w:rsid w:val="00AD4742"/>
    <w:rsid w:val="00AD4DA6"/>
    <w:rsid w:val="00AD5E5C"/>
    <w:rsid w:val="00AD6531"/>
    <w:rsid w:val="00AD6579"/>
    <w:rsid w:val="00AD6815"/>
    <w:rsid w:val="00AD7A73"/>
    <w:rsid w:val="00AD7B70"/>
    <w:rsid w:val="00AE0A3B"/>
    <w:rsid w:val="00AE157B"/>
    <w:rsid w:val="00AE21ED"/>
    <w:rsid w:val="00AE2612"/>
    <w:rsid w:val="00AE26D9"/>
    <w:rsid w:val="00AE29D7"/>
    <w:rsid w:val="00AE3352"/>
    <w:rsid w:val="00AE345F"/>
    <w:rsid w:val="00AE3588"/>
    <w:rsid w:val="00AE4BDE"/>
    <w:rsid w:val="00AE5175"/>
    <w:rsid w:val="00AE5947"/>
    <w:rsid w:val="00AE5F7A"/>
    <w:rsid w:val="00AE7465"/>
    <w:rsid w:val="00AF0239"/>
    <w:rsid w:val="00AF09F4"/>
    <w:rsid w:val="00AF1D59"/>
    <w:rsid w:val="00AF1DDD"/>
    <w:rsid w:val="00AF358B"/>
    <w:rsid w:val="00AF3864"/>
    <w:rsid w:val="00AF39A0"/>
    <w:rsid w:val="00AF5AA3"/>
    <w:rsid w:val="00AF73D5"/>
    <w:rsid w:val="00AF7DE1"/>
    <w:rsid w:val="00B000E3"/>
    <w:rsid w:val="00B0041B"/>
    <w:rsid w:val="00B0060C"/>
    <w:rsid w:val="00B015D1"/>
    <w:rsid w:val="00B01D20"/>
    <w:rsid w:val="00B01F2F"/>
    <w:rsid w:val="00B029EB"/>
    <w:rsid w:val="00B03229"/>
    <w:rsid w:val="00B03DEA"/>
    <w:rsid w:val="00B04646"/>
    <w:rsid w:val="00B049ED"/>
    <w:rsid w:val="00B05414"/>
    <w:rsid w:val="00B05BD1"/>
    <w:rsid w:val="00B1007B"/>
    <w:rsid w:val="00B107EE"/>
    <w:rsid w:val="00B1092B"/>
    <w:rsid w:val="00B112D7"/>
    <w:rsid w:val="00B1268D"/>
    <w:rsid w:val="00B12CEE"/>
    <w:rsid w:val="00B150DA"/>
    <w:rsid w:val="00B178C3"/>
    <w:rsid w:val="00B205A1"/>
    <w:rsid w:val="00B207EC"/>
    <w:rsid w:val="00B20825"/>
    <w:rsid w:val="00B20A88"/>
    <w:rsid w:val="00B21C72"/>
    <w:rsid w:val="00B21CAD"/>
    <w:rsid w:val="00B22E84"/>
    <w:rsid w:val="00B23223"/>
    <w:rsid w:val="00B23BF4"/>
    <w:rsid w:val="00B2521A"/>
    <w:rsid w:val="00B256E9"/>
    <w:rsid w:val="00B25C15"/>
    <w:rsid w:val="00B25C29"/>
    <w:rsid w:val="00B2759E"/>
    <w:rsid w:val="00B275BE"/>
    <w:rsid w:val="00B30BD0"/>
    <w:rsid w:val="00B369C0"/>
    <w:rsid w:val="00B37199"/>
    <w:rsid w:val="00B371B7"/>
    <w:rsid w:val="00B3753C"/>
    <w:rsid w:val="00B3784A"/>
    <w:rsid w:val="00B37B93"/>
    <w:rsid w:val="00B41080"/>
    <w:rsid w:val="00B41398"/>
    <w:rsid w:val="00B4262B"/>
    <w:rsid w:val="00B433AF"/>
    <w:rsid w:val="00B43518"/>
    <w:rsid w:val="00B5017F"/>
    <w:rsid w:val="00B50BF2"/>
    <w:rsid w:val="00B51316"/>
    <w:rsid w:val="00B514AB"/>
    <w:rsid w:val="00B5153D"/>
    <w:rsid w:val="00B51626"/>
    <w:rsid w:val="00B529D9"/>
    <w:rsid w:val="00B52F04"/>
    <w:rsid w:val="00B531B3"/>
    <w:rsid w:val="00B546C2"/>
    <w:rsid w:val="00B54B4A"/>
    <w:rsid w:val="00B54C68"/>
    <w:rsid w:val="00B5517D"/>
    <w:rsid w:val="00B551B2"/>
    <w:rsid w:val="00B55B4A"/>
    <w:rsid w:val="00B56317"/>
    <w:rsid w:val="00B565C3"/>
    <w:rsid w:val="00B56A72"/>
    <w:rsid w:val="00B578FD"/>
    <w:rsid w:val="00B606E1"/>
    <w:rsid w:val="00B60EFB"/>
    <w:rsid w:val="00B61D1E"/>
    <w:rsid w:val="00B6265D"/>
    <w:rsid w:val="00B62B94"/>
    <w:rsid w:val="00B64306"/>
    <w:rsid w:val="00B64BE5"/>
    <w:rsid w:val="00B651C5"/>
    <w:rsid w:val="00B65C50"/>
    <w:rsid w:val="00B6669F"/>
    <w:rsid w:val="00B677D6"/>
    <w:rsid w:val="00B70369"/>
    <w:rsid w:val="00B70E27"/>
    <w:rsid w:val="00B715AF"/>
    <w:rsid w:val="00B715CF"/>
    <w:rsid w:val="00B726C8"/>
    <w:rsid w:val="00B729AF"/>
    <w:rsid w:val="00B73335"/>
    <w:rsid w:val="00B738E0"/>
    <w:rsid w:val="00B74D9F"/>
    <w:rsid w:val="00B74E7E"/>
    <w:rsid w:val="00B75A30"/>
    <w:rsid w:val="00B76803"/>
    <w:rsid w:val="00B769B3"/>
    <w:rsid w:val="00B77588"/>
    <w:rsid w:val="00B7797B"/>
    <w:rsid w:val="00B808EF"/>
    <w:rsid w:val="00B8092B"/>
    <w:rsid w:val="00B80EE7"/>
    <w:rsid w:val="00B810B6"/>
    <w:rsid w:val="00B812EE"/>
    <w:rsid w:val="00B82878"/>
    <w:rsid w:val="00B85E82"/>
    <w:rsid w:val="00B8654F"/>
    <w:rsid w:val="00B8681D"/>
    <w:rsid w:val="00B86855"/>
    <w:rsid w:val="00B8714A"/>
    <w:rsid w:val="00B87A85"/>
    <w:rsid w:val="00B87C1A"/>
    <w:rsid w:val="00B87F86"/>
    <w:rsid w:val="00B903D8"/>
    <w:rsid w:val="00B90A09"/>
    <w:rsid w:val="00B910B8"/>
    <w:rsid w:val="00B91AC5"/>
    <w:rsid w:val="00B91D09"/>
    <w:rsid w:val="00B939D1"/>
    <w:rsid w:val="00B940E9"/>
    <w:rsid w:val="00B941FA"/>
    <w:rsid w:val="00B9428D"/>
    <w:rsid w:val="00B9494E"/>
    <w:rsid w:val="00B94AA0"/>
    <w:rsid w:val="00B96A25"/>
    <w:rsid w:val="00B97720"/>
    <w:rsid w:val="00BA0590"/>
    <w:rsid w:val="00BA1420"/>
    <w:rsid w:val="00BA35D1"/>
    <w:rsid w:val="00BA3F06"/>
    <w:rsid w:val="00BA60F7"/>
    <w:rsid w:val="00BA6A8E"/>
    <w:rsid w:val="00BA6D2B"/>
    <w:rsid w:val="00BA6DCB"/>
    <w:rsid w:val="00BA6F2C"/>
    <w:rsid w:val="00BA72C8"/>
    <w:rsid w:val="00BA753D"/>
    <w:rsid w:val="00BB0473"/>
    <w:rsid w:val="00BB0E55"/>
    <w:rsid w:val="00BB1524"/>
    <w:rsid w:val="00BB1C97"/>
    <w:rsid w:val="00BB2479"/>
    <w:rsid w:val="00BB2636"/>
    <w:rsid w:val="00BB2A66"/>
    <w:rsid w:val="00BB2FE2"/>
    <w:rsid w:val="00BB4753"/>
    <w:rsid w:val="00BB5105"/>
    <w:rsid w:val="00BB59AC"/>
    <w:rsid w:val="00BB5D74"/>
    <w:rsid w:val="00BB6897"/>
    <w:rsid w:val="00BB7D7C"/>
    <w:rsid w:val="00BB7E86"/>
    <w:rsid w:val="00BB7F7F"/>
    <w:rsid w:val="00BC04D9"/>
    <w:rsid w:val="00BC0549"/>
    <w:rsid w:val="00BC0A15"/>
    <w:rsid w:val="00BC10D4"/>
    <w:rsid w:val="00BC1FD0"/>
    <w:rsid w:val="00BC2F9D"/>
    <w:rsid w:val="00BC4AF5"/>
    <w:rsid w:val="00BC5AF2"/>
    <w:rsid w:val="00BC6849"/>
    <w:rsid w:val="00BC6D48"/>
    <w:rsid w:val="00BC7A7F"/>
    <w:rsid w:val="00BD05E4"/>
    <w:rsid w:val="00BD0A6A"/>
    <w:rsid w:val="00BD0FE5"/>
    <w:rsid w:val="00BD1055"/>
    <w:rsid w:val="00BD1D79"/>
    <w:rsid w:val="00BD2FED"/>
    <w:rsid w:val="00BD304A"/>
    <w:rsid w:val="00BD3CC9"/>
    <w:rsid w:val="00BD56AC"/>
    <w:rsid w:val="00BD5C56"/>
    <w:rsid w:val="00BD65F2"/>
    <w:rsid w:val="00BD66D2"/>
    <w:rsid w:val="00BD7269"/>
    <w:rsid w:val="00BD7DFB"/>
    <w:rsid w:val="00BD7E3E"/>
    <w:rsid w:val="00BE1137"/>
    <w:rsid w:val="00BE2D62"/>
    <w:rsid w:val="00BE3A9A"/>
    <w:rsid w:val="00BE489B"/>
    <w:rsid w:val="00BE4D2E"/>
    <w:rsid w:val="00BE696B"/>
    <w:rsid w:val="00BE769D"/>
    <w:rsid w:val="00BE7E7D"/>
    <w:rsid w:val="00BF11D2"/>
    <w:rsid w:val="00BF14C6"/>
    <w:rsid w:val="00BF1B24"/>
    <w:rsid w:val="00BF2C20"/>
    <w:rsid w:val="00BF3381"/>
    <w:rsid w:val="00BF3979"/>
    <w:rsid w:val="00BF44C3"/>
    <w:rsid w:val="00BF44EB"/>
    <w:rsid w:val="00BF4938"/>
    <w:rsid w:val="00BF5D16"/>
    <w:rsid w:val="00BF7453"/>
    <w:rsid w:val="00BF7945"/>
    <w:rsid w:val="00C00C64"/>
    <w:rsid w:val="00C0169E"/>
    <w:rsid w:val="00C01E28"/>
    <w:rsid w:val="00C040C4"/>
    <w:rsid w:val="00C044A9"/>
    <w:rsid w:val="00C05123"/>
    <w:rsid w:val="00C05DEB"/>
    <w:rsid w:val="00C05E7B"/>
    <w:rsid w:val="00C06597"/>
    <w:rsid w:val="00C0729A"/>
    <w:rsid w:val="00C0758B"/>
    <w:rsid w:val="00C07CDB"/>
    <w:rsid w:val="00C10E7F"/>
    <w:rsid w:val="00C10F31"/>
    <w:rsid w:val="00C111AA"/>
    <w:rsid w:val="00C1126A"/>
    <w:rsid w:val="00C11825"/>
    <w:rsid w:val="00C1211F"/>
    <w:rsid w:val="00C12125"/>
    <w:rsid w:val="00C1254F"/>
    <w:rsid w:val="00C12E08"/>
    <w:rsid w:val="00C132AD"/>
    <w:rsid w:val="00C14F97"/>
    <w:rsid w:val="00C15301"/>
    <w:rsid w:val="00C156BC"/>
    <w:rsid w:val="00C170BF"/>
    <w:rsid w:val="00C17727"/>
    <w:rsid w:val="00C203EA"/>
    <w:rsid w:val="00C219D4"/>
    <w:rsid w:val="00C22AD2"/>
    <w:rsid w:val="00C23240"/>
    <w:rsid w:val="00C23F64"/>
    <w:rsid w:val="00C243A9"/>
    <w:rsid w:val="00C25419"/>
    <w:rsid w:val="00C2629A"/>
    <w:rsid w:val="00C26AB3"/>
    <w:rsid w:val="00C26C35"/>
    <w:rsid w:val="00C273BD"/>
    <w:rsid w:val="00C278E6"/>
    <w:rsid w:val="00C27FA7"/>
    <w:rsid w:val="00C30A6A"/>
    <w:rsid w:val="00C320E8"/>
    <w:rsid w:val="00C33283"/>
    <w:rsid w:val="00C33C8F"/>
    <w:rsid w:val="00C34114"/>
    <w:rsid w:val="00C347B3"/>
    <w:rsid w:val="00C3489C"/>
    <w:rsid w:val="00C35132"/>
    <w:rsid w:val="00C368F6"/>
    <w:rsid w:val="00C36BBC"/>
    <w:rsid w:val="00C41536"/>
    <w:rsid w:val="00C4245E"/>
    <w:rsid w:val="00C43C93"/>
    <w:rsid w:val="00C44FAC"/>
    <w:rsid w:val="00C454FC"/>
    <w:rsid w:val="00C462F3"/>
    <w:rsid w:val="00C473FB"/>
    <w:rsid w:val="00C47A3C"/>
    <w:rsid w:val="00C506D8"/>
    <w:rsid w:val="00C5122A"/>
    <w:rsid w:val="00C51916"/>
    <w:rsid w:val="00C51DDD"/>
    <w:rsid w:val="00C530B7"/>
    <w:rsid w:val="00C53A7A"/>
    <w:rsid w:val="00C542E6"/>
    <w:rsid w:val="00C5586F"/>
    <w:rsid w:val="00C56AB0"/>
    <w:rsid w:val="00C57554"/>
    <w:rsid w:val="00C57D9A"/>
    <w:rsid w:val="00C607FC"/>
    <w:rsid w:val="00C6146E"/>
    <w:rsid w:val="00C62379"/>
    <w:rsid w:val="00C6247E"/>
    <w:rsid w:val="00C62817"/>
    <w:rsid w:val="00C633B1"/>
    <w:rsid w:val="00C63A56"/>
    <w:rsid w:val="00C63C46"/>
    <w:rsid w:val="00C640A3"/>
    <w:rsid w:val="00C644EB"/>
    <w:rsid w:val="00C650B7"/>
    <w:rsid w:val="00C656E4"/>
    <w:rsid w:val="00C65B4C"/>
    <w:rsid w:val="00C70A5F"/>
    <w:rsid w:val="00C720B0"/>
    <w:rsid w:val="00C72D29"/>
    <w:rsid w:val="00C73353"/>
    <w:rsid w:val="00C759E5"/>
    <w:rsid w:val="00C764CF"/>
    <w:rsid w:val="00C76999"/>
    <w:rsid w:val="00C76BBD"/>
    <w:rsid w:val="00C76EA9"/>
    <w:rsid w:val="00C77C05"/>
    <w:rsid w:val="00C8110D"/>
    <w:rsid w:val="00C8283C"/>
    <w:rsid w:val="00C83A2A"/>
    <w:rsid w:val="00C849AC"/>
    <w:rsid w:val="00C84C47"/>
    <w:rsid w:val="00C858BD"/>
    <w:rsid w:val="00C8620C"/>
    <w:rsid w:val="00C868A0"/>
    <w:rsid w:val="00C8765E"/>
    <w:rsid w:val="00C8766F"/>
    <w:rsid w:val="00C91150"/>
    <w:rsid w:val="00C912E0"/>
    <w:rsid w:val="00C91890"/>
    <w:rsid w:val="00C92C09"/>
    <w:rsid w:val="00C949D2"/>
    <w:rsid w:val="00C9536A"/>
    <w:rsid w:val="00C960A1"/>
    <w:rsid w:val="00C97348"/>
    <w:rsid w:val="00C97AA3"/>
    <w:rsid w:val="00CA06B9"/>
    <w:rsid w:val="00CA122D"/>
    <w:rsid w:val="00CA22AF"/>
    <w:rsid w:val="00CA284E"/>
    <w:rsid w:val="00CA58DC"/>
    <w:rsid w:val="00CA6232"/>
    <w:rsid w:val="00CA730E"/>
    <w:rsid w:val="00CA7410"/>
    <w:rsid w:val="00CA7B1F"/>
    <w:rsid w:val="00CB06E5"/>
    <w:rsid w:val="00CB0F89"/>
    <w:rsid w:val="00CB12FA"/>
    <w:rsid w:val="00CB1E6B"/>
    <w:rsid w:val="00CB4267"/>
    <w:rsid w:val="00CB5433"/>
    <w:rsid w:val="00CB5BA0"/>
    <w:rsid w:val="00CB6578"/>
    <w:rsid w:val="00CB7A93"/>
    <w:rsid w:val="00CC0079"/>
    <w:rsid w:val="00CC0321"/>
    <w:rsid w:val="00CC20F3"/>
    <w:rsid w:val="00CC23C6"/>
    <w:rsid w:val="00CC2DDB"/>
    <w:rsid w:val="00CC3039"/>
    <w:rsid w:val="00CC3552"/>
    <w:rsid w:val="00CC38B9"/>
    <w:rsid w:val="00CC3EFE"/>
    <w:rsid w:val="00CC40E9"/>
    <w:rsid w:val="00CC50D6"/>
    <w:rsid w:val="00CC57CB"/>
    <w:rsid w:val="00CC6113"/>
    <w:rsid w:val="00CC6863"/>
    <w:rsid w:val="00CC6B3E"/>
    <w:rsid w:val="00CC6B5D"/>
    <w:rsid w:val="00CC73AE"/>
    <w:rsid w:val="00CC7F01"/>
    <w:rsid w:val="00CC7F08"/>
    <w:rsid w:val="00CD0311"/>
    <w:rsid w:val="00CD0A60"/>
    <w:rsid w:val="00CD0B5F"/>
    <w:rsid w:val="00CD10F8"/>
    <w:rsid w:val="00CD15D8"/>
    <w:rsid w:val="00CD1A55"/>
    <w:rsid w:val="00CD1B02"/>
    <w:rsid w:val="00CD2110"/>
    <w:rsid w:val="00CD24D3"/>
    <w:rsid w:val="00CD3C8D"/>
    <w:rsid w:val="00CD4B4B"/>
    <w:rsid w:val="00CD4C32"/>
    <w:rsid w:val="00CD5D1A"/>
    <w:rsid w:val="00CD5F4F"/>
    <w:rsid w:val="00CD7D6D"/>
    <w:rsid w:val="00CE0618"/>
    <w:rsid w:val="00CE0B48"/>
    <w:rsid w:val="00CE0B60"/>
    <w:rsid w:val="00CE101C"/>
    <w:rsid w:val="00CE16EA"/>
    <w:rsid w:val="00CE48F0"/>
    <w:rsid w:val="00CE4D09"/>
    <w:rsid w:val="00CE5063"/>
    <w:rsid w:val="00CE54E5"/>
    <w:rsid w:val="00CE5613"/>
    <w:rsid w:val="00CE5734"/>
    <w:rsid w:val="00CE5A6F"/>
    <w:rsid w:val="00CE604C"/>
    <w:rsid w:val="00CF043A"/>
    <w:rsid w:val="00CF2D1E"/>
    <w:rsid w:val="00CF34E9"/>
    <w:rsid w:val="00CF38A4"/>
    <w:rsid w:val="00CF403F"/>
    <w:rsid w:val="00CF41C0"/>
    <w:rsid w:val="00CF64C1"/>
    <w:rsid w:val="00CF65AF"/>
    <w:rsid w:val="00CF6C33"/>
    <w:rsid w:val="00D01935"/>
    <w:rsid w:val="00D0194A"/>
    <w:rsid w:val="00D03B06"/>
    <w:rsid w:val="00D03B28"/>
    <w:rsid w:val="00D03E1A"/>
    <w:rsid w:val="00D04A15"/>
    <w:rsid w:val="00D1104F"/>
    <w:rsid w:val="00D11DF8"/>
    <w:rsid w:val="00D1254F"/>
    <w:rsid w:val="00D13227"/>
    <w:rsid w:val="00D136B1"/>
    <w:rsid w:val="00D145D8"/>
    <w:rsid w:val="00D14B1C"/>
    <w:rsid w:val="00D14B59"/>
    <w:rsid w:val="00D1521C"/>
    <w:rsid w:val="00D17F72"/>
    <w:rsid w:val="00D20717"/>
    <w:rsid w:val="00D209FE"/>
    <w:rsid w:val="00D21B45"/>
    <w:rsid w:val="00D22274"/>
    <w:rsid w:val="00D229D2"/>
    <w:rsid w:val="00D2311D"/>
    <w:rsid w:val="00D24917"/>
    <w:rsid w:val="00D24DAB"/>
    <w:rsid w:val="00D24FBD"/>
    <w:rsid w:val="00D25361"/>
    <w:rsid w:val="00D25E54"/>
    <w:rsid w:val="00D26841"/>
    <w:rsid w:val="00D26B58"/>
    <w:rsid w:val="00D27640"/>
    <w:rsid w:val="00D27726"/>
    <w:rsid w:val="00D3012C"/>
    <w:rsid w:val="00D304FA"/>
    <w:rsid w:val="00D3075A"/>
    <w:rsid w:val="00D30AA7"/>
    <w:rsid w:val="00D30AED"/>
    <w:rsid w:val="00D30C1B"/>
    <w:rsid w:val="00D3133C"/>
    <w:rsid w:val="00D31C24"/>
    <w:rsid w:val="00D31D46"/>
    <w:rsid w:val="00D320BB"/>
    <w:rsid w:val="00D328CB"/>
    <w:rsid w:val="00D342A8"/>
    <w:rsid w:val="00D34A25"/>
    <w:rsid w:val="00D351CD"/>
    <w:rsid w:val="00D368A6"/>
    <w:rsid w:val="00D3718B"/>
    <w:rsid w:val="00D378BD"/>
    <w:rsid w:val="00D37D22"/>
    <w:rsid w:val="00D40EA3"/>
    <w:rsid w:val="00D41DD7"/>
    <w:rsid w:val="00D41E11"/>
    <w:rsid w:val="00D43570"/>
    <w:rsid w:val="00D4494A"/>
    <w:rsid w:val="00D4496F"/>
    <w:rsid w:val="00D451B7"/>
    <w:rsid w:val="00D45651"/>
    <w:rsid w:val="00D46A4E"/>
    <w:rsid w:val="00D4751A"/>
    <w:rsid w:val="00D50003"/>
    <w:rsid w:val="00D503FF"/>
    <w:rsid w:val="00D50D39"/>
    <w:rsid w:val="00D513BA"/>
    <w:rsid w:val="00D515AE"/>
    <w:rsid w:val="00D51971"/>
    <w:rsid w:val="00D52457"/>
    <w:rsid w:val="00D53290"/>
    <w:rsid w:val="00D533E5"/>
    <w:rsid w:val="00D53BD7"/>
    <w:rsid w:val="00D544E0"/>
    <w:rsid w:val="00D545E1"/>
    <w:rsid w:val="00D546CF"/>
    <w:rsid w:val="00D548FA"/>
    <w:rsid w:val="00D54DC8"/>
    <w:rsid w:val="00D55737"/>
    <w:rsid w:val="00D55A3D"/>
    <w:rsid w:val="00D55B46"/>
    <w:rsid w:val="00D55C16"/>
    <w:rsid w:val="00D56307"/>
    <w:rsid w:val="00D568D4"/>
    <w:rsid w:val="00D57013"/>
    <w:rsid w:val="00D60369"/>
    <w:rsid w:val="00D60B70"/>
    <w:rsid w:val="00D60FE5"/>
    <w:rsid w:val="00D61161"/>
    <w:rsid w:val="00D61399"/>
    <w:rsid w:val="00D615B7"/>
    <w:rsid w:val="00D6185A"/>
    <w:rsid w:val="00D61978"/>
    <w:rsid w:val="00D61E69"/>
    <w:rsid w:val="00D627CB"/>
    <w:rsid w:val="00D62FD8"/>
    <w:rsid w:val="00D637B7"/>
    <w:rsid w:val="00D63896"/>
    <w:rsid w:val="00D642AF"/>
    <w:rsid w:val="00D6433B"/>
    <w:rsid w:val="00D64535"/>
    <w:rsid w:val="00D65089"/>
    <w:rsid w:val="00D67489"/>
    <w:rsid w:val="00D674A5"/>
    <w:rsid w:val="00D703A5"/>
    <w:rsid w:val="00D7078F"/>
    <w:rsid w:val="00D71123"/>
    <w:rsid w:val="00D713E2"/>
    <w:rsid w:val="00D728FD"/>
    <w:rsid w:val="00D73425"/>
    <w:rsid w:val="00D741D9"/>
    <w:rsid w:val="00D74D7F"/>
    <w:rsid w:val="00D7504F"/>
    <w:rsid w:val="00D7700C"/>
    <w:rsid w:val="00D77280"/>
    <w:rsid w:val="00D7772C"/>
    <w:rsid w:val="00D778D2"/>
    <w:rsid w:val="00D80AAA"/>
    <w:rsid w:val="00D81545"/>
    <w:rsid w:val="00D81717"/>
    <w:rsid w:val="00D82533"/>
    <w:rsid w:val="00D84682"/>
    <w:rsid w:val="00D90BDD"/>
    <w:rsid w:val="00D910FF"/>
    <w:rsid w:val="00D9244A"/>
    <w:rsid w:val="00D94180"/>
    <w:rsid w:val="00D94526"/>
    <w:rsid w:val="00D96051"/>
    <w:rsid w:val="00D96E79"/>
    <w:rsid w:val="00D974CD"/>
    <w:rsid w:val="00D9793D"/>
    <w:rsid w:val="00DA19C1"/>
    <w:rsid w:val="00DA1B6F"/>
    <w:rsid w:val="00DA2BD2"/>
    <w:rsid w:val="00DA376B"/>
    <w:rsid w:val="00DA38A1"/>
    <w:rsid w:val="00DA5925"/>
    <w:rsid w:val="00DA6D87"/>
    <w:rsid w:val="00DA6E91"/>
    <w:rsid w:val="00DA7567"/>
    <w:rsid w:val="00DB0237"/>
    <w:rsid w:val="00DB0C61"/>
    <w:rsid w:val="00DB1E1B"/>
    <w:rsid w:val="00DB3AB4"/>
    <w:rsid w:val="00DB3F2D"/>
    <w:rsid w:val="00DB515D"/>
    <w:rsid w:val="00DB527A"/>
    <w:rsid w:val="00DB66F5"/>
    <w:rsid w:val="00DB66F7"/>
    <w:rsid w:val="00DB6C65"/>
    <w:rsid w:val="00DB6D5C"/>
    <w:rsid w:val="00DB7A9F"/>
    <w:rsid w:val="00DC02A8"/>
    <w:rsid w:val="00DC070B"/>
    <w:rsid w:val="00DC113D"/>
    <w:rsid w:val="00DC13F5"/>
    <w:rsid w:val="00DC200B"/>
    <w:rsid w:val="00DC2350"/>
    <w:rsid w:val="00DC2612"/>
    <w:rsid w:val="00DC2F31"/>
    <w:rsid w:val="00DC343F"/>
    <w:rsid w:val="00DC44D7"/>
    <w:rsid w:val="00DC4705"/>
    <w:rsid w:val="00DC49C4"/>
    <w:rsid w:val="00DC4D19"/>
    <w:rsid w:val="00DC74A1"/>
    <w:rsid w:val="00DC778A"/>
    <w:rsid w:val="00DD0653"/>
    <w:rsid w:val="00DD121A"/>
    <w:rsid w:val="00DD1DE1"/>
    <w:rsid w:val="00DD23C9"/>
    <w:rsid w:val="00DD342D"/>
    <w:rsid w:val="00DD3F5E"/>
    <w:rsid w:val="00DD4A43"/>
    <w:rsid w:val="00DD4BC9"/>
    <w:rsid w:val="00DD57E3"/>
    <w:rsid w:val="00DD5D77"/>
    <w:rsid w:val="00DD5EF9"/>
    <w:rsid w:val="00DD74C7"/>
    <w:rsid w:val="00DD7AF5"/>
    <w:rsid w:val="00DE10B1"/>
    <w:rsid w:val="00DE16CB"/>
    <w:rsid w:val="00DE20F7"/>
    <w:rsid w:val="00DE318D"/>
    <w:rsid w:val="00DE3D43"/>
    <w:rsid w:val="00DE3F13"/>
    <w:rsid w:val="00DE454E"/>
    <w:rsid w:val="00DE4ADE"/>
    <w:rsid w:val="00DE5B3A"/>
    <w:rsid w:val="00DE5D9B"/>
    <w:rsid w:val="00DE61B2"/>
    <w:rsid w:val="00DE74ED"/>
    <w:rsid w:val="00DF144D"/>
    <w:rsid w:val="00DF1E50"/>
    <w:rsid w:val="00DF2734"/>
    <w:rsid w:val="00DF335B"/>
    <w:rsid w:val="00DF356E"/>
    <w:rsid w:val="00DF3F68"/>
    <w:rsid w:val="00DF5F2F"/>
    <w:rsid w:val="00DF71B0"/>
    <w:rsid w:val="00E01328"/>
    <w:rsid w:val="00E01A0A"/>
    <w:rsid w:val="00E03261"/>
    <w:rsid w:val="00E03AAE"/>
    <w:rsid w:val="00E03F94"/>
    <w:rsid w:val="00E04005"/>
    <w:rsid w:val="00E05D74"/>
    <w:rsid w:val="00E05F3E"/>
    <w:rsid w:val="00E0711A"/>
    <w:rsid w:val="00E07626"/>
    <w:rsid w:val="00E10C54"/>
    <w:rsid w:val="00E11069"/>
    <w:rsid w:val="00E11194"/>
    <w:rsid w:val="00E11612"/>
    <w:rsid w:val="00E13142"/>
    <w:rsid w:val="00E134D8"/>
    <w:rsid w:val="00E13B90"/>
    <w:rsid w:val="00E13E5C"/>
    <w:rsid w:val="00E14273"/>
    <w:rsid w:val="00E146D1"/>
    <w:rsid w:val="00E148C8"/>
    <w:rsid w:val="00E14D09"/>
    <w:rsid w:val="00E15A29"/>
    <w:rsid w:val="00E16D7B"/>
    <w:rsid w:val="00E17EA4"/>
    <w:rsid w:val="00E224E4"/>
    <w:rsid w:val="00E2281C"/>
    <w:rsid w:val="00E235D5"/>
    <w:rsid w:val="00E2464B"/>
    <w:rsid w:val="00E25BB4"/>
    <w:rsid w:val="00E26B1A"/>
    <w:rsid w:val="00E26E36"/>
    <w:rsid w:val="00E271EF"/>
    <w:rsid w:val="00E27CE7"/>
    <w:rsid w:val="00E27F62"/>
    <w:rsid w:val="00E30C3D"/>
    <w:rsid w:val="00E3194A"/>
    <w:rsid w:val="00E32F50"/>
    <w:rsid w:val="00E343E3"/>
    <w:rsid w:val="00E34566"/>
    <w:rsid w:val="00E34FF9"/>
    <w:rsid w:val="00E36339"/>
    <w:rsid w:val="00E36971"/>
    <w:rsid w:val="00E36DC8"/>
    <w:rsid w:val="00E3766A"/>
    <w:rsid w:val="00E37A18"/>
    <w:rsid w:val="00E37EBD"/>
    <w:rsid w:val="00E40A9D"/>
    <w:rsid w:val="00E42545"/>
    <w:rsid w:val="00E42CC0"/>
    <w:rsid w:val="00E43575"/>
    <w:rsid w:val="00E44487"/>
    <w:rsid w:val="00E44B25"/>
    <w:rsid w:val="00E46132"/>
    <w:rsid w:val="00E46388"/>
    <w:rsid w:val="00E46A82"/>
    <w:rsid w:val="00E47786"/>
    <w:rsid w:val="00E47BD0"/>
    <w:rsid w:val="00E5062B"/>
    <w:rsid w:val="00E507BA"/>
    <w:rsid w:val="00E50A85"/>
    <w:rsid w:val="00E51426"/>
    <w:rsid w:val="00E51F9A"/>
    <w:rsid w:val="00E527F1"/>
    <w:rsid w:val="00E5336D"/>
    <w:rsid w:val="00E54A6D"/>
    <w:rsid w:val="00E550BF"/>
    <w:rsid w:val="00E558EA"/>
    <w:rsid w:val="00E55AD6"/>
    <w:rsid w:val="00E56156"/>
    <w:rsid w:val="00E56F2E"/>
    <w:rsid w:val="00E57538"/>
    <w:rsid w:val="00E5793F"/>
    <w:rsid w:val="00E6036C"/>
    <w:rsid w:val="00E606C2"/>
    <w:rsid w:val="00E61D1A"/>
    <w:rsid w:val="00E61D9A"/>
    <w:rsid w:val="00E6310A"/>
    <w:rsid w:val="00E632DB"/>
    <w:rsid w:val="00E63E5C"/>
    <w:rsid w:val="00E6523D"/>
    <w:rsid w:val="00E65DA1"/>
    <w:rsid w:val="00E6673F"/>
    <w:rsid w:val="00E67436"/>
    <w:rsid w:val="00E7080E"/>
    <w:rsid w:val="00E70CA0"/>
    <w:rsid w:val="00E71D9F"/>
    <w:rsid w:val="00E733A7"/>
    <w:rsid w:val="00E73AD0"/>
    <w:rsid w:val="00E73CE0"/>
    <w:rsid w:val="00E744B7"/>
    <w:rsid w:val="00E7536C"/>
    <w:rsid w:val="00E75446"/>
    <w:rsid w:val="00E75CA4"/>
    <w:rsid w:val="00E75E9B"/>
    <w:rsid w:val="00E76010"/>
    <w:rsid w:val="00E76021"/>
    <w:rsid w:val="00E762F6"/>
    <w:rsid w:val="00E7765A"/>
    <w:rsid w:val="00E80B07"/>
    <w:rsid w:val="00E8113B"/>
    <w:rsid w:val="00E8173F"/>
    <w:rsid w:val="00E81E1C"/>
    <w:rsid w:val="00E8261C"/>
    <w:rsid w:val="00E82CC7"/>
    <w:rsid w:val="00E83355"/>
    <w:rsid w:val="00E83678"/>
    <w:rsid w:val="00E84D7A"/>
    <w:rsid w:val="00E852D7"/>
    <w:rsid w:val="00E85B79"/>
    <w:rsid w:val="00E866C4"/>
    <w:rsid w:val="00E8741E"/>
    <w:rsid w:val="00E903B7"/>
    <w:rsid w:val="00E90775"/>
    <w:rsid w:val="00E90EFB"/>
    <w:rsid w:val="00E91B46"/>
    <w:rsid w:val="00E91DB3"/>
    <w:rsid w:val="00E91DD7"/>
    <w:rsid w:val="00E9237C"/>
    <w:rsid w:val="00E92949"/>
    <w:rsid w:val="00E92D16"/>
    <w:rsid w:val="00E92E12"/>
    <w:rsid w:val="00E93316"/>
    <w:rsid w:val="00E93823"/>
    <w:rsid w:val="00E939F6"/>
    <w:rsid w:val="00E93AB4"/>
    <w:rsid w:val="00E94014"/>
    <w:rsid w:val="00E94B86"/>
    <w:rsid w:val="00E953E2"/>
    <w:rsid w:val="00E958B0"/>
    <w:rsid w:val="00E96030"/>
    <w:rsid w:val="00E97EF8"/>
    <w:rsid w:val="00EA0747"/>
    <w:rsid w:val="00EA0879"/>
    <w:rsid w:val="00EA1792"/>
    <w:rsid w:val="00EA17A4"/>
    <w:rsid w:val="00EA235F"/>
    <w:rsid w:val="00EA2A0B"/>
    <w:rsid w:val="00EA30BA"/>
    <w:rsid w:val="00EA3533"/>
    <w:rsid w:val="00EA370A"/>
    <w:rsid w:val="00EA3A70"/>
    <w:rsid w:val="00EA4AC7"/>
    <w:rsid w:val="00EA5FAC"/>
    <w:rsid w:val="00EA6764"/>
    <w:rsid w:val="00EA7855"/>
    <w:rsid w:val="00EA7D77"/>
    <w:rsid w:val="00EB0024"/>
    <w:rsid w:val="00EB07E5"/>
    <w:rsid w:val="00EB0960"/>
    <w:rsid w:val="00EB4467"/>
    <w:rsid w:val="00EB463C"/>
    <w:rsid w:val="00EB46AD"/>
    <w:rsid w:val="00EB4731"/>
    <w:rsid w:val="00EB47C3"/>
    <w:rsid w:val="00EB4B32"/>
    <w:rsid w:val="00EB5876"/>
    <w:rsid w:val="00EB5A3E"/>
    <w:rsid w:val="00EB6006"/>
    <w:rsid w:val="00EB6C07"/>
    <w:rsid w:val="00EB6E18"/>
    <w:rsid w:val="00EC0009"/>
    <w:rsid w:val="00EC0C5D"/>
    <w:rsid w:val="00EC10B7"/>
    <w:rsid w:val="00EC136E"/>
    <w:rsid w:val="00EC1BF7"/>
    <w:rsid w:val="00EC36C2"/>
    <w:rsid w:val="00EC3A79"/>
    <w:rsid w:val="00EC3EDF"/>
    <w:rsid w:val="00EC4A81"/>
    <w:rsid w:val="00EC569B"/>
    <w:rsid w:val="00EC5DFE"/>
    <w:rsid w:val="00EC70BA"/>
    <w:rsid w:val="00EC7A90"/>
    <w:rsid w:val="00ED0144"/>
    <w:rsid w:val="00ED03DF"/>
    <w:rsid w:val="00ED17B8"/>
    <w:rsid w:val="00ED17C9"/>
    <w:rsid w:val="00ED19C0"/>
    <w:rsid w:val="00ED22CC"/>
    <w:rsid w:val="00ED2C42"/>
    <w:rsid w:val="00ED4535"/>
    <w:rsid w:val="00ED4BF8"/>
    <w:rsid w:val="00ED4DD6"/>
    <w:rsid w:val="00ED5DB6"/>
    <w:rsid w:val="00ED7251"/>
    <w:rsid w:val="00EE24D1"/>
    <w:rsid w:val="00EE28C9"/>
    <w:rsid w:val="00EE2FE2"/>
    <w:rsid w:val="00EE36E7"/>
    <w:rsid w:val="00EE38D6"/>
    <w:rsid w:val="00EE4D41"/>
    <w:rsid w:val="00EE56FA"/>
    <w:rsid w:val="00EE575F"/>
    <w:rsid w:val="00EE75A5"/>
    <w:rsid w:val="00EE7D79"/>
    <w:rsid w:val="00EF0656"/>
    <w:rsid w:val="00EF0E4E"/>
    <w:rsid w:val="00EF0F3A"/>
    <w:rsid w:val="00EF129E"/>
    <w:rsid w:val="00EF1A7B"/>
    <w:rsid w:val="00EF1BBA"/>
    <w:rsid w:val="00EF2540"/>
    <w:rsid w:val="00EF4B8E"/>
    <w:rsid w:val="00EF5014"/>
    <w:rsid w:val="00EF63E9"/>
    <w:rsid w:val="00F00382"/>
    <w:rsid w:val="00F00500"/>
    <w:rsid w:val="00F013AC"/>
    <w:rsid w:val="00F016B1"/>
    <w:rsid w:val="00F01C10"/>
    <w:rsid w:val="00F04190"/>
    <w:rsid w:val="00F0629E"/>
    <w:rsid w:val="00F06DED"/>
    <w:rsid w:val="00F07268"/>
    <w:rsid w:val="00F1018D"/>
    <w:rsid w:val="00F102F8"/>
    <w:rsid w:val="00F110D3"/>
    <w:rsid w:val="00F112F2"/>
    <w:rsid w:val="00F113A5"/>
    <w:rsid w:val="00F11467"/>
    <w:rsid w:val="00F117D9"/>
    <w:rsid w:val="00F12494"/>
    <w:rsid w:val="00F124D0"/>
    <w:rsid w:val="00F12B9D"/>
    <w:rsid w:val="00F13C53"/>
    <w:rsid w:val="00F14A87"/>
    <w:rsid w:val="00F14DB1"/>
    <w:rsid w:val="00F14EAF"/>
    <w:rsid w:val="00F14EEA"/>
    <w:rsid w:val="00F16F6B"/>
    <w:rsid w:val="00F17099"/>
    <w:rsid w:val="00F17447"/>
    <w:rsid w:val="00F201C1"/>
    <w:rsid w:val="00F24B2B"/>
    <w:rsid w:val="00F24B49"/>
    <w:rsid w:val="00F2660F"/>
    <w:rsid w:val="00F26E96"/>
    <w:rsid w:val="00F272A5"/>
    <w:rsid w:val="00F27376"/>
    <w:rsid w:val="00F27C7A"/>
    <w:rsid w:val="00F27D9F"/>
    <w:rsid w:val="00F31447"/>
    <w:rsid w:val="00F31A03"/>
    <w:rsid w:val="00F323C2"/>
    <w:rsid w:val="00F33249"/>
    <w:rsid w:val="00F33885"/>
    <w:rsid w:val="00F34772"/>
    <w:rsid w:val="00F34C7D"/>
    <w:rsid w:val="00F35083"/>
    <w:rsid w:val="00F35D24"/>
    <w:rsid w:val="00F35F23"/>
    <w:rsid w:val="00F3641A"/>
    <w:rsid w:val="00F36A63"/>
    <w:rsid w:val="00F37007"/>
    <w:rsid w:val="00F409A0"/>
    <w:rsid w:val="00F41498"/>
    <w:rsid w:val="00F41A07"/>
    <w:rsid w:val="00F431B6"/>
    <w:rsid w:val="00F4334C"/>
    <w:rsid w:val="00F43753"/>
    <w:rsid w:val="00F4382E"/>
    <w:rsid w:val="00F441B8"/>
    <w:rsid w:val="00F456CC"/>
    <w:rsid w:val="00F45CC1"/>
    <w:rsid w:val="00F4602F"/>
    <w:rsid w:val="00F46836"/>
    <w:rsid w:val="00F46E5D"/>
    <w:rsid w:val="00F479E8"/>
    <w:rsid w:val="00F5041B"/>
    <w:rsid w:val="00F51504"/>
    <w:rsid w:val="00F51544"/>
    <w:rsid w:val="00F517E7"/>
    <w:rsid w:val="00F5252E"/>
    <w:rsid w:val="00F5299B"/>
    <w:rsid w:val="00F53362"/>
    <w:rsid w:val="00F5381A"/>
    <w:rsid w:val="00F54707"/>
    <w:rsid w:val="00F5496B"/>
    <w:rsid w:val="00F5554A"/>
    <w:rsid w:val="00F55DDF"/>
    <w:rsid w:val="00F5607E"/>
    <w:rsid w:val="00F560E0"/>
    <w:rsid w:val="00F60746"/>
    <w:rsid w:val="00F615A4"/>
    <w:rsid w:val="00F61718"/>
    <w:rsid w:val="00F625A3"/>
    <w:rsid w:val="00F625D6"/>
    <w:rsid w:val="00F62C18"/>
    <w:rsid w:val="00F63CB1"/>
    <w:rsid w:val="00F651EE"/>
    <w:rsid w:val="00F65919"/>
    <w:rsid w:val="00F66264"/>
    <w:rsid w:val="00F66A04"/>
    <w:rsid w:val="00F66EEB"/>
    <w:rsid w:val="00F677CA"/>
    <w:rsid w:val="00F732B2"/>
    <w:rsid w:val="00F732CD"/>
    <w:rsid w:val="00F740E9"/>
    <w:rsid w:val="00F74336"/>
    <w:rsid w:val="00F745AD"/>
    <w:rsid w:val="00F745F7"/>
    <w:rsid w:val="00F749F3"/>
    <w:rsid w:val="00F776BD"/>
    <w:rsid w:val="00F80FDE"/>
    <w:rsid w:val="00F810AB"/>
    <w:rsid w:val="00F812CF"/>
    <w:rsid w:val="00F8178A"/>
    <w:rsid w:val="00F823CC"/>
    <w:rsid w:val="00F833E6"/>
    <w:rsid w:val="00F8355B"/>
    <w:rsid w:val="00F84819"/>
    <w:rsid w:val="00F84CA3"/>
    <w:rsid w:val="00F85239"/>
    <w:rsid w:val="00F85337"/>
    <w:rsid w:val="00F85B3C"/>
    <w:rsid w:val="00F86CBE"/>
    <w:rsid w:val="00F90261"/>
    <w:rsid w:val="00F91A7B"/>
    <w:rsid w:val="00F93543"/>
    <w:rsid w:val="00F94314"/>
    <w:rsid w:val="00F946A3"/>
    <w:rsid w:val="00F946E9"/>
    <w:rsid w:val="00F948A7"/>
    <w:rsid w:val="00F95740"/>
    <w:rsid w:val="00F9633E"/>
    <w:rsid w:val="00F96768"/>
    <w:rsid w:val="00F96A0A"/>
    <w:rsid w:val="00F97094"/>
    <w:rsid w:val="00FA1016"/>
    <w:rsid w:val="00FA27D7"/>
    <w:rsid w:val="00FA453A"/>
    <w:rsid w:val="00FA6D7C"/>
    <w:rsid w:val="00FA796E"/>
    <w:rsid w:val="00FB01EE"/>
    <w:rsid w:val="00FB0226"/>
    <w:rsid w:val="00FB0FCE"/>
    <w:rsid w:val="00FB1314"/>
    <w:rsid w:val="00FB13A5"/>
    <w:rsid w:val="00FB1646"/>
    <w:rsid w:val="00FB1AAA"/>
    <w:rsid w:val="00FB1D23"/>
    <w:rsid w:val="00FB413F"/>
    <w:rsid w:val="00FB44FF"/>
    <w:rsid w:val="00FB49F5"/>
    <w:rsid w:val="00FB4D05"/>
    <w:rsid w:val="00FB6172"/>
    <w:rsid w:val="00FB6D81"/>
    <w:rsid w:val="00FB7384"/>
    <w:rsid w:val="00FB7D1A"/>
    <w:rsid w:val="00FC133E"/>
    <w:rsid w:val="00FC16FE"/>
    <w:rsid w:val="00FC1963"/>
    <w:rsid w:val="00FC1C71"/>
    <w:rsid w:val="00FC336A"/>
    <w:rsid w:val="00FC37A9"/>
    <w:rsid w:val="00FC4660"/>
    <w:rsid w:val="00FC49B9"/>
    <w:rsid w:val="00FC4C62"/>
    <w:rsid w:val="00FC4E95"/>
    <w:rsid w:val="00FC582E"/>
    <w:rsid w:val="00FC5F7C"/>
    <w:rsid w:val="00FC6506"/>
    <w:rsid w:val="00FC6DDB"/>
    <w:rsid w:val="00FC7360"/>
    <w:rsid w:val="00FC7DEA"/>
    <w:rsid w:val="00FD0018"/>
    <w:rsid w:val="00FD0575"/>
    <w:rsid w:val="00FD068B"/>
    <w:rsid w:val="00FD07A6"/>
    <w:rsid w:val="00FD2218"/>
    <w:rsid w:val="00FD24D0"/>
    <w:rsid w:val="00FD2551"/>
    <w:rsid w:val="00FD2C2D"/>
    <w:rsid w:val="00FD2F9A"/>
    <w:rsid w:val="00FD47B9"/>
    <w:rsid w:val="00FD5590"/>
    <w:rsid w:val="00FD5F54"/>
    <w:rsid w:val="00FD6268"/>
    <w:rsid w:val="00FD6B86"/>
    <w:rsid w:val="00FD6C53"/>
    <w:rsid w:val="00FD6E32"/>
    <w:rsid w:val="00FD7261"/>
    <w:rsid w:val="00FD7532"/>
    <w:rsid w:val="00FE0DFA"/>
    <w:rsid w:val="00FE10B9"/>
    <w:rsid w:val="00FE1552"/>
    <w:rsid w:val="00FE1A3A"/>
    <w:rsid w:val="00FE1BC8"/>
    <w:rsid w:val="00FE1C76"/>
    <w:rsid w:val="00FE2473"/>
    <w:rsid w:val="00FE26D2"/>
    <w:rsid w:val="00FE29EF"/>
    <w:rsid w:val="00FE2B23"/>
    <w:rsid w:val="00FE2BDA"/>
    <w:rsid w:val="00FE3C7C"/>
    <w:rsid w:val="00FE5DFE"/>
    <w:rsid w:val="00FE66B8"/>
    <w:rsid w:val="00FE6ABB"/>
    <w:rsid w:val="00FE76C7"/>
    <w:rsid w:val="00FE7E7F"/>
    <w:rsid w:val="00FF19DA"/>
    <w:rsid w:val="00FF442C"/>
    <w:rsid w:val="00FF4644"/>
    <w:rsid w:val="00FF598D"/>
    <w:rsid w:val="00FF5F06"/>
    <w:rsid w:val="00FF6844"/>
    <w:rsid w:val="00FF68C2"/>
    <w:rsid w:val="00FF6F55"/>
    <w:rsid w:val="00FF734F"/>
    <w:rsid w:val="00FF7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B5E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nhideWhenUsed="0"/>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0" w:uiPriority="35" w:unhideWhenUsed="0" w:qFormat="1"/>
    <w:lsdException w:name="table of figures" w:qFormat="1"/>
    <w:lsdException w:name="footnote reference" w:qFormat="1"/>
    <w:lsdException w:name="List" w:qFormat="1"/>
    <w:lsdException w:name="List Bullet" w:uiPriority="0" w:qFormat="1"/>
    <w:lsdException w:name="Title" w:semiHidden="0" w:uiPriority="0" w:unhideWhenUsed="0" w:qFormat="1"/>
    <w:lsdException w:name="Default Paragraph Font" w:uiPriority="1"/>
    <w:lsdException w:name="Subtitle" w:semiHidden="0" w:uiPriority="11" w:unhideWhenUsed="0" w:qFormat="1"/>
    <w:lsdException w:name="Strong" w:locked="0" w:semiHidden="0" w:uiPriority="22" w:unhideWhenUsed="0" w:qFormat="1"/>
    <w:lsdException w:name="Emphasis" w:locked="0" w:semiHidden="0" w:uiPriority="20" w:unhideWhenUsed="0" w:qFormat="1"/>
    <w:lsdException w:name="Table Grid" w:semiHidden="0" w:uiPriority="39" w:unhideWhenUsed="0"/>
    <w:lsdException w:name="Placeholder Text" w:locked="0" w:unhideWhenUsed="0"/>
    <w:lsdException w:name="No Spacing" w:locked="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unhideWhenUsed="0" w:qFormat="1"/>
  </w:latentStyles>
  <w:style w:type="paragraph" w:default="1" w:styleId="Normal">
    <w:name w:val="Normal"/>
    <w:qFormat/>
    <w:rsid w:val="0061233C"/>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11"/>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11"/>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3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D515AE"/>
    <w:pPr>
      <w:spacing w:before="80" w:after="0" w:line="200" w:lineRule="exact"/>
    </w:pPr>
    <w:rPr>
      <w:sz w:val="18"/>
      <w:szCs w:val="18"/>
    </w:rPr>
  </w:style>
  <w:style w:type="character" w:customStyle="1" w:styleId="FootnoteTextChar">
    <w:name w:val="Footnote Text Char"/>
    <w:basedOn w:val="DefaultParagraphFont"/>
    <w:link w:val="FootnoteText"/>
    <w:uiPriority w:val="99"/>
    <w:locked/>
    <w:rsid w:val="00D515AE"/>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17"/>
      </w:numPr>
    </w:pPr>
  </w:style>
  <w:style w:type="paragraph" w:customStyle="1" w:styleId="Numberedtitlelevel2">
    <w:name w:val="Numbered title level 2"/>
    <w:basedOn w:val="Titlelevel2"/>
    <w:next w:val="body"/>
    <w:qFormat/>
    <w:rsid w:val="00D515AE"/>
    <w:pPr>
      <w:numPr>
        <w:ilvl w:val="1"/>
        <w:numId w:val="17"/>
      </w:numPr>
    </w:pPr>
  </w:style>
  <w:style w:type="paragraph" w:customStyle="1" w:styleId="Titlelevel2">
    <w:name w:val="Title level 2"/>
    <w:qFormat/>
    <w:rsid w:val="00D515AE"/>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D515AE"/>
    <w:pPr>
      <w:spacing w:before="240" w:after="120" w:line="276" w:lineRule="auto"/>
      <w:jc w:val="both"/>
    </w:pPr>
    <w:rPr>
      <w:sz w:val="22"/>
    </w:rPr>
  </w:style>
  <w:style w:type="paragraph" w:customStyle="1" w:styleId="List1">
    <w:name w:val="List1"/>
    <w:autoRedefine/>
    <w:qFormat/>
    <w:rsid w:val="00D515AE"/>
    <w:pPr>
      <w:numPr>
        <w:numId w:val="14"/>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7D121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15"/>
      </w:numPr>
    </w:pPr>
    <w:rPr>
      <w:szCs w:val="22"/>
    </w:rPr>
  </w:style>
  <w:style w:type="paragraph" w:customStyle="1" w:styleId="bullet2">
    <w:name w:val="bullet 2"/>
    <w:basedOn w:val="body"/>
    <w:qFormat/>
    <w:rsid w:val="00D515AE"/>
    <w:pPr>
      <w:numPr>
        <w:numId w:val="16"/>
      </w:numPr>
    </w:pPr>
    <w:rPr>
      <w:szCs w:val="22"/>
    </w:rPr>
  </w:style>
  <w:style w:type="paragraph" w:customStyle="1" w:styleId="Numberedtitlelevel3">
    <w:name w:val="Numbered title level 3"/>
    <w:basedOn w:val="Titlelevel3"/>
    <w:next w:val="body"/>
    <w:qFormat/>
    <w:rsid w:val="00D515AE"/>
    <w:pPr>
      <w:numPr>
        <w:ilvl w:val="2"/>
        <w:numId w:val="17"/>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18"/>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19"/>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12"/>
      </w:numPr>
      <w:spacing w:before="240" w:after="120"/>
      <w:contextualSpacing/>
    </w:pPr>
    <w:rPr>
      <w:sz w:val="22"/>
    </w:rPr>
  </w:style>
  <w:style w:type="paragraph" w:styleId="ListBullet">
    <w:name w:val="List Bullet"/>
    <w:basedOn w:val="Normal"/>
    <w:semiHidden/>
    <w:qFormat/>
    <w:locked/>
    <w:rsid w:val="00D515AE"/>
    <w:pPr>
      <w:numPr>
        <w:numId w:val="13"/>
      </w:numPr>
      <w:contextualSpacing/>
    </w:pPr>
  </w:style>
  <w:style w:type="character" w:styleId="BookTitle">
    <w:name w:val="Book Title"/>
    <w:basedOn w:val="DefaultParagraphFont"/>
    <w:uiPriority w:val="33"/>
    <w:qFormat/>
    <w:rsid w:val="00D515AE"/>
    <w:rPr>
      <w:b/>
      <w:bCs/>
      <w:smallCaps/>
      <w:spacing w:val="5"/>
    </w:rPr>
  </w:style>
  <w:style w:type="paragraph" w:customStyle="1" w:styleId="SQL">
    <w:name w:val="SQL"/>
    <w:basedOn w:val="Normal"/>
    <w:link w:val="SQLChar"/>
    <w:qFormat/>
    <w:rsid w:val="002F1FBD"/>
    <w:pPr>
      <w:ind w:left="720"/>
    </w:pPr>
    <w:rPr>
      <w:rFonts w:ascii="Consolas" w:hAnsi="Consolas" w:cs="Consolas"/>
      <w:sz w:val="14"/>
      <w:szCs w:val="16"/>
    </w:rPr>
  </w:style>
  <w:style w:type="character" w:customStyle="1" w:styleId="SQLChar">
    <w:name w:val="SQL Char"/>
    <w:basedOn w:val="DefaultParagraphFont"/>
    <w:link w:val="SQL"/>
    <w:rsid w:val="002F1FBD"/>
    <w:rPr>
      <w:rFonts w:ascii="Consolas" w:hAnsi="Consolas" w:cs="Consolas"/>
      <w:sz w:val="1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nhideWhenUsed="0"/>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0" w:uiPriority="35" w:unhideWhenUsed="0" w:qFormat="1"/>
    <w:lsdException w:name="table of figures" w:qFormat="1"/>
    <w:lsdException w:name="footnote reference" w:qFormat="1"/>
    <w:lsdException w:name="List" w:qFormat="1"/>
    <w:lsdException w:name="List Bullet" w:uiPriority="0" w:qFormat="1"/>
    <w:lsdException w:name="Title" w:semiHidden="0" w:uiPriority="0" w:unhideWhenUsed="0" w:qFormat="1"/>
    <w:lsdException w:name="Default Paragraph Font" w:uiPriority="1"/>
    <w:lsdException w:name="Subtitle" w:semiHidden="0" w:uiPriority="11" w:unhideWhenUsed="0" w:qFormat="1"/>
    <w:lsdException w:name="Strong" w:locked="0" w:semiHidden="0" w:uiPriority="22" w:unhideWhenUsed="0" w:qFormat="1"/>
    <w:lsdException w:name="Emphasis" w:locked="0" w:semiHidden="0" w:uiPriority="20" w:unhideWhenUsed="0" w:qFormat="1"/>
    <w:lsdException w:name="Table Grid" w:semiHidden="0" w:uiPriority="39" w:unhideWhenUsed="0"/>
    <w:lsdException w:name="Placeholder Text" w:locked="0" w:unhideWhenUsed="0"/>
    <w:lsdException w:name="No Spacing" w:locked="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unhideWhenUsed="0" w:qFormat="1"/>
  </w:latentStyles>
  <w:style w:type="paragraph" w:default="1" w:styleId="Normal">
    <w:name w:val="Normal"/>
    <w:qFormat/>
    <w:rsid w:val="0061233C"/>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11"/>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11"/>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3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D515AE"/>
    <w:pPr>
      <w:spacing w:before="80" w:after="0" w:line="200" w:lineRule="exact"/>
    </w:pPr>
    <w:rPr>
      <w:sz w:val="18"/>
      <w:szCs w:val="18"/>
    </w:rPr>
  </w:style>
  <w:style w:type="character" w:customStyle="1" w:styleId="FootnoteTextChar">
    <w:name w:val="Footnote Text Char"/>
    <w:basedOn w:val="DefaultParagraphFont"/>
    <w:link w:val="FootnoteText"/>
    <w:uiPriority w:val="99"/>
    <w:locked/>
    <w:rsid w:val="00D515AE"/>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17"/>
      </w:numPr>
    </w:pPr>
  </w:style>
  <w:style w:type="paragraph" w:customStyle="1" w:styleId="Numberedtitlelevel2">
    <w:name w:val="Numbered title level 2"/>
    <w:basedOn w:val="Titlelevel2"/>
    <w:next w:val="body"/>
    <w:qFormat/>
    <w:rsid w:val="00D515AE"/>
    <w:pPr>
      <w:numPr>
        <w:ilvl w:val="1"/>
        <w:numId w:val="17"/>
      </w:numPr>
    </w:pPr>
  </w:style>
  <w:style w:type="paragraph" w:customStyle="1" w:styleId="Titlelevel2">
    <w:name w:val="Title level 2"/>
    <w:qFormat/>
    <w:rsid w:val="00D515AE"/>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D515AE"/>
    <w:pPr>
      <w:spacing w:before="240" w:after="120" w:line="276" w:lineRule="auto"/>
      <w:jc w:val="both"/>
    </w:pPr>
    <w:rPr>
      <w:sz w:val="22"/>
    </w:rPr>
  </w:style>
  <w:style w:type="paragraph" w:customStyle="1" w:styleId="List1">
    <w:name w:val="List1"/>
    <w:autoRedefine/>
    <w:qFormat/>
    <w:rsid w:val="00D515AE"/>
    <w:pPr>
      <w:numPr>
        <w:numId w:val="14"/>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7D121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15"/>
      </w:numPr>
    </w:pPr>
    <w:rPr>
      <w:szCs w:val="22"/>
    </w:rPr>
  </w:style>
  <w:style w:type="paragraph" w:customStyle="1" w:styleId="bullet2">
    <w:name w:val="bullet 2"/>
    <w:basedOn w:val="body"/>
    <w:qFormat/>
    <w:rsid w:val="00D515AE"/>
    <w:pPr>
      <w:numPr>
        <w:numId w:val="16"/>
      </w:numPr>
    </w:pPr>
    <w:rPr>
      <w:szCs w:val="22"/>
    </w:rPr>
  </w:style>
  <w:style w:type="paragraph" w:customStyle="1" w:styleId="Numberedtitlelevel3">
    <w:name w:val="Numbered title level 3"/>
    <w:basedOn w:val="Titlelevel3"/>
    <w:next w:val="body"/>
    <w:qFormat/>
    <w:rsid w:val="00D515AE"/>
    <w:pPr>
      <w:numPr>
        <w:ilvl w:val="2"/>
        <w:numId w:val="17"/>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18"/>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19"/>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12"/>
      </w:numPr>
      <w:spacing w:before="240" w:after="120"/>
      <w:contextualSpacing/>
    </w:pPr>
    <w:rPr>
      <w:sz w:val="22"/>
    </w:rPr>
  </w:style>
  <w:style w:type="paragraph" w:styleId="ListBullet">
    <w:name w:val="List Bullet"/>
    <w:basedOn w:val="Normal"/>
    <w:semiHidden/>
    <w:qFormat/>
    <w:locked/>
    <w:rsid w:val="00D515AE"/>
    <w:pPr>
      <w:numPr>
        <w:numId w:val="13"/>
      </w:numPr>
      <w:contextualSpacing/>
    </w:pPr>
  </w:style>
  <w:style w:type="character" w:styleId="BookTitle">
    <w:name w:val="Book Title"/>
    <w:basedOn w:val="DefaultParagraphFont"/>
    <w:uiPriority w:val="33"/>
    <w:qFormat/>
    <w:rsid w:val="00D515AE"/>
    <w:rPr>
      <w:b/>
      <w:bCs/>
      <w:smallCaps/>
      <w:spacing w:val="5"/>
    </w:rPr>
  </w:style>
  <w:style w:type="paragraph" w:customStyle="1" w:styleId="SQL">
    <w:name w:val="SQL"/>
    <w:basedOn w:val="Normal"/>
    <w:link w:val="SQLChar"/>
    <w:qFormat/>
    <w:rsid w:val="002F1FBD"/>
    <w:pPr>
      <w:ind w:left="720"/>
    </w:pPr>
    <w:rPr>
      <w:rFonts w:ascii="Consolas" w:hAnsi="Consolas" w:cs="Consolas"/>
      <w:sz w:val="14"/>
      <w:szCs w:val="16"/>
    </w:rPr>
  </w:style>
  <w:style w:type="character" w:customStyle="1" w:styleId="SQLChar">
    <w:name w:val="SQL Char"/>
    <w:basedOn w:val="DefaultParagraphFont"/>
    <w:link w:val="SQL"/>
    <w:rsid w:val="002F1FBD"/>
    <w:rPr>
      <w:rFonts w:ascii="Consolas" w:hAnsi="Consolas" w:cs="Consolas"/>
      <w:sz w:val="1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0055">
      <w:bodyDiv w:val="1"/>
      <w:marLeft w:val="0"/>
      <w:marRight w:val="0"/>
      <w:marTop w:val="0"/>
      <w:marBottom w:val="0"/>
      <w:divBdr>
        <w:top w:val="none" w:sz="0" w:space="0" w:color="auto"/>
        <w:left w:val="none" w:sz="0" w:space="0" w:color="auto"/>
        <w:bottom w:val="none" w:sz="0" w:space="0" w:color="auto"/>
        <w:right w:val="none" w:sz="0" w:space="0" w:color="auto"/>
      </w:divBdr>
    </w:div>
    <w:div w:id="45182381">
      <w:bodyDiv w:val="1"/>
      <w:marLeft w:val="0"/>
      <w:marRight w:val="0"/>
      <w:marTop w:val="0"/>
      <w:marBottom w:val="0"/>
      <w:divBdr>
        <w:top w:val="none" w:sz="0" w:space="0" w:color="auto"/>
        <w:left w:val="none" w:sz="0" w:space="0" w:color="auto"/>
        <w:bottom w:val="none" w:sz="0" w:space="0" w:color="auto"/>
        <w:right w:val="none" w:sz="0" w:space="0" w:color="auto"/>
      </w:divBdr>
    </w:div>
    <w:div w:id="133642743">
      <w:bodyDiv w:val="1"/>
      <w:marLeft w:val="0"/>
      <w:marRight w:val="0"/>
      <w:marTop w:val="0"/>
      <w:marBottom w:val="0"/>
      <w:divBdr>
        <w:top w:val="none" w:sz="0" w:space="0" w:color="auto"/>
        <w:left w:val="none" w:sz="0" w:space="0" w:color="auto"/>
        <w:bottom w:val="none" w:sz="0" w:space="0" w:color="auto"/>
        <w:right w:val="none" w:sz="0" w:space="0" w:color="auto"/>
      </w:divBdr>
    </w:div>
    <w:div w:id="202522353">
      <w:bodyDiv w:val="1"/>
      <w:marLeft w:val="0"/>
      <w:marRight w:val="0"/>
      <w:marTop w:val="0"/>
      <w:marBottom w:val="0"/>
      <w:divBdr>
        <w:top w:val="none" w:sz="0" w:space="0" w:color="auto"/>
        <w:left w:val="none" w:sz="0" w:space="0" w:color="auto"/>
        <w:bottom w:val="none" w:sz="0" w:space="0" w:color="auto"/>
        <w:right w:val="none" w:sz="0" w:space="0" w:color="auto"/>
      </w:divBdr>
    </w:div>
    <w:div w:id="281767511">
      <w:bodyDiv w:val="1"/>
      <w:marLeft w:val="0"/>
      <w:marRight w:val="0"/>
      <w:marTop w:val="0"/>
      <w:marBottom w:val="0"/>
      <w:divBdr>
        <w:top w:val="none" w:sz="0" w:space="0" w:color="auto"/>
        <w:left w:val="none" w:sz="0" w:space="0" w:color="auto"/>
        <w:bottom w:val="none" w:sz="0" w:space="0" w:color="auto"/>
        <w:right w:val="none" w:sz="0" w:space="0" w:color="auto"/>
      </w:divBdr>
    </w:div>
    <w:div w:id="329524697">
      <w:marLeft w:val="0"/>
      <w:marRight w:val="0"/>
      <w:marTop w:val="0"/>
      <w:marBottom w:val="0"/>
      <w:divBdr>
        <w:top w:val="none" w:sz="0" w:space="0" w:color="auto"/>
        <w:left w:val="none" w:sz="0" w:space="0" w:color="auto"/>
        <w:bottom w:val="none" w:sz="0" w:space="0" w:color="auto"/>
        <w:right w:val="none" w:sz="0" w:space="0" w:color="auto"/>
      </w:divBdr>
    </w:div>
    <w:div w:id="329524698">
      <w:marLeft w:val="0"/>
      <w:marRight w:val="0"/>
      <w:marTop w:val="0"/>
      <w:marBottom w:val="0"/>
      <w:divBdr>
        <w:top w:val="none" w:sz="0" w:space="0" w:color="auto"/>
        <w:left w:val="none" w:sz="0" w:space="0" w:color="auto"/>
        <w:bottom w:val="none" w:sz="0" w:space="0" w:color="auto"/>
        <w:right w:val="none" w:sz="0" w:space="0" w:color="auto"/>
      </w:divBdr>
    </w:div>
    <w:div w:id="329524699">
      <w:marLeft w:val="0"/>
      <w:marRight w:val="0"/>
      <w:marTop w:val="0"/>
      <w:marBottom w:val="0"/>
      <w:divBdr>
        <w:top w:val="none" w:sz="0" w:space="0" w:color="auto"/>
        <w:left w:val="none" w:sz="0" w:space="0" w:color="auto"/>
        <w:bottom w:val="none" w:sz="0" w:space="0" w:color="auto"/>
        <w:right w:val="none" w:sz="0" w:space="0" w:color="auto"/>
      </w:divBdr>
    </w:div>
    <w:div w:id="329524700">
      <w:marLeft w:val="0"/>
      <w:marRight w:val="0"/>
      <w:marTop w:val="0"/>
      <w:marBottom w:val="0"/>
      <w:divBdr>
        <w:top w:val="none" w:sz="0" w:space="0" w:color="auto"/>
        <w:left w:val="none" w:sz="0" w:space="0" w:color="auto"/>
        <w:bottom w:val="none" w:sz="0" w:space="0" w:color="auto"/>
        <w:right w:val="none" w:sz="0" w:space="0" w:color="auto"/>
      </w:divBdr>
      <w:divsChild>
        <w:div w:id="329524701">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341321958">
      <w:bodyDiv w:val="1"/>
      <w:marLeft w:val="0"/>
      <w:marRight w:val="0"/>
      <w:marTop w:val="0"/>
      <w:marBottom w:val="0"/>
      <w:divBdr>
        <w:top w:val="none" w:sz="0" w:space="0" w:color="auto"/>
        <w:left w:val="none" w:sz="0" w:space="0" w:color="auto"/>
        <w:bottom w:val="none" w:sz="0" w:space="0" w:color="auto"/>
        <w:right w:val="none" w:sz="0" w:space="0" w:color="auto"/>
      </w:divBdr>
    </w:div>
    <w:div w:id="353114242">
      <w:bodyDiv w:val="1"/>
      <w:marLeft w:val="0"/>
      <w:marRight w:val="0"/>
      <w:marTop w:val="0"/>
      <w:marBottom w:val="0"/>
      <w:divBdr>
        <w:top w:val="none" w:sz="0" w:space="0" w:color="auto"/>
        <w:left w:val="none" w:sz="0" w:space="0" w:color="auto"/>
        <w:bottom w:val="none" w:sz="0" w:space="0" w:color="auto"/>
        <w:right w:val="none" w:sz="0" w:space="0" w:color="auto"/>
      </w:divBdr>
    </w:div>
    <w:div w:id="368840887">
      <w:bodyDiv w:val="1"/>
      <w:marLeft w:val="0"/>
      <w:marRight w:val="0"/>
      <w:marTop w:val="0"/>
      <w:marBottom w:val="0"/>
      <w:divBdr>
        <w:top w:val="none" w:sz="0" w:space="0" w:color="auto"/>
        <w:left w:val="none" w:sz="0" w:space="0" w:color="auto"/>
        <w:bottom w:val="none" w:sz="0" w:space="0" w:color="auto"/>
        <w:right w:val="none" w:sz="0" w:space="0" w:color="auto"/>
      </w:divBdr>
    </w:div>
    <w:div w:id="385492235">
      <w:bodyDiv w:val="1"/>
      <w:marLeft w:val="0"/>
      <w:marRight w:val="0"/>
      <w:marTop w:val="0"/>
      <w:marBottom w:val="0"/>
      <w:divBdr>
        <w:top w:val="none" w:sz="0" w:space="0" w:color="auto"/>
        <w:left w:val="none" w:sz="0" w:space="0" w:color="auto"/>
        <w:bottom w:val="none" w:sz="0" w:space="0" w:color="auto"/>
        <w:right w:val="none" w:sz="0" w:space="0" w:color="auto"/>
      </w:divBdr>
      <w:divsChild>
        <w:div w:id="978534335">
          <w:marLeft w:val="0"/>
          <w:marRight w:val="0"/>
          <w:marTop w:val="0"/>
          <w:marBottom w:val="0"/>
          <w:divBdr>
            <w:top w:val="none" w:sz="0" w:space="0" w:color="auto"/>
            <w:left w:val="none" w:sz="0" w:space="0" w:color="auto"/>
            <w:bottom w:val="none" w:sz="0" w:space="0" w:color="auto"/>
            <w:right w:val="none" w:sz="0" w:space="0" w:color="auto"/>
          </w:divBdr>
          <w:divsChild>
            <w:div w:id="839736094">
              <w:marLeft w:val="0"/>
              <w:marRight w:val="0"/>
              <w:marTop w:val="0"/>
              <w:marBottom w:val="0"/>
              <w:divBdr>
                <w:top w:val="none" w:sz="0" w:space="0" w:color="auto"/>
                <w:left w:val="none" w:sz="0" w:space="0" w:color="auto"/>
                <w:bottom w:val="none" w:sz="0" w:space="0" w:color="auto"/>
                <w:right w:val="none" w:sz="0" w:space="0" w:color="auto"/>
              </w:divBdr>
              <w:divsChild>
                <w:div w:id="1029641419">
                  <w:marLeft w:val="3273"/>
                  <w:marRight w:val="0"/>
                  <w:marTop w:val="0"/>
                  <w:marBottom w:val="0"/>
                  <w:divBdr>
                    <w:top w:val="none" w:sz="0" w:space="0" w:color="auto"/>
                    <w:left w:val="none" w:sz="0" w:space="0" w:color="auto"/>
                    <w:bottom w:val="none" w:sz="0" w:space="0" w:color="auto"/>
                    <w:right w:val="none" w:sz="0" w:space="0" w:color="auto"/>
                  </w:divBdr>
                  <w:divsChild>
                    <w:div w:id="1888177379">
                      <w:marLeft w:val="0"/>
                      <w:marRight w:val="0"/>
                      <w:marTop w:val="0"/>
                      <w:marBottom w:val="0"/>
                      <w:divBdr>
                        <w:top w:val="none" w:sz="0" w:space="0" w:color="auto"/>
                        <w:left w:val="none" w:sz="0" w:space="0" w:color="auto"/>
                        <w:bottom w:val="none" w:sz="0" w:space="0" w:color="auto"/>
                        <w:right w:val="none" w:sz="0" w:space="0" w:color="auto"/>
                      </w:divBdr>
                      <w:divsChild>
                        <w:div w:id="1885675141">
                          <w:marLeft w:val="0"/>
                          <w:marRight w:val="0"/>
                          <w:marTop w:val="0"/>
                          <w:marBottom w:val="0"/>
                          <w:divBdr>
                            <w:top w:val="none" w:sz="0" w:space="0" w:color="auto"/>
                            <w:left w:val="none" w:sz="0" w:space="0" w:color="auto"/>
                            <w:bottom w:val="none" w:sz="0" w:space="0" w:color="auto"/>
                            <w:right w:val="none" w:sz="0" w:space="0" w:color="auto"/>
                          </w:divBdr>
                          <w:divsChild>
                            <w:div w:id="38576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712966">
      <w:bodyDiv w:val="1"/>
      <w:marLeft w:val="0"/>
      <w:marRight w:val="0"/>
      <w:marTop w:val="0"/>
      <w:marBottom w:val="0"/>
      <w:divBdr>
        <w:top w:val="none" w:sz="0" w:space="0" w:color="auto"/>
        <w:left w:val="none" w:sz="0" w:space="0" w:color="auto"/>
        <w:bottom w:val="none" w:sz="0" w:space="0" w:color="auto"/>
        <w:right w:val="none" w:sz="0" w:space="0" w:color="auto"/>
      </w:divBdr>
      <w:divsChild>
        <w:div w:id="350618074">
          <w:marLeft w:val="0"/>
          <w:marRight w:val="0"/>
          <w:marTop w:val="0"/>
          <w:marBottom w:val="0"/>
          <w:divBdr>
            <w:top w:val="none" w:sz="0" w:space="0" w:color="auto"/>
            <w:left w:val="none" w:sz="0" w:space="0" w:color="auto"/>
            <w:bottom w:val="none" w:sz="0" w:space="0" w:color="auto"/>
            <w:right w:val="none" w:sz="0" w:space="0" w:color="auto"/>
          </w:divBdr>
          <w:divsChild>
            <w:div w:id="2016882451">
              <w:marLeft w:val="0"/>
              <w:marRight w:val="0"/>
              <w:marTop w:val="0"/>
              <w:marBottom w:val="0"/>
              <w:divBdr>
                <w:top w:val="none" w:sz="0" w:space="0" w:color="auto"/>
                <w:left w:val="none" w:sz="0" w:space="0" w:color="auto"/>
                <w:bottom w:val="none" w:sz="0" w:space="0" w:color="auto"/>
                <w:right w:val="none" w:sz="0" w:space="0" w:color="auto"/>
              </w:divBdr>
              <w:divsChild>
                <w:div w:id="1877347285">
                  <w:marLeft w:val="5400"/>
                  <w:marRight w:val="0"/>
                  <w:marTop w:val="0"/>
                  <w:marBottom w:val="0"/>
                  <w:divBdr>
                    <w:top w:val="none" w:sz="0" w:space="0" w:color="auto"/>
                    <w:left w:val="none" w:sz="0" w:space="0" w:color="auto"/>
                    <w:bottom w:val="none" w:sz="0" w:space="0" w:color="auto"/>
                    <w:right w:val="none" w:sz="0" w:space="0" w:color="auto"/>
                  </w:divBdr>
                  <w:divsChild>
                    <w:div w:id="266498749">
                      <w:marLeft w:val="0"/>
                      <w:marRight w:val="0"/>
                      <w:marTop w:val="0"/>
                      <w:marBottom w:val="0"/>
                      <w:divBdr>
                        <w:top w:val="none" w:sz="0" w:space="0" w:color="auto"/>
                        <w:left w:val="none" w:sz="0" w:space="0" w:color="auto"/>
                        <w:bottom w:val="none" w:sz="0" w:space="0" w:color="auto"/>
                        <w:right w:val="none" w:sz="0" w:space="0" w:color="auto"/>
                      </w:divBdr>
                      <w:divsChild>
                        <w:div w:id="1887137914">
                          <w:marLeft w:val="0"/>
                          <w:marRight w:val="0"/>
                          <w:marTop w:val="0"/>
                          <w:marBottom w:val="0"/>
                          <w:divBdr>
                            <w:top w:val="none" w:sz="0" w:space="0" w:color="auto"/>
                            <w:left w:val="none" w:sz="0" w:space="0" w:color="auto"/>
                            <w:bottom w:val="none" w:sz="0" w:space="0" w:color="auto"/>
                            <w:right w:val="none" w:sz="0" w:space="0" w:color="auto"/>
                          </w:divBdr>
                          <w:divsChild>
                            <w:div w:id="100300948">
                              <w:marLeft w:val="0"/>
                              <w:marRight w:val="0"/>
                              <w:marTop w:val="0"/>
                              <w:marBottom w:val="0"/>
                              <w:divBdr>
                                <w:top w:val="none" w:sz="0" w:space="0" w:color="auto"/>
                                <w:left w:val="none" w:sz="0" w:space="0" w:color="auto"/>
                                <w:bottom w:val="none" w:sz="0" w:space="0" w:color="auto"/>
                                <w:right w:val="none" w:sz="0" w:space="0" w:color="auto"/>
                              </w:divBdr>
                              <w:divsChild>
                                <w:div w:id="1694453138">
                                  <w:marLeft w:val="0"/>
                                  <w:marRight w:val="0"/>
                                  <w:marTop w:val="0"/>
                                  <w:marBottom w:val="0"/>
                                  <w:divBdr>
                                    <w:top w:val="none" w:sz="0" w:space="0" w:color="auto"/>
                                    <w:left w:val="none" w:sz="0" w:space="0" w:color="auto"/>
                                    <w:bottom w:val="none" w:sz="0" w:space="0" w:color="auto"/>
                                    <w:right w:val="none" w:sz="0" w:space="0" w:color="auto"/>
                                  </w:divBdr>
                                  <w:divsChild>
                                    <w:div w:id="18533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128093">
      <w:bodyDiv w:val="1"/>
      <w:marLeft w:val="0"/>
      <w:marRight w:val="0"/>
      <w:marTop w:val="0"/>
      <w:marBottom w:val="0"/>
      <w:divBdr>
        <w:top w:val="none" w:sz="0" w:space="0" w:color="auto"/>
        <w:left w:val="none" w:sz="0" w:space="0" w:color="auto"/>
        <w:bottom w:val="none" w:sz="0" w:space="0" w:color="auto"/>
        <w:right w:val="none" w:sz="0" w:space="0" w:color="auto"/>
      </w:divBdr>
    </w:div>
    <w:div w:id="650255584">
      <w:bodyDiv w:val="1"/>
      <w:marLeft w:val="0"/>
      <w:marRight w:val="0"/>
      <w:marTop w:val="0"/>
      <w:marBottom w:val="0"/>
      <w:divBdr>
        <w:top w:val="none" w:sz="0" w:space="0" w:color="auto"/>
        <w:left w:val="none" w:sz="0" w:space="0" w:color="auto"/>
        <w:bottom w:val="none" w:sz="0" w:space="0" w:color="auto"/>
        <w:right w:val="none" w:sz="0" w:space="0" w:color="auto"/>
      </w:divBdr>
    </w:div>
    <w:div w:id="686446948">
      <w:bodyDiv w:val="1"/>
      <w:marLeft w:val="0"/>
      <w:marRight w:val="0"/>
      <w:marTop w:val="0"/>
      <w:marBottom w:val="0"/>
      <w:divBdr>
        <w:top w:val="none" w:sz="0" w:space="0" w:color="auto"/>
        <w:left w:val="none" w:sz="0" w:space="0" w:color="auto"/>
        <w:bottom w:val="none" w:sz="0" w:space="0" w:color="auto"/>
        <w:right w:val="none" w:sz="0" w:space="0" w:color="auto"/>
      </w:divBdr>
    </w:div>
    <w:div w:id="707680050">
      <w:bodyDiv w:val="1"/>
      <w:marLeft w:val="0"/>
      <w:marRight w:val="0"/>
      <w:marTop w:val="0"/>
      <w:marBottom w:val="0"/>
      <w:divBdr>
        <w:top w:val="none" w:sz="0" w:space="0" w:color="auto"/>
        <w:left w:val="none" w:sz="0" w:space="0" w:color="auto"/>
        <w:bottom w:val="none" w:sz="0" w:space="0" w:color="auto"/>
        <w:right w:val="none" w:sz="0" w:space="0" w:color="auto"/>
      </w:divBdr>
    </w:div>
    <w:div w:id="794450366">
      <w:bodyDiv w:val="1"/>
      <w:marLeft w:val="0"/>
      <w:marRight w:val="0"/>
      <w:marTop w:val="0"/>
      <w:marBottom w:val="0"/>
      <w:divBdr>
        <w:top w:val="none" w:sz="0" w:space="0" w:color="auto"/>
        <w:left w:val="none" w:sz="0" w:space="0" w:color="auto"/>
        <w:bottom w:val="none" w:sz="0" w:space="0" w:color="auto"/>
        <w:right w:val="none" w:sz="0" w:space="0" w:color="auto"/>
      </w:divBdr>
    </w:div>
    <w:div w:id="830219764">
      <w:bodyDiv w:val="1"/>
      <w:marLeft w:val="0"/>
      <w:marRight w:val="0"/>
      <w:marTop w:val="0"/>
      <w:marBottom w:val="0"/>
      <w:divBdr>
        <w:top w:val="none" w:sz="0" w:space="0" w:color="auto"/>
        <w:left w:val="none" w:sz="0" w:space="0" w:color="auto"/>
        <w:bottom w:val="none" w:sz="0" w:space="0" w:color="auto"/>
        <w:right w:val="none" w:sz="0" w:space="0" w:color="auto"/>
      </w:divBdr>
    </w:div>
    <w:div w:id="851182970">
      <w:bodyDiv w:val="1"/>
      <w:marLeft w:val="0"/>
      <w:marRight w:val="0"/>
      <w:marTop w:val="0"/>
      <w:marBottom w:val="0"/>
      <w:divBdr>
        <w:top w:val="none" w:sz="0" w:space="0" w:color="auto"/>
        <w:left w:val="none" w:sz="0" w:space="0" w:color="auto"/>
        <w:bottom w:val="none" w:sz="0" w:space="0" w:color="auto"/>
        <w:right w:val="none" w:sz="0" w:space="0" w:color="auto"/>
      </w:divBdr>
    </w:div>
    <w:div w:id="939491023">
      <w:bodyDiv w:val="1"/>
      <w:marLeft w:val="0"/>
      <w:marRight w:val="0"/>
      <w:marTop w:val="0"/>
      <w:marBottom w:val="0"/>
      <w:divBdr>
        <w:top w:val="none" w:sz="0" w:space="0" w:color="auto"/>
        <w:left w:val="none" w:sz="0" w:space="0" w:color="auto"/>
        <w:bottom w:val="none" w:sz="0" w:space="0" w:color="auto"/>
        <w:right w:val="none" w:sz="0" w:space="0" w:color="auto"/>
      </w:divBdr>
    </w:div>
    <w:div w:id="957954414">
      <w:bodyDiv w:val="1"/>
      <w:marLeft w:val="0"/>
      <w:marRight w:val="0"/>
      <w:marTop w:val="0"/>
      <w:marBottom w:val="0"/>
      <w:divBdr>
        <w:top w:val="none" w:sz="0" w:space="0" w:color="auto"/>
        <w:left w:val="none" w:sz="0" w:space="0" w:color="auto"/>
        <w:bottom w:val="none" w:sz="0" w:space="0" w:color="auto"/>
        <w:right w:val="none" w:sz="0" w:space="0" w:color="auto"/>
      </w:divBdr>
    </w:div>
    <w:div w:id="1070813140">
      <w:bodyDiv w:val="1"/>
      <w:marLeft w:val="0"/>
      <w:marRight w:val="0"/>
      <w:marTop w:val="0"/>
      <w:marBottom w:val="0"/>
      <w:divBdr>
        <w:top w:val="none" w:sz="0" w:space="0" w:color="auto"/>
        <w:left w:val="none" w:sz="0" w:space="0" w:color="auto"/>
        <w:bottom w:val="none" w:sz="0" w:space="0" w:color="auto"/>
        <w:right w:val="none" w:sz="0" w:space="0" w:color="auto"/>
      </w:divBdr>
    </w:div>
    <w:div w:id="1086730389">
      <w:bodyDiv w:val="1"/>
      <w:marLeft w:val="0"/>
      <w:marRight w:val="0"/>
      <w:marTop w:val="0"/>
      <w:marBottom w:val="0"/>
      <w:divBdr>
        <w:top w:val="none" w:sz="0" w:space="0" w:color="auto"/>
        <w:left w:val="none" w:sz="0" w:space="0" w:color="auto"/>
        <w:bottom w:val="none" w:sz="0" w:space="0" w:color="auto"/>
        <w:right w:val="none" w:sz="0" w:space="0" w:color="auto"/>
      </w:divBdr>
    </w:div>
    <w:div w:id="1127509594">
      <w:bodyDiv w:val="1"/>
      <w:marLeft w:val="0"/>
      <w:marRight w:val="0"/>
      <w:marTop w:val="0"/>
      <w:marBottom w:val="0"/>
      <w:divBdr>
        <w:top w:val="none" w:sz="0" w:space="0" w:color="auto"/>
        <w:left w:val="none" w:sz="0" w:space="0" w:color="auto"/>
        <w:bottom w:val="none" w:sz="0" w:space="0" w:color="auto"/>
        <w:right w:val="none" w:sz="0" w:space="0" w:color="auto"/>
      </w:divBdr>
    </w:div>
    <w:div w:id="1142040655">
      <w:bodyDiv w:val="1"/>
      <w:marLeft w:val="0"/>
      <w:marRight w:val="0"/>
      <w:marTop w:val="0"/>
      <w:marBottom w:val="0"/>
      <w:divBdr>
        <w:top w:val="none" w:sz="0" w:space="0" w:color="auto"/>
        <w:left w:val="none" w:sz="0" w:space="0" w:color="auto"/>
        <w:bottom w:val="none" w:sz="0" w:space="0" w:color="auto"/>
        <w:right w:val="none" w:sz="0" w:space="0" w:color="auto"/>
      </w:divBdr>
      <w:divsChild>
        <w:div w:id="992950708">
          <w:marLeft w:val="0"/>
          <w:marRight w:val="0"/>
          <w:marTop w:val="0"/>
          <w:marBottom w:val="0"/>
          <w:divBdr>
            <w:top w:val="none" w:sz="0" w:space="0" w:color="auto"/>
            <w:left w:val="none" w:sz="0" w:space="0" w:color="auto"/>
            <w:bottom w:val="none" w:sz="0" w:space="0" w:color="auto"/>
            <w:right w:val="none" w:sz="0" w:space="0" w:color="auto"/>
          </w:divBdr>
          <w:divsChild>
            <w:div w:id="1013067167">
              <w:marLeft w:val="0"/>
              <w:marRight w:val="0"/>
              <w:marTop w:val="0"/>
              <w:marBottom w:val="0"/>
              <w:divBdr>
                <w:top w:val="none" w:sz="0" w:space="0" w:color="auto"/>
                <w:left w:val="none" w:sz="0" w:space="0" w:color="auto"/>
                <w:bottom w:val="none" w:sz="0" w:space="0" w:color="auto"/>
                <w:right w:val="none" w:sz="0" w:space="0" w:color="auto"/>
              </w:divBdr>
              <w:divsChild>
                <w:div w:id="912351150">
                  <w:marLeft w:val="5400"/>
                  <w:marRight w:val="0"/>
                  <w:marTop w:val="0"/>
                  <w:marBottom w:val="0"/>
                  <w:divBdr>
                    <w:top w:val="none" w:sz="0" w:space="0" w:color="auto"/>
                    <w:left w:val="none" w:sz="0" w:space="0" w:color="auto"/>
                    <w:bottom w:val="none" w:sz="0" w:space="0" w:color="auto"/>
                    <w:right w:val="none" w:sz="0" w:space="0" w:color="auto"/>
                  </w:divBdr>
                  <w:divsChild>
                    <w:div w:id="1404452379">
                      <w:marLeft w:val="0"/>
                      <w:marRight w:val="0"/>
                      <w:marTop w:val="0"/>
                      <w:marBottom w:val="0"/>
                      <w:divBdr>
                        <w:top w:val="none" w:sz="0" w:space="0" w:color="auto"/>
                        <w:left w:val="none" w:sz="0" w:space="0" w:color="auto"/>
                        <w:bottom w:val="none" w:sz="0" w:space="0" w:color="auto"/>
                        <w:right w:val="none" w:sz="0" w:space="0" w:color="auto"/>
                      </w:divBdr>
                      <w:divsChild>
                        <w:div w:id="274293869">
                          <w:marLeft w:val="0"/>
                          <w:marRight w:val="0"/>
                          <w:marTop w:val="0"/>
                          <w:marBottom w:val="0"/>
                          <w:divBdr>
                            <w:top w:val="none" w:sz="0" w:space="0" w:color="auto"/>
                            <w:left w:val="none" w:sz="0" w:space="0" w:color="auto"/>
                            <w:bottom w:val="none" w:sz="0" w:space="0" w:color="auto"/>
                            <w:right w:val="none" w:sz="0" w:space="0" w:color="auto"/>
                          </w:divBdr>
                          <w:divsChild>
                            <w:div w:id="1794446598">
                              <w:marLeft w:val="0"/>
                              <w:marRight w:val="0"/>
                              <w:marTop w:val="0"/>
                              <w:marBottom w:val="0"/>
                              <w:divBdr>
                                <w:top w:val="none" w:sz="0" w:space="0" w:color="auto"/>
                                <w:left w:val="none" w:sz="0" w:space="0" w:color="auto"/>
                                <w:bottom w:val="none" w:sz="0" w:space="0" w:color="auto"/>
                                <w:right w:val="none" w:sz="0" w:space="0" w:color="auto"/>
                              </w:divBdr>
                              <w:divsChild>
                                <w:div w:id="513350504">
                                  <w:marLeft w:val="0"/>
                                  <w:marRight w:val="0"/>
                                  <w:marTop w:val="0"/>
                                  <w:marBottom w:val="0"/>
                                  <w:divBdr>
                                    <w:top w:val="none" w:sz="0" w:space="0" w:color="auto"/>
                                    <w:left w:val="none" w:sz="0" w:space="0" w:color="auto"/>
                                    <w:bottom w:val="none" w:sz="0" w:space="0" w:color="auto"/>
                                    <w:right w:val="none" w:sz="0" w:space="0" w:color="auto"/>
                                  </w:divBdr>
                                  <w:divsChild>
                                    <w:div w:id="465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502058">
      <w:bodyDiv w:val="1"/>
      <w:marLeft w:val="0"/>
      <w:marRight w:val="0"/>
      <w:marTop w:val="0"/>
      <w:marBottom w:val="0"/>
      <w:divBdr>
        <w:top w:val="none" w:sz="0" w:space="0" w:color="auto"/>
        <w:left w:val="none" w:sz="0" w:space="0" w:color="auto"/>
        <w:bottom w:val="none" w:sz="0" w:space="0" w:color="auto"/>
        <w:right w:val="none" w:sz="0" w:space="0" w:color="auto"/>
      </w:divBdr>
    </w:div>
    <w:div w:id="1166477874">
      <w:bodyDiv w:val="1"/>
      <w:marLeft w:val="0"/>
      <w:marRight w:val="0"/>
      <w:marTop w:val="0"/>
      <w:marBottom w:val="0"/>
      <w:divBdr>
        <w:top w:val="none" w:sz="0" w:space="0" w:color="auto"/>
        <w:left w:val="none" w:sz="0" w:space="0" w:color="auto"/>
        <w:bottom w:val="none" w:sz="0" w:space="0" w:color="auto"/>
        <w:right w:val="none" w:sz="0" w:space="0" w:color="auto"/>
      </w:divBdr>
    </w:div>
    <w:div w:id="1217281863">
      <w:bodyDiv w:val="1"/>
      <w:marLeft w:val="0"/>
      <w:marRight w:val="0"/>
      <w:marTop w:val="0"/>
      <w:marBottom w:val="0"/>
      <w:divBdr>
        <w:top w:val="none" w:sz="0" w:space="0" w:color="auto"/>
        <w:left w:val="none" w:sz="0" w:space="0" w:color="auto"/>
        <w:bottom w:val="none" w:sz="0" w:space="0" w:color="auto"/>
        <w:right w:val="none" w:sz="0" w:space="0" w:color="auto"/>
      </w:divBdr>
    </w:div>
    <w:div w:id="1469009579">
      <w:bodyDiv w:val="1"/>
      <w:marLeft w:val="0"/>
      <w:marRight w:val="0"/>
      <w:marTop w:val="0"/>
      <w:marBottom w:val="0"/>
      <w:divBdr>
        <w:top w:val="none" w:sz="0" w:space="0" w:color="auto"/>
        <w:left w:val="none" w:sz="0" w:space="0" w:color="auto"/>
        <w:bottom w:val="none" w:sz="0" w:space="0" w:color="auto"/>
        <w:right w:val="none" w:sz="0" w:space="0" w:color="auto"/>
      </w:divBdr>
    </w:div>
    <w:div w:id="1477724110">
      <w:bodyDiv w:val="1"/>
      <w:marLeft w:val="0"/>
      <w:marRight w:val="0"/>
      <w:marTop w:val="0"/>
      <w:marBottom w:val="0"/>
      <w:divBdr>
        <w:top w:val="none" w:sz="0" w:space="0" w:color="auto"/>
        <w:left w:val="none" w:sz="0" w:space="0" w:color="auto"/>
        <w:bottom w:val="none" w:sz="0" w:space="0" w:color="auto"/>
        <w:right w:val="none" w:sz="0" w:space="0" w:color="auto"/>
      </w:divBdr>
    </w:div>
    <w:div w:id="1583567407">
      <w:bodyDiv w:val="1"/>
      <w:marLeft w:val="0"/>
      <w:marRight w:val="0"/>
      <w:marTop w:val="0"/>
      <w:marBottom w:val="0"/>
      <w:divBdr>
        <w:top w:val="none" w:sz="0" w:space="0" w:color="auto"/>
        <w:left w:val="none" w:sz="0" w:space="0" w:color="auto"/>
        <w:bottom w:val="none" w:sz="0" w:space="0" w:color="auto"/>
        <w:right w:val="none" w:sz="0" w:space="0" w:color="auto"/>
      </w:divBdr>
    </w:div>
    <w:div w:id="1600601948">
      <w:bodyDiv w:val="1"/>
      <w:marLeft w:val="0"/>
      <w:marRight w:val="0"/>
      <w:marTop w:val="0"/>
      <w:marBottom w:val="0"/>
      <w:divBdr>
        <w:top w:val="none" w:sz="0" w:space="0" w:color="auto"/>
        <w:left w:val="none" w:sz="0" w:space="0" w:color="auto"/>
        <w:bottom w:val="none" w:sz="0" w:space="0" w:color="auto"/>
        <w:right w:val="none" w:sz="0" w:space="0" w:color="auto"/>
      </w:divBdr>
    </w:div>
    <w:div w:id="1663391187">
      <w:bodyDiv w:val="1"/>
      <w:marLeft w:val="0"/>
      <w:marRight w:val="0"/>
      <w:marTop w:val="0"/>
      <w:marBottom w:val="0"/>
      <w:divBdr>
        <w:top w:val="none" w:sz="0" w:space="0" w:color="auto"/>
        <w:left w:val="none" w:sz="0" w:space="0" w:color="auto"/>
        <w:bottom w:val="none" w:sz="0" w:space="0" w:color="auto"/>
        <w:right w:val="none" w:sz="0" w:space="0" w:color="auto"/>
      </w:divBdr>
    </w:div>
    <w:div w:id="1682047908">
      <w:bodyDiv w:val="1"/>
      <w:marLeft w:val="0"/>
      <w:marRight w:val="0"/>
      <w:marTop w:val="0"/>
      <w:marBottom w:val="0"/>
      <w:divBdr>
        <w:top w:val="none" w:sz="0" w:space="0" w:color="auto"/>
        <w:left w:val="none" w:sz="0" w:space="0" w:color="auto"/>
        <w:bottom w:val="none" w:sz="0" w:space="0" w:color="auto"/>
        <w:right w:val="none" w:sz="0" w:space="0" w:color="auto"/>
      </w:divBdr>
    </w:div>
    <w:div w:id="1773281035">
      <w:bodyDiv w:val="1"/>
      <w:marLeft w:val="0"/>
      <w:marRight w:val="0"/>
      <w:marTop w:val="0"/>
      <w:marBottom w:val="0"/>
      <w:divBdr>
        <w:top w:val="none" w:sz="0" w:space="0" w:color="auto"/>
        <w:left w:val="none" w:sz="0" w:space="0" w:color="auto"/>
        <w:bottom w:val="none" w:sz="0" w:space="0" w:color="auto"/>
        <w:right w:val="none" w:sz="0" w:space="0" w:color="auto"/>
      </w:divBdr>
    </w:div>
    <w:div w:id="2039353925">
      <w:bodyDiv w:val="1"/>
      <w:marLeft w:val="0"/>
      <w:marRight w:val="0"/>
      <w:marTop w:val="0"/>
      <w:marBottom w:val="0"/>
      <w:divBdr>
        <w:top w:val="none" w:sz="0" w:space="0" w:color="auto"/>
        <w:left w:val="none" w:sz="0" w:space="0" w:color="auto"/>
        <w:bottom w:val="none" w:sz="0" w:space="0" w:color="auto"/>
        <w:right w:val="none" w:sz="0" w:space="0" w:color="auto"/>
      </w:divBdr>
    </w:div>
    <w:div w:id="2063287110">
      <w:bodyDiv w:val="1"/>
      <w:marLeft w:val="0"/>
      <w:marRight w:val="0"/>
      <w:marTop w:val="0"/>
      <w:marBottom w:val="0"/>
      <w:divBdr>
        <w:top w:val="none" w:sz="0" w:space="0" w:color="auto"/>
        <w:left w:val="none" w:sz="0" w:space="0" w:color="auto"/>
        <w:bottom w:val="none" w:sz="0" w:space="0" w:color="auto"/>
        <w:right w:val="none" w:sz="0" w:space="0" w:color="auto"/>
      </w:divBdr>
    </w:div>
    <w:div w:id="21193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cid:image001.png@01D0FF78.A6EA0F6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eba-xbrl@eba.europa.eu" TargetMode="External"/><Relationship Id="rId2" Type="http://schemas.openxmlformats.org/officeDocument/2006/relationships/hyperlink" Target="http://www.eba.europa.eu/single-rule-book-qa" TargetMode="External"/><Relationship Id="rId1" Type="http://schemas.openxmlformats.org/officeDocument/2006/relationships/hyperlink" Target="http://eba.europa.eu"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eba-xbrl@eba.europa.eu" TargetMode="External"/><Relationship Id="rId2" Type="http://schemas.openxmlformats.org/officeDocument/2006/relationships/hyperlink" Target="http://www.eba.europa.eu/single-rule-book-qa" TargetMode="External"/><Relationship Id="rId1" Type="http://schemas.openxmlformats.org/officeDocument/2006/relationships/hyperlink" Target="http://eba.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ba.europa.eu/regulation-and-policy/other-topics/regulatory-and-implementing-technical-standards-on-benchmarking-portfolios" TargetMode="External"/><Relationship Id="rId1" Type="http://schemas.openxmlformats.org/officeDocument/2006/relationships/hyperlink" Target="https://www.eba.europa.eu/single-rule-book-qa"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EBA PP Exported">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3FBE4-31D7-4B5D-86F3-1F42A6ACA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774FADE1.dotm</Template>
  <TotalTime>0</TotalTime>
  <Pages>33</Pages>
  <Words>9239</Words>
  <Characters>52667</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Notice of intended beta XBRL taxonomy availability and testing/feedback period</vt:lpstr>
    </vt:vector>
  </TitlesOfParts>
  <Company>European Banking Authority</Company>
  <LinksUpToDate>false</LinksUpToDate>
  <CharactersWithSpaces>61783</CharactersWithSpaces>
  <SharedDoc>false</SharedDoc>
  <HLinks>
    <vt:vector size="6" baseType="variant">
      <vt:variant>
        <vt:i4>2490439</vt:i4>
      </vt:variant>
      <vt:variant>
        <vt:i4>0</vt:i4>
      </vt:variant>
      <vt:variant>
        <vt:i4>0</vt:i4>
      </vt:variant>
      <vt:variant>
        <vt:i4>5</vt:i4>
      </vt:variant>
      <vt:variant>
        <vt:lpwstr>mailto:CP50@eba.europa.eu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 Notes 2.6.0.0</dc:title>
  <dc:subject>Beta Taxonomy Release</dc:subject>
  <dc:creator>owen.jones@eba.europa.eu</dc:creator>
  <cp:lastModifiedBy>ojones</cp:lastModifiedBy>
  <cp:revision>3</cp:revision>
  <cp:lastPrinted>2016-01-25T18:19:00Z</cp:lastPrinted>
  <dcterms:created xsi:type="dcterms:W3CDTF">2016-11-17T13:38:00Z</dcterms:created>
  <dcterms:modified xsi:type="dcterms:W3CDTF">2016-11-17T13:39:00Z</dcterms:modified>
</cp:coreProperties>
</file>