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PŘÍLOHA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POKYNY PRO PODÁVÁNÍ ZPRÁV O PÁCE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F2CB31C" w14:textId="2F97DC00" w:rsidR="00BD1D60"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8488614" w:history="1">
        <w:r w:rsidR="00BD1D60" w:rsidRPr="00FD7CD4">
          <w:rPr>
            <w:rStyle w:val="Hyperlink"/>
            <w:rFonts w:ascii="Times New Roman" w:hAnsi="Times New Roman"/>
            <w:b/>
          </w:rPr>
          <w:t>ČÁST I: OBECNÉ POKYNY</w:t>
        </w:r>
        <w:r w:rsidR="00BD1D60">
          <w:rPr>
            <w:webHidden/>
          </w:rPr>
          <w:tab/>
        </w:r>
        <w:r w:rsidR="00BD1D60">
          <w:rPr>
            <w:webHidden/>
          </w:rPr>
          <w:fldChar w:fldCharType="begin"/>
        </w:r>
        <w:r w:rsidR="00BD1D60">
          <w:rPr>
            <w:webHidden/>
          </w:rPr>
          <w:instrText xml:space="preserve"> PAGEREF _Toc58488614 \h </w:instrText>
        </w:r>
        <w:r w:rsidR="00BD1D60">
          <w:rPr>
            <w:webHidden/>
          </w:rPr>
        </w:r>
        <w:r w:rsidR="00BD1D60">
          <w:rPr>
            <w:webHidden/>
          </w:rPr>
          <w:fldChar w:fldCharType="separate"/>
        </w:r>
        <w:r w:rsidR="00BD1D60">
          <w:rPr>
            <w:webHidden/>
          </w:rPr>
          <w:t>2</w:t>
        </w:r>
        <w:r w:rsidR="00BD1D60">
          <w:rPr>
            <w:webHidden/>
          </w:rPr>
          <w:fldChar w:fldCharType="end"/>
        </w:r>
      </w:hyperlink>
    </w:p>
    <w:p w14:paraId="60E00838" w14:textId="1FBEB4B1" w:rsidR="00BD1D60" w:rsidRDefault="00BD1D60">
      <w:pPr>
        <w:pStyle w:val="TOC2"/>
        <w:rPr>
          <w:rFonts w:asciiTheme="minorHAnsi" w:eastAsiaTheme="minorEastAsia" w:hAnsiTheme="minorHAnsi" w:cstheme="minorBidi"/>
          <w:b w:val="0"/>
          <w:smallCaps w:val="0"/>
          <w:sz w:val="22"/>
          <w:lang w:val="en-US"/>
        </w:rPr>
      </w:pPr>
      <w:hyperlink w:anchor="_Toc58488615" w:history="1">
        <w:r w:rsidRPr="00FD7CD4">
          <w:rPr>
            <w:rStyle w:val="Hyperlink"/>
            <w:rFonts w:ascii="Times New Roman" w:hAnsi="Times New Roman"/>
          </w:rPr>
          <w:t>1.</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Struktura a jiné konvence</w:t>
        </w:r>
        <w:r>
          <w:rPr>
            <w:webHidden/>
          </w:rPr>
          <w:tab/>
        </w:r>
        <w:r>
          <w:rPr>
            <w:webHidden/>
          </w:rPr>
          <w:fldChar w:fldCharType="begin"/>
        </w:r>
        <w:r>
          <w:rPr>
            <w:webHidden/>
          </w:rPr>
          <w:instrText xml:space="preserve"> PAGEREF _Toc58488615 \h </w:instrText>
        </w:r>
        <w:r>
          <w:rPr>
            <w:webHidden/>
          </w:rPr>
        </w:r>
        <w:r>
          <w:rPr>
            <w:webHidden/>
          </w:rPr>
          <w:fldChar w:fldCharType="separate"/>
        </w:r>
        <w:r>
          <w:rPr>
            <w:webHidden/>
          </w:rPr>
          <w:t>2</w:t>
        </w:r>
        <w:r>
          <w:rPr>
            <w:webHidden/>
          </w:rPr>
          <w:fldChar w:fldCharType="end"/>
        </w:r>
      </w:hyperlink>
    </w:p>
    <w:p w14:paraId="0DA83E63" w14:textId="77B22FB6" w:rsidR="00BD1D60" w:rsidRDefault="00BD1D60">
      <w:pPr>
        <w:pStyle w:val="TOC3"/>
        <w:rPr>
          <w:rFonts w:asciiTheme="minorHAnsi" w:eastAsiaTheme="minorEastAsia" w:hAnsiTheme="minorHAnsi" w:cstheme="minorBidi"/>
          <w:smallCaps w:val="0"/>
          <w:sz w:val="22"/>
          <w:szCs w:val="22"/>
          <w:lang w:val="en-US"/>
        </w:rPr>
      </w:pPr>
      <w:hyperlink w:anchor="_Toc58488616" w:history="1">
        <w:r w:rsidRPr="00FD7CD4">
          <w:rPr>
            <w:rStyle w:val="Hyperlink"/>
            <w:rFonts w:ascii="Times New Roman" w:hAnsi="Times New Roman"/>
            <w:b/>
          </w:rPr>
          <w:t>1.1.</w:t>
        </w:r>
        <w:r>
          <w:rPr>
            <w:rFonts w:asciiTheme="minorHAnsi" w:eastAsiaTheme="minorEastAsia" w:hAnsiTheme="minorHAnsi" w:cstheme="minorBidi"/>
            <w:smallCaps w:val="0"/>
            <w:sz w:val="22"/>
            <w:szCs w:val="22"/>
            <w:lang w:val="en-US"/>
          </w:rPr>
          <w:tab/>
        </w:r>
        <w:r w:rsidRPr="00FD7CD4">
          <w:rPr>
            <w:rStyle w:val="Hyperlink"/>
            <w:rFonts w:ascii="Times New Roman" w:hAnsi="Times New Roman"/>
            <w:b/>
          </w:rPr>
          <w:t>Struktura</w:t>
        </w:r>
        <w:r>
          <w:rPr>
            <w:webHidden/>
          </w:rPr>
          <w:tab/>
        </w:r>
        <w:r>
          <w:rPr>
            <w:webHidden/>
          </w:rPr>
          <w:fldChar w:fldCharType="begin"/>
        </w:r>
        <w:r>
          <w:rPr>
            <w:webHidden/>
          </w:rPr>
          <w:instrText xml:space="preserve"> PAGEREF _Toc58488616 \h </w:instrText>
        </w:r>
        <w:r>
          <w:rPr>
            <w:webHidden/>
          </w:rPr>
        </w:r>
        <w:r>
          <w:rPr>
            <w:webHidden/>
          </w:rPr>
          <w:fldChar w:fldCharType="separate"/>
        </w:r>
        <w:r>
          <w:rPr>
            <w:webHidden/>
          </w:rPr>
          <w:t>2</w:t>
        </w:r>
        <w:r>
          <w:rPr>
            <w:webHidden/>
          </w:rPr>
          <w:fldChar w:fldCharType="end"/>
        </w:r>
      </w:hyperlink>
    </w:p>
    <w:p w14:paraId="0A6E20FA" w14:textId="24CD0D67" w:rsidR="00BD1D60" w:rsidRDefault="00BD1D60">
      <w:pPr>
        <w:pStyle w:val="TOC3"/>
        <w:rPr>
          <w:rFonts w:asciiTheme="minorHAnsi" w:eastAsiaTheme="minorEastAsia" w:hAnsiTheme="minorHAnsi" w:cstheme="minorBidi"/>
          <w:smallCaps w:val="0"/>
          <w:sz w:val="22"/>
          <w:szCs w:val="22"/>
          <w:lang w:val="en-US"/>
        </w:rPr>
      </w:pPr>
      <w:hyperlink w:anchor="_Toc58488617" w:history="1">
        <w:r w:rsidRPr="00FD7CD4">
          <w:rPr>
            <w:rStyle w:val="Hyperlink"/>
            <w:rFonts w:ascii="Times New Roman" w:hAnsi="Times New Roman"/>
            <w:b/>
          </w:rPr>
          <w:t>1.2.</w:t>
        </w:r>
        <w:r>
          <w:rPr>
            <w:rFonts w:asciiTheme="minorHAnsi" w:eastAsiaTheme="minorEastAsia" w:hAnsiTheme="minorHAnsi" w:cstheme="minorBidi"/>
            <w:smallCaps w:val="0"/>
            <w:sz w:val="22"/>
            <w:szCs w:val="22"/>
            <w:lang w:val="en-US"/>
          </w:rPr>
          <w:tab/>
        </w:r>
        <w:r w:rsidRPr="00FD7CD4">
          <w:rPr>
            <w:rStyle w:val="Hyperlink"/>
            <w:rFonts w:ascii="Times New Roman" w:hAnsi="Times New Roman"/>
            <w:b/>
          </w:rPr>
          <w:t>Konvence v oblasti číslování</w:t>
        </w:r>
        <w:r>
          <w:rPr>
            <w:webHidden/>
          </w:rPr>
          <w:tab/>
        </w:r>
        <w:r>
          <w:rPr>
            <w:webHidden/>
          </w:rPr>
          <w:fldChar w:fldCharType="begin"/>
        </w:r>
        <w:r>
          <w:rPr>
            <w:webHidden/>
          </w:rPr>
          <w:instrText xml:space="preserve"> PAGEREF _Toc58488617 \h </w:instrText>
        </w:r>
        <w:r>
          <w:rPr>
            <w:webHidden/>
          </w:rPr>
        </w:r>
        <w:r>
          <w:rPr>
            <w:webHidden/>
          </w:rPr>
          <w:fldChar w:fldCharType="separate"/>
        </w:r>
        <w:r>
          <w:rPr>
            <w:webHidden/>
          </w:rPr>
          <w:t>2</w:t>
        </w:r>
        <w:r>
          <w:rPr>
            <w:webHidden/>
          </w:rPr>
          <w:fldChar w:fldCharType="end"/>
        </w:r>
      </w:hyperlink>
    </w:p>
    <w:p w14:paraId="3DF3D576" w14:textId="4017C7C9" w:rsidR="00BD1D60" w:rsidRDefault="00BD1D60">
      <w:pPr>
        <w:pStyle w:val="TOC3"/>
        <w:rPr>
          <w:rFonts w:asciiTheme="minorHAnsi" w:eastAsiaTheme="minorEastAsia" w:hAnsiTheme="minorHAnsi" w:cstheme="minorBidi"/>
          <w:smallCaps w:val="0"/>
          <w:sz w:val="22"/>
          <w:szCs w:val="22"/>
          <w:lang w:val="en-US"/>
        </w:rPr>
      </w:pPr>
      <w:hyperlink w:anchor="_Toc58488618" w:history="1">
        <w:r w:rsidRPr="00FD7CD4">
          <w:rPr>
            <w:rStyle w:val="Hyperlink"/>
            <w:rFonts w:ascii="Times New Roman" w:hAnsi="Times New Roman"/>
            <w:b/>
          </w:rPr>
          <w:t>1.3.</w:t>
        </w:r>
        <w:r>
          <w:rPr>
            <w:rFonts w:asciiTheme="minorHAnsi" w:eastAsiaTheme="minorEastAsia" w:hAnsiTheme="minorHAnsi" w:cstheme="minorBidi"/>
            <w:smallCaps w:val="0"/>
            <w:sz w:val="22"/>
            <w:szCs w:val="22"/>
            <w:lang w:val="en-US"/>
          </w:rPr>
          <w:tab/>
        </w:r>
        <w:r w:rsidRPr="00FD7CD4">
          <w:rPr>
            <w:rStyle w:val="Hyperlink"/>
            <w:rFonts w:ascii="Times New Roman" w:hAnsi="Times New Roman"/>
            <w:b/>
          </w:rPr>
          <w:t>Zkratky</w:t>
        </w:r>
        <w:r>
          <w:rPr>
            <w:webHidden/>
          </w:rPr>
          <w:tab/>
        </w:r>
        <w:r>
          <w:rPr>
            <w:webHidden/>
          </w:rPr>
          <w:fldChar w:fldCharType="begin"/>
        </w:r>
        <w:r>
          <w:rPr>
            <w:webHidden/>
          </w:rPr>
          <w:instrText xml:space="preserve"> PAGEREF _Toc58488618 \h </w:instrText>
        </w:r>
        <w:r>
          <w:rPr>
            <w:webHidden/>
          </w:rPr>
        </w:r>
        <w:r>
          <w:rPr>
            <w:webHidden/>
          </w:rPr>
          <w:fldChar w:fldCharType="separate"/>
        </w:r>
        <w:r>
          <w:rPr>
            <w:webHidden/>
          </w:rPr>
          <w:t>2</w:t>
        </w:r>
        <w:r>
          <w:rPr>
            <w:webHidden/>
          </w:rPr>
          <w:fldChar w:fldCharType="end"/>
        </w:r>
      </w:hyperlink>
    </w:p>
    <w:p w14:paraId="4E50E403" w14:textId="0E8B730A" w:rsidR="00BD1D60" w:rsidRDefault="00BD1D60">
      <w:pPr>
        <w:pStyle w:val="TOC3"/>
        <w:rPr>
          <w:rFonts w:asciiTheme="minorHAnsi" w:eastAsiaTheme="minorEastAsia" w:hAnsiTheme="minorHAnsi" w:cstheme="minorBidi"/>
          <w:smallCaps w:val="0"/>
          <w:sz w:val="22"/>
          <w:szCs w:val="22"/>
          <w:lang w:val="en-US"/>
        </w:rPr>
      </w:pPr>
      <w:hyperlink w:anchor="_Toc58488619" w:history="1">
        <w:r w:rsidRPr="00FD7CD4">
          <w:rPr>
            <w:rStyle w:val="Hyperlink"/>
            <w:rFonts w:ascii="Times New Roman" w:hAnsi="Times New Roman"/>
            <w:b/>
          </w:rPr>
          <w:t>1.4.</w:t>
        </w:r>
        <w:r>
          <w:rPr>
            <w:rFonts w:asciiTheme="minorHAnsi" w:eastAsiaTheme="minorEastAsia" w:hAnsiTheme="minorHAnsi" w:cstheme="minorBidi"/>
            <w:smallCaps w:val="0"/>
            <w:sz w:val="22"/>
            <w:szCs w:val="22"/>
            <w:lang w:val="en-US"/>
          </w:rPr>
          <w:tab/>
        </w:r>
        <w:r w:rsidRPr="00FD7CD4">
          <w:rPr>
            <w:rStyle w:val="Hyperlink"/>
            <w:rFonts w:ascii="Times New Roman" w:hAnsi="Times New Roman"/>
            <w:b/>
          </w:rPr>
          <w:t>Konvence v oblasti znamének</w:t>
        </w:r>
        <w:r>
          <w:rPr>
            <w:webHidden/>
          </w:rPr>
          <w:tab/>
        </w:r>
        <w:r>
          <w:rPr>
            <w:webHidden/>
          </w:rPr>
          <w:fldChar w:fldCharType="begin"/>
        </w:r>
        <w:r>
          <w:rPr>
            <w:webHidden/>
          </w:rPr>
          <w:instrText xml:space="preserve"> PAGEREF _Toc58488619 \h </w:instrText>
        </w:r>
        <w:r>
          <w:rPr>
            <w:webHidden/>
          </w:rPr>
        </w:r>
        <w:r>
          <w:rPr>
            <w:webHidden/>
          </w:rPr>
          <w:fldChar w:fldCharType="separate"/>
        </w:r>
        <w:r>
          <w:rPr>
            <w:webHidden/>
          </w:rPr>
          <w:t>3</w:t>
        </w:r>
        <w:r>
          <w:rPr>
            <w:webHidden/>
          </w:rPr>
          <w:fldChar w:fldCharType="end"/>
        </w:r>
      </w:hyperlink>
    </w:p>
    <w:p w14:paraId="10482042" w14:textId="4512ECAF" w:rsidR="00BD1D60" w:rsidRDefault="00BD1D60">
      <w:pPr>
        <w:pStyle w:val="TOC1"/>
        <w:rPr>
          <w:rFonts w:asciiTheme="minorHAnsi" w:eastAsiaTheme="minorEastAsia" w:hAnsiTheme="minorHAnsi" w:cstheme="minorBidi"/>
          <w:color w:val="auto"/>
          <w:sz w:val="22"/>
          <w:szCs w:val="22"/>
          <w:lang w:val="en-US"/>
        </w:rPr>
      </w:pPr>
      <w:hyperlink w:anchor="_Toc58488620" w:history="1">
        <w:r w:rsidRPr="00FD7CD4">
          <w:rPr>
            <w:rStyle w:val="Hyperlink"/>
            <w:rFonts w:ascii="Times New Roman" w:hAnsi="Times New Roman"/>
            <w:b/>
          </w:rPr>
          <w:t>ČÁST II POKYNY K ŠABLONÁM</w:t>
        </w:r>
        <w:r>
          <w:rPr>
            <w:webHidden/>
          </w:rPr>
          <w:tab/>
        </w:r>
        <w:r>
          <w:rPr>
            <w:webHidden/>
          </w:rPr>
          <w:fldChar w:fldCharType="begin"/>
        </w:r>
        <w:r>
          <w:rPr>
            <w:webHidden/>
          </w:rPr>
          <w:instrText xml:space="preserve"> PAGEREF _Toc58488620 \h </w:instrText>
        </w:r>
        <w:r>
          <w:rPr>
            <w:webHidden/>
          </w:rPr>
        </w:r>
        <w:r>
          <w:rPr>
            <w:webHidden/>
          </w:rPr>
          <w:fldChar w:fldCharType="separate"/>
        </w:r>
        <w:r>
          <w:rPr>
            <w:webHidden/>
          </w:rPr>
          <w:t>4</w:t>
        </w:r>
        <w:r>
          <w:rPr>
            <w:webHidden/>
          </w:rPr>
          <w:fldChar w:fldCharType="end"/>
        </w:r>
      </w:hyperlink>
    </w:p>
    <w:p w14:paraId="3A0A3D4C" w14:textId="38BA0822" w:rsidR="00BD1D60" w:rsidRDefault="00BD1D60">
      <w:pPr>
        <w:pStyle w:val="TOC2"/>
        <w:rPr>
          <w:rFonts w:asciiTheme="minorHAnsi" w:eastAsiaTheme="minorEastAsia" w:hAnsiTheme="minorHAnsi" w:cstheme="minorBidi"/>
          <w:b w:val="0"/>
          <w:smallCaps w:val="0"/>
          <w:sz w:val="22"/>
          <w:lang w:val="en-US"/>
        </w:rPr>
      </w:pPr>
      <w:hyperlink w:anchor="_Toc58488621" w:history="1">
        <w:r w:rsidRPr="00FD7CD4">
          <w:rPr>
            <w:rStyle w:val="Hyperlink"/>
            <w:rFonts w:ascii="Times New Roman" w:hAnsi="Times New Roman"/>
          </w:rPr>
          <w:t>1.</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Vzorce pro výpočet pákového poměru</w:t>
        </w:r>
        <w:r>
          <w:rPr>
            <w:webHidden/>
          </w:rPr>
          <w:tab/>
        </w:r>
        <w:r>
          <w:rPr>
            <w:webHidden/>
          </w:rPr>
          <w:fldChar w:fldCharType="begin"/>
        </w:r>
        <w:r>
          <w:rPr>
            <w:webHidden/>
          </w:rPr>
          <w:instrText xml:space="preserve"> PAGEREF _Toc58488621 \h </w:instrText>
        </w:r>
        <w:r>
          <w:rPr>
            <w:webHidden/>
          </w:rPr>
        </w:r>
        <w:r>
          <w:rPr>
            <w:webHidden/>
          </w:rPr>
          <w:fldChar w:fldCharType="separate"/>
        </w:r>
        <w:r>
          <w:rPr>
            <w:webHidden/>
          </w:rPr>
          <w:t>4</w:t>
        </w:r>
        <w:r>
          <w:rPr>
            <w:webHidden/>
          </w:rPr>
          <w:fldChar w:fldCharType="end"/>
        </w:r>
      </w:hyperlink>
    </w:p>
    <w:p w14:paraId="35DE64BA" w14:textId="4981D2F2" w:rsidR="00BD1D60" w:rsidRDefault="00BD1D60">
      <w:pPr>
        <w:pStyle w:val="TOC2"/>
        <w:rPr>
          <w:rFonts w:asciiTheme="minorHAnsi" w:eastAsiaTheme="minorEastAsia" w:hAnsiTheme="minorHAnsi" w:cstheme="minorBidi"/>
          <w:b w:val="0"/>
          <w:smallCaps w:val="0"/>
          <w:sz w:val="22"/>
          <w:lang w:val="en-US"/>
        </w:rPr>
      </w:pPr>
      <w:hyperlink w:anchor="_Toc58488622" w:history="1">
        <w:r w:rsidRPr="00FD7CD4">
          <w:rPr>
            <w:rStyle w:val="Hyperlink"/>
            <w:rFonts w:ascii="Times New Roman" w:hAnsi="Times New Roman"/>
          </w:rPr>
          <w:t>2.</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Hranice významnosti pro deriváty</w:t>
        </w:r>
        <w:r>
          <w:rPr>
            <w:webHidden/>
          </w:rPr>
          <w:tab/>
        </w:r>
        <w:r>
          <w:rPr>
            <w:webHidden/>
          </w:rPr>
          <w:fldChar w:fldCharType="begin"/>
        </w:r>
        <w:r>
          <w:rPr>
            <w:webHidden/>
          </w:rPr>
          <w:instrText xml:space="preserve"> PAGEREF _Toc58488622 \h </w:instrText>
        </w:r>
        <w:r>
          <w:rPr>
            <w:webHidden/>
          </w:rPr>
        </w:r>
        <w:r>
          <w:rPr>
            <w:webHidden/>
          </w:rPr>
          <w:fldChar w:fldCharType="separate"/>
        </w:r>
        <w:r>
          <w:rPr>
            <w:webHidden/>
          </w:rPr>
          <w:t>4</w:t>
        </w:r>
        <w:r>
          <w:rPr>
            <w:webHidden/>
          </w:rPr>
          <w:fldChar w:fldCharType="end"/>
        </w:r>
      </w:hyperlink>
    </w:p>
    <w:p w14:paraId="2FCAFE6D" w14:textId="34A56BFD" w:rsidR="00BD1D60" w:rsidRDefault="00BD1D60">
      <w:pPr>
        <w:pStyle w:val="TOC2"/>
        <w:rPr>
          <w:rFonts w:asciiTheme="minorHAnsi" w:eastAsiaTheme="minorEastAsia" w:hAnsiTheme="minorHAnsi" w:cstheme="minorBidi"/>
          <w:b w:val="0"/>
          <w:smallCaps w:val="0"/>
          <w:sz w:val="22"/>
          <w:lang w:val="en-US"/>
        </w:rPr>
      </w:pPr>
      <w:hyperlink w:anchor="_Toc58488623" w:history="1">
        <w:r w:rsidRPr="00FD7CD4">
          <w:rPr>
            <w:rStyle w:val="Hyperlink"/>
            <w:rFonts w:ascii="Times New Roman" w:hAnsi="Times New Roman"/>
          </w:rPr>
          <w:t>3.</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47.00 – Výpočet pákového poměru (LRCalc)</w:t>
        </w:r>
        <w:r>
          <w:rPr>
            <w:webHidden/>
          </w:rPr>
          <w:tab/>
        </w:r>
        <w:r>
          <w:rPr>
            <w:webHidden/>
          </w:rPr>
          <w:fldChar w:fldCharType="begin"/>
        </w:r>
        <w:r>
          <w:rPr>
            <w:webHidden/>
          </w:rPr>
          <w:instrText xml:space="preserve"> PAGEREF _Toc58488623 \h </w:instrText>
        </w:r>
        <w:r>
          <w:rPr>
            <w:webHidden/>
          </w:rPr>
        </w:r>
        <w:r>
          <w:rPr>
            <w:webHidden/>
          </w:rPr>
          <w:fldChar w:fldCharType="separate"/>
        </w:r>
        <w:r>
          <w:rPr>
            <w:webHidden/>
          </w:rPr>
          <w:t>5</w:t>
        </w:r>
        <w:r>
          <w:rPr>
            <w:webHidden/>
          </w:rPr>
          <w:fldChar w:fldCharType="end"/>
        </w:r>
      </w:hyperlink>
    </w:p>
    <w:p w14:paraId="198F60AF" w14:textId="7BEEBAB8" w:rsidR="00BD1D60" w:rsidRDefault="00BD1D60">
      <w:pPr>
        <w:pStyle w:val="TOC2"/>
        <w:rPr>
          <w:rFonts w:asciiTheme="minorHAnsi" w:eastAsiaTheme="minorEastAsia" w:hAnsiTheme="minorHAnsi" w:cstheme="minorBidi"/>
          <w:b w:val="0"/>
          <w:smallCaps w:val="0"/>
          <w:sz w:val="22"/>
          <w:lang w:val="en-US"/>
        </w:rPr>
      </w:pPr>
      <w:hyperlink w:anchor="_Toc58488624" w:history="1">
        <w:r w:rsidRPr="00FD7CD4">
          <w:rPr>
            <w:rStyle w:val="Hyperlink"/>
            <w:rFonts w:ascii="Times New Roman" w:hAnsi="Times New Roman"/>
          </w:rPr>
          <w:t>4.</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40.00 – Alternativní postup určení míry expozice (LR1)</w:t>
        </w:r>
        <w:r>
          <w:rPr>
            <w:webHidden/>
          </w:rPr>
          <w:tab/>
        </w:r>
        <w:r>
          <w:rPr>
            <w:webHidden/>
          </w:rPr>
          <w:fldChar w:fldCharType="begin"/>
        </w:r>
        <w:r>
          <w:rPr>
            <w:webHidden/>
          </w:rPr>
          <w:instrText xml:space="preserve"> PAGEREF _Toc58488624 \h </w:instrText>
        </w:r>
        <w:r>
          <w:rPr>
            <w:webHidden/>
          </w:rPr>
        </w:r>
        <w:r>
          <w:rPr>
            <w:webHidden/>
          </w:rPr>
          <w:fldChar w:fldCharType="separate"/>
        </w:r>
        <w:r>
          <w:rPr>
            <w:webHidden/>
          </w:rPr>
          <w:t>29</w:t>
        </w:r>
        <w:r>
          <w:rPr>
            <w:webHidden/>
          </w:rPr>
          <w:fldChar w:fldCharType="end"/>
        </w:r>
      </w:hyperlink>
    </w:p>
    <w:p w14:paraId="2C7CDF2F" w14:textId="1CB0B0B7" w:rsidR="00BD1D60" w:rsidRDefault="00BD1D60">
      <w:pPr>
        <w:pStyle w:val="TOC2"/>
        <w:rPr>
          <w:rFonts w:asciiTheme="minorHAnsi" w:eastAsiaTheme="minorEastAsia" w:hAnsiTheme="minorHAnsi" w:cstheme="minorBidi"/>
          <w:b w:val="0"/>
          <w:smallCaps w:val="0"/>
          <w:sz w:val="22"/>
          <w:lang w:val="en-US"/>
        </w:rPr>
      </w:pPr>
      <w:hyperlink w:anchor="_Toc58488625" w:history="1">
        <w:r w:rsidRPr="00FD7CD4">
          <w:rPr>
            <w:rStyle w:val="Hyperlink"/>
            <w:rFonts w:ascii="Times New Roman" w:hAnsi="Times New Roman"/>
          </w:rPr>
          <w:t>5.</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43.00 – Alternativní členění složek míry expozice pákového poměru (LR4)</w:t>
        </w:r>
        <w:r>
          <w:rPr>
            <w:webHidden/>
          </w:rPr>
          <w:tab/>
        </w:r>
        <w:r>
          <w:rPr>
            <w:webHidden/>
          </w:rPr>
          <w:fldChar w:fldCharType="begin"/>
        </w:r>
        <w:r>
          <w:rPr>
            <w:webHidden/>
          </w:rPr>
          <w:instrText xml:space="preserve"> PAGEREF _Toc58488625 \h </w:instrText>
        </w:r>
        <w:r>
          <w:rPr>
            <w:webHidden/>
          </w:rPr>
        </w:r>
        <w:r>
          <w:rPr>
            <w:webHidden/>
          </w:rPr>
          <w:fldChar w:fldCharType="separate"/>
        </w:r>
        <w:r>
          <w:rPr>
            <w:webHidden/>
          </w:rPr>
          <w:t>40</w:t>
        </w:r>
        <w:r>
          <w:rPr>
            <w:webHidden/>
          </w:rPr>
          <w:fldChar w:fldCharType="end"/>
        </w:r>
      </w:hyperlink>
    </w:p>
    <w:p w14:paraId="4D8ADE19" w14:textId="7A392987" w:rsidR="00BD1D60" w:rsidRDefault="00BD1D60">
      <w:pPr>
        <w:pStyle w:val="TOC2"/>
        <w:rPr>
          <w:rFonts w:asciiTheme="minorHAnsi" w:eastAsiaTheme="minorEastAsia" w:hAnsiTheme="minorHAnsi" w:cstheme="minorBidi"/>
          <w:b w:val="0"/>
          <w:smallCaps w:val="0"/>
          <w:sz w:val="22"/>
          <w:lang w:val="en-US"/>
        </w:rPr>
      </w:pPr>
      <w:hyperlink w:anchor="_Toc58488626" w:history="1">
        <w:r w:rsidRPr="00FD7CD4">
          <w:rPr>
            <w:rStyle w:val="Hyperlink"/>
            <w:rFonts w:ascii="Times New Roman" w:hAnsi="Times New Roman"/>
          </w:rPr>
          <w:t>6.</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44.00 – Obecné informace (LR5)</w:t>
        </w:r>
        <w:r>
          <w:rPr>
            <w:webHidden/>
          </w:rPr>
          <w:tab/>
        </w:r>
        <w:r>
          <w:rPr>
            <w:webHidden/>
          </w:rPr>
          <w:fldChar w:fldCharType="begin"/>
        </w:r>
        <w:r>
          <w:rPr>
            <w:webHidden/>
          </w:rPr>
          <w:instrText xml:space="preserve"> PAGEREF _Toc58488626 \h </w:instrText>
        </w:r>
        <w:r>
          <w:rPr>
            <w:webHidden/>
          </w:rPr>
        </w:r>
        <w:r>
          <w:rPr>
            <w:webHidden/>
          </w:rPr>
          <w:fldChar w:fldCharType="separate"/>
        </w:r>
        <w:r>
          <w:rPr>
            <w:webHidden/>
          </w:rPr>
          <w:t>65</w:t>
        </w:r>
        <w:r>
          <w:rPr>
            <w:webHidden/>
          </w:rPr>
          <w:fldChar w:fldCharType="end"/>
        </w:r>
      </w:hyperlink>
    </w:p>
    <w:p w14:paraId="63773E9F" w14:textId="4FB818E1" w:rsidR="00BD1D60" w:rsidRDefault="00BD1D60">
      <w:pPr>
        <w:pStyle w:val="TOC2"/>
        <w:rPr>
          <w:rFonts w:asciiTheme="minorHAnsi" w:eastAsiaTheme="minorEastAsia" w:hAnsiTheme="minorHAnsi" w:cstheme="minorBidi"/>
          <w:b w:val="0"/>
          <w:smallCaps w:val="0"/>
          <w:sz w:val="22"/>
          <w:lang w:val="en-US"/>
        </w:rPr>
      </w:pPr>
      <w:hyperlink w:anchor="_Toc58488627" w:history="1">
        <w:r w:rsidRPr="00FD7CD4">
          <w:rPr>
            <w:rStyle w:val="Hyperlink"/>
            <w:rFonts w:ascii="Times New Roman" w:hAnsi="Times New Roman"/>
          </w:rPr>
          <w:t>7.</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48.00 Volatilita pákového poměru (LR6)</w:t>
        </w:r>
        <w:r>
          <w:rPr>
            <w:webHidden/>
          </w:rPr>
          <w:tab/>
        </w:r>
        <w:r>
          <w:rPr>
            <w:webHidden/>
          </w:rPr>
          <w:fldChar w:fldCharType="begin"/>
        </w:r>
        <w:r>
          <w:rPr>
            <w:webHidden/>
          </w:rPr>
          <w:instrText xml:space="preserve"> PAGEREF _Toc58488627 \h </w:instrText>
        </w:r>
        <w:r>
          <w:rPr>
            <w:webHidden/>
          </w:rPr>
        </w:r>
        <w:r>
          <w:rPr>
            <w:webHidden/>
          </w:rPr>
          <w:fldChar w:fldCharType="separate"/>
        </w:r>
        <w:r>
          <w:rPr>
            <w:webHidden/>
          </w:rPr>
          <w:t>67</w:t>
        </w:r>
        <w:r>
          <w:rPr>
            <w:webHidden/>
          </w:rPr>
          <w:fldChar w:fldCharType="end"/>
        </w:r>
      </w:hyperlink>
    </w:p>
    <w:p w14:paraId="70AA35EC" w14:textId="6CE16EE3" w:rsidR="00BD1D60" w:rsidRDefault="00BD1D60">
      <w:pPr>
        <w:pStyle w:val="TOC2"/>
        <w:rPr>
          <w:rFonts w:asciiTheme="minorHAnsi" w:eastAsiaTheme="minorEastAsia" w:hAnsiTheme="minorHAnsi" w:cstheme="minorBidi"/>
          <w:b w:val="0"/>
          <w:smallCaps w:val="0"/>
          <w:sz w:val="22"/>
          <w:lang w:val="en-US"/>
        </w:rPr>
      </w:pPr>
      <w:hyperlink w:anchor="_Toc58488628" w:history="1">
        <w:r w:rsidRPr="00FD7CD4">
          <w:rPr>
            <w:rStyle w:val="Hyperlink"/>
            <w:rFonts w:ascii="Times New Roman" w:hAnsi="Times New Roman"/>
          </w:rPr>
          <w:t>8.</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48.01 Volatilita pákového poměru: střední hodnota za vykazované období</w:t>
        </w:r>
        <w:r>
          <w:rPr>
            <w:webHidden/>
          </w:rPr>
          <w:tab/>
        </w:r>
        <w:r>
          <w:rPr>
            <w:webHidden/>
          </w:rPr>
          <w:fldChar w:fldCharType="begin"/>
        </w:r>
        <w:r>
          <w:rPr>
            <w:webHidden/>
          </w:rPr>
          <w:instrText xml:space="preserve"> PAGEREF _Toc58488628 \h </w:instrText>
        </w:r>
        <w:r>
          <w:rPr>
            <w:webHidden/>
          </w:rPr>
        </w:r>
        <w:r>
          <w:rPr>
            <w:webHidden/>
          </w:rPr>
          <w:fldChar w:fldCharType="separate"/>
        </w:r>
        <w:r>
          <w:rPr>
            <w:webHidden/>
          </w:rPr>
          <w:t>67</w:t>
        </w:r>
        <w:r>
          <w:rPr>
            <w:webHidden/>
          </w:rPr>
          <w:fldChar w:fldCharType="end"/>
        </w:r>
      </w:hyperlink>
    </w:p>
    <w:p w14:paraId="4CE3889C" w14:textId="1B3E164C" w:rsidR="00BD1D60" w:rsidRDefault="00BD1D60">
      <w:pPr>
        <w:pStyle w:val="TOC2"/>
        <w:rPr>
          <w:rFonts w:asciiTheme="minorHAnsi" w:eastAsiaTheme="minorEastAsia" w:hAnsiTheme="minorHAnsi" w:cstheme="minorBidi"/>
          <w:b w:val="0"/>
          <w:smallCaps w:val="0"/>
          <w:sz w:val="22"/>
          <w:lang w:val="en-US"/>
        </w:rPr>
      </w:pPr>
      <w:hyperlink w:anchor="_Toc58488629" w:history="1">
        <w:r w:rsidRPr="00FD7CD4">
          <w:rPr>
            <w:rStyle w:val="Hyperlink"/>
            <w:rFonts w:ascii="Times New Roman" w:hAnsi="Times New Roman"/>
          </w:rPr>
          <w:t>9.</w:t>
        </w:r>
        <w:r>
          <w:rPr>
            <w:rFonts w:asciiTheme="minorHAnsi" w:eastAsiaTheme="minorEastAsia" w:hAnsiTheme="minorHAnsi" w:cstheme="minorBidi"/>
            <w:b w:val="0"/>
            <w:smallCaps w:val="0"/>
            <w:sz w:val="22"/>
            <w:lang w:val="en-US"/>
          </w:rPr>
          <w:tab/>
        </w:r>
        <w:r w:rsidRPr="00FD7CD4">
          <w:rPr>
            <w:rStyle w:val="Hyperlink"/>
            <w:rFonts w:ascii="Times New Roman" w:hAnsi="Times New Roman"/>
          </w:rPr>
          <w:t>C 48.02 Volatilita pákového poměru: denní hodnoty za vykazované období</w:t>
        </w:r>
        <w:r>
          <w:rPr>
            <w:webHidden/>
          </w:rPr>
          <w:tab/>
        </w:r>
        <w:r>
          <w:rPr>
            <w:webHidden/>
          </w:rPr>
          <w:fldChar w:fldCharType="begin"/>
        </w:r>
        <w:r>
          <w:rPr>
            <w:webHidden/>
          </w:rPr>
          <w:instrText xml:space="preserve"> PAGEREF _Toc58488629 \h </w:instrText>
        </w:r>
        <w:r>
          <w:rPr>
            <w:webHidden/>
          </w:rPr>
        </w:r>
        <w:r>
          <w:rPr>
            <w:webHidden/>
          </w:rPr>
          <w:fldChar w:fldCharType="separate"/>
        </w:r>
        <w:r>
          <w:rPr>
            <w:webHidden/>
          </w:rPr>
          <w:t>67</w:t>
        </w:r>
        <w:r>
          <w:rPr>
            <w:webHidden/>
          </w:rPr>
          <w:fldChar w:fldCharType="end"/>
        </w:r>
      </w:hyperlink>
    </w:p>
    <w:p w14:paraId="43D747E1" w14:textId="46F48F5D"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488614"/>
      <w:r>
        <w:rPr>
          <w:rFonts w:ascii="Times New Roman" w:hAnsi="Times New Roman"/>
          <w:b/>
          <w:sz w:val="24"/>
          <w:szCs w:val="24"/>
        </w:rPr>
        <w:t>ČÁST I:</w:t>
      </w:r>
      <w:bookmarkEnd w:id="0"/>
      <w:r>
        <w:rPr>
          <w:rFonts w:ascii="Times New Roman" w:hAnsi="Times New Roman"/>
          <w:b/>
          <w:sz w:val="24"/>
          <w:szCs w:val="24"/>
        </w:rPr>
        <w:t xml:space="preserve"> OBECNÉ POKYNY</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488615"/>
      <w:r>
        <w:rPr>
          <w:rFonts w:ascii="Times New Roman" w:hAnsi="Times New Roman"/>
          <w:b/>
          <w:sz w:val="24"/>
          <w:szCs w:val="24"/>
        </w:rPr>
        <w:t>1.</w:t>
      </w:r>
      <w:r>
        <w:rPr>
          <w:rFonts w:ascii="Times New Roman" w:hAnsi="Times New Roman"/>
          <w:b/>
          <w:sz w:val="24"/>
          <w:szCs w:val="24"/>
        </w:rPr>
        <w:tab/>
        <w:t>Struktura a jiné konvence</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58488616"/>
      <w:r>
        <w:rPr>
          <w:rFonts w:ascii="Times New Roman" w:hAnsi="Times New Roman"/>
          <w:b/>
          <w:sz w:val="24"/>
          <w:szCs w:val="24"/>
        </w:rPr>
        <w:t>1.1.</w:t>
      </w:r>
      <w:r>
        <w:rPr>
          <w:rFonts w:ascii="Times New Roman" w:hAnsi="Times New Roman"/>
          <w:b/>
          <w:sz w:val="24"/>
          <w:szCs w:val="24"/>
        </w:rPr>
        <w:tab/>
      </w:r>
      <w:bookmarkEnd w:id="11"/>
      <w:bookmarkEnd w:id="12"/>
      <w:bookmarkEnd w:id="13"/>
      <w:r>
        <w:rPr>
          <w:rFonts w:ascii="Times New Roman" w:hAnsi="Times New Roman"/>
          <w:b/>
          <w:sz w:val="24"/>
          <w:szCs w:val="24"/>
        </w:rPr>
        <w:t>Struktura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Tato příloha obsahuje doplňující pokyny k šablonám (dále jen „LR“) uvedeným v příloze X tohoto nařízení.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rPr>
          <w:bCs/>
          <w:sz w:val="24"/>
        </w:rPr>
        <w:tab/>
        <w:t>Rámec se skládá z celkem pěti šablon:</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C47.00: Výpočet pákového poměru (LRCalc): Výpočet pákového poměru,</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C40.00: Šablona pákového poměru 1 (LR1): Alternativní postup určení míry expozice,</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C43.00: Šablona pákového poměru 4 (LR4): Alternativní členění složek míry expozice pákového poměru,</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C44.00: Šablona pákového poměru 5 (LR5): Obecné informace,</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Volatilita pákového poměru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rPr>
          <w:bCs/>
          <w:sz w:val="24"/>
        </w:rPr>
        <w:tab/>
        <w:t>U každé šablony jsou uvedeny odkazy na právní předpisy a další podrobné informace o obecnějších aspektech podávání zpráv.</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488617"/>
      <w:bookmarkEnd w:id="17"/>
      <w:r>
        <w:rPr>
          <w:rFonts w:ascii="Times New Roman" w:hAnsi="Times New Roman"/>
          <w:b/>
          <w:sz w:val="24"/>
          <w:szCs w:val="24"/>
        </w:rPr>
        <w:t>1.2.</w:t>
      </w:r>
      <w:r>
        <w:rPr>
          <w:rFonts w:ascii="Times New Roman" w:hAnsi="Times New Roman"/>
          <w:b/>
          <w:sz w:val="24"/>
          <w:szCs w:val="24"/>
        </w:rPr>
        <w:tab/>
        <w:t>Konvence v oblasti číslování</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rPr>
          <w:bCs/>
          <w:sz w:val="24"/>
        </w:rPr>
        <w:tab/>
        <w:t>Při odkazování na sloupce, řádky a buňky šablon se dokument řídí konvencemi pro označování, které jsou stanoveny v následujících bodech. Uvedené číselné kódy se běžně používají v pravidlech pro ověřování.</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rPr>
          <w:bCs/>
          <w:sz w:val="24"/>
        </w:rPr>
        <w:tab/>
        <w:t>V pokynech se používá tento obecný zápis: {šablona;řádek;sloupec}. K odkazu na celý řádek nebo sloupec se použije hvězdička.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rPr>
          <w:bCs/>
          <w:sz w:val="24"/>
        </w:rPr>
        <w:tab/>
        <w:t>V případě validací v rámci šablony, kdy jsou použity pouze údaje z této šablony, se šablona v zápisu neuvádí: {řádek;sloupec}.</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rPr>
          <w:bCs/>
          <w:sz w:val="24"/>
        </w:rPr>
        <w:tab/>
        <w:t xml:space="preserve">Pro účely vykazování informací o páce výraz „z toho“ odkazuje na položku, která je podmnožinou kategorie expozic vyšší úrovně, zatímco výraz „doplňková položka“ odkazuje na samostatnou položku, která není podmnožinou žádné kategorie expozic. Vykazování údajů v obou typech buněk je povinné, pokud není uvedeno jinak.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488618"/>
      <w:r>
        <w:rPr>
          <w:rFonts w:ascii="Times New Roman" w:hAnsi="Times New Roman"/>
          <w:b/>
          <w:sz w:val="24"/>
          <w:szCs w:val="24"/>
        </w:rPr>
        <w:t>1.3.</w:t>
      </w:r>
      <w:r>
        <w:rPr>
          <w:rFonts w:ascii="Times New Roman" w:hAnsi="Times New Roman"/>
          <w:b/>
          <w:sz w:val="24"/>
          <w:szCs w:val="24"/>
        </w:rPr>
        <w:tab/>
        <w:t>Zkratky</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rPr>
          <w:bCs/>
          <w:sz w:val="24"/>
        </w:rPr>
        <w:tab/>
        <w:t>Pro účely této přílohy a souvisejících šablon jsou použity tyto zkratky:</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rPr>
          <w:bCs/>
          <w:sz w:val="24"/>
        </w:rPr>
        <w:tab/>
        <w:t>CRR je zkratkou pro nařízení o kapitálových požadavcích („Capital Requirements Regulation“), kterým se rozumí nařízení (EU) č.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rPr>
          <w:bCs/>
          <w:sz w:val="24"/>
        </w:rPr>
        <w:tab/>
        <w:t>CRD je zkratkou pro směrnici o kapitálových požadavcích („Capital Requirements Directive“), kterou se rozumí směrnice 2013/36/EU;</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rPr>
          <w:bCs/>
          <w:sz w:val="24"/>
        </w:rPr>
        <w:tab/>
        <w:t>SFT je zkratkou pro transakci s financováním cenných papírů („Securities Financing Transaction“), kterou se rozumí „repo obchod, půjčka či výpůjčka cenných papírů nebo komodit nebo maržový obchod“, jak je uvedeno v čl. 4 odst. 1 bodu 139 nařízení (EU) č.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rPr>
          <w:bCs/>
          <w:sz w:val="24"/>
        </w:rPr>
        <w:tab/>
        <w:t>CRM je zkratkou pro snižování úvěrového rizika („Credit Risk Mitigation“);</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rPr>
          <w:bCs/>
          <w:sz w:val="24"/>
        </w:rPr>
        <w:tab/>
        <w:t>CSD je zkratkou pro centrální depozitář cenných papírů („Central Securities Depository“);</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rPr>
          <w:bCs/>
          <w:sz w:val="24"/>
        </w:rPr>
        <w:tab/>
        <w:t>QCCP je zkratkou pro způsobilou ústřední protistranu („Qualifying Central Counterparty“);</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rPr>
          <w:bCs/>
          <w:sz w:val="24"/>
        </w:rPr>
        <w:tab/>
        <w:t>PFE je zkratkou pro potenciální budoucí expozici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488619"/>
      <w:r>
        <w:rPr>
          <w:rFonts w:ascii="Times New Roman" w:hAnsi="Times New Roman"/>
          <w:b/>
          <w:sz w:val="24"/>
          <w:szCs w:val="24"/>
        </w:rPr>
        <w:t>1.4.</w:t>
      </w:r>
      <w:r>
        <w:rPr>
          <w:rFonts w:ascii="Times New Roman" w:hAnsi="Times New Roman"/>
          <w:b/>
          <w:sz w:val="24"/>
          <w:szCs w:val="24"/>
        </w:rPr>
        <w:tab/>
        <w:t>Konvence v oblasti znamének</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rPr>
          <w:bCs/>
          <w:sz w:val="24"/>
        </w:rPr>
        <w:tab/>
        <w:t>Všechny částky se vykazují jako kladná čísla.</w:t>
      </w:r>
      <w:bookmarkStart w:id="32" w:name="_Toc264033192"/>
      <w:bookmarkEnd w:id="32"/>
      <w:r>
        <w:rPr>
          <w:bCs/>
          <w:sz w:val="24"/>
        </w:rPr>
        <w:t xml:space="preserve"> S výjimkou:</w:t>
      </w:r>
    </w:p>
    <w:p w14:paraId="7B6D27CF" w14:textId="222C2E2D" w:rsidR="0058289F" w:rsidRPr="000B66BC" w:rsidRDefault="00A5392D" w:rsidP="007875E1">
      <w:pPr>
        <w:pStyle w:val="InstructionsText2"/>
        <w:numPr>
          <w:ilvl w:val="0"/>
          <w:numId w:val="25"/>
        </w:numPr>
        <w:rPr>
          <w:rFonts w:eastAsia="Times New Roman"/>
          <w:bCs/>
          <w:sz w:val="24"/>
        </w:rPr>
      </w:pPr>
      <w:r>
        <w:rPr>
          <w:bCs/>
          <w:sz w:val="24"/>
        </w:rPr>
        <w:t>položek, před jejichž označením je uvedeno záporné znaménko (–), přičemž se předpokládá, že u této položky nebude uvedeno žádné kladné číslo;</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buněk {LRCalc;0310;0010}, {LRCalc;0320;0010}, {LRCalc;0330;0010}, {LRCalc;0340;0010}, které mohou mít v extrémních případech zápornou hodnotu, jinak mají kladné hodnoty;</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buňky {LRCalc;0280;0010}, která může mít vzhledem k čl. 473a odst. 7 CRR kladné hodnoty, jinak má záporné hodnoty.</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1AA0CA91"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488620"/>
      <w:r>
        <w:rPr>
          <w:rFonts w:ascii="Times New Roman" w:hAnsi="Times New Roman"/>
          <w:b/>
          <w:sz w:val="24"/>
          <w:szCs w:val="24"/>
        </w:rPr>
        <w:lastRenderedPageBreak/>
        <w:t>ČÁST II</w:t>
      </w:r>
      <w:r w:rsidR="007875E1">
        <w:rPr>
          <w:rFonts w:ascii="Times New Roman" w:hAnsi="Times New Roman"/>
          <w:b/>
          <w:sz w:val="24"/>
          <w:szCs w:val="24"/>
        </w:rPr>
        <w:t>:</w:t>
      </w:r>
      <w:r>
        <w:rPr>
          <w:rFonts w:ascii="Times New Roman" w:hAnsi="Times New Roman"/>
          <w:b/>
          <w:sz w:val="24"/>
          <w:szCs w:val="24"/>
        </w:rPr>
        <w:t xml:space="preserve"> POKYNY K ŠABLONÁM</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58488621"/>
      <w:r>
        <w:rPr>
          <w:rFonts w:ascii="Times New Roman" w:hAnsi="Times New Roman"/>
          <w:b/>
          <w:sz w:val="24"/>
          <w:szCs w:val="24"/>
        </w:rPr>
        <w:t>1.</w:t>
      </w:r>
      <w:r>
        <w:rPr>
          <w:rFonts w:ascii="Times New Roman" w:hAnsi="Times New Roman"/>
          <w:b/>
          <w:sz w:val="24"/>
          <w:szCs w:val="24"/>
        </w:rPr>
        <w:tab/>
        <w:t>Vzorce pro výpočet pákového poměru</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Pákový poměr vychází z hodnoty kapitálu a z celkové míry expozice, které lze vypočítat pomocí buněk ze šablony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Pákový poměr – plně zavedená definice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Pákový poměr – přechodná definice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58488622"/>
      <w:bookmarkEnd w:id="39"/>
      <w:r>
        <w:rPr>
          <w:rFonts w:ascii="Times New Roman" w:hAnsi="Times New Roman"/>
          <w:b/>
          <w:sz w:val="24"/>
          <w:szCs w:val="24"/>
        </w:rPr>
        <w:t>2.</w:t>
      </w:r>
      <w:r>
        <w:rPr>
          <w:rFonts w:ascii="Times New Roman" w:hAnsi="Times New Roman"/>
          <w:b/>
          <w:sz w:val="24"/>
          <w:szCs w:val="24"/>
        </w:rPr>
        <w:tab/>
        <w:t>Hranice významnosti pro deriváty</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 cílem snížit zátěž související s vykazováním pro instituce s omezenými expozicemi v derivátech se při posuzování významnosti derivátových expozic ve vztahu k celkové expozici pákového poměru užívají následující míry. Instituce tyto míry vypočítají takto</w:t>
      </w:r>
      <w:bookmarkStart w:id="45" w:name="_Toc322533853"/>
      <w:bookmarkEnd w:id="43"/>
      <w:r>
        <w:rPr>
          <w:rFonts w:ascii="Times New Roman" w:hAnsi="Times New Roman"/>
          <w:sz w:val="24"/>
          <w:szCs w:val="24"/>
        </w:rPr>
        <w:t>:</w:t>
      </w:r>
    </w:p>
    <w:p w14:paraId="1388E099" w14:textId="493303A6"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rPr>
          <w:rFonts w:ascii="Times New Roman" w:hAnsi="Times New Roman"/>
          <w:sz w:val="24"/>
          <w:szCs w:val="24"/>
        </w:rPr>
        <w:tab/>
        <w:t xml:space="preserve">Podíl derivátů = </w:t>
      </w:r>
      <m:oMath>
        <m:f>
          <m:fPr>
            <m:ctrlPr>
              <w:rPr>
                <w:rFonts w:ascii="Cambria Math" w:hAnsi="Times New Roman"/>
                <w:sz w:val="24"/>
                <w:szCs w:val="24"/>
              </w:rPr>
            </m:ctrlPr>
          </m:fPr>
          <m:num>
            <m:r>
              <m:rPr>
                <m:sty m:val="p"/>
              </m:rPr>
              <w:rPr>
                <w:rFonts w:ascii="Cambria Math" w:hAnsi="Times New Roman"/>
                <w:sz w:val="24"/>
                <w:szCs w:val="24"/>
              </w:rPr>
              <m:t>M</m:t>
            </m:r>
            <m:r>
              <m:rPr>
                <m:sty m:val="p"/>
              </m:rPr>
              <w:rPr>
                <w:rFonts w:ascii="Cambria Math" w:hAnsi="Times New Roman"/>
                <w:sz w:val="24"/>
                <w:szCs w:val="24"/>
              </w:rPr>
              <m:t>í</m:t>
            </m:r>
            <m:r>
              <m:rPr>
                <m:sty m:val="p"/>
              </m:rPr>
              <w:rPr>
                <w:rFonts w:ascii="Cambria Math" w:hAnsi="Times New Roman"/>
                <w:sz w:val="24"/>
                <w:szCs w:val="24"/>
              </w:rPr>
              <m:t>ra deriv</m:t>
            </m:r>
            <m:r>
              <m:rPr>
                <m:sty m:val="p"/>
              </m:rPr>
              <w:rPr>
                <w:rFonts w:ascii="Cambria Math" w:hAnsi="Times New Roman"/>
                <w:sz w:val="24"/>
                <w:szCs w:val="24"/>
              </w:rPr>
              <m:t>á</m:t>
            </m:r>
            <m:r>
              <m:rPr>
                <m:sty m:val="p"/>
              </m:rPr>
              <w:rPr>
                <w:rFonts w:ascii="Cambria Math" w:hAnsi="Times New Roman"/>
                <w:sz w:val="24"/>
                <w:szCs w:val="24"/>
              </w:rPr>
              <m:t>tov</m:t>
            </m:r>
            <m:r>
              <m:rPr>
                <m:sty m:val="p"/>
              </m:rPr>
              <w:rPr>
                <w:rFonts w:ascii="Cambria Math" w:hAnsi="Times New Roman"/>
                <w:sz w:val="24"/>
                <w:szCs w:val="24"/>
              </w:rPr>
              <m:t>é</m:t>
            </m:r>
            <m:r>
              <m:rPr>
                <m:sty m:val="p"/>
              </m:rPr>
              <w:rPr>
                <w:rFonts w:ascii="Cambria Math" w:hAnsi="Times New Roman"/>
                <w:sz w:val="24"/>
                <w:szCs w:val="24"/>
              </w:rPr>
              <m:t xml:space="preserve"> expozice</m:t>
            </m:r>
          </m:num>
          <m:den>
            <m:r>
              <m:rPr>
                <m:sty m:val="p"/>
              </m:rPr>
              <w:rPr>
                <w:rFonts w:ascii="Cambria Math" w:hAnsi="Times New Roman"/>
                <w:sz w:val="24"/>
                <w:szCs w:val="24"/>
              </w:rPr>
              <m:t>Celkov</m:t>
            </m:r>
            <m:r>
              <m:rPr>
                <m:sty m:val="p"/>
              </m:rPr>
              <w:rPr>
                <w:rFonts w:ascii="Cambria Math" w:hAnsi="Times New Roman"/>
                <w:sz w:val="24"/>
                <w:szCs w:val="24"/>
              </w:rPr>
              <m:t>á</m:t>
            </m:r>
            <m:r>
              <m:rPr>
                <m:sty m:val="p"/>
              </m:rPr>
              <w:rPr>
                <w:rFonts w:ascii="Cambria Math" w:hAnsi="Times New Roman"/>
                <w:sz w:val="24"/>
                <w:szCs w:val="24"/>
              </w:rPr>
              <m:t xml:space="preserve"> m</m:t>
            </m:r>
            <m:r>
              <m:rPr>
                <m:sty m:val="p"/>
              </m:rPr>
              <w:rPr>
                <w:rFonts w:ascii="Cambria Math" w:hAnsi="Times New Roman"/>
                <w:sz w:val="24"/>
                <w:szCs w:val="24"/>
              </w:rPr>
              <m:t>í</m:t>
            </m:r>
            <m:r>
              <m:rPr>
                <m:sty m:val="p"/>
              </m:rPr>
              <w:rPr>
                <w:rFonts w:ascii="Cambria Math" w:hAnsi="Times New Roman"/>
                <w:sz w:val="24"/>
                <w:szCs w:val="24"/>
              </w:rPr>
              <m:t>ra expozice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Kde míra derivátové expozice je rovna: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Kde celková míra expozice je rovna: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Celková pomyslná hodnota, k níž deriváty odkazují = {LR1; 0010;0070}. Tuto buňku instituce vyplňují vždy.</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Objem úvěrových derivátů = {LR1;0020;0070} + {LR1;0050;0070}. Tyto buňky instituce vyplňují vždy.</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t>Instituce mají povinnost vyplnit buňky uvedené v bodě 13, je-li splněna jedna z následujících podmínek:</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podíl derivátů uvedený v bodě 5 přesahuje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podíl derivátů uvedený v bodě 5 přesahuje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Použijí se kritéria pro zahájení a ukončení vykazování podle článku 4 tohoto nařízení s výjimkou písmene b), kdy instituce zahájí vykazování informací od referenčního data následujícího sledovaného období, pokud příslušnou prahovou hodnotu překročily k referenčnímu datu jednoho sledovaného období.</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Instituce, u nichž celková pomyslná hodnota, k níž deriváty odkazují, dle definice v bodě 8 přesahuje 10 miliard EUR, musí vyplnit buňky uvedené v bodě 13 i v případě, že podíl derivátů nesplňuje podmínky uvedené v bodě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ab/>
        <w:t>Kritéria pro zahájení vykazování stanovená v článku 4</w:t>
      </w:r>
      <w:r>
        <w:rPr>
          <w:sz w:val="24"/>
          <w:szCs w:val="24"/>
        </w:rPr>
        <w:t xml:space="preserve"> </w:t>
      </w:r>
      <w:r>
        <w:rPr>
          <w:rFonts w:ascii="Times New Roman" w:hAnsi="Times New Roman"/>
          <w:sz w:val="24"/>
          <w:szCs w:val="24"/>
        </w:rPr>
        <w:t>tohoto nařízení se pro bod 4 nepoužijí. Instituce zahájí vykazování informací počínaje referenčním datem následujícího sledovaného období, pokud příslušnou prahovou hodnotu překročily k referenčnímu datu jednoho sledovaného období.</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t>Instituce mají povinnost vyplnit buňky uvedené v bodě 14, je-li splněna jedna z následujících podmínek:</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objem úvěrových derivátů uvedený v bodě 9 přesahuje 300 milionů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objem úvěrových derivátů uvedený v bodě 9 přesahuje 500 milionů EUR.</w:t>
      </w:r>
    </w:p>
    <w:p w14:paraId="3B88084F" w14:textId="34241752" w:rsidR="00F4754B" w:rsidRPr="000B66BC" w:rsidRDefault="00242493" w:rsidP="000B66BC">
      <w:pPr>
        <w:pStyle w:val="InstructionsText2"/>
        <w:numPr>
          <w:ilvl w:val="0"/>
          <w:numId w:val="0"/>
        </w:numPr>
        <w:ind w:left="709" w:firstLine="11"/>
        <w:rPr>
          <w:sz w:val="24"/>
        </w:rPr>
      </w:pPr>
      <w:r>
        <w:rPr>
          <w:bCs/>
          <w:sz w:val="24"/>
        </w:rPr>
        <w:t>Použijí se kritéria pro zahájení a ukončení vykazování podle článku 4 tohoto nařízení s výjimkou písmene b), kdy instituce zahájí vykazování informací od referenčního data následujícího sledovaného období, pokud příslušnou prahovou hodnotu překročily k referenčnímu datu jednoho sledovaného období.</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V souladu s body 10 a 11 vyplňují instituce tyto buňky: {LR1;0010;0010}, {LR1;0010;0020}, {LR1;0020;0010}, {LR1;0020;0020}, {LR1;0030;0070}, {LR1;0040;0070}, {LR1;0050;0010}, {LR1;0050;0020}, {LR1;0060;0010}, {LR1;0060;0020} a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t>V souladu s bodem 12 vyplňují instituce tyto buňky: {LR1;0020;0075}, {LR1;0050;0075} a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322687879"/>
      <w:bookmarkStart w:id="50" w:name="_Toc315961853"/>
      <w:bookmarkStart w:id="51" w:name="_Toc58488623"/>
      <w:bookmarkEnd w:id="46"/>
      <w:r>
        <w:rPr>
          <w:rFonts w:ascii="Times New Roman" w:hAnsi="Times New Roman"/>
          <w:b/>
          <w:sz w:val="24"/>
          <w:szCs w:val="24"/>
        </w:rPr>
        <w:t>3.</w:t>
      </w:r>
      <w:r>
        <w:rPr>
          <w:rFonts w:ascii="Times New Roman" w:hAnsi="Times New Roman"/>
          <w:b/>
          <w:sz w:val="24"/>
          <w:szCs w:val="24"/>
        </w:rPr>
        <w:tab/>
      </w:r>
      <w:bookmarkStart w:id="52" w:name="_Toc351048506"/>
      <w:r>
        <w:rPr>
          <w:rFonts w:ascii="Times New Roman" w:hAnsi="Times New Roman"/>
          <w:b/>
          <w:sz w:val="24"/>
          <w:szCs w:val="24"/>
        </w:rPr>
        <w:t>C 47.00 – Výpočet pákového poměru</w:t>
      </w:r>
      <w:bookmarkEnd w:id="52"/>
      <w:bookmarkEnd w:id="47"/>
      <w:r>
        <w:rPr>
          <w:rFonts w:ascii="Times New Roman" w:hAnsi="Times New Roman"/>
          <w:b/>
          <w:sz w:val="24"/>
          <w:szCs w:val="24"/>
        </w:rPr>
        <w:t xml:space="preserve"> (LRCalc)</w:t>
      </w:r>
      <w:bookmarkEnd w:id="48"/>
      <w:bookmarkEnd w:id="51"/>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t xml:space="preserve">V této šabloně jsou sdruženy údaje potřebné pro výpočet pákového poměru, jak je definován v části sedmé CRR.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t>Instituce vykazují pákový poměr čtvrtletně. V každém čtvrtletí se hodnotou „k referenčnímu datu sledovaného období“ rozumí hodnota k poslednímu kalendářnímu dni třetího měsíce příslušného čtvrtletí.</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t>Instituce vykazují položky v oddíle týkajícím se hodnot expozic s kladným znaménkem v souladu s konvencí v oblasti znamének v části I bodě 9 této přílohy (s výjimkou buněk {LRCalc;0270;0010} a {LRCalc;0280;0010}), jako kdyby položky se záporným znaménkem (například vynětí/odpočty) podle konvence v oblasti znamének v části I bodě 9 této přílohy neplatily.</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Jakákoli částka, která zvyšuje kapitál nebo expozici pákového poměru, se vykazuje jako kladné číslo. Naopak jakákoli částka, která celkový kapitál nebo expozici pákového poměru snižuje, se vykazuje jako číslo záporné. Je-li před označením položky uvedeno záporné znaménko (–), předpokládá se, že u této položky nebude uvedeno žádné kladné číslo.</w:t>
      </w:r>
    </w:p>
    <w:p w14:paraId="69E62B50" w14:textId="029D4159" w:rsidR="00EC3422" w:rsidRPr="000B66BC" w:rsidRDefault="006A4991" w:rsidP="009339D1">
      <w:pPr>
        <w:pStyle w:val="InstructionsText2"/>
        <w:numPr>
          <w:ilvl w:val="0"/>
          <w:numId w:val="0"/>
        </w:numPr>
        <w:ind w:left="720" w:hanging="360"/>
        <w:rPr>
          <w:sz w:val="24"/>
        </w:rPr>
      </w:pPr>
      <w:r>
        <w:rPr>
          <w:sz w:val="24"/>
        </w:rPr>
        <w:t>19.  Pokud by určitá částka mohla splňovat podmínky pro odpočet z více důvodů, odečte se tato částka od expozice pouze v jednom z řádků šablony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Odkazy na právní předpisy a pokyny</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lastRenderedPageBreak/>
              <w:t>Řádek a sloupec</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Hodnoty expozice</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Transakce SFT: hodnota expozice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Čl. 429b</w:t>
            </w:r>
            <w:r>
              <w:rPr>
                <w:rFonts w:ascii="Times New Roman" w:hAnsi="Times New Roman"/>
                <w:sz w:val="24"/>
                <w:szCs w:val="24"/>
              </w:rPr>
              <w:t xml:space="preserve"> </w:t>
            </w:r>
            <w:r>
              <w:rPr>
                <w:rFonts w:ascii="Times New Roman" w:hAnsi="Times New Roman"/>
                <w:bCs/>
                <w:sz w:val="24"/>
                <w:szCs w:val="24"/>
              </w:rPr>
              <w:t>odst. 1 písm. b) a odst. 4 a 5</w:t>
            </w:r>
            <w:r>
              <w:rPr>
                <w:rFonts w:ascii="Times New Roman" w:hAnsi="Times New Roman"/>
                <w:sz w:val="24"/>
                <w:szCs w:val="24"/>
              </w:rPr>
              <w:t xml:space="preserve">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Expozice transakcí SFT vypočtená podle čl. 429b odst. 1 písm. b) a odst. 4 a 5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Při vyplňování této buňky instituce zohlední transakce podle čl. 429e odst. 7 písm. c)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do této buňky nezahrnou obdržené peněžní prostředky nebo jakékoli zajištění poskytnuté protistraně prostřednictvím výše uvedených transakcí, které je ponecháno v rozvaze (tj. nejsou splněna účetní kritéria pro odúčtování). Takové položky instituce uvedou v buňce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Transakce SFT: navýšení pro úvěrové riziko protistrany</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429e odst. 1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Navýšení pro úvěrové riziko protistrany u transakcí SFT včetně podrozvahových, stanovené v souladu s čl. 429e odst. 2 nebo případně 3 a odst. 4 CRR.</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Při vyplňování této buňky instituce zohlední transakce podle čl. 429e odst. 7 písm. c)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CRR. Takové položky instituce uvedou v buňce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Odchylka pro transakce SFT: navýšení podle čl. 429e odst. 5 a článku 222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429e odst. 5 a článek 222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transakcí SFT včetně podrozvahových, vypočítaná v souladu s článkem 222 CRR za podmínky uplatnění příslušné rizikové váhy se spodní hranicí 20 %.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Při vyplňování této buňky instituce zohlední transakce podle čl. 429e odst. 7 písm. c)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 této buňce nezohlední transakce, u kterých je část hodnoty expozice pákového poměru připadající na navýšení stanovena metodou podle čl. 429e odst. 1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Úvěrové riziko protistrany u transakcí SFT, v nichž instituce vystupuje jako zmocněnec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429e</w:t>
            </w:r>
            <w:r>
              <w:rPr>
                <w:rFonts w:ascii="Times New Roman" w:hAnsi="Times New Roman"/>
                <w:sz w:val="24"/>
                <w:szCs w:val="24"/>
              </w:rPr>
              <w:t xml:space="preserve"> </w:t>
            </w:r>
            <w:r>
              <w:rPr>
                <w:rFonts w:ascii="Times New Roman" w:hAnsi="Times New Roman"/>
                <w:bCs/>
                <w:sz w:val="24"/>
                <w:szCs w:val="24"/>
              </w:rPr>
              <w:t>odst. 7 písm. a) a odst. 2 a 3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transakcí SFT, v nichž instituce vystupuje jako zmocněnec a poskytuje zákazníkovi nebo protistraně zabezpečení či záruku, které jsou omezeny na rozdíl mezi hodnotou cenných papírů nebo hotovosti, jež zapůjčil zákazník, a hodnotou kolaterálu, který poskytl dlužník, v souladu s čl. 429e odst. 7 písm. a) CRR, sestává pouze z navýšení určeného v souladu s čl. 429e odst. 2, případně 3 CRR.</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Při vyplňování této buňky instituce nezohlední transakce podle čl. 429e odst. 7 písm. c). Takové položky instituce uvedou v buňkách {0010;0010} a {0020;0010}, příp. {0010;0010} a {0030;0010}.</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Vyňaté expozice vůči ústřední protistraně u transakcí SFT na účet klienta</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a čl. 306 odst. 1 písm. c)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Vyňaté obchodní expozice vůči ústřední protistraně u transakcí SFT na účet klienta za předpokladu, že tyto položky splňují podmínky stanovené v čl. 306 odst. 1 písm. c)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vyňatou expozicí vůči ústřední protistraně cenný papír, v této buňce se nezohlední, ledaže se jedná o opětovně zastavený cenný papír, který je podle použitelného účetního rámce (tj. v souladu s čl. 111 odst. 1 první větou CRR) zohledňován v plné výši.</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zahrnou částku uvedenou v této buňce také do buněk {0010;0010}, {0020;0010} a {0030;0010}, jako kdyby vynětí neplatilo, a jedná-li se o opětovně zastavený cenný papír, který je podle použitelného účetního rámce zohledňován v plné výši, dodatečně do buňky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Složila-li instituce pro vyňatou část transakce SFT, která se vykazuje v buňce {0190;0010}, a nikoli v buňce {0020;0010} ani v buňce {0030;0010}, počáteční marži, může ji instituce vykázat v této buňce.</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lastRenderedPageBreak/>
              <w:t xml:space="preserve">Deriváty: příspěvek reprodukčních nákladů podle SA-CCR (bez dopadu kolaterálu na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1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Reprodukční náklady podle článku 275 CRR bez dopadu kolaterálu na NICA a bez dopadu případné variační marže. Pro účely této buňky nepoužijí instituce odchylky podle čl. 429c odst. 3 a 4 a čl. 429a odst. 1 písm. g) CRR. Vykazuje se částka při použití koeficientu alfa 1,4, jak je uvedeno v čl. 274 odst. 2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Jak stanoví čl. 429c odst. 1 CRR, instituce mohou zohlednit dopady smluv o novaci a jiných dohod o započtení v souladu s článkem 295 CRR. Křížové započtení se neuplatňuje. Instituce však mohou provádět započtení v rámci kategorie produktů uvedené v čl. 272 bodě 25 písm. c) CRR a u úvěrových derivátů, pokud se na ně vztahují dohody o křížovém započtení uvedené v čl. 295 písm. c)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zahrnou všechny úvěrové deriváty, nikoli jen úvěrové deriváty zařazené do obchodního portfolia.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Instituce v této buňce nezohlední smlouvy oceňované pomocí zjednodušeného standardizovaného přístupu nebo metody původní expozice.</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uznání kolaterálu na NICA u transakcí na účet klienta, jejichž clearing provádí způsobilá ústřední protistrana (SA-CCR – reprodukční náklady)</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4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Uplatnění odchylky podle čl. 429c odst. 4 CRR při výpočtu reprodukčních nákladů u derivátových smluv s klienty, pokud clearing těchto smluv provádí způsobilá ústřední protistrana. Vykazuje se částka při použití koeficientu alfa 1,4, jak je uvedeno v čl. 274 odst. 2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zahrnou částku uvedenou v této buňce rovněž do buňky {0061;0010}, jako kdyby odchylka neplatila.</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způsobilé obdržené hotovostní variační marže započtené proti tržní hodnotě derivátů (SA-CCR – reprodukční náklady)</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3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Variační marže obdržená v hotovosti od protistrany, kterou je možné započíst proti části derivátové expozice, jež se týká reprodukčních nákladů, v souladu s čl. 429c odst. 3 CRR. Vykazuje se částka při použití koeficientu alfa 1,4, jak je uvedeno v čl. 274 odst. 2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Hotovostní variační marže obdržená na vyňatou část expozice související s ústřední protistranou podle čl. 429a odst. 1 písm. g) CRR se nevykazuje.</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{0061;0010}, jako kdyby se odpočet hotovostní variační marže neuplatnil.</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vyňatých obchodních expozic vůči ústřední protistraně u transakcí na účet klienta (SA-CCR – reprodukční náklady)</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Podíl reprodukčních nákladů u vyňatých obchodních expozic vůči způsobilé ústřední protistraně, jež plynou z derivátových transakcí na účet klienta, za předpokladu, že tyto položky splňují podmínky stanovené v čl. 306 odst. 1 písm. c) CRR. Tato částka se vykazuje včetně hotovostní variační marže obdržené na tuto složku transakce. Vykazuje se částka při použití koeficientu alfa 1,4, jak je uvedeno v čl. 274 odst. 2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{0061;0010}, jako kdyby vynětí neplatilo.</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Deriváty: příspěvek potenciální budoucí expozice podle SA-CCR (multiplikátor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5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Potenciální budoucí expozice podle článku 278 CRR za předpokladu, že se použije multiplikátor ve výši 1, tj. bez uplatnění odchylky týkající se smluv s klienty, pokud clearing těchto smluv provádí způsobilá ústřední protistrana podle čl. 429c odst. 5 CRR. Vykazuje se částka při použití koeficientu alfa 1,4, jak je uvedeno v čl. 274 odst. 2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nižšího multiplikátoru u transakcí na účet klienta, jejichž clearing provádí způsobilá ústřední protistrana, na příspěvek potenciální budoucí expozice (SA-CCR – potenciální budoucí expozice)</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5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Uplatnění odchylky podle čl. 429c odst. 5 CRR při výpočtu potenciální budoucí expozice u derivátových smluv s klienty, pokud clearing těchto smluv provádí způsobilá ústřední protistrana. Vykazuje se částka při použití koeficientu alfa 1,4, jak je uvedeno v čl. 274 odst. 2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{0091;0010}, jako kdyby odchylka neplatila.</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Dopad vyňatých obchodních expozic vůči ústřední protistraně u transakcí na účet klienta (přístup podle SA-CCR – potenciální budoucí expozice)</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Potenciální budoucí expozice vyňatých obchodních expozic vůči způsobilé ústřední protistraně, jež plynou z derivátových transakcí na účet klienta, za předpokladu, že tyto položky splňují podmínky stanovené v čl. 306 odst. 1 </w:t>
            </w:r>
            <w:r>
              <w:rPr>
                <w:rFonts w:ascii="Times New Roman" w:hAnsi="Times New Roman"/>
                <w:bCs/>
                <w:sz w:val="24"/>
                <w:szCs w:val="24"/>
              </w:rPr>
              <w:lastRenderedPageBreak/>
              <w:t>písm. c) CRR. Vykazuje se částka při použití koeficientu alfa 1,4, jak je uvedeno v čl. 274 odst. 2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{0091;0010}, jako kdyby vynětí neplatilo.</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Odchylka pro deriváty: příspěvek reprodukčních nákladů na základě zjednodušeného standardizovaného přístupu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6 a článek 281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V této buňce se uvádí míra expozice smluv uvedených v příloze II bodech 1 a 2 CRR vypočtená podle zjednodušeného standardizovaného přístupu uvedeného v článku 281 CRR. Vykazuje se částka při použití koeficientu alfa 1,4, jak je uvedeno v čl. 274 odst. 2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které zjednodušený standardizovaný přístup používají, nesnižují v souladu s čl. 429c odst. 6 CRR míru expozice o přijatou marži. Nepoužije se tudíž výjimka pro derivátové smlouvy s klienty, pokud clearing těchto smluv provádí způsobilá ústřední protistrana, podle čl. 429c odst. 4 CRR.</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 této buňce nezohledňují instituce smlouvy oceňované pomocí SA-CRR nebo metody původní expozice.</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vyňatých obchodních expozic vůči ústřední protistraně u transakcí na účet klienta (zjednodušený standardizovaný přístup – reprodukční náklady)</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Podíl reprodukčních nákladů u vyňatých obchodních expozic vůči způsobilé ústřední protistraně, jež plynou z derivátových transakcí na účet klienta, za předpokladu, že tyto položky splňují podmínky stanovené v čl. 306 odst. 1 písm. c) CRR. Tato částka se vykazuje včetně hotovostní variační marže obdržené na tuto složku transakce. Vykazuje se částka při použití koeficientu alfa 1,4, jak je uvedeno v čl. 274 odst. 2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{0101;0010}, jako kdyby vynětí neplatilo.</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Odchylka pro deriváty: příspěvek potenciální budoucí expozice podle zjednodušeného standardizovaného přístupu (multiplikátor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Čl. 281 odst. 2 písm. f) a čl. 429c odst. 6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Potenciální budoucí expozice v souladu se zjednodušeným standardizovaným přístupem stanoveným v článku 281 CRR za předpokladu, že se použije multiplikátor ve výši 1. Vykazuje se částka při použití koeficientu alfa 1,4, jak je uvedeno v čl. 274 odst. 2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lastRenderedPageBreak/>
              <w:t>Instituce, které zjednodušený standardizovaný přístup používají, nesnižují v souladu s čl. 429c odst. 6 CRR míru expozice o přijatou marži.</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Dopad vyňatých obchodních expozic vůči ústřední protistraně u transakcí na účet klienta (zjednodušený standardizovaný přístup – potenciální budoucí expozice)</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Potenciální budoucí expozice vyňatých obchodních expozic vůči způsobilé ústřední protistraně, jež plynou z derivátových transakcí na účet klienta, za předpokladu, že tyto položky splňují podmínky stanovené v čl. 306 odst. 1 písm. c) CRR. Vykazuje se částka při použití koeficientu alfa 1,4, jak je uvedeno v čl. 274 odst. 2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zahrnou částku uvedenou v této buňce rovněž do buňky {0103;0010}, jako kdyby vynětí neplatilo.</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Odchylka pro deriváty: metoda původní expozice</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6 a článek 282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 této buňce se uvádí míra expozice smluv uvedených v příloze II bodech 1 a 2 CRR vypočtená podle metody původní expozice uvedené v článku 282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které metodu původní expozice používají, nesnižují v souladu s čl. 429c odst. 6 CRR celkovou míru expozice o přijatou marži.</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které metodu původní expozice nepoužívají, tuto buňku nevyplňují.</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Instituce v této buňce nezohlední smlouvy oceňované pomocí SA-CCR nebo zjednodušeného standardizovaného přístupu.</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Vyňaté obchodní expozice vůči ústřední protistraně u transakcí na účet klienta (metoda původní expozice)</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Vyňaté obchodní expozice vůči ústřední protistraně u transakcí na účet klienta při použití metody původní expozice uvedené v článku 282 CRR, za předpokladu, že tyto položky splňují podmínky stanovené v čl. 306 odst. 1 písm. c)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zahrnou částku uvedenou v této buňce rovněž do buňky {0110;0010}, jako kdyby vynětí neplatilo.</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Limitovaná pomyslná hodnota prodaných úvěrových derivátů</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429d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Instituce stanoví limitovanou pomyslnou hodnotu prodaných úvěrových derivátů definovaných v čl. 429d odst. 1 v souladu s článkem 429d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Způsobilé zakoupené úvěrové deriváty započtené proti prodaným úvěrovým derivátům</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429d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Limitovaná pomyslná hodnota zakoupených úvěrových derivátů (tj. kupuje-li instituce od protistrany zajištění úvěrového rizika) se stejným referenčním jménem jako prodané úvěrové deriváty dané instituce, jestliže zbývající doba splatnosti zakoupeného zajištění je nejméně rovna zbývající době splatnosti prodaného zajištění. Tato hodnota tedy nemůže být vyšší než hodnota uvedená pro jednotlivá referenční jména v buňce {0130;0010}.</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Podrozvahové položky s úvěrovým konverzním faktorem 10 % v souladu s článkem 429f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429f, čl. 111 odst. 1 písm. d) a čl. 166 odst. 9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podle článku 429f a čl. 111 odst. 1 písm. d) CRR u podrozvahových položek s nízkým rizikem</w:t>
            </w:r>
            <w:r>
              <w:rPr>
                <w:rFonts w:ascii="Times New Roman" w:hAnsi="Times New Roman"/>
                <w:sz w:val="24"/>
                <w:szCs w:val="24"/>
              </w:rPr>
              <w:t xml:space="preserve"> </w:t>
            </w:r>
            <w:r>
              <w:rPr>
                <w:rFonts w:ascii="Times New Roman" w:hAnsi="Times New Roman"/>
                <w:iCs/>
                <w:sz w:val="24"/>
                <w:szCs w:val="24"/>
              </w:rPr>
              <w:t>uvedených v příloze I bodě 4 písm. a) až c) CRR, kterým by byl přiřazen úvěrový konverzní faktor 0 %</w:t>
            </w:r>
            <w:r>
              <w:rPr>
                <w:rFonts w:ascii="Times New Roman" w:hAnsi="Times New Roman"/>
                <w:bCs/>
                <w:sz w:val="24"/>
                <w:szCs w:val="24"/>
              </w:rPr>
              <w:t xml:space="preserve"> (pozn.: hodnota expozice v tomto případě činí 10 % nominální hodnoty). Jedná se o přísliby</w:t>
            </w:r>
            <w:r>
              <w:rPr>
                <w:rFonts w:ascii="Times New Roman" w:hAnsi="Times New Roman"/>
                <w:sz w:val="24"/>
                <w:szCs w:val="24"/>
              </w:rPr>
              <w:t xml:space="preserve">, </w:t>
            </w:r>
            <w:r>
              <w:rPr>
                <w:rFonts w:ascii="Times New Roman" w:hAnsi="Times New Roman"/>
                <w:iCs/>
                <w:sz w:val="24"/>
                <w:szCs w:val="24"/>
              </w:rPr>
              <w:t>které instituce může kdykoli bezpodmínečně a bez výpovědi zrušit („bezpodmínečně zrušitelné“)</w:t>
            </w:r>
            <w:r>
              <w:rPr>
                <w:rFonts w:ascii="Times New Roman" w:hAnsi="Times New Roman"/>
                <w:bCs/>
                <w:sz w:val="24"/>
                <w:szCs w:val="24"/>
              </w:rPr>
              <w:t>, nebo které umožňují automatické zrušení z důvodu zhoršení úvěruschopnosti dlužníka.</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Pozn.: nominální hodnota se nesnižuje o specifické úpravy o úvěrové riziko.</w:t>
            </w:r>
            <w:r>
              <w:rPr>
                <w:sz w:val="24"/>
                <w:szCs w:val="24"/>
              </w:rPr>
              <w:t xml:space="preserve"> </w:t>
            </w:r>
            <w:r>
              <w:rPr>
                <w:rFonts w:ascii="Times New Roman" w:hAnsi="Times New Roman"/>
                <w:bCs/>
                <w:sz w:val="24"/>
                <w:szCs w:val="24"/>
              </w:rPr>
              <w:t>Jak je uvedeno v čl. 429f odst. 2, instituce mohou místo toho snížit částku ekvivalentní úvěrové expozici podrozvahové položky o odpovídající částku specifických úprav o úvěrové riziko. Na tento výpočet se vztahuje minimální nulová hodnota.</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Pokud se některý příslib vztahuje k prodloužení jiného příslibu, použije se v souladu s čl. 166 odst. 9 CRR nižší z obou konverzních faktorů spojených s jednotlivými přísliby.</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V souladu s článkem 429f CRR instituce v této buňce nezohlední smlouvy uvedené v příloze II CRR, úvěrové deriváty, transakce SFT a pozice uvedené v článku 429d.</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Podrozvahové položky s úvěrovým konverzním faktorem 20 % v souladu s článkem 429f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429f, čl. 111 odst. 1 písm. c) a čl. 166 odst. 9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 xml:space="preserve">Hodnota expozice podle článku 429f a čl. 111 odst. 1 písm. c) CRR u podrozvahových položek se středně nízkým rizikem uvedených v příloze I bodě 3 písm. a) a b) CRR, kterým by byl přiřazen úvěrový konverzní faktor </w:t>
            </w:r>
            <w:r>
              <w:rPr>
                <w:rFonts w:ascii="Times New Roman" w:hAnsi="Times New Roman"/>
                <w:bCs/>
                <w:sz w:val="24"/>
                <w:szCs w:val="24"/>
              </w:rPr>
              <w:lastRenderedPageBreak/>
              <w:t>20 % (pozn.: hodnota expozice v tomto případě činí 20 % nominální hodnoty).</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Pozn.: nominální hodnota se nesnižuje o specifické úpravy o úvěrové riziko. Jak je uvedeno v čl. 429f odst. 2, instituce mohou místo toho snížit částku ekvivalentní úvěrové expozici podrozvahové položky o odpovídající částku specifických úprav o úvěrové riziko. Na tento výpočet se vztahuje minimální nulová hodnota.</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Pokud se některý příslib vztahuje k prodloužení jiného příslibu, použije se v souladu s čl. 166 odst. 9 CRR nižší z obou konverzních faktorů spojených s jednotlivými přísliby.</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 souladu s článkem 429f CRR instituce v této buňce nezohlední smlouvy uvedené v příloze II CRR, úvěrové deriváty, transakce SFT a pozice uvedené v článku 429d.</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Podrozvahové položky s úvěrovým konverzním faktorem 50 % v souladu s článkem 429f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429f, čl. 111 odst. 1 písm. b) a čl. 166 odst. 9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podle článku 429f a čl. 111 odst. 1 písm. b) CRR u podrozvahových položek se středním rizikem uvedených v příloze I bodě 2 písm. a) a b) CRR, kterým by byl podle definice standardizovaného přístupu k úvěrovému riziku přiřazen úvěrový konverzní faktor 50 % (pozn.: hodnota expozice v tomto případě činí 50 % nominální hodnoty).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Pozn.: nominální hodnota se nesnižuje o specifické úpravy o úvěrové riziko. Jak je uvedeno v čl. 429f odst. 2, instituce mohou místo toho snížit částku ekvivalentní úvěrové expozici podrozvahové položky o odpovídající částku specifických úprav o úvěrové riziko. Na tento výpočet se vztahuje minimální nulová hodnota.</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Tato buňka zahrnuje likviditní přísliby a jiné přísliby související se sekuritizací. Úvěrový konverzní faktor pro všechny likviditní přísliby činí v souladu s článkem 255 CRR 50 % bez ohledu na jejich splatnost.</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Pokud se některý příslib vztahuje k prodloužení jiného příslibu, použije se v souladu s čl. 166 odst. 9 CRR nižší z obou konverzních faktorů spojených s jednotlivými přísliby.</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 souladu s článkem 429f CRR instituce v této buňce nezohlední smlouvy uvedené v příloze II CRR, úvěrové deriváty, transakce SFT a pozice uvedené v článku 429d.</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Podrozvahové položky s úvěrovým konverzním faktorem 100 % v souladu s článkem 429f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429f, čl. 111 odst. 1 písm. a) a čl. 166 odst. 9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Hodnota expozice podle článku 429f a čl. 111 odst. 1 písm. a) CRR u podrozvahových položek s vysokým rizikem uvedených v příloze I bodě 1 písm. a) až k) CRR, kterým by byl přiřazen úvěrový konverzní faktor 100 % (pozn.: hodnota expozice v tomto případě činí 100 % nominální hodnoty).</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Pozn.: nominální hodnota se nesnižuje o specifické úpravy o úvěrové riziko. Jak je uvedeno v čl. 429f odst. 2, instituce mohou místo toho snížit částku ekvivalentní úvěrové expozici podrozvahové položky o odpovídající částku specifických úprav o úvěrové riziko. Na tento výpočet se vztahuje minimální nulová hodnota.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Tato buňka zahrnuje likviditní přísliby a jiné přísliby související se sekuritizací.</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Pokud se některý příslib vztahuje k prodloužení jiného příslibu, použije se v souladu s čl. 166 odst. 9 CRR nižší z obou konverzních faktorů spojených s jednotlivými přísliby.</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V souladu s článkem 429f CRR instituce v této buňce nezohlední smlouvy uvedené v příloze II CRR, úvěrové deriváty, transakce SFT a pozice uvedené v článku 429d.</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Obecné úpravy o úvěrové riziko u podrozvahových položek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 429 odst. 4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Příslušný objem obecných úprav o úvěrové riziko u podrozvahových položek podle čl. 429 odst. 4 písm. d), který instituce odečtou v souladu s čl. 429 odst. 4 posledním pododstavcem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Vykázaný objem se nezohlední jako odpočet ve výpočtu podrozvahových položek uvedených v řádcích {0150;0010} až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Nákupy a prodeje s obvyklým termínem dodání čekající na vypořádání: účetní hodnota v rámci účtování k datu obchodu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 429g odst. 1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Součet:</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hotovosti související s nákupy s obvyklým termínem dodání, které zůstávají v rozvaze do dne vypořádání jako aktiva podle čl. 429 odst. 4 písm. a)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hotovostních pohledávek souvisejících s prodeji s obvyklým termínem dodání, které zůstávají v rozvaze do dne vypořádání jako aktiva podle čl. 429 odst. 4 písm. a) CRR. Jedná se o částku po účinku vzájemných kompenzací mezi hotovostními pohledávkami z prodejů s obvyklým termínem dodání čekajících na vypořádání a hotovostními </w:t>
            </w:r>
            <w:r>
              <w:rPr>
                <w:rFonts w:ascii="Times New Roman" w:hAnsi="Times New Roman"/>
                <w:bCs/>
                <w:color w:val="auto"/>
                <w:sz w:val="24"/>
                <w:szCs w:val="24"/>
              </w:rPr>
              <w:lastRenderedPageBreak/>
              <w:t>závazky z nákupů s obvyklým termínem dodání čekajících na vypořádání, jak je povoleno podle použitelného účetního rámce.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Instituce, které uplatňují účtování k</w:t>
            </w:r>
            <w:r>
              <w:rPr>
                <w:rFonts w:ascii="Times New Roman" w:hAnsi="Times New Roman"/>
                <w:color w:val="auto"/>
                <w:sz w:val="24"/>
                <w:szCs w:val="24"/>
              </w:rPr>
              <w:t xml:space="preserve"> datu obchodu, vykazují výše uvedenou sumu v této buňce namísto řádku 0190 „Ostatní aktiva“, přičemž cenné papíry související s nákupy s obvyklým termínem dodání vykazují v řádku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Prodeje s obvyklým termínem dodání čekající na vypořádání: reverze účetních kompenzací v rámci účtování k datu obchodu</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 429g odst. 2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Objem kompenzace mezi hotovostními pohledávkami z prodejů s obvyklým termínem dodání čekajících na vypořádání a hotovostními závazky z nákupů s obvyklým termínem dodání čekajících na vypořádání, jak je povoleno podle použitelného účetního rámce.</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Prodeje s obvyklým termínem dodání čekající na vypořádání: kompenzace podle čl. 429g odst. 2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Čl. 429g odst. 2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Objem kompenzace mezi hotovostními pohledávkami a hotovostními závazky v případech, kdy jsou příslušné prodeje i nákupy s obvyklým termínem dodání vypořádány na základě dodání proti zaplacení podle čl. 429g odst. 2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Nákupy s obvyklým termínem dodání čekající na vypořádání: plné uznání příslibů k úhradě v rámci účtování k datu vypořádání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 429g odst. 3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Úplná nominální hodnota příslibů k úhradě týkajících se nákupů s obvyklým termínem dodání v případě institucí, které v souladu s použitelným účetním rámcem uplatňují na nákupy a prodeje s obvyklým termínem dodání účtování k datu vypořádání.</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Cenné papíry související s prodeji s obvyklým termínem dodání se vykazují v řádku 0</w:t>
            </w:r>
            <w:r>
              <w:rPr>
                <w:rFonts w:ascii="Times New Roman" w:hAnsi="Times New Roman"/>
                <w:color w:val="auto"/>
                <w:sz w:val="24"/>
                <w:szCs w:val="24"/>
              </w:rPr>
              <w:t>190 „Ostatní aktiva“.</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Nákupy s obvyklým termínem dodání čekající na vypořádání: kompenzace příslibů k úhradě v rámci účtování k datu vypořádání podle čl. 429g odst. 3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Čl. 429g odst. 3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lastRenderedPageBreak/>
              <w:t>Část hodnoty vykázané v řádku 0188, jež je kompenzována úplnou nominální hodnotou hotovostních pohledávek týkajících se prodejů s obvyklým termínem dodání čekajících na vypořádání podle čl. 429g odst. 3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Ostatní aktiva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429 odst. 4 písm. a)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Všechna ostatní aktiva kromě derivátových smluv uvedených v příloze II CRR, úvěrových derivátů a transakcí SFT (mezi ostatní aktiva vykazovaná v této buňce patří např. pohledávky z poskytnuté hotovostní variační marže, jestliže jsou dle platného účetního rámce uznány, likvidní aktiva podle definice pro účely ukazatele krytí likvidity, neúspěšné a nevypořádané transakce). Instituce provádějí oceňování podle zásad uvedených v čl. 429b odst. 1 a čl. 429 odst. 7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do této buňky zahrnou obdržené peněžní prostředky nebo jakékoli zajištění poskytnuté protistraně prostřednictvím transakcí SFT, které je ponecháno v rozvaze (tj. nejsou splněna účetní kritéria pro odúčtování). Kromě toho zde instituce uznají položky, které se odečítají od kmenového kapitálu tier 1 a vedlejšího kapitálu tier 1 (např. nehmotná aktiva, odložené daňové pohledávky atd.).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vykázaná v řádku {0191;0010} se ve výpočtu tohoto řádku nezohlední jako odpočet.</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Dohody o sdružování finančních prostředků (cash pooling) se vykazují v řádcích {0193;0010}, {0194;0010}, {0195;0010}, {0196;0010}, {0197;0010} a {0198;0010}, a nikoli zde.</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Obecné úpravy o úvěrové riziko u rozvahových položek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Čl. 429 odst. 4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Příslušný objem obecných úprav o úvěrové riziko u rozvahových položek podle čl. 429 odst. 4 písm. a) CRR, který instituce odečtou v souladu s čl. 429 odst. 4 posledním pododstavcem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Vykázaný objem se nezohlední jako odpočet ve výpočtu ostatních aktiv uvedených v řádku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Dohody o sdružování finančních prostředků (cash pooling), které nemohou být započteny z obezřetnostního hlediska: hodnota v účetním rámci</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429b odst. 2 a 3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Účetní hodnota dohod o sdružování finančních prostředků (cash pooling), tj. dohod, v jejichž rámci dochází ke sdružení kreditních nebo debetních </w:t>
            </w:r>
            <w:r>
              <w:rPr>
                <w:rFonts w:ascii="Times New Roman" w:hAnsi="Times New Roman"/>
                <w:color w:val="auto"/>
                <w:sz w:val="24"/>
                <w:szCs w:val="24"/>
              </w:rPr>
              <w:lastRenderedPageBreak/>
              <w:t>zůstatků několika jednotlivých účtů za účelem správy hotovosti nebo řízení likvidity, jež nemohou být započteny podle čl. 429b odst. 2 a 3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Dohody o sdružování finančních prostředků (cash pooling), které nemohou být započteny z obezřetnostního hlediska: dopad zpětného navýšení započtení uplatněného v účetním rámci</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429 odst. 7 písm. b) a čl. 429b odst. 2 a 3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Částka započtená podle použitelného účetního rámce u dohod o sdružování peněžních prostředků (cash pooling), které nemohou být započteny z obezřetnostního hlediska, vykázaných v buňce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Dohody o sdružování finančních prostředků (cash pooling), které mohou být započteny z obezřetnostního hlediska: hodnota v účetním rámci</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429b odst. 2 a 3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Účetní hodnota dohod o sdružování finančních prostředků (cash pooling), tj. dohod, v jejichž rámci dochází ke sdružení kreditních nebo debetních zůstatků několika jednotlivých účtů za účelem správy hotovosti nebo řízení likvidity, jež mohou být započteny podle čl. 429b odst. 2 a 3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Dohody o sdružování finančních prostředků (cash pooling), které mohou být započteny z obezřetnostního hlediska: dopad zpětného navýšení započtení uplatněného v účetním rámci</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429b odst. 2 a 3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Částka započtená podle použitelného účetního rámce u dohod o sdružování peněžních prostředků (cash pooling), které mohou být započteny z obezřetnostního hlediska, vykázaných v buňce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Pokud instituce splňuje ustanovení čl. 429b odst. 2 písm. b), neuplatní v tomto řádku zpětné navýšení na zůstatky zaniklé na základě procesu stanoveného v čl. 429b odst. 2 písm.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Dohody o sdružování finančních prostředků (cash pooling), které mohou být započteny z obezřetnostního hlediska: uznání započtení podle čl. 429b odst. 2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Čl. 429b odst. 2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Započtená částka z hrubé expozice související s dohodami o sdružování finančních prostředků (cash pooling) (součet hodnot uvedených v řádcích 0195 a 0196) podle čl. </w:t>
            </w:r>
            <w:r>
              <w:rPr>
                <w:rFonts w:ascii="Times New Roman" w:hAnsi="Times New Roman"/>
                <w:color w:val="auto"/>
                <w:sz w:val="24"/>
                <w:szCs w:val="24"/>
              </w:rPr>
              <w:t>429b odst.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Dohody o sdružování finančních prostředků (cash pooling), které mohou být započteny z obezřetnostního hlediska: uznání započtení podle čl. 429b odst. 3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Čl. 429b odst. 3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Započtená částka z hrubé expozice související s dohodami o sdružování finančních prostředků (cash pooling) (součet hodnot uvedených v řádcích 0195 a 0196) podle čl. </w:t>
            </w:r>
            <w:r>
              <w:rPr>
                <w:rFonts w:ascii="Times New Roman" w:hAnsi="Times New Roman"/>
                <w:color w:val="auto"/>
                <w:sz w:val="24"/>
                <w:szCs w:val="24"/>
              </w:rPr>
              <w:t>429b odst.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Navýšení o poskytnutý kolaterál k derivátům</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2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poskytnutého kolaterálu k derivátům, pokud se podle použitelného účetního rámce jeho poskytnutím snižuje objem aktiv, jak stanoví čl. 429c odst. 2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 této buňce nezohlední počáteční marži u derivátových transakcí na účet klienta se způsobilou ústřední protistranou, ani způsobilou hotovostní variační marži podle vymezení v čl. 429c odst. 3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Pohledávky z hotovostní variační marže poskytnuté v derivátových transakcích</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429c odst. 3 písm. c)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Pohledávky, jež plynou z variační marže uhrazené v hotovosti protistraně v derivátových transakcích, je-li instituce podle použitelného účetního rámce povinna uznat tyto pohledávky jako aktivum, za předpokladu splnění podmínek v čl. 429c odst. 3 písm. a) až e) CRR.</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Zde uvedená částka se rovněž zahrne do ostatních aktiv vykázaných v buňce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Vyňaté obchodní expozice vůči ústřední protistraně u transakcí na účet klienta (počáteční marže)</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g)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Podíl (poskytnuté) počáteční marže u vyňatých obchodních expozic vůči způsobilé ústřední protistraně, jež plynou z derivátových transakcí na účet klienta, za předpokladu, že tyto položky splňují podmínky čl. 306 odst. 1 písm. c)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Zde uvedená částka se rovněž zahrne do ostatních aktiv vykázaných v buňce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Úpravy o účetní operace související s prodejem v případě transakcí SFT</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Čl. 429e odst. 6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cenných papírů zapůjčených v rámci repo obchodu, které jsou podle použitelného účetního rámce odúčtovány vzhledem k účetní operaci související s prodejem.</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Snížení hodnoty expozice úvěru předběžného financování nebo překlenovacího úvěru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 odst. 8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Částka odečtená od hodnoty expozice úvěru předběžného financování nebo překlenovacího úvěru podle čl. 429 odst. 8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Zde uvedená částka se zahrne do ostatních aktiv vykázaných v buňce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Aktiva ve svěřenecké správě</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i)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Hodnota aktiv ve svěřenecké správě, která jsou uznána v rozvaze instituce podle vnitrostátních všeobecně přijímaných účetních zásad, splňují kritéria pro nezaúčtování podle IFRS 9, a případně kritéria pro vynětí z konsolidace podle IFRS 10, v souladu s čl. 429a odst. 1 písm. i) CRR bez zohlednění účinků účetního započtení nebo jiného CRM (tj. provede se reverze účinků účetního započtení nebo CRM, které se projevily v účetní hodnotě).</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Zde uvedená částka se rovněž zahrne do ostatních aktiv vykázaných v buňce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Expozice uvnitř skupiny (na individuálním základě) vyňaté v souladu s čl. 429a odst. 1 písm. c)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c) a čl. 113 odst. 6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Expozice, které nejsou konsolidovány na použitelné úrovni konsolidace a na které lze uplatnit zacházení podle čl. 113 odst. 6 CRR, jestliže jsou splněny všechny podmínky čl. 113 odst. 6 písm. a) až e) CRR a příslušné orgány udělily souhlas.</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Vyňaté expozice v rámci institucionálního systému ochrany podle čl. 429a odst. 1 písm. c)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w:t>
            </w:r>
            <w:r>
              <w:rPr>
                <w:rFonts w:ascii="Times New Roman" w:hAnsi="Times New Roman"/>
                <w:b/>
                <w:bCs/>
                <w:color w:val="auto"/>
                <w:sz w:val="24"/>
                <w:szCs w:val="24"/>
              </w:rPr>
              <w:t xml:space="preserve"> </w:t>
            </w:r>
            <w:r>
              <w:rPr>
                <w:rFonts w:ascii="Times New Roman" w:hAnsi="Times New Roman"/>
                <w:bCs/>
                <w:color w:val="auto"/>
                <w:sz w:val="24"/>
                <w:szCs w:val="24"/>
              </w:rPr>
              <w:t>odst. 1 písm. c)</w:t>
            </w:r>
            <w:r>
              <w:rPr>
                <w:rFonts w:ascii="Times New Roman" w:hAnsi="Times New Roman"/>
                <w:bCs/>
                <w:sz w:val="24"/>
                <w:szCs w:val="24"/>
              </w:rPr>
              <w:t xml:space="preserve"> a čl. 113 odst. 7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Expozice, na které lze uplatnit zacházení podle čl. 113 odst. 7 CRR, jestliže jsou splněny všechny podmínky čl. 113 odst. 7 písm. a) až i) CRR a příslušné orgány udělily souhlas.</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Zde uvedená částka se rovněž zahrne do příslušných buněk výše, jako kdyby vynětí neplatilo.</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Vyloučené zaručené části expozic vyplývajících z vývozních úvěrů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f)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Zaručené části expozic vyplývajících z vývozních úvěrů, které lze vyloučit, jestliže jsou splněny podmínky čl. 429a odst. 1 písm. f)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Vyloučený přebytečný kolaterál uložený u trojstranných zmocněnců</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k)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Přebytečný kolaterál uložený u trojstranných zmocněnců, který nebyl zapůjčen a který lze vyloučit podle čl. 429a odst. 1 písm.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Vyloučené sekuritizované expozice představující převod významného rizika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 písm. m)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Sekuritizované expozice z tradičních sekuritizací, které splňují podmínky týkající se převodu významného rizika stanovené v čl. 244 odst.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Expozice vůči centrální bance vyňaté podle čl. 429a odst. 1 písm. n)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429a odst. 1 </w:t>
            </w:r>
            <w:r>
              <w:rPr>
                <w:rFonts w:ascii="Times New Roman" w:hAnsi="Times New Roman"/>
                <w:color w:val="auto"/>
                <w:sz w:val="24"/>
                <w:szCs w:val="24"/>
              </w:rPr>
              <w:t>písm. n)</w:t>
            </w:r>
            <w:r>
              <w:rPr>
                <w:rFonts w:ascii="Times New Roman" w:hAnsi="Times New Roman"/>
                <w:b/>
                <w:sz w:val="24"/>
                <w:szCs w:val="24"/>
              </w:rPr>
              <w:t xml:space="preserve"> </w:t>
            </w:r>
            <w:r>
              <w:rPr>
                <w:rFonts w:ascii="Times New Roman" w:hAnsi="Times New Roman"/>
                <w:color w:val="auto"/>
                <w:sz w:val="24"/>
                <w:szCs w:val="24"/>
              </w:rPr>
              <w:t>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bankovní doplňkové služby centrálních depozitářů cenných papírů / institucí podle čl. 429a odst. 1 písm. o)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Čl. 429a odst. 1 </w:t>
            </w:r>
            <w:r>
              <w:rPr>
                <w:rFonts w:ascii="Times New Roman" w:hAnsi="Times New Roman"/>
                <w:color w:val="auto"/>
                <w:sz w:val="24"/>
                <w:szCs w:val="24"/>
              </w:rPr>
              <w:t>písm. o)</w:t>
            </w:r>
            <w:r>
              <w:rPr>
                <w:rFonts w:ascii="Times New Roman" w:hAnsi="Times New Roman"/>
                <w:b/>
                <w:sz w:val="24"/>
                <w:szCs w:val="24"/>
              </w:rPr>
              <w:t xml:space="preserve"> </w:t>
            </w:r>
            <w:r>
              <w:rPr>
                <w:rFonts w:ascii="Times New Roman" w:hAnsi="Times New Roman"/>
                <w:bCs/>
                <w:sz w:val="24"/>
                <w:szCs w:val="24"/>
              </w:rPr>
              <w:t>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Zde uvedená částka se rovněž zahrne do příslušných buněk výše, jako kdyby vynětí neplatilo.</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bankovní doplňkové služby určených institucí podle čl. 429a odst. 1 písm. p)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Čl. 429a odst. 1 </w:t>
            </w:r>
            <w:r>
              <w:rPr>
                <w:rFonts w:ascii="Times New Roman" w:hAnsi="Times New Roman"/>
                <w:color w:val="auto"/>
                <w:sz w:val="24"/>
                <w:szCs w:val="24"/>
              </w:rPr>
              <w:t>písm. p)</w:t>
            </w:r>
            <w:r>
              <w:rPr>
                <w:rFonts w:ascii="Times New Roman" w:hAnsi="Times New Roman"/>
                <w:b/>
                <w:sz w:val="24"/>
                <w:szCs w:val="24"/>
              </w:rPr>
              <w:t xml:space="preserve"> </w:t>
            </w:r>
            <w:r>
              <w:rPr>
                <w:rFonts w:ascii="Times New Roman" w:hAnsi="Times New Roman"/>
                <w:bCs/>
                <w:sz w:val="24"/>
                <w:szCs w:val="24"/>
              </w:rPr>
              <w:t>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Expozice vyňaté v souladu s čl. 429a odst. 1 </w:t>
            </w:r>
            <w:r>
              <w:rPr>
                <w:rFonts w:ascii="Times New Roman" w:hAnsi="Times New Roman"/>
                <w:b/>
                <w:color w:val="auto"/>
                <w:sz w:val="24"/>
                <w:szCs w:val="24"/>
              </w:rPr>
              <w:t>písm. j)</w:t>
            </w:r>
            <w:r>
              <w:rPr>
                <w:rFonts w:ascii="Times New Roman" w:hAnsi="Times New Roman"/>
                <w:b/>
                <w:sz w:val="24"/>
                <w:szCs w:val="24"/>
              </w:rPr>
              <w:t xml:space="preserve"> </w:t>
            </w:r>
            <w:r>
              <w:rPr>
                <w:rFonts w:ascii="Times New Roman" w:hAnsi="Times New Roman"/>
                <w:b/>
                <w:bCs/>
                <w:sz w:val="24"/>
                <w:szCs w:val="24"/>
              </w:rPr>
              <w:t>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w:t>
            </w:r>
            <w:r>
              <w:rPr>
                <w:rFonts w:ascii="Times New Roman" w:hAnsi="Times New Roman"/>
                <w:sz w:val="24"/>
                <w:szCs w:val="24"/>
              </w:rPr>
              <w:t xml:space="preserve"> </w:t>
            </w:r>
            <w:r>
              <w:rPr>
                <w:rFonts w:ascii="Times New Roman" w:hAnsi="Times New Roman"/>
                <w:color w:val="auto"/>
                <w:sz w:val="24"/>
                <w:szCs w:val="24"/>
              </w:rPr>
              <w:t>písm. j)</w:t>
            </w:r>
            <w:r>
              <w:rPr>
                <w:rFonts w:ascii="Times New Roman" w:hAnsi="Times New Roman"/>
                <w:b/>
                <w:color w:val="auto"/>
                <w:sz w:val="24"/>
                <w:szCs w:val="24"/>
              </w:rPr>
              <w:t xml:space="preserve"> </w:t>
            </w:r>
            <w:r>
              <w:rPr>
                <w:rFonts w:ascii="Times New Roman" w:hAnsi="Times New Roman"/>
                <w:bCs/>
                <w:sz w:val="24"/>
                <w:szCs w:val="24"/>
              </w:rPr>
              <w:t>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Expozice vyňaté podle čl. 429a odst. 1 </w:t>
            </w:r>
            <w:r>
              <w:rPr>
                <w:rFonts w:ascii="Times New Roman" w:hAnsi="Times New Roman"/>
                <w:bCs/>
                <w:color w:val="auto"/>
                <w:sz w:val="24"/>
                <w:szCs w:val="24"/>
              </w:rPr>
              <w:t>písm. j)</w:t>
            </w:r>
            <w:r>
              <w:rPr>
                <w:rFonts w:ascii="Times New Roman" w:hAnsi="Times New Roman"/>
                <w:bCs/>
                <w:sz w:val="24"/>
                <w:szCs w:val="24"/>
              </w:rPr>
              <w:t>, jestliže jsou splněny podmínky uvedeného ustanovení.</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Vyloučené expozice veřejných rozvojových úvěrových institucí – investice veřejného sektoru</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429a odst. 1 </w:t>
            </w:r>
            <w:r>
              <w:rPr>
                <w:rFonts w:ascii="Times New Roman" w:hAnsi="Times New Roman"/>
                <w:bCs/>
                <w:color w:val="auto"/>
                <w:sz w:val="24"/>
                <w:szCs w:val="24"/>
              </w:rPr>
              <w:t>písm. d)</w:t>
            </w:r>
            <w:r>
              <w:rPr>
                <w:rFonts w:ascii="Times New Roman" w:hAnsi="Times New Roman"/>
                <w:b/>
                <w:bCs/>
                <w:sz w:val="24"/>
                <w:szCs w:val="24"/>
              </w:rPr>
              <w:t xml:space="preserve"> </w:t>
            </w:r>
            <w:r>
              <w:rPr>
                <w:rFonts w:ascii="Times New Roman" w:hAnsi="Times New Roman"/>
                <w:bCs/>
                <w:sz w:val="24"/>
                <w:szCs w:val="24"/>
              </w:rPr>
              <w:t>a odst. 2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Expozice vyplývající z aktiv představujících pohledávky vůči ústředním vládám, regionálním vládám, místním orgánům nebo subjektům veřejného sektoru týkající se investic veřejného sektoru, jež lze vyloučit podle čl. 429a odst. 1 písm. d)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Jestliže se pohledávka považuje rovněž za podpůrný úvěr podle čl. 429a odst. 3, nevykazuje se v této buňce, nýbrž v řádcích 0262–0264 podle příslušných případů.</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veřejných rozvojových úvěrových institucí – podpůrné úvěry poskytnuté veřejnou rozvojovou úvěrovou institucí</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w:t>
            </w:r>
            <w:r>
              <w:rPr>
                <w:rFonts w:ascii="Times New Roman" w:hAnsi="Times New Roman"/>
                <w:b/>
                <w:sz w:val="24"/>
                <w:szCs w:val="24"/>
              </w:rPr>
              <w:t xml:space="preserve"> </w:t>
            </w:r>
            <w:r>
              <w:rPr>
                <w:rFonts w:ascii="Times New Roman" w:hAnsi="Times New Roman"/>
                <w:sz w:val="24"/>
                <w:szCs w:val="24"/>
              </w:rPr>
              <w:t>odst. 1 písm. d)</w:t>
            </w:r>
            <w:r>
              <w:rPr>
                <w:rFonts w:ascii="Times New Roman" w:hAnsi="Times New Roman"/>
                <w:color w:val="auto"/>
                <w:sz w:val="24"/>
                <w:szCs w:val="24"/>
              </w:rPr>
              <w:t>a</w:t>
            </w:r>
            <w:r>
              <w:rPr>
                <w:rFonts w:ascii="Times New Roman" w:hAnsi="Times New Roman"/>
                <w:b/>
                <w:color w:val="auto"/>
                <w:sz w:val="24"/>
                <w:szCs w:val="24"/>
              </w:rPr>
              <w:t xml:space="preserve"> </w:t>
            </w:r>
            <w:r>
              <w:rPr>
                <w:rFonts w:ascii="Times New Roman" w:hAnsi="Times New Roman"/>
                <w:bCs/>
                <w:color w:val="auto"/>
                <w:sz w:val="24"/>
                <w:szCs w:val="24"/>
              </w:rPr>
              <w:t>odst. 2 a 3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Expozice vyplývající z podpůrných úvěrů, včetně postoupení podpůrných úvěrů, poskytnutých veřejnou rozvojovou úvěrovou institucí, jež lze vyloučit podle čl. 429a odst. 1 písm. d) CRR. </w:t>
            </w:r>
            <w:r>
              <w:rPr>
                <w:rFonts w:ascii="Times New Roman" w:hAnsi="Times New Roman"/>
                <w:bCs/>
                <w:sz w:val="24"/>
                <w:szCs w:val="24"/>
              </w:rPr>
              <w:t>Zohlední se rovněž expozice útvaru instituce, k němuž příslušný orgán přistupuje jako k veřejné rozvojové úvěrové instituci podle čl. 429a odst. 2 posledního pododstavce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Zde uvedená částka se rovněž zahrne do příslušných buněk výše, jako kdyby vynětí neplatilo.</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veřejných rozvojových úvěrových institucí – podpůrné úvěry poskytnuté subjektem přímo zřízeným ústřední vládou, regionální vládou nebo místním orgánem členského státu</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Čl. 429a</w:t>
            </w:r>
            <w:r>
              <w:rPr>
                <w:rFonts w:ascii="Times New Roman" w:hAnsi="Times New Roman"/>
                <w:b/>
                <w:sz w:val="24"/>
                <w:szCs w:val="24"/>
              </w:rPr>
              <w:t xml:space="preserve"> </w:t>
            </w:r>
            <w:r>
              <w:rPr>
                <w:rFonts w:ascii="Times New Roman" w:hAnsi="Times New Roman"/>
                <w:sz w:val="24"/>
                <w:szCs w:val="24"/>
              </w:rPr>
              <w:t xml:space="preserve">odst. 1 </w:t>
            </w:r>
            <w:r>
              <w:rPr>
                <w:rFonts w:ascii="Times New Roman" w:hAnsi="Times New Roman"/>
                <w:color w:val="auto"/>
                <w:sz w:val="24"/>
                <w:szCs w:val="24"/>
              </w:rPr>
              <w:t>písm. d)</w:t>
            </w:r>
            <w:r>
              <w:rPr>
                <w:rFonts w:ascii="Times New Roman" w:hAnsi="Times New Roman"/>
                <w:sz w:val="24"/>
                <w:szCs w:val="24"/>
              </w:rPr>
              <w:t xml:space="preserve"> a</w:t>
            </w:r>
            <w:r>
              <w:rPr>
                <w:rFonts w:ascii="Times New Roman" w:hAnsi="Times New Roman"/>
                <w:b/>
                <w:sz w:val="24"/>
                <w:szCs w:val="24"/>
              </w:rPr>
              <w:t xml:space="preserve"> </w:t>
            </w:r>
            <w:r>
              <w:rPr>
                <w:rFonts w:ascii="Times New Roman" w:hAnsi="Times New Roman"/>
                <w:bCs/>
                <w:sz w:val="24"/>
                <w:szCs w:val="24"/>
              </w:rPr>
              <w:t>odst. 2 a 3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Expozice vyplývající z podpůrných úvěrů, včetně postoupení podpůrných úvěrů, poskytnutých subjektem přímo zřízeným ústřední vládou, regionální vládou nebo místním orgánem členského státu, jež lze vyloučit podle čl. </w:t>
            </w:r>
            <w:r>
              <w:rPr>
                <w:rFonts w:ascii="Times New Roman" w:hAnsi="Times New Roman"/>
                <w:bCs/>
                <w:sz w:val="24"/>
                <w:szCs w:val="24"/>
              </w:rPr>
              <w:t>429a odst. 1 písm. d). Zohlední se rovněž expozice</w:t>
            </w:r>
            <w:r>
              <w:rPr>
                <w:rFonts w:ascii="Times New Roman" w:hAnsi="Times New Roman"/>
                <w:sz w:val="24"/>
                <w:szCs w:val="24"/>
              </w:rPr>
              <w:t xml:space="preserve"> </w:t>
            </w:r>
            <w:r>
              <w:rPr>
                <w:rFonts w:ascii="Times New Roman" w:hAnsi="Times New Roman"/>
                <w:bCs/>
                <w:sz w:val="24"/>
                <w:szCs w:val="24"/>
              </w:rPr>
              <w:t>útvaru instituce, k němuž příslušný orgán přistupuje jako k veřejné rozvojové úvěrové instituci podle čl. 429a odst. 2 posledního pododstavce.</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veřejných rozvojových úvěrových institucí – podpůrné úvěry poskytnuté subjektem zřízeným ústřední vládou, regionální vládou nebo místním orgánem členského státu prostřednictvím zprostředkující úvěrové instituce</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429a odst. 1 </w:t>
            </w:r>
            <w:r>
              <w:rPr>
                <w:rFonts w:ascii="Times New Roman" w:hAnsi="Times New Roman"/>
                <w:color w:val="auto"/>
                <w:sz w:val="24"/>
                <w:szCs w:val="24"/>
              </w:rPr>
              <w:t>písm. d)</w:t>
            </w:r>
            <w:r>
              <w:rPr>
                <w:rFonts w:ascii="Times New Roman" w:hAnsi="Times New Roman"/>
                <w:sz w:val="24"/>
                <w:szCs w:val="24"/>
              </w:rPr>
              <w:t xml:space="preserve"> </w:t>
            </w:r>
            <w:r>
              <w:rPr>
                <w:rFonts w:ascii="Times New Roman" w:hAnsi="Times New Roman"/>
                <w:bCs/>
                <w:sz w:val="24"/>
                <w:szCs w:val="24"/>
              </w:rPr>
              <w:t>a odst. 2 a 3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Expozice vyplývající z podpůrných úvěrů, včetně postoupení podpůrných úvěrů, poskytnutých subjektem zřízeným ústřední vládou, regionální vládou nebo místním orgánem členského státu prostřednictvím zprostředkující úvěrové instituce, jež lze vyloučit podle čl. </w:t>
            </w:r>
            <w:r>
              <w:rPr>
                <w:rFonts w:ascii="Times New Roman" w:hAnsi="Times New Roman"/>
                <w:bCs/>
                <w:sz w:val="24"/>
                <w:szCs w:val="24"/>
              </w:rPr>
              <w:t xml:space="preserve">429a odst. 1 písm. d). </w:t>
            </w:r>
            <w:r>
              <w:rPr>
                <w:rFonts w:ascii="Times New Roman" w:hAnsi="Times New Roman"/>
                <w:sz w:val="24"/>
                <w:szCs w:val="24"/>
              </w:rPr>
              <w:t xml:space="preserve">Zohlední se rovněž </w:t>
            </w:r>
            <w:r>
              <w:rPr>
                <w:rFonts w:ascii="Times New Roman" w:hAnsi="Times New Roman"/>
                <w:bCs/>
                <w:sz w:val="24"/>
                <w:szCs w:val="24"/>
              </w:rPr>
              <w:t>expozice</w:t>
            </w:r>
            <w:r>
              <w:rPr>
                <w:rFonts w:ascii="Times New Roman" w:hAnsi="Times New Roman"/>
                <w:sz w:val="24"/>
                <w:szCs w:val="24"/>
              </w:rPr>
              <w:t xml:space="preserve"> </w:t>
            </w:r>
            <w:r>
              <w:rPr>
                <w:rFonts w:ascii="Times New Roman" w:hAnsi="Times New Roman"/>
                <w:bCs/>
                <w:sz w:val="24"/>
                <w:szCs w:val="24"/>
              </w:rPr>
              <w:t>útvaru instituce, k němuž příslušný orgán přistupuje jako k veřejné rozvojové úvěrové instituci podle čl. 429a odst. 2 posledního pododstavce.</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vyplývající z postoupení podpůrných úvěrů neveřejnými rozvojovými úvěrovými institucemi (nebo útvary) – podpůrné úvěry poskytnuté veřejnou rozvojovou úvěrovou institucí</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w:t>
            </w:r>
            <w:r>
              <w:rPr>
                <w:rFonts w:ascii="Times New Roman" w:hAnsi="Times New Roman"/>
                <w:sz w:val="24"/>
                <w:szCs w:val="24"/>
              </w:rPr>
              <w:t xml:space="preserve"> </w:t>
            </w:r>
            <w:r>
              <w:rPr>
                <w:rFonts w:ascii="Times New Roman" w:hAnsi="Times New Roman"/>
                <w:color w:val="auto"/>
                <w:sz w:val="24"/>
                <w:szCs w:val="24"/>
              </w:rPr>
              <w:t>písm. e)</w:t>
            </w:r>
            <w:r>
              <w:rPr>
                <w:rFonts w:ascii="Times New Roman" w:hAnsi="Times New Roman"/>
                <w:sz w:val="24"/>
                <w:szCs w:val="24"/>
              </w:rPr>
              <w:t xml:space="preserve"> a </w:t>
            </w:r>
            <w:r>
              <w:rPr>
                <w:rFonts w:ascii="Times New Roman" w:hAnsi="Times New Roman"/>
                <w:bCs/>
                <w:sz w:val="24"/>
                <w:szCs w:val="24"/>
              </w:rPr>
              <w:t>odst. 2 a 3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Části expozic vyplývající z postoupení podpůrných úvěrů jiným úvěrovým institucím, pokud podpůrné úvěry poskytla veřejná rozvojová úvěrová instituce. </w:t>
            </w:r>
            <w:r>
              <w:rPr>
                <w:rFonts w:ascii="Times New Roman" w:hAnsi="Times New Roman"/>
                <w:sz w:val="24"/>
                <w:szCs w:val="24"/>
              </w:rPr>
              <w:t xml:space="preserve">Zohlední se rovněž </w:t>
            </w:r>
            <w:r>
              <w:rPr>
                <w:rFonts w:ascii="Times New Roman" w:hAnsi="Times New Roman"/>
                <w:bCs/>
                <w:sz w:val="24"/>
                <w:szCs w:val="24"/>
              </w:rPr>
              <w:t>části expozic</w:t>
            </w:r>
            <w:r>
              <w:rPr>
                <w:rFonts w:ascii="Times New Roman" w:hAnsi="Times New Roman"/>
                <w:sz w:val="24"/>
                <w:szCs w:val="24"/>
              </w:rPr>
              <w:t xml:space="preserve"> </w:t>
            </w:r>
            <w:r>
              <w:rPr>
                <w:rFonts w:ascii="Times New Roman" w:hAnsi="Times New Roman"/>
                <w:bCs/>
                <w:sz w:val="24"/>
                <w:szCs w:val="24"/>
              </w:rPr>
              <w:t>útvarů instituce, k nimž příslušný orgán nepřistupuje jako k veřejné rozvojové úvěrové instituci podle čl. 429a odst. 2 posledního pododstavce.</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Zde uvedená částka se rovněž zahrne do příslušných buněk výše, jako kdyby vynětí neplatilo.</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vyplývající z postoupení podpůrných úvěrů neveřejnými rozvojovými úvěrovými institucemi (nebo útvary) – podpůrné úvěry poskytnuté subjektem přímo zřízeným ústřední vládou, regionální vládou nebo místním orgánem členského státu</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429a odst. 1</w:t>
            </w:r>
            <w:r>
              <w:rPr>
                <w:rFonts w:ascii="Times New Roman" w:hAnsi="Times New Roman"/>
                <w:sz w:val="24"/>
                <w:szCs w:val="24"/>
              </w:rPr>
              <w:t xml:space="preserve"> </w:t>
            </w:r>
            <w:r>
              <w:rPr>
                <w:rFonts w:ascii="Times New Roman" w:hAnsi="Times New Roman"/>
                <w:color w:val="auto"/>
                <w:sz w:val="24"/>
                <w:szCs w:val="24"/>
              </w:rPr>
              <w:t>písm. e)</w:t>
            </w:r>
            <w:r>
              <w:rPr>
                <w:rFonts w:ascii="Times New Roman" w:hAnsi="Times New Roman"/>
                <w:sz w:val="24"/>
                <w:szCs w:val="24"/>
              </w:rPr>
              <w:t xml:space="preserve"> a </w:t>
            </w:r>
            <w:r>
              <w:rPr>
                <w:rFonts w:ascii="Times New Roman" w:hAnsi="Times New Roman"/>
                <w:bCs/>
                <w:sz w:val="24"/>
                <w:szCs w:val="24"/>
              </w:rPr>
              <w:t>odst. 2 a 3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Části expozic vyplývající z postoupení podpůrných úvěrů jiným úvěrovým institucím, pokud podpůrné úvěry poskytl subjekt přímo zřízený ústřední vládou, regionální vládou nebo místním orgánem členského státu. </w:t>
            </w:r>
            <w:r>
              <w:rPr>
                <w:rFonts w:ascii="Times New Roman" w:hAnsi="Times New Roman"/>
                <w:sz w:val="24"/>
                <w:szCs w:val="24"/>
              </w:rPr>
              <w:t xml:space="preserve">Zohlední se rovněž </w:t>
            </w:r>
            <w:r>
              <w:rPr>
                <w:rFonts w:ascii="Times New Roman" w:hAnsi="Times New Roman"/>
                <w:bCs/>
                <w:sz w:val="24"/>
                <w:szCs w:val="24"/>
              </w:rPr>
              <w:t>části expozic</w:t>
            </w:r>
            <w:r>
              <w:rPr>
                <w:rFonts w:ascii="Times New Roman" w:hAnsi="Times New Roman"/>
                <w:sz w:val="24"/>
                <w:szCs w:val="24"/>
              </w:rPr>
              <w:t xml:space="preserve"> </w:t>
            </w:r>
            <w:r>
              <w:rPr>
                <w:rFonts w:ascii="Times New Roman" w:hAnsi="Times New Roman"/>
                <w:bCs/>
                <w:sz w:val="24"/>
                <w:szCs w:val="24"/>
              </w:rPr>
              <w:t>útvarů instituce, k nimž příslušný orgán nepřistupuje jako k veřejné rozvojové úvěrové instituci podle čl. 429a odst. 2 posledního pododstavce.</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Vyloučené expozice vyplývající z postoupení podpůrných úvěrů neveřejnými rozvojovými úvěrovými institucemi (nebo útvary) – podpůrné úvěry poskytnuté subjektem zřízeným ústřední vládou, regionální vládou nebo místním orgánem členského státu prostřednictvím zprostředkující úvěrové instituce</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429a odst. 1 </w:t>
            </w:r>
            <w:r>
              <w:rPr>
                <w:rFonts w:ascii="Times New Roman" w:hAnsi="Times New Roman"/>
                <w:color w:val="auto"/>
                <w:sz w:val="24"/>
                <w:szCs w:val="24"/>
              </w:rPr>
              <w:t>písm. e)</w:t>
            </w:r>
            <w:r>
              <w:rPr>
                <w:rFonts w:ascii="Times New Roman" w:hAnsi="Times New Roman"/>
                <w:sz w:val="24"/>
                <w:szCs w:val="24"/>
              </w:rPr>
              <w:t xml:space="preserve"> a </w:t>
            </w:r>
            <w:r>
              <w:rPr>
                <w:rFonts w:ascii="Times New Roman" w:hAnsi="Times New Roman"/>
                <w:bCs/>
                <w:sz w:val="24"/>
                <w:szCs w:val="24"/>
              </w:rPr>
              <w:t>odst. 2 a 3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Části expozic vyplývající z postoupení podpůrných úvěrů jiným úvěrovým institucím, pokud podpůrné úvěry poskytl subjekt zřízený ústřední vládou, regionální vládou nebo místním orgánem členského státu prostřednictvím zprostředkující úvěrové instituce. </w:t>
            </w:r>
            <w:r>
              <w:rPr>
                <w:rFonts w:ascii="Times New Roman" w:hAnsi="Times New Roman"/>
                <w:bCs/>
                <w:sz w:val="24"/>
                <w:szCs w:val="24"/>
              </w:rPr>
              <w:t>Zohlední se rovněž části expozic</w:t>
            </w:r>
            <w:r>
              <w:rPr>
                <w:rFonts w:ascii="Times New Roman" w:hAnsi="Times New Roman"/>
                <w:sz w:val="24"/>
                <w:szCs w:val="24"/>
              </w:rPr>
              <w:t xml:space="preserve"> </w:t>
            </w:r>
            <w:r>
              <w:rPr>
                <w:rFonts w:ascii="Times New Roman" w:hAnsi="Times New Roman"/>
                <w:bCs/>
                <w:sz w:val="24"/>
                <w:szCs w:val="24"/>
              </w:rPr>
              <w:t>útvarů instituce, k nimž příslušný orgán nepřistupuje jako k veřejné rozvojové úvěrové instituci podle čl. 429a odst. 2 posledního pododstavce.</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Zde uvedená částka se rovněž zahrne do příslušných buněk výše, jako kdyby vynětí neplatilo.</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Odečtená hodnota aktiv – kapitál tier 1 – plně zavedená definice</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Čl. 429a odst. 1 </w:t>
            </w:r>
            <w:r>
              <w:rPr>
                <w:rFonts w:ascii="Times New Roman" w:hAnsi="Times New Roman"/>
                <w:color w:val="auto"/>
                <w:sz w:val="24"/>
                <w:szCs w:val="24"/>
              </w:rPr>
              <w:t>písm. b)</w:t>
            </w:r>
            <w:r>
              <w:rPr>
                <w:rFonts w:ascii="Times New Roman" w:hAnsi="Times New Roman"/>
                <w:sz w:val="24"/>
                <w:szCs w:val="24"/>
              </w:rPr>
              <w:t xml:space="preserve"> a </w:t>
            </w:r>
            <w:r>
              <w:rPr>
                <w:rFonts w:ascii="Times New Roman" w:hAnsi="Times New Roman"/>
                <w:bCs/>
                <w:sz w:val="24"/>
                <w:szCs w:val="24"/>
              </w:rPr>
              <w:t>čl. 499 odst. 1 písm. a)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Zahrnuje veškeré úpravy, které se týkají hodnoty aktiva a jsou vyžadovány těmito ustanoveními:</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články 32 až 35 CRR, nebo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články 36 až 47 CRR, nebo</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články 56 až 60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podle příslušných případů.</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zohlední vynětí, alternativní postupy a výjimky z těchto odpočtů stanovené v článcích 48, 49 a 79 CRR, aniž by zohlednily odchylky uvedené v části desáté hlavě I kapitolách 1, 2 a 4 CRR. Aby nedocházelo k dvojímu vykázání, neuvádějí instituce úpravy, které již uplatnily podle článku 111 CRR při výpočtu hodnot expozic v buňkách {0010;0010} až {0267;0010}, a neuvádějí ani úpravy, které nespočívají v odpočtu hodnoty určitého aktiva.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Jelikož tyto částky jsou již odečteny od míry kapitálu, snižují expozici pákového poměru a vykazují se jako záporné číslo.</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Hodnota aktiva odečtená (–) nebo připočtená (+) – kapitál tier 1 – přechodná definice</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Čl. </w:t>
            </w:r>
            <w:r>
              <w:rPr>
                <w:rFonts w:ascii="Times New Roman" w:hAnsi="Times New Roman"/>
                <w:bCs/>
                <w:sz w:val="24"/>
                <w:szCs w:val="24"/>
              </w:rPr>
              <w:t>429a</w:t>
            </w:r>
            <w:r>
              <w:rPr>
                <w:sz w:val="24"/>
                <w:szCs w:val="24"/>
              </w:rPr>
              <w:t xml:space="preserve"> </w:t>
            </w:r>
            <w:r>
              <w:rPr>
                <w:rFonts w:ascii="Times New Roman" w:hAnsi="Times New Roman"/>
                <w:bCs/>
                <w:sz w:val="24"/>
                <w:szCs w:val="24"/>
              </w:rPr>
              <w:t xml:space="preserve">odst. 1 </w:t>
            </w:r>
            <w:r>
              <w:rPr>
                <w:rFonts w:ascii="Times New Roman" w:hAnsi="Times New Roman"/>
                <w:bCs/>
                <w:color w:val="auto"/>
                <w:sz w:val="24"/>
                <w:szCs w:val="24"/>
              </w:rPr>
              <w:t>písm. b)</w:t>
            </w:r>
            <w:r>
              <w:rPr>
                <w:rFonts w:ascii="Times New Roman" w:hAnsi="Times New Roman"/>
                <w:bCs/>
                <w:sz w:val="24"/>
                <w:szCs w:val="24"/>
              </w:rPr>
              <w:t xml:space="preserve"> a čl. 499 odst. 1 písm. a)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Zahrnuje veškeré úpravy hodnoty aktiva, které jsou vyžadovány těmito ustanoveními:</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články 32 až 35 CRR, nebo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články 36 až 47 CRR, nebo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články 56 až 60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podle příslušných případů.</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zohlední vynětí, alternativní postupy a výjimky z těchto odpočtů stanovené v článcích 48, 49 a 79 CRR, jakož i odchylky uvedené v části desáté hlavě I kapitolách 1, 2 a 4 CRR. Aby nedocházelo k dvojímu vykázání, neuvádějí instituce úpravy, které již uplatnily podle článku 111 CRR při výpočtu hodnot expozic v buňkách {0010;0010} až {0267;0010}, a neuvádějí ani úpravy, které nespočívají v odpočtu hodnoty určitého aktiva.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Jelikož tyto částky jsou již odečteny od míry kapitálu, snižují expozici pákového poměru a vykazují se jako záporné číslo.</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color w:val="auto"/>
                <w:sz w:val="24"/>
                <w:szCs w:val="24"/>
              </w:rPr>
              <w:t>Instituce</w:t>
            </w:r>
            <w:r>
              <w:rPr>
                <w:rFonts w:ascii="Times New Roman" w:hAnsi="Times New Roman"/>
                <w:bCs/>
                <w:sz w:val="24"/>
                <w:szCs w:val="24"/>
              </w:rPr>
              <w:t xml:space="preserve"> mimoto </w:t>
            </w:r>
            <w:r>
              <w:rPr>
                <w:rFonts w:ascii="Times New Roman" w:hAnsi="Times New Roman"/>
                <w:bCs/>
                <w:color w:val="auto"/>
                <w:sz w:val="24"/>
                <w:szCs w:val="24"/>
              </w:rPr>
              <w:t xml:space="preserve">v tomto řádku vykazují jako kladnou hodnotu částky, které mají být připočteny k míře expozice pákového poměru podle čl. 473a odst. 7 </w:t>
            </w:r>
            <w:r>
              <w:rPr>
                <w:rFonts w:ascii="Times New Roman" w:hAnsi="Times New Roman"/>
                <w:color w:val="auto"/>
                <w:sz w:val="24"/>
                <w:szCs w:val="24"/>
              </w:rPr>
              <w:t>a 7a CRR</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Celková míra expozice pákového poměru – použití plně zavedené definice kapitálu tier 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vykazují součet všech řádků 0010 až 0267 a řádku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Celková míra expozice pákového poměru – použití přechodné definice kapitálu tier 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Instituce vykazují součet všech řádků 0010 až 0267 a řádku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lastRenderedPageBreak/>
              <w:t>Řádek a sloupec</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Kapitál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Kapitál tier 1 – plně zavedená definice</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 odst. 3 a čl. 499 odst. 1 písm. a)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výši kapitálu tier 1 vypočtenou v souladu s článkem 25 CRR bez zohlednění odchylek uvedených v části desáté hlavě I kapitolách 1, 2 a 4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Kapitál tier 1 – přechodná definice</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 odst. 3 a čl. 499 odst. 1 písm. b)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Jedná se o výši kapitálu tier 1 vypočtenou v souladu s článkem 25 CRR po zohlednění odchylek uvedených v části desáté hlavě I kapitolách 1, 2 a 4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Řádek a sloupec</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Pákový poměr</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Pákový poměr – použití plně zavedené definice kapitálu tier 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 odst. 2 a čl. 499 odst. 1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Jedná se o pákový poměr vypočtený v souladu s částí II bodem 4 této přílohy.</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Pákový poměr – použití přechodné definice kapitálu tier 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429 odst. 2 a čl. 499 odst. 1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Jedná se o pákový poměr vypočtený v souladu s částí II bodem 5 této přílohy.</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Řádek a sloupec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Požadavky: objem</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Požadavek podle pilíře 2 (P2R) k řešení rizik nadměrné páky</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Články 104 a 104a CRD; </w:t>
            </w:r>
            <w:r>
              <w:rPr>
                <w:rFonts w:ascii="Times New Roman" w:hAnsi="Times New Roman"/>
                <w:color w:val="auto"/>
                <w:sz w:val="24"/>
                <w:szCs w:val="24"/>
              </w:rPr>
              <w:t>dodatečný kapitál požadovaný příslušným orgánem k řešení rizik nadměrné páky, jak je uvedeno v článku 104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Z toho: složený z kapitálu CET1</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Část požadavku P2R podle řádku 0350, která musí být podle požadavku příslušného orgánu držena ve formě kapitálu CET1</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Kapitálová rezerva k pákovému poměru u G-SVI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Čl. 92 odst. 1a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G-SVI vykazují hodnotu navýšení k pákovému poměru G-SVI určenou podle čl. 92 odst. 1a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G-SVI vykazují tuto hodnotu k datu uplatnění rezervy podle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Pokyn podle pilíře 2 (P2G) k řešení rizik nadměrné páky</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Článek 104b CRD; pokyn k držení dodatečného kapitálu k řešení rizik nadměrné páky sdělený příslušným orgánem, jak je uvedeno v článku 104b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Z toho: složený z kapitálu CET1</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Část pokynu P2G podle řádku 0380, která musí být podle požadavku příslušného orgánu držena ve formě kapitálu CET1</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Z toho: složený z kapitálu tier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Část pokynu P2G podle řádku 0380, která musí být podle požadavku příslušného orgánu držena ve formě kapitálu tier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Řádek a sloupec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Požadavky: poměry</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Požadavek na pákový poměr podle pilíře 1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Čl. 92 odst. 1 písm. d), čl. 429a odst. 7 a čl. 429a odst. 1 písm. n) CRR; </w:t>
            </w:r>
            <w:r>
              <w:rPr>
                <w:rFonts w:ascii="Times New Roman" w:hAnsi="Times New Roman"/>
                <w:bCs/>
                <w:color w:val="auto"/>
                <w:sz w:val="24"/>
                <w:szCs w:val="24"/>
              </w:rPr>
              <w:t>pákový poměr potřebný k řešení rizik nadměrné páky, jak je uvedeno v čl. 92 odst. 1 písm. d)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Instituce, které vyloučí expozice vůči své centrální bance, jak je uvedeno v čl. </w:t>
            </w:r>
            <w:r>
              <w:rPr>
                <w:rFonts w:ascii="Times New Roman" w:hAnsi="Times New Roman"/>
                <w:bCs/>
                <w:sz w:val="24"/>
                <w:szCs w:val="24"/>
              </w:rPr>
              <w:t>429a odst. 1 písm. n), vykazují požadavek na upravený pákový poměr podle čl. 429a odst. 7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Celkový požadavek na pákový poměr na základě procesu přezkumu a hodnocení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Články 104 a 104a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Součet hodnot v bodech i) a ii):</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požadavek na pákový poměr podle pilíře 1 vykázaný v řádku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color w:val="auto"/>
                <w:sz w:val="24"/>
                <w:szCs w:val="24"/>
              </w:rPr>
              <w:t>poměr dodatečného kapitálu požadovaný příslušným orgánem (P2R) k řešení rizik nadměrné páky, jak je uvedeno v článku 104 CRD</w:t>
            </w:r>
            <w:r>
              <w:rPr>
                <w:rFonts w:ascii="Times New Roman" w:hAnsi="Times New Roman"/>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 xml:space="preserve">Instituce vypočítají bod ii) vydělením hodnoty v buňce {0350;0010} hodnotou v buňce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Jestliže příslušný orgán nesdělil žádné dodatečné kapitálové požadavky, uvádí se pouze bod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TSLRR: složený z kapitálu CET1</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Část poměru dodatečného kapitálu podle bodu ii) řádku 0420, která musí být podle požadavku příslušného orgánu držena ve formě kapitálu CET1</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Instituce vypočítají tuto hodnotu vydělením hodnoty v buňce {0360;0010} hodnotou v buňce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Souhrnný požadavek na pákový poměr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92 odst. 1a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Součet hodnot v bodech i) a ii):</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požadavek TSLRR uvedený v řádku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kapitálová rezerva k pákovému poměru G-SVI podle čl. 92 odst. 1a CRR, vyjádřená jako procento</w:t>
            </w:r>
            <w:r>
              <w:rPr>
                <w:rFonts w:ascii="Times New Roman" w:hAnsi="Times New Roman"/>
                <w:color w:val="auto"/>
                <w:sz w:val="24"/>
                <w:szCs w:val="24"/>
              </w:rPr>
              <w:t xml:space="preserve"> celkové expozice pákového poměru.</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Instituce vypočítají bod ii) vydělením hodnoty v buňce {0370;0010} hodnotou v buňce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Bod ii) zohledňují G-SVI až od data uplatnění rezervy podle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Neuplatňuje-li se navýšení pro G-SVI, vykazuje se pouze bod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Souhrnný požadavek na pákový poměr (OLRR) a pokyn podle pilíře 2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Článek 104b CRD</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Součet hodnot v bodech i) a ii):</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požadavek OLRR uvedený v řádku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pokyn k držení dodatečného kapitálu k řešení rizik nadměrné páky sdělený příslušným orgánem, jak je uvedeno v článku 104b CRD, vyjádřený jako procento celkové expozice pákového poměru.</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Instituce vypočítají bod ii) vydělením hodnoty v buňce {0380;0010} hodnotou v buňce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lastRenderedPageBreak/>
              <w:t>Pokud příslušný orgán nesdělil žádný pokyn podle pilíře 2, vykazuje se pouze bod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lastRenderedPageBreak/>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a P2G: složený z kapitálu CET1</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Součet hodnot v bodech i) a ii):</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část poměru dodatečného kapitálu, která je podle požadavku příslušného orgánu držena ve formě kapitálu CET1, uvedená v řádku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část poměru P2G podle bodu ii) řádku 0450, která musí být podle pokynu sděleného příslušným orgánem držena ve formě kapitálu CET1.</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Instituce vypočítají bod ii) vydělením hodnoty v buňce {0390;0010} hodnotou v buňce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Pokud příslušný orgán nesdělil žádný pokyn podle pilíře 2, vykazuje se pouze bod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a P2G: složený z kapitálu tier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Součet hodnot v bodech i), ii) a iii):</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celkový požadavek na pákový poměr na základě procesu přezkumu a hodnocení uvedený v řádku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kapitálová rezerva k pákovému poměru G-SVI podle čl. 92 odst. 1a CRR, vyjádřená jako procento celkové expozice pákového poměru;</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část poměru P2G podle bodu ii) řádku 0450, která musí být podle požadavku příslušného orgánu držena ve formě kapitálu tier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Instituce vypočítají bod ii) vydělením hodnoty v buňce {0370;0010} hodnotou v buňce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Instituce vypočítají bod iii) vydělením hodnoty v buňce {0400;0010} hodnotou v buňce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Neuplatňuje-li se navýšení pro G-SVI, vykazují se pouze body i) a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Pokud příslušný orgán nesdělil žádný pokyn podle pilíře 2, vykazují se pouze body i) a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Řádek a sloupec</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Doplňkové položky</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Pákový poměr, jako kdyby se neuplatnila přechodná opatření týkající se IFRS 9 nebo obdobná opatření týkající se očekávaných úvěrových ztrát</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473a odst. 8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Instituce, které se rozhodly uplatňovat přechodná opatření stanovená v článku 473a CRR, vykazují pákový poměr, který by měly, kdyby tento článek neuplatňovaly.</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Pákový poměr, jako kdyby se neuplatnilo dočasné zacházení s nerealizovanými zisky a ztrátami při oceňování reálnou hodnotou prostřednictvím ostatního úplného výsledku hospodaření</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Čl. 468 odst. 5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Instituce, které se rozhodly uplatňovat dočasné zacházení podle čl. 468 odst. 1 CRR, vykazují pákový poměr, který by měly, kdyby toto zacházení neuplatňovaly.</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9414286"/>
      <w:bookmarkStart w:id="54" w:name="_Toc423089071"/>
      <w:bookmarkStart w:id="55" w:name="_Toc58488624"/>
      <w:r>
        <w:rPr>
          <w:rFonts w:ascii="Times New Roman" w:hAnsi="Times New Roman"/>
          <w:b/>
          <w:sz w:val="24"/>
          <w:szCs w:val="24"/>
        </w:rPr>
        <w:t>4.</w:t>
      </w:r>
      <w:r>
        <w:rPr>
          <w:rFonts w:ascii="Times New Roman" w:hAnsi="Times New Roman"/>
          <w:b/>
          <w:sz w:val="24"/>
          <w:szCs w:val="24"/>
        </w:rPr>
        <w:tab/>
      </w:r>
      <w:bookmarkStart w:id="56" w:name="_Toc351048507"/>
      <w:r>
        <w:rPr>
          <w:rFonts w:ascii="Times New Roman" w:hAnsi="Times New Roman"/>
          <w:b/>
          <w:sz w:val="24"/>
          <w:szCs w:val="24"/>
        </w:rPr>
        <w:t>C 40.00 – Alternativní postup určení míry expozice</w:t>
      </w:r>
      <w:bookmarkEnd w:id="49"/>
      <w:bookmarkEnd w:id="56"/>
      <w:bookmarkEnd w:id="53"/>
      <w:r>
        <w:rPr>
          <w:rFonts w:ascii="Times New Roman" w:hAnsi="Times New Roman"/>
          <w:b/>
          <w:sz w:val="24"/>
          <w:szCs w:val="24"/>
        </w:rPr>
        <w:t xml:space="preserve"> (LR1)</w:t>
      </w:r>
      <w:bookmarkEnd w:id="54"/>
      <w:bookmarkEnd w:id="55"/>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rPr>
          <w:rFonts w:ascii="Times New Roman" w:hAnsi="Times New Roman"/>
          <w:sz w:val="24"/>
          <w:szCs w:val="24"/>
        </w:rPr>
        <w:tab/>
        <w:t xml:space="preserve">V této části výkazů jsou sdruženy údaje týkající se alternativního zacházení s deriváty, transakcemi SFT, podrozvahovými položkami, vyňatými investicemi veřejného sektoru a vyňatými expozicemi vůči podpůrným úvěrům.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t xml:space="preserve">Instituce stanoví v LR1 „rozvahové hodnoty“ na základě použitelného účetního rámce podle čl. 4 odst. 1 </w:t>
      </w:r>
      <w:r>
        <w:rPr>
          <w:rFonts w:ascii="Times New Roman" w:hAnsi="Times New Roman"/>
          <w:bCs/>
          <w:sz w:val="24"/>
          <w:szCs w:val="24"/>
        </w:rPr>
        <w:t>bodu 77</w:t>
      </w:r>
      <w:r>
        <w:rPr>
          <w:rFonts w:ascii="Times New Roman" w:hAnsi="Times New Roman"/>
          <w:sz w:val="24"/>
          <w:szCs w:val="24"/>
        </w:rPr>
        <w:t xml:space="preserve"> CRR. Pojem „účetní hodnota za předpokladu, že není provedeno započtení ani jiné CRM“ označuje rozvahovou hodnotu, v níž nejsou zohledněny účinky započtení nebo jiného snižování úvěrového rizika.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t xml:space="preserve">Instituce vykazují položky LR1, jako kdyby se v šabloně LRCalc neuplatnily položky se záporným znaménkem (například vynětí/odpočty) v souladu s konvencí v oblasti znamének v části I bodu 9 této přílohy, s výjimkou řádků </w:t>
      </w:r>
      <w:r>
        <w:rPr>
          <w:rFonts w:ascii="Times New Roman" w:hAnsi="Times New Roman"/>
          <w:bCs/>
          <w:sz w:val="24"/>
          <w:szCs w:val="24"/>
        </w:rPr>
        <w:t>{0270;0010} a {0280;0010}</w:t>
      </w:r>
      <w:r>
        <w:rPr>
          <w:rFonts w:ascii="Times New Roman" w:hAnsi="Times New Roman"/>
          <w:sz w:val="24"/>
          <w:szCs w:val="24"/>
        </w:rPr>
        <w:t>.</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t>Buňku {r0410;c0010} v šabloně 40.00 vykazují:</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velké instituce, které jsou buď G-SVI, nebo vydaly cenné papíry, jež jsou přijaty k obchodování na regulovaném trhu, s půlroční periodicitou,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velké instituce jiné než G-SVI, které jsou nekotovanými institucemi, s roční periodicitou,</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ostatní instituce jiné než velké instituce a malé a nepříliš složité instituce, které vydaly cenné papíry, jež jsou přijaty k obchodování na regulovaném trhu, s roční periodicitou.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lastRenderedPageBreak/>
              <w:t>Řádek a sloupec</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Odkazy na právní předpisy a pokyny</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Deriváty – rozvahová hodnota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Jedná se o součet buněk {0020;010}, {0050;0010} a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Deriváty – účetní hodnota za předpokladu, že není provedeno započtení ani jiné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Jedná se o součet buněk {0020;0020}, {0050;0020} a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Deriváty – pomyslná hodnota</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Jedná se o součet buněk {0020;0070}, {0050;0070} a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(prodané zajištění) – rozvahová hodnota</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 4 odst. 1 bod 77 CRR; rozvahová hodnota úvěrových derivátů podle použitelného účetního rámce, kde instituce prodává zajištění úvěrového rizika protistraně a smlouva je v rozvaze uznána jako aktivum</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Úvěrové deriváty (prodané zajištění) – účetní hodnota za předpokladu, že není provedeno započtení ani jiné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 4 odst. 1 bod 77 CRR; rozvahová hodnota podle použitelného účetního rámce u úvěrových derivátů, kde instituce prodává zajištění úvěrového rizika protistraně a smlouva je v rozvaze uznána jako aktivum, přičemž nejsou zohledněny účinky obezřetnostního či účetního započtení ani CRM (tj. provede se reverze účinků účetního započtení nebo CRM, které se projevily v účetní hodnotě)</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(prodané zajištění) – pomyslná hodnota</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Jedná se o součet buněk {0030;0070} a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(prodané zajištění) – limitovaná pomyslná hodnota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pomyslnou hodnotu, k níž odkazují úvěrové deriváty (prodané zajištění), jako v buňce {0020; 0070} po odečtení záporných změn reálné hodnoty, které byly ve vztahu k prodanému úvěrovému derivátu zohledněny v kapitálu tier 1.</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(prodané zajištění) podléhající uzavírací doložce – pomyslná hodnota</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pomyslnou hodnotu, k níž odkazují úvěrové deriváty, kde instituce prodává zajištění úvěrového rizika protistraně, přičemž transakce podléhá uzavírací doložce.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Uzavírací doložkou se rozumí ustanovení, které dává protistraně, která není v selhání, právo ukončit a uzavřít včas všechny transakce, na které se vztahuje příslušná dohoda, v případě selhání druhé protistrany, včetně její insolvence nebo úpadku.</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zohlední všechny úvěrové deriváty, nejen deriváty zařazené do obchodního portfolia.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(prodané zajištění) nepodléhající uzavírací doložce – pomyslná hodnota</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Instituce vykazují pomyslnou hodnotu</w:t>
            </w:r>
            <w:r>
              <w:rPr>
                <w:rFonts w:ascii="Times New Roman" w:hAnsi="Times New Roman"/>
                <w:sz w:val="24"/>
                <w:szCs w:val="24"/>
              </w:rPr>
              <w:t xml:space="preserve">, k níž odkazují </w:t>
            </w:r>
            <w:r>
              <w:rPr>
                <w:rFonts w:ascii="Times New Roman" w:hAnsi="Times New Roman"/>
                <w:bCs/>
                <w:sz w:val="24"/>
                <w:szCs w:val="24"/>
              </w:rPr>
              <w:t>úvěrové deriváty, kde instituce prodává zajištění úvěrového rizika protistraně</w:t>
            </w:r>
            <w:r>
              <w:rPr>
                <w:rFonts w:ascii="Times New Roman" w:hAnsi="Times New Roman"/>
                <w:sz w:val="24"/>
                <w:szCs w:val="24"/>
              </w:rPr>
              <w:t>, přičemž transakce nepodléhá uzavírací doložce.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Uzavírací doložkou se rozumí ustanovení, které dává </w:t>
            </w:r>
            <w:r>
              <w:rPr>
                <w:rFonts w:ascii="Times New Roman" w:hAnsi="Times New Roman"/>
                <w:sz w:val="24"/>
                <w:szCs w:val="24"/>
              </w:rPr>
              <w:t>protistraně, která není v selhání, právo ukončit a uzavřít včas všechny transakce, na které se vztahuje příslušná dohoda, v případě selhání druhé protistrany, včetně její insolvence nebo úpadku.</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zohlední všechny úvěrové deriváty, nejen deriváty zařazené do obchodního portfolia.</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(koupené zajištění) – rozvahová hodnota</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 odst. 1 bod 77 CRR; rozvahová hodnota podle použitelného účetního rámce u úvěrových derivátů, kde instituce kupuje zajištění úvěrového rizika od protistrany a smlouva je v rozvaze uznána jako aktivum</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zohlední všechny úvěrové deriváty, nejen deriváty zařazené do obchodního portfolia.</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(koupené zajištění) – účetní hodnota za předpokladu, že není provedeno započtení ani jiné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 odst. 1 bod 77 CRR; rozvahová hodnota podle použitelného účetního rámce u úvěrových derivátů, kde instituce kupuje zajištění úvěrového rizika od protistrany a smlouva je v rozvaze uznána jako aktivum, přičemž nejsou zohledněny účinky obezřetnostního či účetního započtení ani CRM (tj. provede se reverze účinků účetního započtení nebo CRM, které se projevily v účetní hodnotě)</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zohlední všechny úvěrové deriváty, nejen deriváty zařazené do obchodního portfolia.</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(koupené zajištění) – pomyslná hodnota</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Instituce vykazují pomyslnou hodnotu, k níž odkazují úvěrové deriváty, kde instituce kupuje zajištění úvěrového rizika od protistrany.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Instituce zohlední všechny úvěrové deriváty, nejen deriváty zařazené do obchodního portfolia.</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(koupené zajištění) – limitovaná pomyslná hodnota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vykazují pomyslnou hodnotu, k níž odkazují úvěrové deriváty (koupené zajištění), jako v buňce {0050;0070} po odečtení kladných změn reálné hodnoty, které byly ve vztahu ke koupenému úvěrovému derivátu zohledněny v kapitálu tier 1.</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Úvěrové deriváty (koupené zajištění) – limitovaná pomyslná hodnota (stejné referenční jméno)</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pomyslnou hodnotu, k níž odkazují úvěrové deriváty, kde instituce kupuje zajištění úvěrového rizika</w:t>
            </w:r>
            <w:r>
              <w:rPr>
                <w:rFonts w:ascii="Times New Roman" w:hAnsi="Times New Roman"/>
                <w:sz w:val="24"/>
                <w:szCs w:val="24"/>
              </w:rPr>
              <w:t xml:space="preserve"> na stejné podkladové referenční jméno jako v případě prodaných úvěrových derivátů vykazující instituce</w:t>
            </w:r>
            <w:r>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Pro účely vykázání hodnoty v této buňce se podkladová referenční jména považují za stejná tehdy, pokud se týkají stejné právnické osoby a mají stejné pořadí pro uspokojení pohledávek.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Zajištění úvěrového rizika koupené pro seskupení referenčních subjektů se považuje za stejné tehdy, pokud je ekonomicky rovnocenné nákupu zajištění samostatně pro každé jednotlivé jméno v daném seskupení.</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Pokud instituce kupuje zajištění úvěrového rizika pro seskupení referenčních jmen, považuje se toto zajištění úvěrového rizika za stejné pouze tehdy, pokud kryje všechny podskupiny seskupení, na něž bylo zajištění úvěrového rizika prodáno. Jinými slovy, započtení lze uznat pouze v případě, že jsou seskupení referenčních subjektů a úroveň podřízenosti u obou transakcí totožné.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U žádného referenčního jména nesmí pomyslné hodnoty koupeného zajištění úvěrového rizika, které jsou za účelem vykazování zohledněny v této buňce, překročit částky</w:t>
            </w:r>
            <w:r>
              <w:rPr>
                <w:rFonts w:ascii="Times New Roman" w:hAnsi="Times New Roman"/>
                <w:sz w:val="24"/>
                <w:szCs w:val="24"/>
              </w:rPr>
              <w:t xml:space="preserve"> uvedené v buňkách {0020;0075} a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deriváty – rozvahová hodnota</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 odst. 1 bod 77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rozvahovou hodnotu podle použitelného účetního rámce u smluv uvedených v příloze II CRR, jsou-li v rozvaze uznány jako aktiva.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deriváty – účetní hodnota za předpokladu, že není provedeno započtení ani jiné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 4 odst. 1 bod 77 CRR; rozvahová hodnota podle použitelného účetního rámce u smluv uvedených v příloze II CRR, jsou-li v rozvaze uznány jako aktiva, přičemž nejsou zohledněny účinky obezřetnostního či účetního započtení ani jiného CRM (tj. provede se reverze účinků účetního započtení nebo CRM, které se projevily v účetní hodnotě)</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deriváty – pomyslná hodnota</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 této buňce se uvádí pomyslná hodnota, k níž odkazují smlouvy uvedené v příloze II CRR.</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Transakce s financováním cenných papírů – rozvahová hodnota</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Čl. 4 odst. 1 bod 77 CRR; rozvahová hodnota transakcí SFT podle použitelného účetního rámce, jsou-li smlouvy v rozvaze uznány jako aktiva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Transakce s financováním cenných papírů – účetní hodnota za předpokladu, že není provedeno započtení ani jiné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Čl. 4 odst. 1 bod 77 CRR; rozvahová hodnota podle použitelného účetního rámce, jsou-li smlouvy v rozvaze uznány jako aktiva, přičemž nejsou zohledněny účinky obezřetnostního či účetního započtení ani jiného CRM (tj. provede se reverze účinků účetního započtení nebo CRM, které se projevily v účetní hodnotě).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Pokud použitelný účetní rámec umožňuje účtovat o transakci SFT jako o prodeji, provedou instituce reverzi všech účetních zápisů souvisejících s prodejem.</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do této buňky nezahrnou obdržené peněžní prostředky nebo jakékoli zajištění poskytnuté protistraně prostřednictvím výše uvedených transakcí, které je ponecháno v rozvaze (tj. nejsou splněna účetní kritéria pro odúčtování). Tyto údaje instituce uvedou v buňce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Ostatní aktiva – rozvahová hodnota</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 4 odst. 1 bod 77 CRR; rozvahová hodnota podle použitelného účetního rámce u všech aktiv s výjimkou smluv uvedených v příloze II CRR, úvěrových derivátů a transakcí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Ostatní aktiva – účetní hodnota za předpokladu, že není provedeno započtení ani jiné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Čl. 4 odst. 1 bod 77 CRR; rozvahová hodnota podle použitelného účetního rámce u všech aktiv s výjimkou smluv uvedených v příloze II CRR, úvěrových derivátů a transakcí SFT, přičemž nejsou zohledněny účinky účetního započtení ani jiného CRM (tj. provede se reverze účinků účetního započtení nebo CRM, které se projevily v účetní hodnotě)</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Podrozvahové položky</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nominální hodnotu podrozvahových položek. Tato hodnota se nesnižuje o specifické úpravy o úvěrové riziko.</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 souladu s čl. 429f odst. 1 CRR instituce v této buňce nezohlední smlouvy uvedené v příloze II CRR, úvěrové deriváty a transakce SFT.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Hotovostní kolaterál přijatý v derivátových transakcích – účetní hodnota za předpokladu, že není provedeno započtení ani jiné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Rozvahová hodnota podle použitelného účetního rámce u</w:t>
            </w:r>
            <w:r>
              <w:rPr>
                <w:rFonts w:ascii="Times New Roman" w:hAnsi="Times New Roman"/>
                <w:sz w:val="24"/>
                <w:szCs w:val="24"/>
              </w:rPr>
              <w:t xml:space="preserve"> hotovostního kolaterálu přijatého v rámci derivátových transakcí </w:t>
            </w:r>
            <w:r>
              <w:rPr>
                <w:rFonts w:ascii="Times New Roman" w:hAnsi="Times New Roman"/>
                <w:bCs/>
                <w:sz w:val="24"/>
                <w:szCs w:val="24"/>
              </w:rPr>
              <w:t>bez zohlednění účinků účetního započtení nebo jiného CRM (tj. provede se reverze účinků účetního započtení nebo CRM, které se projevily v účetní hodnotě)</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Pohledávky z hotovostního kolaterálu složeného v derivátových transakcích – účetní hodnota za předpokladu, že není provedeno započtení ani jiné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Rozvahová hodnota podle použitelného účetního rámce u pohledávek z</w:t>
            </w:r>
            <w:r>
              <w:rPr>
                <w:rFonts w:ascii="Times New Roman" w:hAnsi="Times New Roman"/>
                <w:sz w:val="24"/>
                <w:szCs w:val="24"/>
              </w:rPr>
              <w:t xml:space="preserve"> hotovostního kolaterálu složeného v derivátových transakcích </w:t>
            </w:r>
            <w:r>
              <w:rPr>
                <w:rFonts w:ascii="Times New Roman" w:hAnsi="Times New Roman"/>
                <w:bCs/>
                <w:sz w:val="24"/>
                <w:szCs w:val="24"/>
              </w:rPr>
              <w:t>bez zohlednění účinků účetního započtení nebo CRM (tj. provede se reverze účinků účetního započtení nebo CRM, které se projevily v účetní hodnotě)</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Instituce, jimž je podle použitelného účetního rámce povoleno započítat pohledávku ze složeného hotovostního kolaterálu proti souvisejícím derivátovým závazkům (záporná reálná hodnota) a které se rozhodnou tak učinit, provedou reverzi započtení a vykážou čistou hotovostní pohledávku.</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Cenné papíry přijaté v rámci SFT, které jsou uznány jako aktivum – účetní hodnota za předpokladu, že není provedeno započtení ani jiné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Rozvahová hodnota podle použitelného účetního rámce u cenných papírů</w:t>
            </w:r>
            <w:r>
              <w:rPr>
                <w:rFonts w:ascii="Times New Roman" w:hAnsi="Times New Roman"/>
                <w:sz w:val="24"/>
                <w:szCs w:val="24"/>
              </w:rPr>
              <w:t xml:space="preserve"> přijatých v rámci </w:t>
            </w:r>
            <w:r>
              <w:rPr>
                <w:rFonts w:ascii="Times New Roman" w:hAnsi="Times New Roman"/>
                <w:bCs/>
                <w:sz w:val="24"/>
                <w:szCs w:val="24"/>
              </w:rPr>
              <w:t>SFT</w:t>
            </w:r>
            <w:r>
              <w:rPr>
                <w:rFonts w:ascii="Times New Roman" w:hAnsi="Times New Roman"/>
                <w:sz w:val="24"/>
                <w:szCs w:val="24"/>
              </w:rPr>
              <w:t xml:space="preserve">, které jsou podle použitelného účetního rámce v rozvaze uznány jako aktivum, </w:t>
            </w:r>
            <w:r>
              <w:rPr>
                <w:rFonts w:ascii="Times New Roman" w:hAnsi="Times New Roman"/>
                <w:bCs/>
                <w:sz w:val="24"/>
                <w:szCs w:val="24"/>
              </w:rPr>
              <w:t>přičemž nejsou zohledněny účinky účetního započtení ani jiného CRM (tj. provede se reverze účinků účetního započtení nebo CRM, které se projevily v účetní hodnotě)</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Transakce SFT s hotovostním prostředníkem (hotovostní pohledávky) – účetní hodnota za předpokladu, že není provedeno započtení ani jiné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lastRenderedPageBreak/>
              <w:t>Rozvahová hodnota podle použitelného účetního rámce u</w:t>
            </w:r>
            <w:r>
              <w:rPr>
                <w:rFonts w:ascii="Times New Roman" w:hAnsi="Times New Roman"/>
                <w:sz w:val="24"/>
                <w:szCs w:val="24"/>
              </w:rPr>
              <w:t xml:space="preserve"> pohledávek plynoucích z hotovosti přepůjčené majiteli cenných papírů v rámci kvalifikované úvěrové transakce s hotovostním prostředníkem („cash conduit lending transaction“) </w:t>
            </w:r>
            <w:r>
              <w:rPr>
                <w:rFonts w:ascii="Times New Roman" w:hAnsi="Times New Roman"/>
                <w:bCs/>
                <w:sz w:val="24"/>
                <w:szCs w:val="24"/>
              </w:rPr>
              <w:t>bez zohlednění účinků účetního započtení nebo jiného CRM (tj. provede se reverze účinků účetního započtení nebo CRM, které se projevily v účetní hodnotě)</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Pro účely této buňky je hotovost definována jako celková částka peněžních prostředků včetně mincí a bankovek/měny. Celková hodnota vkladů držených u centrálních bank se zahrnuje v rozsahu, v jakém je možné tyto vklady v krizové situaci vybrat. Instituce v této buňce nevykazují hotovost na vkladech u jiných institucí.</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Úvěrovou transakcí s hotovostním prostředníkem se rozumí kombinace dvou transakcí, kdy si instituce vypůjčí cenné papíry od vlastníka cenných papírů a přepůjčí je vypůjčiteli cenných papírů. Současně instituce obdrží od vypůjčitele cenných papírů hotovostní kolaterál a přijatou hotovost přepůjčuje vlastníkovi cenných papírů. Kvalifikovaná úvěrová transakce s hotovostním prostředníkem splňuje všechny tyto podmínky:</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obě jednotlivé transakce, ze kterých se kvalifikovaná úvěrová transakce s hotovostním prostředníkem skládá, jsou provedeny ve stejný den realizace obchodu, případně ve dvou po sobě následujících pracovních dnech, jedná-li se o mezinárodní transakci;</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pokud transakce, ze kterých se úvěrová transakce s hotovostním prostředníkem skládá, neuvádějí splatnost, má instituce zákonné právo kdykoli a bez předchozího upozornění kteroukoli z těchto transakcí uzavřít (tzn. obě transakce);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pokud transakce, ze kterých se úvěrová transakce s hotovostním prostředníkem skládá, uvádějí splatnost, nesmí tato úvěrová transakce s hotovostním prostředníkem pro danou instituci vyvolat nesoulad splatností; instituce má zákonné právo kdykoli a bez předchozího upozornění kteroukoli z transakcí, z nichž se úvěrová transakce s hotovostním prostředníkem skládá (tzn. obě transakce), uzavřít;</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rPr>
                <w:rFonts w:ascii="Times New Roman" w:hAnsi="Times New Roman"/>
                <w:sz w:val="24"/>
                <w:szCs w:val="24"/>
              </w:rPr>
              <w:tab/>
              <w:t>nevyplývají z ní žádné další dodatečné expozice.</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0"/>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Investice veřejného sektoru – pohledávky vůči ústředním vládám – rozvahová hodnota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Je-li instituce veřejnou rozvojovou úvěrovou institucí, rozvahová hodnota podle použitelného účetního rámce u aktiv, která představují pohledávky vůči ústředním vládám týkající se investic veřejného sektoru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rozvahové hodnoty instituce, k níž příslušný orgán přistupuje jako k veřejné rozvojové úvěrové instituci podle čl. 429a odst. 2 posledního pododstavce.</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Investice veřejného sektoru – pohledávky vůči regionálním vládám – rozvahová hodnota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Je-li instituce veřejnou rozvojovou úvěrovou institucí, rozvahová hodnota podle použitelného účetního rámce u aktiv, která představují pohledávky vůči regionálním vládám týkající se investic veřejného sektoru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instituce, k níž příslušný orgán přistupuje jako k veřejné rozvojové úvěrové instituci podle čl. 429a odst. 2 posledního pododstavce.</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Investice veřejného sektoru – pohledávky vůči místním orgánům – rozvahová hodnota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místním orgánům týkající se investic veřejného sektoru</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instituce, k níž příslušný orgán přistupuje jako k veřejné rozvojové úvěrové instituci podle čl. 429a odst. 2 posledního pododstavce.</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Investice veřejného sektoru – pohledávky vůči subjektům veřejného sektoru – rozvahová hodnota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subjektům veřejného sektoru týkající se investic veřejného sektoru</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pohledávky vůči ústředním vládám – rozvahová hodnota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Je-li instituce veřejnou rozvojovou úvěrovou institucí, rozvahová hodnota podle použitelného účetního rámce u aktiv, která představují pohledávky vůči ústředním vládám týkající se podpůrných úvěrů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ústředním vládám – pomyslná hodnota / nominální hodnota</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ústředním vládám</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Zohlední se rovněž nominální hodnoty útvaru instituce, k němuž příslušný orgán přistupuje jako k veřejné rozvojové úvěrové instituci podle čl. 429a odst. 2 posledního pododstavce.</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pohledávky vůči regionálním vládám – rozvahová hodnota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regionálním vládám týkající se podpůrných úvěrů</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regionálním vládám – pomyslná hodnota / nominální hodnota</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regionálním vládám</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pohledávky vůči místním orgánům – rozvahová hodnota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místním orgánům týkající se podpůrných úvěrů</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místním orgánům – pomyslná hodnota / nominální hodnota</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místním orgánům</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pohledávky vůči subjektům veřejného sektoru – rozvahová hodnota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subjektům veřejného sektoru týkající se podpůrných úvěrů</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subjektům veřejného sektoru – pomyslná hodnota / nominální hodnota</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subjektům veřejného sektoru</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nefinančním podnikům – rozvahová hodnota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nefinančním podnikům týkající se podpůrných úvěrů</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nefinančním podnikům – pomyslná hodnota / nominální hodnota</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nefinančním podnikům</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domácnostem – rozvahová hodnota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rozvahová hodnota podle použitelného účetního rámce u aktiv, která představují pohledávky vůči domácnostem týkající se podpůrných úvěrů</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Zohlední se rovněž rozvahové hodnoty útvaru instituce, k němuž příslušný orgán přistupuje jako k veřejné rozvojové úvěrové instituci podle čl. 429a odst. 2 posledního pododstavce.</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Podpůrné úvěry – pohledávky vůči domácnostem – pomyslná hodnota / nominální hodnota</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Je-li instituce veřejnou rozvojovou úvěrovou institucí, nominální hodnota podrozvahových položek týkajících se nečerpané části podpůrných úvěrů poskytnutých domácnostem</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postoupení –</w:t>
            </w:r>
            <w:r>
              <w:rPr>
                <w:sz w:val="24"/>
                <w:szCs w:val="24"/>
              </w:rPr>
              <w:t xml:space="preserve"> </w:t>
            </w:r>
            <w:r>
              <w:rPr>
                <w:rFonts w:ascii="Times New Roman" w:hAnsi="Times New Roman"/>
                <w:b/>
                <w:bCs/>
                <w:sz w:val="24"/>
                <w:szCs w:val="24"/>
              </w:rPr>
              <w:t>rozvahová hodnota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Je-li instituce veřejnou rozvojovou úvěrovou institucí</w:t>
            </w:r>
            <w:r>
              <w:rPr>
                <w:rFonts w:ascii="Times New Roman" w:hAnsi="Times New Roman"/>
                <w:sz w:val="24"/>
                <w:szCs w:val="24"/>
              </w:rPr>
              <w:t xml:space="preserve">, </w:t>
            </w:r>
            <w:r>
              <w:rPr>
                <w:rFonts w:ascii="Times New Roman" w:hAnsi="Times New Roman"/>
                <w:bCs/>
                <w:sz w:val="24"/>
                <w:szCs w:val="24"/>
              </w:rPr>
              <w:t xml:space="preserve">rozvahová hodnota podle použitelného účetního rámce </w:t>
            </w:r>
            <w:r>
              <w:rPr>
                <w:rFonts w:ascii="Times New Roman" w:hAnsi="Times New Roman"/>
                <w:color w:val="auto"/>
                <w:sz w:val="24"/>
                <w:szCs w:val="24"/>
              </w:rPr>
              <w:t>u postoupení podpůrných úvěrů, pokud podpůrné úvěry neposkytla samotná instituce</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rozvahové hodnoty útvaru instituce, k němuž příslušný orgán přistupuje jako k veřejné rozvojové úvěrové instituci podle čl. 429a odst. 2 posledního pododstavce.</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Podpůrné úvěry – postoupení – pomyslná hodnota / nominální hodnota</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Je-li instituce veřejnou rozvojovou úvěrovou institucí</w:t>
            </w:r>
            <w:r>
              <w:rPr>
                <w:rFonts w:ascii="Times New Roman" w:hAnsi="Times New Roman"/>
                <w:sz w:val="24"/>
                <w:szCs w:val="24"/>
              </w:rPr>
              <w:t xml:space="preserve">, </w:t>
            </w:r>
            <w:r>
              <w:rPr>
                <w:rFonts w:ascii="Times New Roman" w:hAnsi="Times New Roman"/>
                <w:bCs/>
                <w:sz w:val="24"/>
                <w:szCs w:val="24"/>
              </w:rPr>
              <w:t xml:space="preserve">nominální hodnota podrozvahových položek týkajících se nečerpané části </w:t>
            </w:r>
            <w:r>
              <w:rPr>
                <w:rFonts w:ascii="Times New Roman" w:hAnsi="Times New Roman"/>
                <w:color w:val="auto"/>
                <w:sz w:val="24"/>
                <w:szCs w:val="24"/>
              </w:rPr>
              <w:t>postoupených podpůrných úvěrů, pokud podpůrné úvěry neposkytla samotná instituce</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Zohlední se rovněž nominální hodnoty útvaru instituce, k němuž příslušný orgán přistupuje jako k veřejné rozvojové úvěrové instituci podle čl. 429a odst. 2 posledního pododstavce.</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Expozice vůči centrálním bankám – rozvahová hodnota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V souladu s použitelným účetním rámcem vykazují instituce hodnotu těchto expozic vůči své centrální bance: i) mince a bankovky představující zákonné platidlo v jurisdikci centrální banky; ii) aktiva představující pohledávky vůči centrální bance, včetně rezerv držených u centrální banky.</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Instituce zahrnou pouze expozice, které splňují obě tyto podmínky: a) jsou denominovány v téže měně jako vklady přijímané institucí; b) jejich průměrná splatnost nepřesahuje výraznou měrou průměrnou splatnost vkladů přijímaných institucí.</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t>Instituce vykazují tyto expozice bez ohledu na to, zda jsou vyňaty z celkové míry expozic podle čl. 429a odst. 5 a 6 CRR</w:t>
            </w:r>
            <w:r>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Hodnota expozic vůči centrálním bankám použitá při výpočtu požadavku na upravený pákový poměr podle čl. 429a odst. 7 CRR – objem expozice pákového poměru</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Denní průměrná celková hodnota expozic dané instituce vůči její centrální bance, které jsou způsobilé k vyloučení v souladu s čl. 429a odst. 1 písm. n) CRR, vypočtená za úplné udržovací období centrální banky přímo předcházející datu uvedenému v čl. 429a odst. 5 písm. c) CRR.</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Míra expozice pákového poměru použitá při výpočtu požadavku na upravený pákový poměr podle čl. 429a odst. 7 CRR – objem expozice pákového poměru</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Celková míra expozice dané instituce podle čl. 429 odst. 4 CRR, včetně expozic vyloučených v souladu s čl. 429 odst. 1 písm. n) CRR, ke dni uvedenému v čl. 429a odst. 5 písm. c) CRR</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Aktiva celkem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Instituce vykazují v této položce celková aktiva podle rozsahu použitého ve zveřejněné účetní závěrce.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58488625"/>
      <w:bookmarkEnd w:id="57"/>
      <w:bookmarkEnd w:id="65"/>
      <w:bookmarkEnd w:id="66"/>
      <w:bookmarkEnd w:id="67"/>
      <w:r>
        <w:rPr>
          <w:rFonts w:ascii="Times New Roman" w:hAnsi="Times New Roman"/>
          <w:b/>
          <w:sz w:val="24"/>
          <w:szCs w:val="24"/>
        </w:rPr>
        <w:t>5.</w:t>
      </w:r>
      <w:r>
        <w:rPr>
          <w:rFonts w:ascii="Times New Roman" w:hAnsi="Times New Roman"/>
          <w:b/>
          <w:sz w:val="24"/>
          <w:szCs w:val="24"/>
        </w:rPr>
        <w:tab/>
        <w:t>C 43.00 – Alternativní členění složek míry expozice pákového poměru</w:t>
      </w:r>
      <w:bookmarkEnd w:id="68"/>
      <w:bookmarkEnd w:id="69"/>
      <w:bookmarkEnd w:id="70"/>
      <w:r>
        <w:rPr>
          <w:rFonts w:ascii="Times New Roman" w:hAnsi="Times New Roman"/>
          <w:b/>
          <w:sz w:val="24"/>
          <w:szCs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t xml:space="preserve">Instituce vykazují v šabloně LR4 hodnoty expozice pákového poměru po uplatnění vynětí a odpočtů v šabloně LRCalc, tj. položek se záporným znaménkem v souladu s konvencí v oblasti znamének v části I bodu 9 této přílohy vyjma řádky </w:t>
      </w:r>
      <w:r>
        <w:rPr>
          <w:rFonts w:ascii="Times New Roman" w:hAnsi="Times New Roman"/>
          <w:bCs/>
          <w:sz w:val="24"/>
          <w:szCs w:val="24"/>
        </w:rPr>
        <w:t>{0270;0010} a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rPr>
          <w:rFonts w:ascii="Times New Roman" w:hAnsi="Times New Roman"/>
          <w:sz w:val="24"/>
          <w:szCs w:val="24"/>
        </w:rPr>
        <w:tab/>
        <w:t>Aby zamezily dvojímu vykázání, řídí se instituce následující rovnicí:</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Součet </w:t>
      </w:r>
      <w:r>
        <w:rPr>
          <w:rFonts w:ascii="Times New Roman" w:hAnsi="Times New Roman"/>
          <w:bCs/>
          <w:sz w:val="24"/>
          <w:szCs w:val="24"/>
        </w:rPr>
        <w:t>všech řádků od</w:t>
      </w:r>
      <w:r>
        <w:rPr>
          <w:rFonts w:ascii="Times New Roman" w:hAnsi="Times New Roman"/>
          <w:sz w:val="24"/>
          <w:szCs w:val="24"/>
        </w:rPr>
        <w:t xml:space="preserve"> {0010; 0010}</w:t>
      </w:r>
      <w:r>
        <w:rPr>
          <w:rFonts w:ascii="Times New Roman" w:hAnsi="Times New Roman"/>
          <w:bCs/>
          <w:sz w:val="24"/>
          <w:szCs w:val="24"/>
        </w:rPr>
        <w:t xml:space="preserve"> do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v šabloně LRCalc se rovná</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rPr>
          <w:rFonts w:ascii="Times New Roman" w:hAnsi="Times New Roman"/>
          <w:sz w:val="24"/>
          <w:szCs w:val="24"/>
        </w:rPr>
        <w:tab/>
        <w:t>K zajištění souladu s hodnotami expozice pákového poměru se objemy rizikově vážených expozic vykazují také s použitím plně zavedené definice.</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Instituce vykazují protistranu ve vztahu k objemu rizikově vážené expozice po dopadu technik snižování úvěrového rizika (CRM), včetně substitučních účinků. Ve vztahu k expozici pákového poměru instituce vykazují protistranu v souladu s původní protistranou, tj. bez zohlednění dopadu snižování úvěrového rizika nebo substitučních účinků použitelných na objem rizikově vážené expozice.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lastRenderedPageBreak/>
              <w:t>Řádek a sloupec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Odkazy na právní předpisy a pokyny</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Podrozvahové položky – hodnota expozice pákového poměru</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vypočtená jako součet {LRCalc;0150;0010}, {LRCalc;0160;0010}, {LRCalc;0170;0010} a {LRCalc;0180;0010} s vyloučením příslušných expozic uvnitř skupiny (na individuálním základě) vyňatých v souladu s čl. 429a odst. 1 písm. c)</w:t>
            </w:r>
            <w:r>
              <w:rPr>
                <w:rFonts w:ascii="Times New Roman" w:hAnsi="Times New Roman"/>
                <w:sz w:val="24"/>
                <w:szCs w:val="24"/>
              </w:rPr>
              <w:t xml:space="preserve"> </w:t>
            </w:r>
            <w:r>
              <w:rPr>
                <w:rFonts w:ascii="Times New Roman" w:hAnsi="Times New Roman"/>
                <w:bCs/>
                <w:sz w:val="24"/>
                <w:szCs w:val="24"/>
              </w:rPr>
              <w:t>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Podrozvahové položky – objem rizikově vážené expozice</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Objem rizikově vážené expozice podrozvahových položek – s výjimkou transakcí SFT a derivátů – vypočtený podle standardizovaného přístupu a přístupu IRB. Pro expozice podle standardizovaného přístupu určí instituce objem rizikově vážené expozice v souladu s částí třetí hlavou II kapitolou 2</w:t>
            </w:r>
            <w:r>
              <w:rPr>
                <w:rFonts w:ascii="Times New Roman" w:hAnsi="Times New Roman"/>
                <w:sz w:val="24"/>
                <w:szCs w:val="24"/>
              </w:rPr>
              <w:t xml:space="preserve"> </w:t>
            </w:r>
            <w:r>
              <w:rPr>
                <w:rFonts w:ascii="Times New Roman" w:hAnsi="Times New Roman"/>
                <w:bCs/>
                <w:sz w:val="24"/>
                <w:szCs w:val="24"/>
              </w:rPr>
              <w:t>CRR. Pro expozice podle přístupu IRB určí instituce objem rizikově vážené expozice v souladu s částí třetí hlavou II kapitolou 3</w:t>
            </w:r>
            <w:r>
              <w:rPr>
                <w:rFonts w:ascii="Times New Roman" w:hAnsi="Times New Roman"/>
                <w:sz w:val="24"/>
                <w:szCs w:val="24"/>
              </w:rPr>
              <w:t xml:space="preserve"> </w:t>
            </w:r>
            <w:r>
              <w:rPr>
                <w:rFonts w:ascii="Times New Roman" w:hAnsi="Times New Roman"/>
                <w:bCs/>
                <w:sz w:val="24"/>
                <w:szCs w:val="24"/>
              </w:rPr>
              <w:t>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financování obchodu</w:t>
            </w:r>
            <w:r>
              <w:rPr>
                <w:rFonts w:ascii="Times New Roman" w:hAnsi="Times New Roman"/>
                <w:b/>
                <w:sz w:val="24"/>
                <w:szCs w:val="24"/>
              </w:rPr>
              <w:t xml:space="preserve"> – hodnota expozice pákového poměru</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podrozvahových položek týkajících se financování obchodu</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Pro účely vykazování údajů v šabloně LR4 se podrozvahové položky týkající se financování obchodu musí vztahovat k poskytnutým a potvrzeným vývozním a dovozním akreditivům, které jsou krátkodobé a samolikvidující, a obdobným transakcím.</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financování obchodu – objem rizikově vážené expozice</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Hodnota rizikově vážené expozice podrozvahových položek – s výjimkou transakcí SFT a derivátů – týkajících se financování obchodu</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Pro účely vykazování údajů v šabloně LR4 se podrozvahové položky týkající se financování obchodu musí vztahovat k poskytnutým a potvrzeným vývozním a dovozním akreditivům, které jsou krátkodobé a samolikvidující, a obdobným transakcím.</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v rámci oficiálního režimu pojištění vývozních úvěrů </w:t>
            </w:r>
            <w:r>
              <w:rPr>
                <w:rFonts w:ascii="Times New Roman" w:hAnsi="Times New Roman"/>
                <w:b/>
                <w:sz w:val="24"/>
                <w:szCs w:val="24"/>
              </w:rPr>
              <w:t>– hodnota expozice pákového poměru</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Hodnota </w:t>
            </w:r>
            <w:r>
              <w:rPr>
                <w:rFonts w:ascii="Times New Roman" w:hAnsi="Times New Roman"/>
                <w:bCs/>
                <w:sz w:val="24"/>
                <w:szCs w:val="24"/>
              </w:rPr>
              <w:t xml:space="preserve">expozice </w:t>
            </w:r>
            <w:r>
              <w:rPr>
                <w:rFonts w:ascii="Times New Roman" w:hAnsi="Times New Roman"/>
                <w:sz w:val="24"/>
                <w:szCs w:val="24"/>
              </w:rPr>
              <w:t xml:space="preserve">pákového poměru </w:t>
            </w:r>
            <w:r>
              <w:rPr>
                <w:rFonts w:ascii="Times New Roman" w:hAnsi="Times New Roman"/>
                <w:bCs/>
                <w:sz w:val="24"/>
                <w:szCs w:val="24"/>
              </w:rPr>
              <w:t xml:space="preserve">u podrozvahových položek týkajících se financování obchodu v rámci oficiálního </w:t>
            </w:r>
            <w:r>
              <w:rPr>
                <w:rFonts w:ascii="Times New Roman" w:hAnsi="Times New Roman"/>
                <w:sz w:val="24"/>
                <w:szCs w:val="24"/>
              </w:rPr>
              <w:t xml:space="preserve">režimu </w:t>
            </w:r>
            <w:r>
              <w:rPr>
                <w:rFonts w:ascii="Times New Roman" w:hAnsi="Times New Roman"/>
                <w:bCs/>
                <w:sz w:val="24"/>
                <w:szCs w:val="24"/>
              </w:rPr>
              <w:t>pojištění vývozních úvěrů</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 xml:space="preserve">režimem pojištění vývozních úvěrů rozumí oficiální podpora poskytnutá státem nebo jiným subjektem, jako je exportní úvěrová agentura, mimo jiné ve formě přímých úvěrů/financování, refinancování, podpory úrokových sazeb (kdy je po </w:t>
            </w:r>
            <w:r>
              <w:rPr>
                <w:rFonts w:ascii="Times New Roman" w:hAnsi="Times New Roman"/>
                <w:sz w:val="24"/>
                <w:szCs w:val="24"/>
              </w:rPr>
              <w:lastRenderedPageBreak/>
              <w:t>celou dobu trvání úvěru garantována pevná úroková sazba), financování pomoci (úvěry a granty), pojištění vývozních úvěrů a záruk.</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v rámci oficiálního režimu pojištění vývozních úvěrů – objem rizikově vážené expozice</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Hodnota rizikově vážené expozice podrozvahových položek – s výjimkou transakcí SFT a derivátů – týkajících se financování obchodu v rámci </w:t>
            </w:r>
            <w:r>
              <w:rPr>
                <w:rFonts w:ascii="Times New Roman" w:hAnsi="Times New Roman"/>
                <w:sz w:val="24"/>
                <w:szCs w:val="24"/>
              </w:rPr>
              <w:t>oficiálního režimu pojištění vývozních úvěrů</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Deriváty a transakce SFT, na něž se vztahuje dohoda o křížovém započtení </w:t>
            </w:r>
            <w:r>
              <w:rPr>
                <w:rFonts w:ascii="Times New Roman" w:hAnsi="Times New Roman"/>
                <w:b/>
                <w:sz w:val="24"/>
                <w:szCs w:val="24"/>
              </w:rPr>
              <w:t>– hodnota expozice pákového poměru</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Hodnota expozice pákového poměru u derivátů a transakcí SFT, pokud podléhají dohodě o křížovém započtení dle definice v čl. 272 bodě 25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Deriváty a transakce SFT, na něž se vztahuje dohoda o křížovém započtení – objem rizikově vážené expozice</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w:t>
            </w:r>
            <w:r>
              <w:rPr>
                <w:rFonts w:ascii="Times New Roman" w:hAnsi="Times New Roman"/>
                <w:sz w:val="24"/>
                <w:szCs w:val="24"/>
              </w:rPr>
              <w:t xml:space="preserve">vůči úvěrovému riziku a úvěrovému riziku protistrany vypočtený podle části třetí hlavy II CRR </w:t>
            </w:r>
            <w:r>
              <w:rPr>
                <w:rFonts w:ascii="Times New Roman" w:hAnsi="Times New Roman"/>
                <w:bCs/>
                <w:sz w:val="24"/>
                <w:szCs w:val="24"/>
              </w:rPr>
              <w:t>u derivátů a transakcí SFT včetně podrozvahových, pokud podléhají dohodě o křížovém započtení dle definice v čl. 272 bodě 25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Deriváty, na něž se nevztahuje dohoda o křížovém započtení </w:t>
            </w:r>
            <w:r>
              <w:rPr>
                <w:rFonts w:ascii="Times New Roman" w:hAnsi="Times New Roman"/>
                <w:b/>
                <w:sz w:val="24"/>
                <w:szCs w:val="24"/>
              </w:rPr>
              <w:t>– hodnota expozice pákového poměru</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Hodnota expozice pákového poměru u derivátů</w:t>
            </w:r>
            <w:r>
              <w:rPr>
                <w:rFonts w:ascii="Times New Roman" w:hAnsi="Times New Roman"/>
                <w:sz w:val="24"/>
                <w:szCs w:val="24"/>
              </w:rPr>
              <w:t xml:space="preserve">, pokud </w:t>
            </w:r>
            <w:r>
              <w:rPr>
                <w:rFonts w:ascii="Times New Roman" w:hAnsi="Times New Roman"/>
                <w:bCs/>
                <w:sz w:val="24"/>
                <w:szCs w:val="24"/>
              </w:rPr>
              <w:t>nepodléhají dohodě o křížovém započtení dle definice v čl. 272 bodě 25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Deriváty, na něž se nevztahuje dohoda o křížovém započtení – objem rizikově vážené expozice</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Objem rizikově vážené expozice vůči úvěrovému</w:t>
            </w:r>
            <w:r>
              <w:rPr>
                <w:rFonts w:ascii="Times New Roman" w:hAnsi="Times New Roman"/>
                <w:sz w:val="24"/>
                <w:szCs w:val="24"/>
              </w:rPr>
              <w:t xml:space="preserve"> riziku a úvěrovému riziku protistrany vypočtený podle části třetí hlavy II CRR u derivátů včetně podrozvahových, </w:t>
            </w:r>
            <w:r>
              <w:rPr>
                <w:rFonts w:ascii="Times New Roman" w:hAnsi="Times New Roman"/>
                <w:bCs/>
                <w:sz w:val="24"/>
                <w:szCs w:val="24"/>
              </w:rPr>
              <w:t>pokud nepodléhají dohodě o křížovém započtení dle definice v čl. 272 bodě 25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Transakce SFT, na něž se nevztahuje dohoda o křížovém započtení </w:t>
            </w:r>
            <w:r>
              <w:rPr>
                <w:rFonts w:ascii="Times New Roman" w:hAnsi="Times New Roman"/>
                <w:b/>
                <w:sz w:val="24"/>
                <w:szCs w:val="24"/>
              </w:rPr>
              <w:t>– hodnota expozice pákového poměru</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Hodnota expozice pákového poměru u transakcí SFT</w:t>
            </w:r>
            <w:r>
              <w:rPr>
                <w:rFonts w:ascii="Times New Roman" w:hAnsi="Times New Roman"/>
                <w:sz w:val="24"/>
                <w:szCs w:val="24"/>
              </w:rPr>
              <w:t xml:space="preserve">, pokud </w:t>
            </w:r>
            <w:r>
              <w:rPr>
                <w:rFonts w:ascii="Times New Roman" w:hAnsi="Times New Roman"/>
                <w:bCs/>
                <w:sz w:val="24"/>
                <w:szCs w:val="24"/>
              </w:rPr>
              <w:t>nepodléhají dohodě o křížovém započtení dle definice v čl. 272 bodě 25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Transakce SFT, na něž se nevztahuje dohoda o křížovém započtení – objem rizikově vážené expozice</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Objem rizikově vážené expozice vůči úvěrovému riziku a úvěrovému riziku protistrany vypočtený podle části třetí hlavy II CRR u transakcí SFT včetně podrozvahových, pokud nepodléhají dohodě o křížovém započtení dle definice v čl. 272 bodě 25 CRR</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Objem expozice vyplývající z doplňujících úprav u úvěrových derivátů </w:t>
            </w:r>
            <w:r>
              <w:rPr>
                <w:rFonts w:ascii="Times New Roman" w:hAnsi="Times New Roman"/>
                <w:b/>
                <w:sz w:val="24"/>
                <w:szCs w:val="24"/>
              </w:rPr>
              <w:t>– hodnota expozice pákového poměru</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Tato buňka se rovná rozdílu mezi {LRCalc;0130;0010} a {LRCalc;0140;0010} s vyloučením příslušných expozic uvnitř skupiny (na individuálním základě) vyňatých v souladu s čl. 429a odst. 1 písm. c)</w:t>
            </w:r>
            <w:r>
              <w:rPr>
                <w:rFonts w:ascii="Times New Roman" w:hAnsi="Times New Roman"/>
                <w:sz w:val="24"/>
                <w:szCs w:val="24"/>
              </w:rPr>
              <w:t xml:space="preserve"> </w:t>
            </w:r>
            <w:r>
              <w:rPr>
                <w:rFonts w:ascii="Times New Roman" w:hAnsi="Times New Roman"/>
                <w:bCs/>
                <w:sz w:val="24"/>
                <w:szCs w:val="24"/>
              </w:rPr>
              <w:t>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Ostatní aktiva obchodního portfolia </w:t>
            </w:r>
            <w:r>
              <w:rPr>
                <w:rFonts w:ascii="Times New Roman" w:hAnsi="Times New Roman"/>
                <w:b/>
                <w:sz w:val="24"/>
                <w:szCs w:val="24"/>
              </w:rPr>
              <w:t>– hodnota expozice pákového poměru</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položek vykázaných v buňce {LRCalc;0190;0010} s vyloučením položek investičního portfolia</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Ostatní aktiva obchodního portfolia – objem rizikově vážené expozice</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Kapitálové požadavky k položkám podle části třetí hlavy IV CRR násobené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Kryté dluhopisy</w:t>
            </w:r>
            <w:r>
              <w:rPr>
                <w:rFonts w:ascii="Times New Roman" w:hAnsi="Times New Roman"/>
                <w:b/>
                <w:sz w:val="24"/>
                <w:szCs w:val="24"/>
              </w:rPr>
              <w:t xml:space="preserve"> – hodnota expozice pákového poměru – expozice podle standardizovaného přístupu</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standardizovaného přístupu v krytých dluhopisech dle vymezení v článku 129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Kryté dluhopisy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 krytých dluhopisech dle vymezení v čl. 161 odst. 1 písm. d)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Kryté dluhopisy – objem rizikově vážené expozice – expozice podle standardizovaného přístupu</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 krytých dluhopisech podle článku 129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Kryté dluhopisy – objem rizikově vážené expozice – expozice podle přístupu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 krytých dluhopisech podle čl. 161 odst. 1 písm. d)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považované za expozice vůči suverénním subjektům</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standardizovaného přístupu</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{0100,0010} až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Expozice považované za expozice vůči suverénním subjektům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{0100,0020} až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považované za expozice vůči suverénním subjektům – objem rizikově vážené expozice – expozice podle standardizovaného přístupu</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{0100,0030} až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považované za expozice vůči suverénním subjektům – objem rizikově vážené expozice – expozice podle přístupu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{0100,0040} až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szCs w:val="24"/>
              </w:rPr>
              <w:t>Ústřední vlády a centrální banky – hodnota expozice pákového poměru – expozice podle standardizovaného přístupu</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ústředním vládám nebo centrálním bankám dle vymezení v článku 114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szCs w:val="24"/>
              </w:rPr>
              <w:t>Ústřední vlády a centrální banky – hodnota expozice pákového poměru – expozice podle přístupu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přístupu IRB vůči ústředním vládám nebo centrálním bankám dle vymezení v čl. 147 odst. 2 písm. a)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Ústřední vlády a centrální banky</w:t>
            </w:r>
            <w:r>
              <w:rPr>
                <w:rFonts w:ascii="Times New Roman" w:hAnsi="Times New Roman"/>
                <w:sz w:val="24"/>
                <w:szCs w:val="24"/>
              </w:rPr>
              <w:t xml:space="preserve"> </w:t>
            </w:r>
            <w:r>
              <w:rPr>
                <w:rFonts w:ascii="Times New Roman" w:hAnsi="Times New Roman"/>
                <w:b/>
                <w:bCs/>
                <w:sz w:val="24"/>
                <w:szCs w:val="24"/>
              </w:rPr>
              <w:t>– objem rizikově vážené expozice – expozice podle standardizovaného přístupu</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ústředním vládám nebo centrálním bankám dle vymezení v článku 114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Ústřední vlády a centrální banky</w:t>
            </w:r>
            <w:r>
              <w:rPr>
                <w:rFonts w:ascii="Times New Roman" w:hAnsi="Times New Roman"/>
                <w:sz w:val="24"/>
                <w:szCs w:val="24"/>
              </w:rPr>
              <w:t xml:space="preserve"> </w:t>
            </w:r>
            <w:r>
              <w:rPr>
                <w:rFonts w:ascii="Times New Roman" w:hAnsi="Times New Roman"/>
                <w:b/>
                <w:bCs/>
                <w:sz w:val="24"/>
                <w:szCs w:val="24"/>
              </w:rPr>
              <w:t>– objem rizikově vážené expozice – expozice podle přístupu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ústředním vládám nebo centrálním bankám dle vymezení v čl. 147 odst. 2 písm. a)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považované za suverénní subjekty</w:t>
            </w:r>
            <w:r>
              <w:rPr>
                <w:rFonts w:ascii="Times New Roman" w:hAnsi="Times New Roman"/>
                <w:b/>
                <w:sz w:val="24"/>
                <w:szCs w:val="24"/>
              </w:rPr>
              <w:t xml:space="preserve"> – hodnota expozice pákového poměru – expozice podle standardizovaného přístupu</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regionálním vládám a místním orgánům považovaným za suverénní subjekty, pro něž platí čl. 115 odst. 2 a 4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Regionální vlády a místní orgány považované za suverénní subjekty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Hodnota expozice pákového poměru u aktiv, která jsou expozicemi podle přístupu IRB vůči regionálním vládám a místním orgánům, pro něž platí čl. 147 odst. 3 písm. a)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považované za suverénní subjekty – objem rizikově vážené expozice – expozice podle standardizovaného přístupu</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regionálním vládám a místním orgánům považovaným za suverénní subjekty, pro něž platí čl. 115 odst. 2 a 4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považované za suverénní subjekty – objem rizikově vážené expozice – expozice podle přístupu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přístupu IRB vůči regionálním vládám a místním orgánům, pro něž platí čl. 147 odst. 3 písm. a)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Mezinárodní rozvojové banky a mezinárodní organizace považované za suverénní subjekty </w:t>
            </w:r>
            <w:r>
              <w:rPr>
                <w:rFonts w:ascii="Times New Roman" w:hAnsi="Times New Roman"/>
                <w:b/>
                <w:sz w:val="24"/>
                <w:szCs w:val="24"/>
              </w:rPr>
              <w:t>– hodnota expozice pákového poměru – expozice podle standardizovaného přístupu</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standardizovaného přístupu vůči mezinárodním rozvojovým bankám a mezinárodním organizacím, pro něž platí čl. 117 odst. 2 a článek 118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Mezinárodní rozvojové banky a mezinárodní organizace považované za suverénní subjekty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mezinárodním rozvojovým bankám a mezinárodním organizacím, pro něž platí čl. 147 odst. 3 písm. b) a c)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Instituce vykazují čistou výši po odečtení expozic podle přístupu IRB, které jsou v selhání.</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Mezinárodní rozvojové banky a mezinárodní organizace považované za suverénní subjekty – objem rizikově vážené expozice – expozice podle standardizovaného přístupu</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mezinárodním rozvojovým bankám a mezinárodním organizacím, pro něž platí čl. 117 odst. 2 a článek 118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Mezinárodní rozvojové banky a mezinárodní organizace považované za suverénní subjekty – objem rizikově vážené expozice – expozice podle přístupu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mezinárodním rozvojovým bankám a mezinárodním organizacím, pro něž platí čl. 147 odst. 3 písm. b) a c)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Subjekty veřejného sektoru považované za suverénní subjekty</w:t>
            </w:r>
            <w:r>
              <w:rPr>
                <w:rFonts w:ascii="Times New Roman" w:hAnsi="Times New Roman"/>
                <w:b/>
                <w:sz w:val="24"/>
                <w:szCs w:val="24"/>
              </w:rPr>
              <w:t xml:space="preserve"> – hodnota expozice pákového poměru – expozice podle standardizovaného přístupu</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subjektům veřejného sektoru, pro něž platí čl. 116 odst. 4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Subjekty veřejného sektoru považované za suverénní subjekty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expozice pákového poměru u aktiv, která jsou expozicemi podle přístupu IRB vůči subjektům veřejného sektoru, pro něž platí čl. 147 odst. 3 písm. a)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Subjekty veřejného sektoru považované za suverénní subjekty – objem rizikově vážené expozice – expozice podle standardizovaného přístupu</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Objem rizikově vážené expozice aktiv, která jsou expozicemi podle standardizovaného přístupu vůči subjektům veřejného sektoru, pro něž platí čl. 116 odst. 4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Subjekty veřejného sektoru považované za suverénní subjekty – objem rizikově vážené expozice – expozice podle přístupu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subjektům veřejného sektoru, pro něž platí čl. 147 odst. 3 písm. a)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regionálním vládám, mezinárodním rozvojovým bankám, mezinárodním organizacím a subjektům veřejného sektoru</w:t>
            </w:r>
            <w:r>
              <w:rPr>
                <w:rFonts w:ascii="Times New Roman" w:hAnsi="Times New Roman"/>
                <w:b/>
                <w:sz w:val="24"/>
                <w:szCs w:val="24"/>
              </w:rPr>
              <w:t xml:space="preserve"> </w:t>
            </w:r>
            <w:r>
              <w:rPr>
                <w:rFonts w:ascii="Times New Roman" w:hAnsi="Times New Roman"/>
                <w:b/>
                <w:bCs/>
                <w:sz w:val="24"/>
                <w:szCs w:val="24"/>
              </w:rPr>
              <w:t>nepovažovaným za suverénní subjekty</w:t>
            </w:r>
            <w:r>
              <w:rPr>
                <w:rFonts w:ascii="Times New Roman" w:hAnsi="Times New Roman"/>
                <w:b/>
                <w:sz w:val="24"/>
                <w:szCs w:val="24"/>
              </w:rPr>
              <w:t xml:space="preserve"> – hodnota expozice pákového poměru </w:t>
            </w:r>
            <w:r>
              <w:rPr>
                <w:rFonts w:ascii="Times New Roman" w:hAnsi="Times New Roman"/>
                <w:b/>
                <w:bCs/>
                <w:sz w:val="24"/>
                <w:szCs w:val="24"/>
              </w:rPr>
              <w:t>– expozice podle standardizovaného přístupu</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{0150,0010} až {0170,0010}</w:t>
            </w:r>
            <w:r>
              <w:rPr>
                <w:rFonts w:ascii="Times New Roman" w:hAnsi="Times New Roman"/>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regionálním vládám, mezinárodním rozvojovým bankám, mezinárodním organizacím a subjektům veřejného sektoru</w:t>
            </w:r>
            <w:r>
              <w:rPr>
                <w:rFonts w:ascii="Times New Roman" w:hAnsi="Times New Roman"/>
                <w:b/>
                <w:sz w:val="24"/>
                <w:szCs w:val="24"/>
              </w:rPr>
              <w:t xml:space="preserve"> </w:t>
            </w:r>
            <w:r>
              <w:rPr>
                <w:rFonts w:ascii="Times New Roman" w:hAnsi="Times New Roman"/>
                <w:b/>
                <w:bCs/>
                <w:sz w:val="24"/>
                <w:szCs w:val="24"/>
              </w:rPr>
              <w:t>nepovažovaným za suverénní subjekty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{0150,0020} až {0170,0020}</w:t>
            </w:r>
            <w:r>
              <w:rPr>
                <w:rFonts w:ascii="Times New Roman" w:hAnsi="Times New Roman"/>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regionálním vládám, mezinárodním rozvojovým bankám, mezinárodním organizacím a subjektům veřejného sektoru</w:t>
            </w:r>
            <w:r>
              <w:rPr>
                <w:rFonts w:ascii="Times New Roman" w:hAnsi="Times New Roman"/>
                <w:b/>
                <w:sz w:val="24"/>
                <w:szCs w:val="24"/>
              </w:rPr>
              <w:t xml:space="preserve"> </w:t>
            </w:r>
            <w:r>
              <w:rPr>
                <w:rFonts w:ascii="Times New Roman" w:hAnsi="Times New Roman"/>
                <w:b/>
                <w:bCs/>
                <w:sz w:val="24"/>
                <w:szCs w:val="24"/>
              </w:rPr>
              <w:t>nepovažovaným za suverénní subjekty – objem rizikově vážené expozice – expozice podle standardizovaného přístupu</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{0150,0030} až {0170,0030}</w:t>
            </w:r>
            <w:r>
              <w:rPr>
                <w:rFonts w:ascii="Times New Roman" w:hAnsi="Times New Roman"/>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regionálním vládám, mezinárodním rozvojovým bankám, mezinárodním organizacím a subjektům veřejného sektoru</w:t>
            </w:r>
            <w:r>
              <w:rPr>
                <w:rFonts w:ascii="Times New Roman" w:hAnsi="Times New Roman"/>
                <w:b/>
                <w:sz w:val="24"/>
                <w:szCs w:val="24"/>
              </w:rPr>
              <w:t xml:space="preserve"> </w:t>
            </w:r>
            <w:r>
              <w:rPr>
                <w:rFonts w:ascii="Times New Roman" w:hAnsi="Times New Roman"/>
                <w:b/>
                <w:bCs/>
                <w:sz w:val="24"/>
                <w:szCs w:val="24"/>
              </w:rPr>
              <w:lastRenderedPageBreak/>
              <w:t>nepovažovaným za suverénní subjekty – objem rizikově vážené expozice – expozice podle přístupu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{0150,0040} až {0170,0040}</w:t>
            </w:r>
            <w:r>
              <w:rPr>
                <w:rFonts w:ascii="Times New Roman" w:hAnsi="Times New Roman"/>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nepovažované za suverénní subjekty</w:t>
            </w:r>
            <w:r>
              <w:rPr>
                <w:rFonts w:ascii="Times New Roman" w:hAnsi="Times New Roman"/>
                <w:b/>
                <w:sz w:val="24"/>
                <w:szCs w:val="24"/>
              </w:rPr>
              <w:t xml:space="preserve"> – hodnota expozice pákového poměru – expozice podle standardizovaného přístupu</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regionálním vládám a místním orgánům nepovažovaným za suverénní subjekty, pro něž platí čl. 115 odst. 1, 3 a 5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nepovažované za suverénní subjekty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regionálním vládám a místním orgánům nepovažovaným za suverénní subjekty, pro něž platí čl. 147 odst. 4 písm. a)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Instituce vykazují čistou výši po odečtení expozic podle přístupu IRB, které jsou v selhání.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Regionální vlády a místní orgány nepovažované za suverénní subjekty – objem rizikově vážené expozice – expozice podle standardizovaného přístupu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regionálním vládám a místním orgánům nepovažovaným za suverénní subjekty, pro něž platí čl. 115 odst. 1, 3 a 5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Regionální vlády a místní orgány nepovažované za suverénní subjekty – objem rizikově vážené expozice – expozice podle přístupu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regionálním vládám a místním orgánům nepovažovaným za suverénní subjekty, pro něž platí čl. 147 odst. 4 písm. a)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Instituce vykazují čistou výši po odečtení expozic podle přístupu IRB, které jsou v selhání.</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Mezinárodní rozvojové banky </w:t>
            </w:r>
            <w:r>
              <w:rPr>
                <w:rFonts w:ascii="Times New Roman" w:hAnsi="Times New Roman"/>
                <w:b/>
                <w:bCs/>
                <w:sz w:val="24"/>
                <w:szCs w:val="24"/>
                <w:u w:val="single"/>
              </w:rPr>
              <w:t>nepovažované</w:t>
            </w:r>
            <w:r>
              <w:rPr>
                <w:rFonts w:ascii="Times New Roman" w:hAnsi="Times New Roman"/>
                <w:b/>
                <w:bCs/>
                <w:sz w:val="24"/>
                <w:szCs w:val="24"/>
              </w:rPr>
              <w:t xml:space="preserve"> za suverénní subjekty </w:t>
            </w:r>
            <w:r>
              <w:rPr>
                <w:rFonts w:ascii="Times New Roman" w:hAnsi="Times New Roman"/>
                <w:b/>
                <w:sz w:val="24"/>
                <w:szCs w:val="24"/>
              </w:rPr>
              <w:t>– hodnota expozice pákového poměru – expozice podle standardizovaného přístupu</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standardizovaného přístupu vůči mezinárodním rozvojovým bankám, pro něž platí čl. 117 odst. 1 a 3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Mezinárodní rozvojové banky </w:t>
            </w:r>
            <w:r>
              <w:rPr>
                <w:rFonts w:ascii="Times New Roman" w:hAnsi="Times New Roman"/>
                <w:b/>
                <w:bCs/>
                <w:sz w:val="24"/>
                <w:szCs w:val="24"/>
                <w:u w:val="single"/>
              </w:rPr>
              <w:t>nepovažované</w:t>
            </w:r>
            <w:r>
              <w:rPr>
                <w:rFonts w:ascii="Times New Roman" w:hAnsi="Times New Roman"/>
                <w:b/>
                <w:bCs/>
                <w:sz w:val="24"/>
                <w:szCs w:val="24"/>
              </w:rPr>
              <w:t xml:space="preserve"> za suverénní subjekty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mezinárodním rozvojovým bankám nepovažovaným za suverénní subjekty, pro něž platí čl. 147 odst. 4 písm. c)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Mezinárodní rozvojové banky nepovažované za suverénní subjekty</w:t>
            </w:r>
            <w:r>
              <w:rPr>
                <w:rFonts w:ascii="Times New Roman" w:hAnsi="Times New Roman"/>
                <w:b/>
                <w:sz w:val="24"/>
                <w:szCs w:val="24"/>
              </w:rPr>
              <w:t xml:space="preserve"> – objem rizikově vážené expozice</w:t>
            </w:r>
            <w:r>
              <w:rPr>
                <w:rFonts w:ascii="Times New Roman" w:hAnsi="Times New Roman"/>
                <w:b/>
                <w:bCs/>
                <w:sz w:val="24"/>
                <w:szCs w:val="24"/>
              </w:rPr>
              <w:t xml:space="preserve"> – expozice podle standardizovaného přístupu</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Objem rizikově vážené expozice aktiv, která jsou expozicemi podle standardizovaného přístupu vůči mezinárodním rozvojovým bankám, pro něž platí čl. 117 odst. 1 a 3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Mezinárodní rozvojové banky nepovažované za suverénní subjekty – objem rizikově vážené expozice – expozice podle přístupu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mezinárodním rozvojovým bankám nepovažovaným za suverénní subjekty, pro něž platí čl. 147 odst. 4 písm. c)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Subjekty veřejného sektoru nepovažované za suverénní subjekty </w:t>
            </w:r>
            <w:r>
              <w:rPr>
                <w:rFonts w:ascii="Times New Roman" w:hAnsi="Times New Roman"/>
                <w:b/>
                <w:sz w:val="24"/>
                <w:szCs w:val="24"/>
              </w:rPr>
              <w:t>– hodnota expozice pákového poměru – expozice podle standardizovaného přístupu</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Hodnota expozice pákového poměru u aktiv, která jsou expozicemi podle standardizovaného přístupu vůči subjektům veřejného sektoru, pro něž platí čl. 116 odst. 1, 2, 3 a 5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Subjekty veřejného sektoru nepovažované za suverénní subjekty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subjektům veřejného sektoru nepovažovaným za suverénní subjekty, pro něž platí čl. 147 odst. 4 písm. b)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Subjekty veřejného sektoru nepovažované za suverénní subjekty – objem rizikově vážené expozice – expozice podle standardizovaného přístupu</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standardizovaného přístupu vůči subjektům veřejného sektoru, pro něž platí čl. 116 odst. 1, 2, 3 a 5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Subjekty veřejného sektoru nepovažované za suverénní subjekty – objem rizikově vážené expozice – expozice podle přístupu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přístupu IRB vůči subjektům veřejného sektoru nepovažovaným za suverénní subjekty, pro něž platí čl. 147 odst. 4 písm. b)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Instituce – hodnota expozice pákového poměru – expozice podle standardizovaného přístupu</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institucím, pro něž platí články 119 až 121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Instituce</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Hodnota expozice pákového poměru u aktiv, která jsou expozicemi podle přístupu IRB vůči institucím podle čl. 147 odst. 2 písm. b) CRR, nejsou expozicemi v krytých dluhopisech podle čl. 161 odst. 1 písm. d) CRR a nejsou expozicemi podle čl. 147 odst. 4 písm. a) až c)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Instituce – objem rizikově vážené expozice – expozice podle standardizovaného přístupu</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institucím, pro něž platí články 119 až 121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Instituce – objem rizikově vážené expozice – expozice podle přístupu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institucím podle čl. 147 odst. 2 písm. b) CRR,</w:t>
            </w:r>
            <w:r>
              <w:rPr>
                <w:rFonts w:ascii="Times New Roman" w:hAnsi="Times New Roman"/>
                <w:sz w:val="24"/>
                <w:szCs w:val="24"/>
              </w:rPr>
              <w:t xml:space="preserve"> nejsou </w:t>
            </w:r>
            <w:r>
              <w:rPr>
                <w:rFonts w:ascii="Times New Roman" w:hAnsi="Times New Roman"/>
                <w:bCs/>
                <w:sz w:val="24"/>
                <w:szCs w:val="24"/>
              </w:rPr>
              <w:t xml:space="preserve">expozicemi v krytých dluhopisech podle čl. 161 odst. 1 písm. d) CRR a </w:t>
            </w:r>
            <w:r>
              <w:rPr>
                <w:rFonts w:ascii="Times New Roman" w:hAnsi="Times New Roman"/>
                <w:sz w:val="24"/>
                <w:szCs w:val="24"/>
              </w:rPr>
              <w:t xml:space="preserve">nejsou </w:t>
            </w:r>
            <w:r>
              <w:rPr>
                <w:rFonts w:ascii="Times New Roman" w:hAnsi="Times New Roman"/>
                <w:bCs/>
                <w:sz w:val="24"/>
                <w:szCs w:val="24"/>
              </w:rPr>
              <w:t>expozicemi podle čl. 147 odst. 4 písm. a) až c)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Zajištěné hypotékami na nemovitosti </w:t>
            </w:r>
            <w:r>
              <w:rPr>
                <w:rFonts w:ascii="Times New Roman" w:hAnsi="Times New Roman"/>
                <w:b/>
                <w:sz w:val="24"/>
                <w:szCs w:val="24"/>
              </w:rPr>
              <w:t>– hodnota expozice pákového poměru – expozice podle standardizovaného přístupu</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zajištěnými hypotékami na nemovitosti, pro něž platí článek 124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Zajištěné hypotékami na nemovitosti</w:t>
            </w:r>
            <w:r>
              <w:rPr>
                <w:rFonts w:ascii="Times New Roman" w:hAnsi="Times New Roman"/>
                <w:b/>
                <w:sz w:val="24"/>
                <w:szCs w:val="24"/>
              </w:rPr>
              <w:t xml:space="preserve"> – hodnota expozice pákového poměru </w:t>
            </w:r>
            <w:r>
              <w:rPr>
                <w:rFonts w:ascii="Times New Roman" w:hAnsi="Times New Roman"/>
                <w:b/>
                <w:bCs/>
                <w:sz w:val="24"/>
                <w:szCs w:val="24"/>
              </w:rPr>
              <w:t>– expozice podle přístupu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podnikům podle čl. 147 odst. 2 písm. c) nebo retailovými expozicemi podle čl. 147 odst. 2 písm. d) CRR, pokud jsou tyto expozice zajištěny hypotékami na nemovitosti v souladu s čl. 199 odst. 1 písm. a)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Zajištěné hypotékami na nemovitosti – objem rizikově vážené expozice – expozice podle standardizovaného přístupu</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Objem rizikově vážené expozice aktiv, která jsou expozicemi podle standardizovaného přístupu zajištěnými hypotékami na nemovitosti, pro něž platí článek 124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Zajištěné hypotékami na nemovitosti – objem rizikově vážené expozice – expozice podle přístupu IRB</w:t>
            </w:r>
            <w:r>
              <w:rPr>
                <w:rFonts w:ascii="Times New Roman" w:hAnsi="Times New Roman"/>
                <w:b/>
                <w:bCs/>
                <w:sz w:val="24"/>
                <w:szCs w:val="24"/>
              </w:rP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podnikům podle čl. 147 odst. 2 písm. c) nebo retailovými expozicemi podle čl. 147 odst. 2 písm. d) CRR, pokud jsou tyto expozice zajištěny hypotékami na nemovitosti v souladu s čl. 199 odst. 1 písm. a)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zajištěné hypotékami na obytné nemovitosti </w:t>
            </w:r>
            <w:r>
              <w:rPr>
                <w:rFonts w:ascii="Times New Roman" w:hAnsi="Times New Roman"/>
                <w:b/>
                <w:sz w:val="24"/>
                <w:szCs w:val="24"/>
              </w:rPr>
              <w:t>– hodnota expozice pákového poměru – expozice podle standardizovaného přístupu</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plně a zcela zajištěnými hypotékami na obytné nemovitosti, pro něž platí článek 125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Z toho: zajištěné hypotékami na obytné nemovitosti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podnikům podle čl. 147 odst. 2 písm. c) nebo retailovými expozicemi podle čl. 147 odst. 2 písm. d) CRR, pokud jsou tyto expozice zajištěny hypotékami na obytné nemovitosti v souladu s čl. 199 odst. 1 písm. a)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zajištěné hypotékami na obytné nemovitosti – objem rizikově vážené expozice – expozice podle standardizovaného přístupu</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plně a zcela zajištěnými hypotékami na obytné nemovitosti, pro něž platí článek 125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Instituce vykazují čistou výši po odečtení expozic podle standardizovaného přístupu, které jsou v selhání.</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zajištěné hypotékami na obytné nemovitosti – objem rizikově vážené expozice – expozice podle přístupu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podnikům podle čl. 147 odst. 2 písm. c) nebo retailovými expozicemi podle čl. 147 odst. 2 písm. d) CRR, pokud jsou tyto expozice zajištěny hypotékami na obytné nemovitosti v souladu s čl. 199 odst. 1 písm. a)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Retailové expozice </w:t>
            </w:r>
            <w:r>
              <w:rPr>
                <w:rFonts w:ascii="Times New Roman" w:hAnsi="Times New Roman"/>
                <w:b/>
                <w:sz w:val="24"/>
                <w:szCs w:val="24"/>
              </w:rPr>
              <w:t>– hodnota expozice pákového poměru – expozice podle standardizovaného přístupu</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retailovými expozicemi podle standardizovaného přístupu, pro něž platí článek 123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Retailové expozice</w:t>
            </w:r>
            <w:r>
              <w:rPr>
                <w:rFonts w:ascii="Times New Roman" w:hAnsi="Times New Roman"/>
                <w:b/>
                <w:sz w:val="24"/>
                <w:szCs w:val="24"/>
              </w:rPr>
              <w:t xml:space="preserve"> – hodnota expozice pákového poměru </w:t>
            </w:r>
            <w:r>
              <w:rPr>
                <w:rFonts w:ascii="Times New Roman" w:hAnsi="Times New Roman"/>
                <w:b/>
                <w:bCs/>
                <w:sz w:val="24"/>
                <w:szCs w:val="24"/>
              </w:rPr>
              <w:t>– expozice podle přístupu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retailovými expozicemi podle přístupu IRB podle čl. 147 odst. 2 písm. d) CRR, pokud tyto expozice </w:t>
            </w:r>
            <w:r>
              <w:rPr>
                <w:rFonts w:ascii="Times New Roman" w:hAnsi="Times New Roman"/>
                <w:sz w:val="24"/>
                <w:szCs w:val="24"/>
              </w:rPr>
              <w:t xml:space="preserve">nejsou </w:t>
            </w:r>
            <w:r>
              <w:rPr>
                <w:rFonts w:ascii="Times New Roman" w:hAnsi="Times New Roman"/>
                <w:bCs/>
                <w:sz w:val="24"/>
                <w:szCs w:val="24"/>
              </w:rPr>
              <w:t>zajištěny hypotékami na nemovitosti v souladu s čl. 199 odst. 1 písm. a)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Retailové expozice – objem rizikově vážené expozice – expozice podle standardizovaného přístupu</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retailovými expozicemi podle standardizovaného přístupu, pro něž platí článek 123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Retailové expozice – objem rizikově vážené expozice – expozice podle přístupu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retailovými expozicemi podle přístupu IRB podle čl. 147 odst. 2 písm. d) CRR, pokud tyto expozice</w:t>
            </w:r>
            <w:r>
              <w:rPr>
                <w:rFonts w:ascii="Times New Roman" w:hAnsi="Times New Roman"/>
                <w:sz w:val="24"/>
                <w:szCs w:val="24"/>
              </w:rPr>
              <w:t xml:space="preserve"> </w:t>
            </w:r>
            <w:r>
              <w:rPr>
                <w:rFonts w:ascii="Times New Roman" w:hAnsi="Times New Roman"/>
                <w:sz w:val="24"/>
                <w:szCs w:val="24"/>
              </w:rPr>
              <w:lastRenderedPageBreak/>
              <w:t xml:space="preserve">nejsou </w:t>
            </w:r>
            <w:r>
              <w:rPr>
                <w:rFonts w:ascii="Times New Roman" w:hAnsi="Times New Roman"/>
                <w:bCs/>
                <w:sz w:val="24"/>
                <w:szCs w:val="24"/>
              </w:rPr>
              <w:t xml:space="preserve">zajištěny hypotékami na nemovitosti v souladu s čl. 199 odst. 1 písm. a) CRR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Z toho: </w:t>
            </w:r>
            <w:r>
              <w:rPr>
                <w:rFonts w:ascii="Times New Roman" w:hAnsi="Times New Roman"/>
                <w:b/>
                <w:sz w:val="24"/>
                <w:szCs w:val="24"/>
              </w:rPr>
              <w:t>retailové expozice vůči malým a středním podnikům – hodnota expozice pákového poměru – expozice podle standardizovaného přístupu</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retailovými expozicemi podle standardizovaného přístupu vůči malým a středním podnikům, pro něž platí článek 123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retailové expozice vůči malým a středním podnikům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retailovými expozicemi podle přístupu IRB podle čl. 147 odst. 2 písm. d) CRR, pokud jsou tyto expozice expozicemi vůči malým a středním podnikům a </w:t>
            </w:r>
            <w:r>
              <w:rPr>
                <w:rFonts w:ascii="Times New Roman" w:hAnsi="Times New Roman"/>
                <w:sz w:val="24"/>
                <w:szCs w:val="24"/>
              </w:rPr>
              <w:t xml:space="preserve">nejsou </w:t>
            </w:r>
            <w:r>
              <w:rPr>
                <w:rFonts w:ascii="Times New Roman" w:hAnsi="Times New Roman"/>
                <w:bCs/>
                <w:sz w:val="24"/>
                <w:szCs w:val="24"/>
              </w:rPr>
              <w:t xml:space="preserve">zajištěny hypotékami na nemovitosti v souladu s čl. 199 odst. 1 písm. a) CRR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retailové expozice vůči malým a středním podnikům – objem rizikově vážené expozice – expozice podle standardizovaného přístupu</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retailovými expozicemi podle standardizovaného přístupu vůči malým a středním podnikům, pro něž platí článek 123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retailové expozice vůči malým a středním podnikům – objem rizikově vážené expozice – expozice podle přístupu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Objem rizikově vážené expozice aktiv, která jsou retailovými expozicemi podle přístupu IRB podle čl. 147 odst. 2 písm. d) CRR, pokud jsou tyto expozice expozicemi vůči malým a středním podnikům a</w:t>
            </w:r>
            <w:r>
              <w:rPr>
                <w:rFonts w:ascii="Times New Roman" w:hAnsi="Times New Roman"/>
                <w:sz w:val="24"/>
                <w:szCs w:val="24"/>
              </w:rPr>
              <w:t xml:space="preserve"> nejsou </w:t>
            </w:r>
            <w:r>
              <w:rPr>
                <w:rFonts w:ascii="Times New Roman" w:hAnsi="Times New Roman"/>
                <w:bCs/>
                <w:sz w:val="24"/>
                <w:szCs w:val="24"/>
              </w:rPr>
              <w:t>zajištěny hypotékami na nemovitosti v souladu s čl. 199 odst. 1 písm. a)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Podniky</w:t>
            </w:r>
            <w:r>
              <w:rPr>
                <w:rFonts w:ascii="Times New Roman" w:hAnsi="Times New Roman"/>
                <w:b/>
                <w:sz w:val="24"/>
                <w:szCs w:val="24"/>
              </w:rPr>
              <w:t xml:space="preserve"> – hodnota expozice pákového poměru – expozice podle standardizovaného přístupu</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Jedná se o součet buněk </w:t>
            </w:r>
            <w:r>
              <w:rPr>
                <w:rFonts w:ascii="Times New Roman" w:hAnsi="Times New Roman"/>
                <w:bCs/>
                <w:sz w:val="24"/>
                <w:szCs w:val="24"/>
              </w:rPr>
              <w:t>{0240,0010} a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Instituce vykazují čistou výši po odečtení expozic podle standardizovaného přístupu, které jsou v selhání.</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Podniky</w:t>
            </w:r>
            <w:r>
              <w:rPr>
                <w:rFonts w:ascii="Times New Roman" w:hAnsi="Times New Roman"/>
                <w:b/>
                <w:sz w:val="24"/>
                <w:szCs w:val="24"/>
              </w:rPr>
              <w:t xml:space="preserve"> – hodnota expozice pákového poměru </w:t>
            </w:r>
            <w:r>
              <w:rPr>
                <w:rFonts w:ascii="Times New Roman" w:hAnsi="Times New Roman"/>
                <w:b/>
                <w:bCs/>
                <w:sz w:val="24"/>
                <w:szCs w:val="24"/>
              </w:rPr>
              <w:t>– expozice podle přístupu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{0240,0020} a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Podniky – objem rizikově vážené expozice – expozice podle standardizovaného přístupu</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{0240,0030} a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Podniky – objem rizikově vážené expozice – expozice podle přístupu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Jedná se o součet buněk </w:t>
            </w:r>
            <w:r>
              <w:rPr>
                <w:rFonts w:ascii="Times New Roman" w:hAnsi="Times New Roman"/>
                <w:bCs/>
                <w:sz w:val="24"/>
                <w:szCs w:val="24"/>
              </w:rPr>
              <w:t>{0240,0040} a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Finanční podniky – hodnota expozice pákového poměru – expozice podle standardizovaného přístupu</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finančním podnikům, pro něž platí článek 122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CRR, které nejsou institucemi uvedenými v buňce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podniky</w:t>
            </w:r>
            <w:r>
              <w:rPr>
                <w:rFonts w:ascii="Times New Roman" w:hAnsi="Times New Roman"/>
                <w:b/>
                <w:sz w:val="24"/>
                <w:szCs w:val="24"/>
              </w:rPr>
              <w:t xml:space="preserve"> – hodnota expozice pákového poměru</w:t>
            </w:r>
            <w:r>
              <w:rPr>
                <w:rFonts w:ascii="Times New Roman" w:hAnsi="Times New Roman"/>
                <w:b/>
                <w:bCs/>
                <w:sz w:val="24"/>
                <w:szCs w:val="24"/>
              </w:rPr>
              <w:t xml:space="preserve"> – expozice podle přístupu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přístupu IRB vůči finančním podnikům podle čl. 147 odst. 2 písm. c) CRR, pokud tyto expozice </w:t>
            </w:r>
            <w:r>
              <w:rPr>
                <w:rFonts w:ascii="Times New Roman" w:hAnsi="Times New Roman"/>
                <w:sz w:val="24"/>
                <w:szCs w:val="24"/>
              </w:rPr>
              <w:t xml:space="preserve">nejsou </w:t>
            </w:r>
            <w:r>
              <w:rPr>
                <w:rFonts w:ascii="Times New Roman" w:hAnsi="Times New Roman"/>
                <w:bCs/>
                <w:sz w:val="24"/>
                <w:szCs w:val="24"/>
              </w:rPr>
              <w:t>zajištěny hypotékami na nemovitosti v souladu s čl. 199 odst. 1 písm. a)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CRR, které nejsou institucemi uvedenými v buňce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podniky – objem rizikově vážené expozice – expozice podle standardizovaného přístupu</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finančním podnikům, pro něž platí článek 122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CRR, které nejsou institucemi uvedenými v buňce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Finanční podniky – objem rizikově vážené expozice – expozice podle přístupu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přístupu IRB vůči finančním podnikům podle čl. 147 odst. 2 písm. c) CRR, </w:t>
            </w:r>
            <w:r>
              <w:rPr>
                <w:rFonts w:ascii="Times New Roman" w:hAnsi="Times New Roman"/>
                <w:bCs/>
                <w:sz w:val="24"/>
                <w:szCs w:val="24"/>
              </w:rPr>
              <w:lastRenderedPageBreak/>
              <w:t>pokud tyto expozice</w:t>
            </w:r>
            <w:r>
              <w:rPr>
                <w:rFonts w:ascii="Times New Roman" w:hAnsi="Times New Roman"/>
                <w:sz w:val="24"/>
                <w:szCs w:val="24"/>
              </w:rPr>
              <w:t xml:space="preserve"> nejsou </w:t>
            </w:r>
            <w:r>
              <w:rPr>
                <w:rFonts w:ascii="Times New Roman" w:hAnsi="Times New Roman"/>
                <w:bCs/>
                <w:sz w:val="24"/>
                <w:szCs w:val="24"/>
              </w:rPr>
              <w:t>zajištěny hypotékami na nemovitosti v souladu s čl. 199 odst. 1 písm. a)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vykazování údajů v šabloně LR4 se finančními podniky rozumí regulované i neregulované podniky, které nejsou institucemi uvedenými v buňce {0180;0010} a jejichž hlavní činností je nabývání účastí nebo výkon jedné nebo více činností uvedených v příloze I směrnice 2013/36/EU, a rovněž podniky ve smyslu čl. 4 odst. 1 bodu 27 CRR, které nejsou institucemi uvedenými v buňce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Nefinanční podniky </w:t>
            </w:r>
            <w:r>
              <w:rPr>
                <w:rFonts w:ascii="Times New Roman" w:hAnsi="Times New Roman"/>
                <w:b/>
                <w:sz w:val="24"/>
                <w:szCs w:val="24"/>
              </w:rPr>
              <w:t xml:space="preserve">– hodnota expozice pákového poměru – </w:t>
            </w:r>
            <w:r>
              <w:rPr>
                <w:rFonts w:ascii="Times New Roman" w:hAnsi="Times New Roman"/>
                <w:b/>
                <w:bCs/>
                <w:sz w:val="24"/>
                <w:szCs w:val="24"/>
              </w:rPr>
              <w:t>expozice podle standardizovaného přístupu</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nefinančním podnikům, pro něž platí článek 122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{0260,0010} a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Nefinanční podniky </w:t>
            </w:r>
            <w:r>
              <w:rPr>
                <w:rFonts w:ascii="Times New Roman" w:hAnsi="Times New Roman"/>
                <w:b/>
                <w:sz w:val="24"/>
                <w:szCs w:val="24"/>
              </w:rPr>
              <w:t xml:space="preserve">– hodnota expozice pákového poměru </w:t>
            </w:r>
            <w:r>
              <w:rPr>
                <w:rFonts w:ascii="Times New Roman" w:hAnsi="Times New Roman"/>
                <w:b/>
                <w:bCs/>
                <w:sz w:val="24"/>
                <w:szCs w:val="24"/>
              </w:rPr>
              <w:t>– expozice podle přístupu IRB</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nefinančním podnikům podle čl. 147 odst. 2 písm. c) CRR, pokud tyto expozice nejsou zajištěny hypotékami na nemovitosti v souladu s čl. 199 odst. 1 písm. a)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{0260,0020} a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Nefinanční podniky – objem rizikově vážené expozice – expozice podle standardizovaného přístupu</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standardizovaného přístupu vůči nefinančním podnikům, pro něž platí článek 122 CRR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{0260,0030} a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Nefinanční podniky – objem rizikově vážené expozice – expozice podle přístupu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nefinančním podnikům podle čl. 147 odst. 2 písm. c) CRR, pokud tyto expozice</w:t>
            </w:r>
            <w:r>
              <w:rPr>
                <w:rFonts w:ascii="Times New Roman" w:hAnsi="Times New Roman"/>
                <w:sz w:val="24"/>
                <w:szCs w:val="24"/>
              </w:rPr>
              <w:t xml:space="preserve"> nejsou </w:t>
            </w:r>
            <w:r>
              <w:rPr>
                <w:rFonts w:ascii="Times New Roman" w:hAnsi="Times New Roman"/>
                <w:bCs/>
                <w:sz w:val="24"/>
                <w:szCs w:val="24"/>
              </w:rPr>
              <w:t>zajištěny hypotékami na nemovitosti v souladu s čl. 199 odst. 1 písm. a)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Jedná se o součet buněk {0260,0040} a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Expozice vůči malým a středním podnikům – hodnota expozice pákového poměru – expozice podle standardizovaného přístupu</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která jsou expozicemi podle standardizovaného přístupu vůči malým a středním podnikům, pro něž platí článek 122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Expozice vůči malým a středním podnikům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podnikům podle čl. 147 odst. 2 písm. c) CRR, pokud jsou tyto expozice expozicemi vůči malým a středním podnikům a</w:t>
            </w:r>
            <w:r>
              <w:rPr>
                <w:rFonts w:ascii="Times New Roman" w:hAnsi="Times New Roman"/>
                <w:sz w:val="24"/>
                <w:szCs w:val="24"/>
              </w:rPr>
              <w:t xml:space="preserve"> nejsou </w:t>
            </w:r>
            <w:r>
              <w:rPr>
                <w:rFonts w:ascii="Times New Roman" w:hAnsi="Times New Roman"/>
                <w:bCs/>
                <w:sz w:val="24"/>
                <w:szCs w:val="24"/>
              </w:rPr>
              <w:t>zajištěny hypotékami na nemovitosti v souladu s čl. 199 odst. 1 písm. a)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Pro účely této buňky používají instituce pojem „malý a střední podnik“, jak je definován v čl. 501 odst. 2 písm. b)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malým a středním podnikům – objem rizikově vážené expozice – expozice podle standardizovaného přístupu</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malým a středním podnikům, pro něž platí článek 122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Instituce vykazují čistou výši po odečtení expozic podle standardizovaného přístupu, které jsou v selhání.</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malým a středním podnikům – objem rizikově vážené expozice – expozice podle přístupu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přístupu IRB vůči podnikům podle čl. 147 odst. 2 písm. c) CRR, pokud jsou tyto expozice expozicemi vůči malým a středním podnikům a</w:t>
            </w:r>
            <w:r>
              <w:rPr>
                <w:rFonts w:ascii="Times New Roman" w:hAnsi="Times New Roman"/>
                <w:sz w:val="24"/>
                <w:szCs w:val="24"/>
              </w:rPr>
              <w:t xml:space="preserve"> nejsou </w:t>
            </w:r>
            <w:r>
              <w:rPr>
                <w:rFonts w:ascii="Times New Roman" w:hAnsi="Times New Roman"/>
                <w:bCs/>
                <w:sz w:val="24"/>
                <w:szCs w:val="24"/>
              </w:rPr>
              <w:t>zajištěny hypotékami na nemovitosti v souladu s čl. 199 odst. 1 písm. a)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 účely této buňky používají instituce pojem „malý a střední podnik“, jak je definován v čl. 501 odst. 2 písm. b)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Expozice vůči jiným než malým a středním podnikům </w:t>
            </w:r>
            <w:r>
              <w:rPr>
                <w:rFonts w:ascii="Times New Roman" w:hAnsi="Times New Roman"/>
                <w:b/>
                <w:sz w:val="24"/>
                <w:szCs w:val="24"/>
              </w:rPr>
              <w:t>– hodnota expozice pákového poměru</w:t>
            </w:r>
            <w:r>
              <w:rPr>
                <w:rFonts w:ascii="Times New Roman" w:hAnsi="Times New Roman"/>
                <w:b/>
                <w:bCs/>
                <w:sz w:val="24"/>
                <w:szCs w:val="24"/>
              </w:rPr>
              <w:t xml:space="preserve"> – expozice podle standardizovaného přístupu</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podnikům, pro něž platí článek 122 CRR a jež se nevykazují v buňkách {{0230;0040} a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Expozice vůči jiným než malým a středním podnikům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Hodnota expozice pákového poměru u aktiv, která jsou expozicemi podle přístupu IRB vůči podnikům podle čl. 147 odst. 2 písm. c) CRR, pokud tyto expozice </w:t>
            </w:r>
            <w:r>
              <w:rPr>
                <w:rFonts w:ascii="Times New Roman" w:hAnsi="Times New Roman"/>
                <w:sz w:val="24"/>
                <w:szCs w:val="24"/>
              </w:rPr>
              <w:t xml:space="preserve">nejsou </w:t>
            </w:r>
            <w:r>
              <w:rPr>
                <w:rFonts w:ascii="Times New Roman" w:hAnsi="Times New Roman"/>
                <w:bCs/>
                <w:sz w:val="24"/>
                <w:szCs w:val="24"/>
              </w:rPr>
              <w:t>zajištěny hypotékami na nemovitosti v souladu s čl. 199 odst. 1 písm. a) CRR a nevykazují se v buňkách {0230;0040} a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jiným než malým a středním podnikům – objem rizikově vážené expozice – expozice podle standardizovaného přístupu</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rizikově vážené expozice aktiv, která jsou expozicemi podle standardizovaného přístupu vůči podnikům, pro něž platí článek 122 CRR a jež se nevykazují v buňkách {0230;0040} a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vůči jiným než malým a středním podnikům – objem rizikově vážené expozice – expozice podle přístupu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Objem rizikově vážené expozice aktiv, která jsou expozicemi podle přístupu IRB vůči podnikům podle čl. 147 odst. 2 písm. c) CRR</w:t>
            </w:r>
            <w:r>
              <w:rPr>
                <w:rFonts w:ascii="Times New Roman" w:hAnsi="Times New Roman"/>
                <w:sz w:val="24"/>
                <w:szCs w:val="24"/>
              </w:rPr>
              <w:t xml:space="preserve">, pokud tyto expozice </w:t>
            </w:r>
            <w:r>
              <w:rPr>
                <w:rFonts w:ascii="Times New Roman" w:hAnsi="Times New Roman"/>
                <w:bCs/>
                <w:sz w:val="24"/>
                <w:szCs w:val="24"/>
              </w:rPr>
              <w:t>nejsou zajištěny hypotékami na nemovitosti v souladu s čl. 199 odst. 1 písm. a) CRR a nevykazují se v buňkách {0230;0040} a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Expozice v selhání </w:t>
            </w:r>
            <w:r>
              <w:rPr>
                <w:rFonts w:ascii="Times New Roman" w:hAnsi="Times New Roman"/>
                <w:b/>
                <w:sz w:val="24"/>
                <w:szCs w:val="24"/>
              </w:rPr>
              <w:t>– hodnota expozice pákového poměru</w:t>
            </w:r>
            <w:r>
              <w:rPr>
                <w:rFonts w:ascii="Times New Roman" w:hAnsi="Times New Roman"/>
                <w:b/>
                <w:bCs/>
                <w:sz w:val="24"/>
                <w:szCs w:val="24"/>
              </w:rPr>
              <w:t xml:space="preserve"> – expozice podle standardizovaného přístupu</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hodnotu expozice pákového poměru u aktiv, která jsou expozicemi podle standardizovaného přístupu v selhání, a proto se řídí článkem 127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Expozice v selhání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hodnotu expozice pákového poměru u aktiv zařazených do kategorií expozic uvedených v čl. 147 odst. 2 CRR, pokud došlo k selhání podle článku 178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 selhání – objem rizikově vážené expozice – expozice podle standardizovaného přístupu</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objem rizikově vážené expozice aktiv, která jsou expozicemi v selhání, a proto se řídí článkem 127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Expozice v selhání – objem rizikově vážené expozice – expozice podle přístupu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objem rizikově vážené expozice aktiv zařazených do kategorií expozic uvedených v čl. 147 odst. 2 CRR, pokud došlo k selhání podle článku 178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Jiné expozice </w:t>
            </w:r>
            <w:r>
              <w:rPr>
                <w:rFonts w:ascii="Times New Roman" w:hAnsi="Times New Roman"/>
                <w:b/>
                <w:sz w:val="24"/>
                <w:szCs w:val="24"/>
              </w:rPr>
              <w:t>– hodnota expozice pákového poměru</w:t>
            </w:r>
            <w:r>
              <w:rPr>
                <w:rFonts w:ascii="Times New Roman" w:hAnsi="Times New Roman"/>
                <w:b/>
                <w:bCs/>
                <w:sz w:val="24"/>
                <w:szCs w:val="24"/>
              </w:rPr>
              <w:t xml:space="preserve"> – expozice podle standardizovaného přístupu</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aktiv zařazených do kategorií expozic uvedených v čl. 112 písm. k), m), n), o), p) a q)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zde vykazují aktiva, která se odečítají z kapitálu (např. nehmotná aktiva), avšak nemohou být zařazena jinam, i když se toto zařazení pro určení kapitálových požadavků založených na riziku ve sloupcích {*; 0030} a {*; 0040} nevyžaduje.</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Instituce vykazují čistou výši po odečtení expozic podle standardizovaného přístupu, které jsou v selhání.</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Jiné expozice </w:t>
            </w:r>
            <w:r>
              <w:rPr>
                <w:rFonts w:ascii="Times New Roman" w:hAnsi="Times New Roman"/>
                <w:b/>
                <w:sz w:val="24"/>
                <w:szCs w:val="24"/>
              </w:rPr>
              <w:t xml:space="preserve">– hodnota expozice pákového poměru </w:t>
            </w:r>
            <w:r>
              <w:rPr>
                <w:rFonts w:ascii="Times New Roman" w:hAnsi="Times New Roman"/>
                <w:b/>
                <w:bCs/>
                <w:sz w:val="24"/>
                <w:szCs w:val="24"/>
              </w:rPr>
              <w:t>– expozice podle přístupu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expozice pákového poměru u aktiv zařazených do kategorií expozic uvedených v čl. 147 odst. 2 písm. e), f) a g)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zde vykazují aktiva, která se odečítají z kapitálu (např. nehmotná aktiva), avšak nemohou být zařazena jinam, i když se toto zařazení pro určení kapitálových požadavků založených na riziku ve sloupcích {*; 0030} a {*; 0040} nevyžaduje.</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Jiné expozice – objem rizikově vážené expozice– expozice podle standardizovaného přístupu</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rizikově vážené expozice aktiv zařazených do kategorií expozic uvedených v čl. 112 písm. k), m), n), o), p) a q)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Jiné expozice – objem rizikově vážené expozice – expozice podle přístupu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rizikově vážené expozice aktiv zařazených do kategorií expozic uvedených v čl. 147 odst. 2 písm. e), f) a g)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w:t>
            </w:r>
            <w:r>
              <w:rPr>
                <w:rFonts w:ascii="Times New Roman" w:hAnsi="Times New Roman"/>
                <w:b/>
                <w:sz w:val="24"/>
                <w:szCs w:val="24"/>
              </w:rPr>
              <w:t>sekuritizační expozice – hodnota expozice pákového poměru – expozice podle standardizovaného přístupu</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standardizovaného přístupu vůči sekuritizacím podle čl. 112 písm. m)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sekuritizační expozice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aktiv, která jsou expozicemi podle přístupu IRB vůči sekuritizacím podle čl. 147 odst. 2 písm. f)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Instituce vykazují čistou výši po odečtení expozic podle přístupu IRB, které jsou v selhání.</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sekuritizační expozice – objem rizikově vážené expozice – expozice podle standardizovaného přístupu</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standardizovaného přístupu vůči sekuritizacím podle čl. 112 písm. m)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sekuritizační expozice – objem rizikově vážené expozice – expozice podle přístupu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aktiv, která jsou expozicemi podle přístupu IRB vůči sekuritizacím podle čl. 147 odst. 2 písm. f)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Financování obchodu (doplňková položka)</w:t>
            </w:r>
            <w:r>
              <w:rPr>
                <w:rFonts w:ascii="Times New Roman" w:hAnsi="Times New Roman"/>
                <w:b/>
                <w:sz w:val="24"/>
                <w:szCs w:val="24"/>
              </w:rPr>
              <w:t xml:space="preserve"> – hodnota expozice pákového poměru – expozice podle standardizovaného přístupu</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rozvahových položek týkajících se poskytování úvěrů vývozcům nebo dovozcům zboží nebo služeb prostřednictvím dovozních a vývozních úvěrů a obdobných transakcí</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Financování obchodu (doplňková položka)</w:t>
            </w:r>
            <w:r>
              <w:rPr>
                <w:rFonts w:ascii="Times New Roman" w:hAnsi="Times New Roman"/>
                <w:b/>
                <w:sz w:val="24"/>
                <w:szCs w:val="24"/>
              </w:rPr>
              <w:t xml:space="preserve"> – hodnota expozice pákového poměru </w:t>
            </w:r>
            <w:r>
              <w:rPr>
                <w:rFonts w:ascii="Times New Roman" w:hAnsi="Times New Roman"/>
                <w:b/>
                <w:bCs/>
                <w:sz w:val="24"/>
                <w:szCs w:val="24"/>
              </w:rPr>
              <w:t>– expozice podle přístupu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Objem expozice pákového poměru u rozvahových položek týkajících se poskytování úvěrů vývozcům nebo dovozcům zboží nebo služeb prostřednictvím dovozních a vývozních úvěrů a obdobných transakcí</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vykazují čistou výši po odečtení expozic podle přístupu IRB, které jsou v selhání.</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Financování obchodu (doplňková položka) – objem rizikově vážené expozice – expozice podle standardizovaného přístupu</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rizikově vážené expozice rozvahových položek týkajících se poskytování úvěrů vývozcům nebo dovozcům zboží nebo služeb prostřednictvím dovozních a vývozních úvěrů a obdobných transakcí</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standardizovaného přístupu, které jsou v selhání.</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Financování obchodu (doplňková položka) – objem rizikově vážené expozice – expozice podle přístupu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rizikově vážené expozice rozvahových položek týkajících se poskytování úvěrů vývozcům nebo dovozcům zboží nebo služeb prostřednictvím dovozních a vývozních úvěrů a obdobných transakcí</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v rámci oficiálního režimu pojištění vývozních úvěrů </w:t>
            </w:r>
            <w:r>
              <w:rPr>
                <w:rFonts w:ascii="Times New Roman" w:hAnsi="Times New Roman"/>
                <w:b/>
                <w:sz w:val="24"/>
                <w:szCs w:val="24"/>
              </w:rPr>
              <w:t>– hodnota expozice pákového poměru – expozice podle standardizovaného přístupu</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Hodnota expozice pákového poměru u rozvahových položek týkajících se financování obchodu v rámci oficiálního režimu pojištění vývozních úvěrů</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 xml:space="preserve">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Instituce vykazují čistou výši po odečtení expozic podle standardizovaného přístupu, které jsou v selhání.</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Z toho: v rámci oficiálního režimu pojištění vývozních úvěrů </w:t>
            </w:r>
            <w:r>
              <w:rPr>
                <w:rFonts w:ascii="Times New Roman" w:hAnsi="Times New Roman"/>
                <w:b/>
                <w:sz w:val="24"/>
                <w:szCs w:val="24"/>
              </w:rPr>
              <w:t>– hodnota expozice pákového poměru</w:t>
            </w:r>
            <w:r>
              <w:rPr>
                <w:rFonts w:ascii="Times New Roman" w:hAnsi="Times New Roman"/>
                <w:b/>
                <w:bCs/>
                <w:sz w:val="24"/>
                <w:szCs w:val="24"/>
              </w:rPr>
              <w:t xml:space="preserve"> – expozice podle přístupu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Hodnota expozice pákového poměru u rozvahových položek týkajících se financování obchodu v rámci oficiálního režimu pojištění vývozních úvěrů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v rámci oficiálního režimu pojištění vývozních úvěrů – objem rizikově vážené expozice – expozice podle standardizovaného přístupu</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rozvahových položek týkajících se financování obchodu v rámci oficiálního režimu pojištění vývozních úvěrů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 xml:space="preserve">režimem pojištění vývozních úvěrů rozumí oficiální podpora poskytnutá státem nebo jiným </w:t>
            </w:r>
            <w:r>
              <w:rPr>
                <w:rFonts w:ascii="Times New Roman" w:hAnsi="Times New Roman"/>
                <w:sz w:val="24"/>
                <w:szCs w:val="24"/>
              </w:rPr>
              <w:lastRenderedPageBreak/>
              <w:t xml:space="preserve">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Instituce vykazují čistou výši po odečtení expozic podle standardizovaného přístupu, které jsou v selhání.</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 toho: v rámci oficiálního režimu pojištění vývozních úvěrů – objem rizikově vážené expozice – expozice podle přístupu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Objem rizikově vážené expozice rozvahových položek týkajících se financování obchodu v rámci oficiálního režimu pojištění vývozních úvěrů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Pro účely vykazování údajů v šabloně LR4 se oficiálním </w:t>
            </w:r>
            <w:r>
              <w:rPr>
                <w:rFonts w:ascii="Times New Roman" w:hAnsi="Times New Roman"/>
                <w:sz w:val="24"/>
                <w:szCs w:val="24"/>
              </w:rPr>
              <w:t xml:space="preserve">režimem pojištění vývozních úvěrů rozumí oficiální podpora poskytnutá státem nebo jiným subjektem, jako je exportní úvěrová agentura, mimo jiné ve formě přímých úvěrů/financování, refinancování, podpory úrokových sazeb (kdy je po celou dobu trvání úvěru garantována pevná úroková sazba), financování pomoci (úvěry a granty), pojištění vývozních úvěrů a záruk.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Instituce vykazují čistou výši po odečtení expozic podle přístupu IRB, které jsou v selhání.</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58488626"/>
      <w:r>
        <w:rPr>
          <w:rFonts w:ascii="Times New Roman" w:hAnsi="Times New Roman"/>
          <w:b/>
          <w:sz w:val="24"/>
          <w:szCs w:val="24"/>
        </w:rPr>
        <w:t>6.</w:t>
      </w:r>
      <w:r>
        <w:rPr>
          <w:rFonts w:ascii="Times New Roman" w:hAnsi="Times New Roman"/>
          <w:b/>
          <w:sz w:val="24"/>
          <w:szCs w:val="24"/>
        </w:rPr>
        <w:tab/>
        <w:t>C 44.00 – Obecné informace</w:t>
      </w:r>
      <w:bookmarkEnd w:id="74"/>
      <w:bookmarkEnd w:id="75"/>
      <w:r>
        <w:rPr>
          <w:rFonts w:ascii="Times New Roman" w:hAnsi="Times New Roman"/>
          <w:b/>
          <w:sz w:val="24"/>
          <w:szCs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tab/>
        <w:t>Zde jsou sdruženy dodatečné informace týkající se kategorizace činností instituce a regulatorních možností, pro něž se instituce rozhodla.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Řádek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a sloupec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Pokyny</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Podniková struktura instituce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určí svou podnikovou strukturu podle jedné z následujících kategorií:</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akciová společnost,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vzájemná společnost / družstvo,</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ostatní společnosti jiné než akciové.</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Zacházení s deriváty</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specifikuje regulatorní zacházení s deriváty podle jedné z následujících kategorií:</w:t>
            </w:r>
          </w:p>
          <w:p w14:paraId="255B888B" w14:textId="61DD05D3" w:rsidR="00B04A5F" w:rsidRPr="000B66BC" w:rsidRDefault="00B04A5F" w:rsidP="00BC5EFE">
            <w:pPr>
              <w:pStyle w:val="BodyText1"/>
              <w:tabs>
                <w:tab w:val="clear" w:pos="0"/>
                <w:tab w:val="left" w:pos="321"/>
              </w:tabs>
              <w:spacing w:after="240" w:line="240" w:lineRule="auto"/>
              <w:ind w:left="321" w:hanging="321"/>
              <w:rPr>
                <w:rFonts w:ascii="Times New Roman" w:hAnsi="Times New Roman"/>
                <w:bCs/>
                <w:sz w:val="24"/>
                <w:szCs w:val="24"/>
              </w:rPr>
            </w:pPr>
            <w:r>
              <w:rPr>
                <w:rFonts w:ascii="Times New Roman" w:hAnsi="Times New Roman"/>
                <w:bCs/>
                <w:sz w:val="24"/>
                <w:szCs w:val="24"/>
              </w:rPr>
              <w:lastRenderedPageBreak/>
              <w:t>–</w:t>
            </w:r>
            <w:r w:rsidR="00BC5EFE">
              <w:rPr>
                <w:rFonts w:ascii="Times New Roman" w:hAnsi="Times New Roman"/>
                <w:bCs/>
                <w:sz w:val="24"/>
                <w:szCs w:val="24"/>
              </w:rPr>
              <w:tab/>
            </w:r>
            <w:r>
              <w:rPr>
                <w:rFonts w:ascii="Times New Roman" w:hAnsi="Times New Roman"/>
                <w:bCs/>
                <w:sz w:val="24"/>
                <w:szCs w:val="24"/>
              </w:rPr>
              <w:t>standardizovaný přístup k úvěrovému riziku protistrany (SA-CCR),</w:t>
            </w:r>
          </w:p>
          <w:p w14:paraId="43920088" w14:textId="0E0D9291" w:rsidR="00B04A5F" w:rsidRPr="000B66BC" w:rsidRDefault="00B04A5F" w:rsidP="00BC5EFE">
            <w:pPr>
              <w:pStyle w:val="BodyText1"/>
              <w:tabs>
                <w:tab w:val="clear" w:pos="0"/>
                <w:tab w:val="left" w:pos="321"/>
              </w:tabs>
              <w:spacing w:after="240" w:line="240" w:lineRule="auto"/>
              <w:ind w:left="321" w:hanging="321"/>
              <w:rPr>
                <w:rFonts w:ascii="Times New Roman" w:hAnsi="Times New Roman"/>
                <w:bCs/>
                <w:sz w:val="24"/>
                <w:szCs w:val="24"/>
              </w:rPr>
            </w:pPr>
            <w:r>
              <w:rPr>
                <w:rFonts w:ascii="Times New Roman" w:hAnsi="Times New Roman"/>
                <w:bCs/>
                <w:sz w:val="24"/>
                <w:szCs w:val="24"/>
              </w:rPr>
              <w:t>–</w:t>
            </w:r>
            <w:r w:rsidR="00BC5EFE">
              <w:rPr>
                <w:rFonts w:ascii="Times New Roman" w:hAnsi="Times New Roman"/>
                <w:bCs/>
                <w:sz w:val="24"/>
                <w:szCs w:val="24"/>
              </w:rPr>
              <w:tab/>
            </w:r>
            <w:r>
              <w:rPr>
                <w:rFonts w:ascii="Times New Roman" w:hAnsi="Times New Roman"/>
                <w:bCs/>
                <w:sz w:val="24"/>
                <w:szCs w:val="24"/>
              </w:rPr>
              <w:t>zjednodušený standardizovaný přístup k úvěrovému riziku protistrany,</w:t>
            </w:r>
          </w:p>
          <w:p w14:paraId="7A9DB046" w14:textId="7690E86C" w:rsidR="00BE6AC4" w:rsidRPr="000B66BC" w:rsidRDefault="00500508" w:rsidP="00BC5EFE">
            <w:pPr>
              <w:pStyle w:val="BodyText1"/>
              <w:spacing w:after="240" w:line="240" w:lineRule="auto"/>
              <w:ind w:left="321"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metoda původní expozice.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Typ instituce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určí svůj typ instituce podle jedné z následujících kategorií:</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univerzální bankovnictví (retailové/komerční a investiční bankovnictví),</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retailové/komerční bankovnictví,</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investiční bankovnictví,</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specializovaný poskytovatel úvěrů,</w:t>
            </w:r>
          </w:p>
          <w:p w14:paraId="5E1BA609" w14:textId="5E9A9DF9"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w:t>
            </w:r>
            <w:r w:rsidR="00022F93">
              <w:rPr>
                <w:rFonts w:ascii="Times New Roman" w:hAnsi="Times New Roman"/>
                <w:bCs/>
                <w:sz w:val="24"/>
                <w:szCs w:val="24"/>
              </w:rPr>
              <w:tab/>
            </w:r>
            <w:bookmarkStart w:id="78" w:name="_GoBack"/>
            <w:bookmarkEnd w:id="78"/>
            <w:r>
              <w:rPr>
                <w:rFonts w:ascii="Times New Roman" w:hAnsi="Times New Roman"/>
                <w:bCs/>
                <w:sz w:val="24"/>
                <w:szCs w:val="24"/>
              </w:rPr>
              <w:t>veřejné rozvojové</w:t>
            </w:r>
            <w:r>
              <w:rPr>
                <w:rFonts w:ascii="Times New Roman" w:hAnsi="Times New Roman"/>
                <w:sz w:val="24"/>
                <w:szCs w:val="24"/>
              </w:rPr>
              <w:t xml:space="preserve"> </w:t>
            </w:r>
            <w:r>
              <w:rPr>
                <w:rFonts w:ascii="Times New Roman" w:hAnsi="Times New Roman"/>
                <w:color w:val="auto"/>
                <w:sz w:val="24"/>
                <w:szCs w:val="24"/>
              </w:rPr>
              <w:t>úvěrové instituce,</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jiný obchodní 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Instituce s veřejným rozvojovým útvarem</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Instituce, které nejsou veřejnými rozvojovými </w:t>
            </w:r>
            <w:r>
              <w:rPr>
                <w:rFonts w:ascii="Times New Roman" w:hAnsi="Times New Roman"/>
                <w:color w:val="auto"/>
                <w:sz w:val="24"/>
                <w:szCs w:val="24"/>
              </w:rPr>
              <w:t>úvěrovými institucemi</w:t>
            </w:r>
            <w:r>
              <w:rPr>
                <w:rFonts w:ascii="Times New Roman" w:hAnsi="Times New Roman"/>
                <w:sz w:val="24"/>
                <w:szCs w:val="24"/>
              </w:rPr>
              <w:t xml:space="preserve">, </w:t>
            </w:r>
            <w:r>
              <w:rPr>
                <w:rFonts w:ascii="Times New Roman" w:hAnsi="Times New Roman"/>
                <w:bCs/>
                <w:sz w:val="24"/>
                <w:szCs w:val="24"/>
              </w:rPr>
              <w:t>uvedou, zda mají veřejný rozvojový útvar.</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Subjekt ručící za veřejnou rozvojovou úvěrovou instituci/útvar podle čl. 429a odst. 2 písm. d) CRR: ústřední vláda, regionální vláda, místní orgán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Instituce, které jsou veřejnou rozvojovou</w:t>
            </w:r>
            <w:r>
              <w:rPr>
                <w:rFonts w:ascii="Times New Roman" w:hAnsi="Times New Roman"/>
                <w:sz w:val="24"/>
                <w:szCs w:val="24"/>
              </w:rPr>
              <w:t xml:space="preserve"> </w:t>
            </w:r>
            <w:r>
              <w:rPr>
                <w:rFonts w:ascii="Times New Roman" w:hAnsi="Times New Roman"/>
                <w:color w:val="auto"/>
                <w:sz w:val="24"/>
                <w:szCs w:val="24"/>
              </w:rPr>
              <w:t>úvěrovou institucí</w:t>
            </w:r>
            <w:r>
              <w:rPr>
                <w:rFonts w:ascii="Times New Roman" w:hAnsi="Times New Roman"/>
                <w:sz w:val="24"/>
                <w:szCs w:val="24"/>
              </w:rPr>
              <w:t xml:space="preserve">, </w:t>
            </w:r>
            <w:r>
              <w:rPr>
                <w:rFonts w:ascii="Times New Roman" w:hAnsi="Times New Roman"/>
                <w:bCs/>
                <w:sz w:val="24"/>
                <w:szCs w:val="24"/>
              </w:rPr>
              <w:t>nebo mají veřejný rozvojový útvar, uvedou, zda za ně ručí ústřední vláda, regionální vláda nebo místní orgán.</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uvedou hodnotu „TRUE“ (pravda) v řádku odpovídajícím příslušnému typu (typům) poskytovatele záruk a v ostatních řádcích hodnotu „FALSE“ (nepravda).</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Ústřední vláda ručící za veřejnou rozvojovou </w:t>
            </w:r>
            <w:r>
              <w:rPr>
                <w:rFonts w:ascii="Times New Roman" w:hAnsi="Times New Roman"/>
                <w:b/>
                <w:color w:val="auto"/>
                <w:sz w:val="24"/>
                <w:szCs w:val="24"/>
              </w:rPr>
              <w:t>úvěrovou instituci</w:t>
            </w:r>
            <w:r>
              <w:rPr>
                <w:rFonts w:ascii="Times New Roman" w:hAnsi="Times New Roman"/>
                <w:b/>
                <w:bCs/>
                <w:sz w:val="24"/>
                <w:szCs w:val="24"/>
              </w:rPr>
              <w:t>/útvar</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Regionální vláda ručící za veřejnou rozvojovou </w:t>
            </w:r>
            <w:r>
              <w:rPr>
                <w:rFonts w:ascii="Times New Roman" w:hAnsi="Times New Roman"/>
                <w:b/>
                <w:color w:val="auto"/>
                <w:sz w:val="24"/>
                <w:szCs w:val="24"/>
              </w:rPr>
              <w:t>úvěrovou instituci</w:t>
            </w:r>
            <w:r>
              <w:rPr>
                <w:rFonts w:ascii="Times New Roman" w:hAnsi="Times New Roman"/>
                <w:b/>
                <w:bCs/>
                <w:sz w:val="24"/>
                <w:szCs w:val="24"/>
              </w:rPr>
              <w:t>/útvar</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Místní orgán ručící za veřejnou rozvojovou </w:t>
            </w:r>
            <w:r>
              <w:rPr>
                <w:rFonts w:ascii="Times New Roman" w:hAnsi="Times New Roman"/>
                <w:b/>
                <w:color w:val="auto"/>
                <w:sz w:val="24"/>
                <w:szCs w:val="24"/>
              </w:rPr>
              <w:t>úvěrovou instituci</w:t>
            </w:r>
            <w:r>
              <w:rPr>
                <w:rFonts w:ascii="Times New Roman" w:hAnsi="Times New Roman"/>
                <w:b/>
                <w:bCs/>
                <w:sz w:val="24"/>
                <w:szCs w:val="24"/>
              </w:rPr>
              <w:t>/útvar</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lastRenderedPageBreak/>
              <w:t>Typ obdržené záruky podle čl. 429a odst. 2 písm. d)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 xml:space="preserve">Instituce, které jsou veřejnou rozvojovou </w:t>
            </w:r>
            <w:r>
              <w:rPr>
                <w:rFonts w:ascii="Times New Roman" w:hAnsi="Times New Roman"/>
                <w:color w:val="auto"/>
                <w:sz w:val="24"/>
                <w:szCs w:val="24"/>
              </w:rPr>
              <w:t>úvěrovou institucí</w:t>
            </w:r>
            <w:r>
              <w:rPr>
                <w:rFonts w:ascii="Times New Roman" w:hAnsi="Times New Roman"/>
                <w:sz w:val="24"/>
                <w:szCs w:val="24"/>
              </w:rPr>
              <w:t xml:space="preserve">, </w:t>
            </w:r>
            <w:r>
              <w:rPr>
                <w:rFonts w:ascii="Times New Roman" w:hAnsi="Times New Roman"/>
                <w:bCs/>
                <w:sz w:val="24"/>
                <w:szCs w:val="24"/>
              </w:rPr>
              <w:t>nebo mají veřejný rozvojový útvar, uvedou typ obdržené záruky.</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Instituce uvedou hodnotu „TRUE“ (pravda) v řádku odpovídajícím příslušnému typu (typům) záruk a v ostatních řádcích hodnotu „FALSE“ (nepravda).</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Povinnost chránit životaschopnost úvěrové instituce</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Přímá záruka za kapitálové požadavky, požadavky financování nebo poskytnuté podpůrné úvěry úvěrové instituce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Nepřímá záruka za kapitálové požadavky, požadavky financování nebo poskytnuté podpůrné úvěry úvěrové instituce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488627"/>
      <w:r>
        <w:rPr>
          <w:rFonts w:ascii="Times New Roman" w:hAnsi="Times New Roman"/>
          <w:b/>
          <w:sz w:val="24"/>
          <w:szCs w:val="24"/>
        </w:rPr>
        <w:t>7.</w:t>
      </w:r>
      <w:r>
        <w:rPr>
          <w:rFonts w:ascii="Times New Roman" w:hAnsi="Times New Roman"/>
          <w:b/>
          <w:sz w:val="24"/>
          <w:szCs w:val="24"/>
        </w:rPr>
        <w:tab/>
        <w:t>C 48.00 Volatilita pákového poměru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rPr>
          <w:rFonts w:ascii="Times New Roman" w:hAnsi="Times New Roman"/>
          <w:sz w:val="24"/>
          <w:szCs w:val="24"/>
        </w:rPr>
        <w:tab/>
        <w:t xml:space="preserve">Informace jsou shromažďovány za účelem sledování volatility pákového poměru. Tyto informace vykazují pouze velké instituce.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488628"/>
      <w:r>
        <w:rPr>
          <w:rFonts w:ascii="Times New Roman" w:hAnsi="Times New Roman"/>
          <w:b/>
          <w:sz w:val="24"/>
          <w:szCs w:val="24"/>
        </w:rPr>
        <w:t>8.</w:t>
      </w:r>
      <w:r>
        <w:rPr>
          <w:rFonts w:ascii="Times New Roman" w:hAnsi="Times New Roman"/>
          <w:b/>
          <w:sz w:val="24"/>
          <w:szCs w:val="24"/>
        </w:rPr>
        <w:tab/>
        <w:t>C 48.01 Volatilita pákového poměru: střední hodnota za vykazované období</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Řádek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a sloupec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Pokyny</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Střední hodnota za vykazované období – hodnota expozice u transakcí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Instituce vykazují průměr denních hodnot hodnoty expozice u transakcí SFT za vykazované čtvrtletí po odečtení vyňatých obchodních expozic vůči ústřední protistraně u transakcí na účet klienta podle definice v řádcích 0010 a 0050 šablony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Střední hodnota za vykazované období –</w:t>
            </w:r>
            <w:r>
              <w:rPr>
                <w:sz w:val="24"/>
                <w:szCs w:val="24"/>
              </w:rPr>
              <w:t xml:space="preserve"> </w:t>
            </w:r>
            <w:r>
              <w:rPr>
                <w:rFonts w:ascii="Times New Roman" w:hAnsi="Times New Roman"/>
                <w:b/>
                <w:color w:val="auto"/>
                <w:sz w:val="24"/>
                <w:szCs w:val="24"/>
              </w:rPr>
              <w:t xml:space="preserve">úpravy o účetní operace související s prodejem v případě transakcí SFT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Instituce vykazují průměr denních hodnot úprav o účetní operace související s prodejem v případě transakcí SFT za vykazované čtvrtletí, jak je definováno v řádku 0230</w:t>
            </w:r>
            <w:r>
              <w:rPr>
                <w:rFonts w:ascii="Times New Roman" w:hAnsi="Times New Roman"/>
                <w:sz w:val="24"/>
                <w:szCs w:val="24"/>
              </w:rPr>
              <w:t xml:space="preserve"> šablony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488629"/>
      <w:r>
        <w:rPr>
          <w:rFonts w:ascii="Times New Roman" w:hAnsi="Times New Roman"/>
          <w:b/>
          <w:sz w:val="24"/>
          <w:szCs w:val="24"/>
        </w:rPr>
        <w:t>9.</w:t>
      </w:r>
      <w:r>
        <w:rPr>
          <w:rFonts w:ascii="Times New Roman" w:hAnsi="Times New Roman"/>
          <w:b/>
          <w:sz w:val="24"/>
          <w:szCs w:val="24"/>
        </w:rPr>
        <w:tab/>
        <w:t>C 48.02 Volatilita pákového poměru: denní hodnoty za vykazované období</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rPr>
          <w:rFonts w:ascii="Times New Roman" w:hAnsi="Times New Roman"/>
          <w:sz w:val="24"/>
          <w:szCs w:val="24"/>
        </w:rPr>
        <w:tab/>
        <w:t xml:space="preserve">Vykazují se denní hodnoty za čtvrtletí.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lastRenderedPageBreak/>
              <w:t xml:space="preserve">Řádek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a sloupec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Pokyny</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Referenční datum v rámci vykazovaného období</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Instituce uvedou den, k němuž se vztahuje vykázaná denní hodnota. Uvádí se každý den vykazovaného čtvrtletí.</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Hodnota expozice u transakcí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Instituce vykazují denní hodnoty hodnot expozice u transakcí SFT za vykazované čtvrtletí po odečtení vyňatých obchodních expozic vůči ústřední protistraně u transakcí na účet klienta podle definice v řádcích 0010 a 0050 šablony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Úpravy o účetní operace související s prodejem v případě transakcí SFT</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Instituce vykazují denní hodnoty úprav o účetní operace související s prodejem v případě transakcí SFT za vykazované čtvrtletí, jak je definováno v řádku 0230</w:t>
            </w:r>
            <w:r>
              <w:rPr>
                <w:rFonts w:ascii="Times New Roman" w:hAnsi="Times New Roman"/>
                <w:sz w:val="24"/>
                <w:szCs w:val="24"/>
              </w:rPr>
              <w:t xml:space="preserve"> šablony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5B9F56FB" w:rsidR="000B66BC" w:rsidRDefault="000B66BC">
        <w:pPr>
          <w:pStyle w:val="Footer"/>
          <w:jc w:val="center"/>
        </w:pPr>
        <w:r>
          <w:fldChar w:fldCharType="begin"/>
        </w:r>
        <w:r>
          <w:instrText xml:space="preserve"> PAGE   \* MERGEFORMAT </w:instrText>
        </w:r>
        <w:r>
          <w:fldChar w:fldCharType="separate"/>
        </w:r>
        <w:r w:rsidR="00BC5EFE">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4A32642B"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022F93">
          <w:rPr>
            <w:rFonts w:ascii="Times New Roman" w:hAnsi="Times New Roman"/>
            <w:noProof/>
            <w:sz w:val="20"/>
          </w:rPr>
          <w:t>68</w:t>
        </w:r>
        <w:r w:rsidRPr="009A78F0">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A88CB2B4"/>
    <w:lvl w:ilvl="0" w:tplc="EA460AA8">
      <w:start w:val="1"/>
      <w:numFmt w:val="lowerRoman"/>
      <w:lvlText w:val="%1)"/>
      <w:lvlJc w:val="left"/>
      <w:pPr>
        <w:ind w:left="1080" w:hanging="720"/>
      </w:pPr>
      <w:rPr>
        <w:rFonts w:hint="default"/>
        <w:color w:val="000000" w:themeColor="text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4F328544"/>
    <w:lvl w:ilvl="0" w:tplc="04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D2ACABDE"/>
    <w:lvl w:ilvl="0" w:tplc="EA460AA8">
      <w:start w:val="1"/>
      <w:numFmt w:val="lowerRoman"/>
      <w:lvlText w:val="%1)"/>
      <w:lvlJc w:val="left"/>
      <w:pPr>
        <w:ind w:left="1080" w:hanging="720"/>
      </w:pPr>
      <w:rPr>
        <w:rFonts w:hint="default"/>
        <w:color w:val="000000" w:themeColor="text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92E2898E"/>
    <w:lvl w:ilvl="0" w:tplc="EA460AA8">
      <w:start w:val="1"/>
      <w:numFmt w:val="lowerRoman"/>
      <w:lvlText w:val="%1)"/>
      <w:lvlJc w:val="left"/>
      <w:pPr>
        <w:ind w:left="1080" w:hanging="720"/>
      </w:pPr>
      <w:rPr>
        <w:rFonts w:hint="default"/>
        <w:b w:val="0"/>
        <w:color w:val="000000" w:themeColor="text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B2477CA"/>
    <w:lvl w:ilvl="0" w:tplc="EA460AA8">
      <w:start w:val="1"/>
      <w:numFmt w:val="lowerRoman"/>
      <w:lvlText w:val="%1)"/>
      <w:lvlJc w:val="left"/>
      <w:pPr>
        <w:ind w:left="1080" w:hanging="720"/>
      </w:pPr>
      <w:rPr>
        <w:rFonts w:hint="default"/>
        <w:b w:val="0"/>
        <w:color w:val="000000" w:themeColor="text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FDF2FBA2"/>
    <w:lvl w:ilvl="0" w:tplc="EA460AA8">
      <w:start w:val="1"/>
      <w:numFmt w:val="lowerRoman"/>
      <w:lvlText w:val="%1)"/>
      <w:lvlJc w:val="left"/>
      <w:pPr>
        <w:ind w:left="1080" w:hanging="720"/>
      </w:pPr>
      <w:rPr>
        <w:rFonts w:hint="default"/>
        <w:color w:val="000000" w:themeColor="text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num>
  <w:num w:numId="28">
    <w:abstractNumId w:val="54"/>
  </w:num>
  <w:num w:numId="29">
    <w:abstractNumId w:val="47"/>
  </w:num>
  <w:num w:numId="30">
    <w:abstractNumId w:val="33"/>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 w:numId="59">
    <w:abstractNumId w:val="45"/>
  </w:num>
  <w:num w:numId="60">
    <w:abstractNumId w:val="54"/>
  </w:num>
  <w:num w:numId="61">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2F93"/>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142"/>
    <w:rsid w:val="002C72C2"/>
    <w:rsid w:val="002D0276"/>
    <w:rsid w:val="002D1CE8"/>
    <w:rsid w:val="002D2944"/>
    <w:rsid w:val="002D3764"/>
    <w:rsid w:val="002D378E"/>
    <w:rsid w:val="002E1083"/>
    <w:rsid w:val="002E3728"/>
    <w:rsid w:val="002E3ED1"/>
    <w:rsid w:val="002E3FD6"/>
    <w:rsid w:val="002E6BDF"/>
    <w:rsid w:val="002E6BEF"/>
    <w:rsid w:val="002E721E"/>
    <w:rsid w:val="002F002D"/>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875E1"/>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C5EFE"/>
    <w:rsid w:val="00BD1584"/>
    <w:rsid w:val="00BD1CFF"/>
    <w:rsid w:val="00BD1D60"/>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12A1"/>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05BF"/>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39576-9D8D-4E6E-B557-88ADAE6AB958}">
  <ds:schemaRefs>
    <ds:schemaRef ds:uri="http://schemas.openxmlformats.org/officeDocument/2006/bibliography"/>
  </ds:schemaRefs>
</ds:datastoreItem>
</file>

<file path=customXml/itemProps2.xml><?xml version="1.0" encoding="utf-8"?>
<ds:datastoreItem xmlns:ds="http://schemas.openxmlformats.org/officeDocument/2006/customXml" ds:itemID="{B475323C-3050-4F8A-9A17-0C4FE122EAEF}">
  <ds:schemaRefs>
    <ds:schemaRef ds:uri="http://schemas.openxmlformats.org/officeDocument/2006/bibliography"/>
  </ds:schemaRefs>
</ds:datastoreItem>
</file>

<file path=customXml/itemProps3.xml><?xml version="1.0" encoding="utf-8"?>
<ds:datastoreItem xmlns:ds="http://schemas.openxmlformats.org/officeDocument/2006/customXml" ds:itemID="{44C85EB8-AAAD-4B7B-A384-EC9D572C3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19004</Words>
  <Characters>115816</Characters>
  <Application>Microsoft Office Word</Application>
  <DocSecurity>0</DocSecurity>
  <Lines>2693</Lines>
  <Paragraphs>1567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133253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2020-12-10T09:49:00Z</dcterms:modified>
</cp:coreProperties>
</file>