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311301" w14:textId="4475C7FE" w:rsidR="0040604D" w:rsidRPr="003E55AB" w:rsidRDefault="0040604D" w:rsidP="003E55AB">
      <w:pPr>
        <w:spacing w:before="0"/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BILAGA XXI</w:t>
      </w:r>
    </w:p>
    <w:p w14:paraId="55B2E7E1" w14:textId="065A927F" w:rsidR="0040604D" w:rsidRDefault="0040604D" w:rsidP="003E55AB">
      <w:pPr>
        <w:spacing w:before="0"/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INSTRUKTIONER FÖR RAPPORTERING OM KONCENTRATION AV LIKVIDITETSTÄCKNINGSKAPACITET</w:t>
      </w:r>
    </w:p>
    <w:p w14:paraId="6C60C302" w14:textId="77777777" w:rsidR="0081623B" w:rsidRPr="003E55AB" w:rsidRDefault="0081623B" w:rsidP="003E55AB">
      <w:pPr>
        <w:spacing w:before="0"/>
        <w:jc w:val="center"/>
        <w:rPr>
          <w:rFonts w:ascii="Times New Roman" w:hAnsi="Times New Roman"/>
          <w:b/>
          <w:sz w:val="24"/>
        </w:rPr>
      </w:pPr>
    </w:p>
    <w:p w14:paraId="2314BCB9" w14:textId="3D6E6875" w:rsidR="00B1719D" w:rsidRPr="0081623B" w:rsidRDefault="00292B75" w:rsidP="003E55AB">
      <w:pPr>
        <w:widowControl w:val="0"/>
        <w:spacing w:before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1.</w:t>
      </w:r>
      <w:r>
        <w:tab/>
      </w:r>
      <w:r>
        <w:rPr>
          <w:sz w:val="24"/>
          <w:rFonts w:ascii="Times New Roman" w:hAnsi="Times New Roman"/>
        </w:rPr>
        <w:t xml:space="preserve">För att göra det möjligt att genom mall C 71.00 samla in uppgifter om de rapporterande institutens koncentration av likviditetstäckningskapacitet fördelat på de tio största tillgångsinnehaven eller likviditetslimiterna som institutet har beviljats i detta syfte ska instituten följa instruktionerna i denna bilaga.</w:t>
      </w:r>
    </w:p>
    <w:p w14:paraId="6D98D095" w14:textId="6A747233" w:rsidR="00672B1B" w:rsidRPr="0081623B" w:rsidRDefault="00292B75" w:rsidP="003E55AB">
      <w:pPr>
        <w:widowControl w:val="0"/>
        <w:spacing w:before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2.</w:t>
      </w:r>
      <w:r>
        <w:tab/>
      </w:r>
      <w:r>
        <w:rPr>
          <w:sz w:val="24"/>
          <w:rFonts w:ascii="Times New Roman" w:hAnsi="Times New Roman"/>
        </w:rPr>
        <w:t xml:space="preserve">Om en emittent eller motpart hänförs till mer än en produkttyp, en valuta eller ett kreditkvalitetssteg ska det totala beloppet rapporteras.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Den produkttyp, den valuta eller det kreditkvalitetssteg som ska rapporteras ska vara den/det som är relevant för den största andelen av koncentrationen av likviditetstäckningskapacitet.</w:t>
      </w:r>
      <w:r>
        <w:rPr>
          <w:sz w:val="24"/>
          <w:rFonts w:ascii="Times New Roman" w:hAnsi="Times New Roman"/>
        </w:rPr>
        <w:t xml:space="preserve"> </w:t>
      </w:r>
    </w:p>
    <w:p w14:paraId="1A86D9FE" w14:textId="2D9CE2DF" w:rsidR="00FF4741" w:rsidRPr="0081623B" w:rsidRDefault="00292B75" w:rsidP="003E55AB">
      <w:pPr>
        <w:widowControl w:val="0"/>
        <w:spacing w:before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3.</w:t>
      </w:r>
      <w:r>
        <w:tab/>
      </w:r>
      <w:r>
        <w:rPr>
          <w:sz w:val="24"/>
          <w:rFonts w:ascii="Times New Roman" w:hAnsi="Times New Roman"/>
        </w:rPr>
        <w:t xml:space="preserve">Likviditetstäckningskapaciteten i C 71.00 ska vara densamma som i C 66.01 förutom att de tillgångar som rapporteras som likviditetstäckningskapacitet i C 71.00 inte ska vara intecknade utan tillgängliga för institutet att omvandla till likvida medel på rapporteringsreferensdatumet.</w:t>
      </w:r>
    </w:p>
    <w:p w14:paraId="52C95F92" w14:textId="76B8503D" w:rsidR="00EF029F" w:rsidRPr="0081623B" w:rsidRDefault="00292B75" w:rsidP="003E55AB">
      <w:pPr>
        <w:widowControl w:val="0"/>
        <w:spacing w:before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4.</w:t>
      </w:r>
      <w:r>
        <w:tab/>
      </w:r>
      <w:r>
        <w:rPr>
          <w:sz w:val="24"/>
          <w:rFonts w:ascii="Times New Roman" w:hAnsi="Times New Roman"/>
        </w:rPr>
        <w:t xml:space="preserve">Vid beräkning av koncentrationer i rapporteringsmall C 71.00 fördelat på väsentlig valuta ska instituten använda koncentrationer i alla valutor.</w:t>
      </w:r>
    </w:p>
    <w:p w14:paraId="5D592CDE" w14:textId="137C55E0" w:rsidR="0005633D" w:rsidRPr="0081623B" w:rsidRDefault="00292B75" w:rsidP="003E55AB">
      <w:pPr>
        <w:widowControl w:val="0"/>
        <w:spacing w:before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5.</w:t>
      </w:r>
      <w:r>
        <w:tab/>
      </w:r>
      <w:r>
        <w:rPr>
          <w:sz w:val="24"/>
          <w:rFonts w:ascii="Times New Roman" w:hAnsi="Times New Roman"/>
        </w:rPr>
        <w:t xml:space="preserve">När en emittent eller motpart tillhör flera grupper av kunder med inbördes anknytning ska den bara rapporteras en gång i den grupp som har den större koncentrationen av likviditetstäckningskapacitet.</w:t>
      </w:r>
    </w:p>
    <w:p w14:paraId="2C0B2260" w14:textId="17EB1C17" w:rsidR="00CB05F9" w:rsidRPr="0081623B" w:rsidRDefault="00292B75" w:rsidP="003E55AB">
      <w:pPr>
        <w:widowControl w:val="0"/>
        <w:spacing w:before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6.</w:t>
      </w:r>
      <w:r>
        <w:tab/>
      </w:r>
      <w:r>
        <w:rPr>
          <w:sz w:val="24"/>
          <w:rFonts w:ascii="Times New Roman" w:hAnsi="Times New Roman"/>
        </w:rPr>
        <w:t xml:space="preserve">Med undantag för rad 120 ska koncentrationer av likviditetstäckningskapacitet hos en centralbank som emittent eller motpart inte rapporteras i denna mall.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Om ett institut har förpositionerade tillgångar i en centralbank för standardiserade likviditetstransaktioner, och i den utsträckning som dessa tillgångar är relaterade till de tio största emittenterna eller motparterna vad gäller icke intecknad likviditetstäckningskapacitet, ska institutet rapportera den ursprungliga emittenten och den ursprungliga produkttypen.</w:t>
      </w:r>
    </w:p>
    <w:p w14:paraId="423289FA" w14:textId="77777777" w:rsidR="00E05204" w:rsidRPr="0081623B" w:rsidRDefault="00E05204" w:rsidP="003E55AB">
      <w:pPr>
        <w:spacing w:before="0"/>
        <w:rPr>
          <w:rFonts w:ascii="Times New Roman" w:hAnsi="Times New Roman"/>
          <w:sz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0"/>
        <w:gridCol w:w="7306"/>
      </w:tblGrid>
      <w:tr w:rsidR="00E05204" w:rsidRPr="0081623B" w14:paraId="4310E2B4" w14:textId="77777777" w:rsidTr="00845EB1">
        <w:tc>
          <w:tcPr>
            <w:tcW w:w="990" w:type="dxa"/>
            <w:shd w:val="clear" w:color="auto" w:fill="EEECE1" w:themeFill="background2"/>
          </w:tcPr>
          <w:p w14:paraId="27E41224" w14:textId="77777777" w:rsidR="00E05204" w:rsidRPr="0081623B" w:rsidRDefault="00E05204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Kolumn</w:t>
            </w:r>
          </w:p>
        </w:tc>
        <w:tc>
          <w:tcPr>
            <w:tcW w:w="7306" w:type="dxa"/>
            <w:shd w:val="clear" w:color="auto" w:fill="EEECE1" w:themeFill="background2"/>
          </w:tcPr>
          <w:p w14:paraId="7398AC24" w14:textId="77777777" w:rsidR="00E05204" w:rsidRPr="0081623B" w:rsidRDefault="00E05204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Rättsliga hänvisningar och instruktioner</w:t>
            </w:r>
          </w:p>
        </w:tc>
      </w:tr>
      <w:tr w:rsidR="00E05204" w:rsidRPr="0081623B" w14:paraId="32AA40F1" w14:textId="77777777" w:rsidTr="00845EB1">
        <w:tc>
          <w:tcPr>
            <w:tcW w:w="990" w:type="dxa"/>
          </w:tcPr>
          <w:p w14:paraId="79D5F65E" w14:textId="77777777" w:rsidR="00E05204" w:rsidRPr="0081623B" w:rsidRDefault="00125C48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</w:t>
            </w:r>
          </w:p>
        </w:tc>
        <w:tc>
          <w:tcPr>
            <w:tcW w:w="7306" w:type="dxa"/>
          </w:tcPr>
          <w:p w14:paraId="20597254" w14:textId="73E89BCB" w:rsidR="00E05204" w:rsidRPr="0081623B" w:rsidRDefault="004C1638" w:rsidP="003E55AB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Namn på emittent</w:t>
            </w:r>
          </w:p>
          <w:p w14:paraId="36B02E7E" w14:textId="56EF9FD1" w:rsidR="00E05204" w:rsidRPr="0081623B" w:rsidRDefault="00E05204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Namnen på de tio största emittenterna av icke intecknade tillgångar eller motparter till outnyttjade likviditetslimiter som beviljats institutet ska rapporteras i kolumn 010 i fallande ordning.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Den största posten rapporteras i 1.01, den näst största i 1.02 och så vidare. Emittenter och motparter som utgör en grupp av kunder med inbördes anknytning ska rapporteras som en enda koncentration.</w:t>
            </w:r>
          </w:p>
          <w:p w14:paraId="4E01B5DA" w14:textId="4F0E946D" w:rsidR="00E05204" w:rsidRPr="0081623B" w:rsidRDefault="00E05204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Emittentens eller motpartens namn ska vara det fullständiga namnet på den juridiska person som emitterade tillgångarna eller beviljade likviditetslimiterna, samt eventuella hänvisningar till företagstyp i enlighet med nationell bolagsrätt.</w:t>
            </w:r>
          </w:p>
        </w:tc>
      </w:tr>
      <w:tr w:rsidR="00E05204" w:rsidRPr="0081623B" w14:paraId="5485249F" w14:textId="77777777" w:rsidTr="00845EB1">
        <w:tc>
          <w:tcPr>
            <w:tcW w:w="990" w:type="dxa"/>
          </w:tcPr>
          <w:p w14:paraId="488A21BC" w14:textId="77777777" w:rsidR="00E05204" w:rsidRPr="0081623B" w:rsidRDefault="00125C48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020</w:t>
            </w:r>
          </w:p>
        </w:tc>
        <w:tc>
          <w:tcPr>
            <w:tcW w:w="7306" w:type="dxa"/>
          </w:tcPr>
          <w:p w14:paraId="763D0E5F" w14:textId="77777777" w:rsidR="00E05204" w:rsidRPr="0081623B" w:rsidRDefault="00E05204" w:rsidP="003E55AB">
            <w:pPr>
              <w:spacing w:before="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LEI-kod (identifieringskod för juridiska personer)</w:t>
            </w:r>
          </w:p>
          <w:p w14:paraId="7861A1B2" w14:textId="190A7764" w:rsidR="00E05204" w:rsidRPr="003E55AB" w:rsidRDefault="00E05204" w:rsidP="003E55AB">
            <w:pPr>
              <w:spacing w:before="0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bCs/>
                <w:rFonts w:ascii="Times New Roman" w:hAnsi="Times New Roman"/>
              </w:rPr>
              <w:t xml:space="preserve">Motpartens LEI-kod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bCs/>
                <w:rFonts w:ascii="Times New Roman" w:hAnsi="Times New Roman"/>
              </w:rPr>
              <w:t xml:space="preserve">(identifieringskod för juridiska personer)</w:t>
            </w:r>
            <w:r>
              <w:rPr>
                <w:sz w:val="24"/>
                <w:rFonts w:ascii="Times New Roman" w:hAnsi="Times New Roman"/>
              </w:rPr>
              <w:t xml:space="preserve">.</w:t>
            </w:r>
            <w:r>
              <w:rPr>
                <w:sz w:val="24"/>
                <w:bCs/>
                <w:rFonts w:ascii="Times New Roman" w:hAnsi="Times New Roman"/>
              </w:rPr>
              <w:t xml:space="preserve"> </w:t>
            </w:r>
          </w:p>
        </w:tc>
      </w:tr>
      <w:tr w:rsidR="00E05204" w:rsidRPr="0081623B" w14:paraId="2B1BAA00" w14:textId="77777777" w:rsidTr="00845EB1">
        <w:tc>
          <w:tcPr>
            <w:tcW w:w="990" w:type="dxa"/>
          </w:tcPr>
          <w:p w14:paraId="12DAC473" w14:textId="77777777" w:rsidR="00E05204" w:rsidRPr="0081623B" w:rsidRDefault="00125C48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030</w:t>
            </w:r>
          </w:p>
        </w:tc>
        <w:tc>
          <w:tcPr>
            <w:tcW w:w="7306" w:type="dxa"/>
          </w:tcPr>
          <w:p w14:paraId="6DAF3DB3" w14:textId="4B8E1486" w:rsidR="00E05204" w:rsidRPr="0081623B" w:rsidRDefault="004C1638" w:rsidP="003E55AB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Emittentens sektor</w:t>
            </w:r>
          </w:p>
          <w:p w14:paraId="62F53B63" w14:textId="27347E6E" w:rsidR="00E05204" w:rsidRPr="003E55AB" w:rsidRDefault="00E05204" w:rsidP="003E55AB">
            <w:pPr>
              <w:pStyle w:val="InstructionsText"/>
              <w:spacing w:after="120"/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En sektor ska anges för varje emittent eller motpart enligt näringsgrensklasserna i Finrep:</w:t>
            </w:r>
          </w:p>
          <w:p w14:paraId="563180C8" w14:textId="31A14F6F" w:rsidR="00E05204" w:rsidRPr="0081623B" w:rsidRDefault="00E05204" w:rsidP="003E55AB">
            <w:pPr>
              <w:pStyle w:val="InstructionsText"/>
              <w:spacing w:after="120"/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(i) Offentlig sektor.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(ii) Kreditinstitut.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(iii) Övriga finansiella företag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(iv) Icke-finansiella företag.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(v) Hushåll.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</w:p>
          <w:p w14:paraId="3E53ACDF" w14:textId="14712E31" w:rsidR="00E05204" w:rsidRPr="0081623B" w:rsidRDefault="00E05204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Style w:val="FormatvorlageInstructionsTabelleText"/>
                <w:rStyle w:val="FormatvorlageInstructionsTabelleText"/>
                <w:rFonts w:ascii="Times New Roman" w:hAnsi="Times New Roman"/>
              </w:rPr>
              <w:t xml:space="preserve">För grupper av kunder med inbördes anknytning ska ingen sektor rapporteras.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</w:t>
            </w:r>
          </w:p>
        </w:tc>
      </w:tr>
      <w:tr w:rsidR="00E05204" w:rsidRPr="0081623B" w14:paraId="66F40C8E" w14:textId="77777777" w:rsidTr="00845EB1">
        <w:tc>
          <w:tcPr>
            <w:tcW w:w="990" w:type="dxa"/>
          </w:tcPr>
          <w:p w14:paraId="5F55844F" w14:textId="77777777" w:rsidR="00E05204" w:rsidRPr="0081623B" w:rsidRDefault="00125C48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040</w:t>
            </w:r>
          </w:p>
        </w:tc>
        <w:tc>
          <w:tcPr>
            <w:tcW w:w="7306" w:type="dxa"/>
          </w:tcPr>
          <w:p w14:paraId="6EC1C162" w14:textId="488287EA" w:rsidR="00E05204" w:rsidRPr="0081623B" w:rsidRDefault="00E05204" w:rsidP="003E55AB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Emittentens hemvist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0F33DF35" w14:textId="52A4F552" w:rsidR="00E05204" w:rsidRPr="0081623B" w:rsidRDefault="00E05204" w:rsidP="003E55AB">
            <w:pPr>
              <w:spacing w:before="0"/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FormatvorlageInstructionsTabelleText"/>
                <w:rStyle w:val="FormatvorlageInstructionsTabelleText"/>
                <w:rFonts w:ascii="Times New Roman" w:hAnsi="Times New Roman"/>
              </w:rPr>
              <w:t xml:space="preserve">Alfa-2-landskoden enligt ISO 3166-1 för det land där emittenten eller motparten är registrerad ska anges (inklusive pseudo-ISO-koder för internationella organisationer, som finns i den senaste utgåvan av Eurostats anvisningar för uppgifter om betalningsbalansen, </w:t>
            </w:r>
            <w:r>
              <w:rPr>
                <w:sz w:val="24"/>
                <w:rStyle w:val="FormatvorlageInstructionsTabelleText"/>
                <w:rStyle w:val="FormatvorlageInstructionsTabelleText"/>
                <w:i/>
                <w:iCs/>
                <w:rFonts w:ascii="Times New Roman" w:hAnsi="Times New Roman"/>
              </w:rPr>
              <w:t xml:space="preserve">Balance of Payments Vademecum</w:t>
            </w:r>
            <w:r>
              <w:rPr>
                <w:sz w:val="24"/>
                <w:rStyle w:val="FormatvorlageInstructionsTabelleText"/>
                <w:rStyle w:val="FormatvorlageInstructionsTabelleText"/>
                <w:rFonts w:ascii="Times New Roman" w:hAnsi="Times New Roman"/>
              </w:rPr>
              <w:t xml:space="preserve">).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</w:t>
            </w:r>
          </w:p>
          <w:p w14:paraId="60598FF1" w14:textId="5505D19C" w:rsidR="00E05204" w:rsidRPr="0081623B" w:rsidRDefault="00E05204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Inget land ska anges för grupper av kunder med inbördes anknytning.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</w:p>
        </w:tc>
      </w:tr>
      <w:tr w:rsidR="00E05204" w:rsidRPr="0081623B" w14:paraId="0F08D697" w14:textId="77777777" w:rsidTr="00845EB1">
        <w:tc>
          <w:tcPr>
            <w:tcW w:w="990" w:type="dxa"/>
          </w:tcPr>
          <w:p w14:paraId="3B929507" w14:textId="77777777" w:rsidR="00E05204" w:rsidRPr="0081623B" w:rsidRDefault="00125C48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050</w:t>
            </w:r>
          </w:p>
        </w:tc>
        <w:tc>
          <w:tcPr>
            <w:tcW w:w="7306" w:type="dxa"/>
          </w:tcPr>
          <w:p w14:paraId="016C0789" w14:textId="77777777" w:rsidR="00E05204" w:rsidRPr="0081623B" w:rsidRDefault="00E05204" w:rsidP="003E55AB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Produkttyp</w:t>
            </w:r>
          </w:p>
          <w:p w14:paraId="7DC48699" w14:textId="3405D5A6" w:rsidR="00E05204" w:rsidRPr="0081623B" w:rsidRDefault="00E05204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 emittenter eller motparter som anges i kolumn 010 ska åsättas produkttyper som motsvarar den produkt som tillgången innehas i eller som standby-likviditetsfaciliteten har erhållits i med användande av följande koder (med fetstil):</w:t>
            </w:r>
          </w:p>
          <w:p w14:paraId="1CB9AEA2" w14:textId="6EDC6F2E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sz w:val="24"/>
                <w:rFonts w:ascii="Times New Roman" w:hAnsi="Times New Roman"/>
              </w:rPr>
            </w:pPr>
            <w:bookmarkStart w:id="1" w:name="OLE_LINK1"/>
            <w:r>
              <w:rPr>
                <w:sz w:val="24"/>
                <w:b/>
                <w:rFonts w:ascii="Times New Roman" w:hAnsi="Times New Roman"/>
              </w:rPr>
              <w:t xml:space="preserve">SrB</w:t>
            </w:r>
            <w:r>
              <w:rPr>
                <w:sz w:val="24"/>
                <w:rFonts w:ascii="Times New Roman" w:hAnsi="Times New Roman"/>
              </w:rPr>
              <w:t xml:space="preserve"> (Obligationer med förmånsrätt)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ADB0D10" w14:textId="7357AEF5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SubB</w:t>
            </w:r>
            <w:r>
              <w:rPr>
                <w:sz w:val="24"/>
                <w:rFonts w:ascii="Times New Roman" w:hAnsi="Times New Roman"/>
              </w:rPr>
              <w:t xml:space="preserve"> (Efterställd obligation)</w:t>
            </w:r>
          </w:p>
          <w:p w14:paraId="08EFBEC2" w14:textId="5FF6EE23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CP</w:t>
            </w:r>
            <w:r>
              <w:rPr>
                <w:sz w:val="24"/>
                <w:rFonts w:ascii="Times New Roman" w:hAnsi="Times New Roman"/>
              </w:rPr>
              <w:t xml:space="preserve"> (Företagscertifikat)</w:t>
            </w:r>
          </w:p>
          <w:p w14:paraId="71AB267C" w14:textId="2722007C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CB</w:t>
            </w:r>
            <w:r>
              <w:rPr>
                <w:sz w:val="24"/>
                <w:rFonts w:ascii="Times New Roman" w:hAnsi="Times New Roman"/>
              </w:rPr>
              <w:t xml:space="preserve"> (Säkerställda obligationer)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6004F55" w14:textId="4EBDEEC7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US</w:t>
            </w:r>
            <w:r>
              <w:rPr>
                <w:sz w:val="24"/>
                <w:rFonts w:ascii="Times New Roman" w:hAnsi="Times New Roman"/>
              </w:rPr>
              <w:t xml:space="preserve"> (Ucits-värdepapper, det vill säga finansiella instrument som representerar en andel i eller ett värdepapper som utfärdats av ett företag för kollektiva investeringar i överlåtbara värdepapper)</w:t>
            </w:r>
          </w:p>
          <w:p w14:paraId="2E54EB88" w14:textId="73B3ACBF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ABS (</w:t>
            </w:r>
            <w:r>
              <w:rPr>
                <w:sz w:val="24"/>
                <w:rFonts w:ascii="Times New Roman" w:hAnsi="Times New Roman"/>
              </w:rPr>
              <w:t xml:space="preserve">Tillgångssäkrade värdepapper)</w:t>
            </w:r>
          </w:p>
          <w:p w14:paraId="47B806DE" w14:textId="0B534D77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CrCl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(Kreditfordringar)</w:t>
            </w:r>
          </w:p>
          <w:p w14:paraId="77F497F4" w14:textId="220D3D3A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Eq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(Aktier)</w:t>
            </w:r>
          </w:p>
          <w:p w14:paraId="3F4E3AAB" w14:textId="5007592A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Guld</w:t>
            </w:r>
            <w:r>
              <w:rPr>
                <w:sz w:val="24"/>
                <w:rFonts w:ascii="Times New Roman" w:hAnsi="Times New Roman"/>
              </w:rPr>
              <w:t xml:space="preserve"> (om fysiskt guld, vilket kan behandlas som en enda motpart)</w:t>
            </w:r>
          </w:p>
          <w:p w14:paraId="6AE61C73" w14:textId="026D514D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LiqL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(Outnyttjade likviditetslimiter som det rapporterande institutet har beviljats)</w:t>
            </w:r>
          </w:p>
          <w:p w14:paraId="23B5C30F" w14:textId="792C14AB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OPT </w:t>
            </w:r>
            <w:r>
              <w:rPr>
                <w:sz w:val="24"/>
                <w:rFonts w:ascii="Times New Roman" w:hAnsi="Times New Roman"/>
              </w:rPr>
              <w:t xml:space="preserve">(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Annan</w:t>
            </w:r>
            <w:r>
              <w:rPr>
                <w:sz w:val="24"/>
                <w:rFonts w:ascii="Times New Roman" w:hAnsi="Times New Roman"/>
              </w:rPr>
              <w:t xml:space="preserve"> produkttyp)</w:t>
            </w:r>
            <w:bookmarkEnd w:id="1"/>
            <w:r>
              <w:rPr>
                <w:sz w:val="24"/>
                <w:rFonts w:ascii="Times New Roman" w:hAnsi="Times New Roman"/>
              </w:rPr>
              <w:t xml:space="preserve">.</w:t>
            </w:r>
          </w:p>
        </w:tc>
      </w:tr>
      <w:tr w:rsidR="00E05204" w:rsidRPr="0081623B" w14:paraId="4C932A7E" w14:textId="77777777" w:rsidTr="00845EB1">
        <w:tc>
          <w:tcPr>
            <w:tcW w:w="990" w:type="dxa"/>
          </w:tcPr>
          <w:p w14:paraId="611D24E9" w14:textId="77777777" w:rsidR="00E05204" w:rsidRPr="0081623B" w:rsidRDefault="00125C48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060</w:t>
            </w:r>
          </w:p>
        </w:tc>
        <w:tc>
          <w:tcPr>
            <w:tcW w:w="7306" w:type="dxa"/>
          </w:tcPr>
          <w:p w14:paraId="361DF87B" w14:textId="77777777" w:rsidR="00E05204" w:rsidRPr="0081623B" w:rsidRDefault="00E05204" w:rsidP="003E55AB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Valuta</w:t>
            </w:r>
          </w:p>
          <w:p w14:paraId="1D458B95" w14:textId="65954469" w:rsidR="00C05CCA" w:rsidRPr="0081623B" w:rsidRDefault="004C1638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Emittenter eller motparter som anges i kolumn 010 ska åsättas en valuta ISO kod enligt kolumn 060 som motsvarar beteckningen för den erhållna tillgången eller outnyttjade beviljade likviditetslinor som beviljats till institutionen.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Instituten ska rapportera valutakod bestående av tre bokstäver enligt ISO 4217.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4611C9A" w14:textId="73FE19CB" w:rsidR="00774708" w:rsidRPr="0081623B" w:rsidRDefault="00047ECB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Om en limit i flera valutor är en del av en koncentration av likviditetstäckningskapacitet ska limiten anges i den dominerande valutan i resten av koncentrationen.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När det gäller separat rapportering i väsentliga valutor enligt vad som anges i artikel 415.2 i förordning (EU) nr 575/2013 ska instituten göra en bedömning av vilken valuta som flödet troligen kommer att vara i, och endast rapportera posten i den väsentliga valutan, i enlighet med instruktionerna för separat rapportering av väsentliga valutor i likviditetstäckningskravet i enlighet med förordning (EU) 2016/322.</w:t>
            </w:r>
          </w:p>
        </w:tc>
      </w:tr>
      <w:tr w:rsidR="00E05204" w:rsidRPr="0081623B" w14:paraId="73A43F51" w14:textId="77777777" w:rsidTr="00845EB1">
        <w:tc>
          <w:tcPr>
            <w:tcW w:w="990" w:type="dxa"/>
          </w:tcPr>
          <w:p w14:paraId="44D208DA" w14:textId="77777777" w:rsidR="00E05204" w:rsidRPr="0081623B" w:rsidRDefault="00125C48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070</w:t>
            </w:r>
          </w:p>
        </w:tc>
        <w:tc>
          <w:tcPr>
            <w:tcW w:w="7306" w:type="dxa"/>
          </w:tcPr>
          <w:p w14:paraId="48AA6E4F" w14:textId="77777777" w:rsidR="00E05204" w:rsidRPr="0081623B" w:rsidRDefault="00E05204" w:rsidP="003E55AB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Kreditkvalitetssteg</w:t>
            </w:r>
          </w:p>
          <w:p w14:paraId="692CB839" w14:textId="76307C3A" w:rsidR="00E05204" w:rsidRPr="0081623B" w:rsidRDefault="00966F82" w:rsidP="003E55AB">
            <w:pPr>
              <w:spacing w:before="0"/>
              <w:rPr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Lämpligt kreditkvalitetssteg ska tilldelas i enlighet med förordning (EU) nr 575/2013, vilket ska vara detsamma som för posterna som rapporteras i löptidsmetodmallen.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Om kreditvärdering saknas tilldelas steget ”kreditvärdering saknas”.</w:t>
            </w:r>
          </w:p>
        </w:tc>
      </w:tr>
      <w:tr w:rsidR="00E05204" w:rsidRPr="0081623B" w14:paraId="2461383F" w14:textId="77777777" w:rsidTr="00845EB1">
        <w:tc>
          <w:tcPr>
            <w:tcW w:w="990" w:type="dxa"/>
          </w:tcPr>
          <w:p w14:paraId="7F1DF3BE" w14:textId="77777777" w:rsidR="00E05204" w:rsidRPr="0081623B" w:rsidRDefault="00125C48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080</w:t>
            </w:r>
          </w:p>
        </w:tc>
        <w:tc>
          <w:tcPr>
            <w:tcW w:w="7306" w:type="dxa"/>
          </w:tcPr>
          <w:p w14:paraId="3B1CC0D3" w14:textId="77777777" w:rsidR="00E05204" w:rsidRPr="0081623B" w:rsidRDefault="00E05204" w:rsidP="003E55AB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Marknadsvärde/nominellt värde</w:t>
            </w:r>
          </w:p>
          <w:p w14:paraId="78CE7B68" w14:textId="7B52544C" w:rsidR="00E05204" w:rsidRPr="0081623B" w:rsidRDefault="00E05204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Tillgångarnas marknadsvärde eller verkliga värde eller, i tillämpliga fall, den outnyttjade beviljade likviditetsfacilitetens nominella värde.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05204" w:rsidRPr="0081623B" w14:paraId="74EA2D80" w14:textId="77777777" w:rsidTr="00845EB1">
        <w:tc>
          <w:tcPr>
            <w:tcW w:w="990" w:type="dxa"/>
          </w:tcPr>
          <w:p w14:paraId="40B79F48" w14:textId="77777777" w:rsidR="00E05204" w:rsidRPr="0081623B" w:rsidRDefault="00125C48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090</w:t>
            </w:r>
          </w:p>
        </w:tc>
        <w:tc>
          <w:tcPr>
            <w:tcW w:w="7306" w:type="dxa"/>
          </w:tcPr>
          <w:p w14:paraId="5F665131" w14:textId="77777777" w:rsidR="00E05204" w:rsidRPr="0081623B" w:rsidRDefault="00E05204" w:rsidP="003E55AB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Värde på säkerheter som är godtagbara enligt centralbanken</w:t>
            </w:r>
          </w:p>
          <w:p w14:paraId="507C4FE8" w14:textId="2078D53B" w:rsidR="00E05204" w:rsidRPr="0081623B" w:rsidRDefault="00E05204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Specifika tillgångars värde som säkerheter enligt centralbankens regler för stående faciliteter.</w:t>
            </w:r>
          </w:p>
          <w:p w14:paraId="4C124B93" w14:textId="3D1AA419" w:rsidR="00BA0551" w:rsidRPr="0081623B" w:rsidRDefault="00B457F4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För tillgångar denominerade i en valuta som anges i bilagan till kommissionens genomförandeförordning (EU) 2015/233 som en valuta med en extremt snäv definition av belåningsbarhet hos centralbanken ska detta fält lämnas tomt.</w:t>
            </w:r>
          </w:p>
        </w:tc>
      </w:tr>
    </w:tbl>
    <w:p w14:paraId="56E0854E" w14:textId="56990862" w:rsidR="00D02FE4" w:rsidRPr="003E55AB" w:rsidRDefault="00D02FE4" w:rsidP="003E55AB">
      <w:pPr>
        <w:pStyle w:val="InstructionsText"/>
        <w:spacing w:after="120"/>
        <w:rPr>
          <w:rStyle w:val="InstructionsTabelleText"/>
          <w:rFonts w:ascii="Times New Roman" w:hAnsi="Times New Roman"/>
          <w:b/>
          <w:sz w:val="24"/>
        </w:rPr>
      </w:pPr>
    </w:p>
    <w:sectPr w:rsidR="00D02FE4" w:rsidRPr="003E55AB" w:rsidSect="001C50E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130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A81C07" w14:textId="77777777" w:rsidR="00E93689" w:rsidRDefault="00E93689">
      <w:r>
        <w:separator/>
      </w:r>
    </w:p>
  </w:endnote>
  <w:endnote w:type="continuationSeparator" w:id="0">
    <w:p w14:paraId="1B0C87B6" w14:textId="77777777" w:rsidR="00E93689" w:rsidRDefault="00E93689">
      <w:r>
        <w:continuationSeparator/>
      </w:r>
    </w:p>
  </w:endnote>
  <w:endnote w:type="continuationNotice" w:id="1">
    <w:p w14:paraId="1FB52F26" w14:textId="77777777" w:rsidR="00E93689" w:rsidRDefault="00E9368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01713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CDB5EC" w14:textId="3B7C51CE" w:rsidR="008E3ABF" w:rsidRDefault="008E3A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3</w:t>
        </w:r>
        <w:r>
          <w:fldChar w:fldCharType="end"/>
        </w:r>
      </w:p>
    </w:sdtContent>
  </w:sdt>
  <w:p w14:paraId="75EDC8A2" w14:textId="77777777" w:rsidR="008E3ABF" w:rsidRDefault="008E3A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06820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C21430" w14:textId="6FDDED1F" w:rsidR="009B3D8D" w:rsidRDefault="009B3D8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</w:t>
        </w:r>
        <w:r>
          <w:fldChar w:fldCharType="end"/>
        </w:r>
      </w:p>
    </w:sdtContent>
  </w:sdt>
  <w:p w14:paraId="266E4E64" w14:textId="77777777" w:rsidR="009B3D8D" w:rsidRDefault="009B3D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87DBF" w14:textId="77777777" w:rsidR="00E93689" w:rsidRDefault="00E93689">
      <w:r>
        <w:separator/>
      </w:r>
    </w:p>
  </w:footnote>
  <w:footnote w:type="continuationSeparator" w:id="0">
    <w:p w14:paraId="5AE6DC05" w14:textId="77777777" w:rsidR="00E93689" w:rsidRDefault="00E93689">
      <w:r>
        <w:continuationSeparator/>
      </w:r>
    </w:p>
  </w:footnote>
  <w:footnote w:type="continuationNotice" w:id="1">
    <w:p w14:paraId="6C243A08" w14:textId="77777777" w:rsidR="00E93689" w:rsidRDefault="00E9368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6DA46" w14:textId="77777777" w:rsidR="00B85053" w:rsidRDefault="00B85053" w:rsidP="00CB3679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24103" w14:textId="77777777" w:rsidR="00B85053" w:rsidRDefault="00B85053" w:rsidP="001C50E6">
    <w:pPr>
      <w:pStyle w:val="Header"/>
      <w:tabs>
        <w:tab w:val="left" w:pos="2742"/>
        <w:tab w:val="right" w:pos="8306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451A7CD0"/>
    <w:lvl w:ilvl="0" w:tplc="9CEC86B4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2" w15:restartNumberingAfterBreak="0">
    <w:nsid w:val="31250521"/>
    <w:multiLevelType w:val="hybridMultilevel"/>
    <w:tmpl w:val="DFE4B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dirty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D02FE4"/>
    <w:rsid w:val="00003323"/>
    <w:rsid w:val="000038B0"/>
    <w:rsid w:val="00005124"/>
    <w:rsid w:val="0000533E"/>
    <w:rsid w:val="000055AF"/>
    <w:rsid w:val="00007F98"/>
    <w:rsid w:val="00010E6E"/>
    <w:rsid w:val="0001317A"/>
    <w:rsid w:val="00014140"/>
    <w:rsid w:val="000147A2"/>
    <w:rsid w:val="00017710"/>
    <w:rsid w:val="00020037"/>
    <w:rsid w:val="00020D35"/>
    <w:rsid w:val="000222A8"/>
    <w:rsid w:val="00024284"/>
    <w:rsid w:val="00025096"/>
    <w:rsid w:val="00027397"/>
    <w:rsid w:val="000305BD"/>
    <w:rsid w:val="000319E0"/>
    <w:rsid w:val="00032985"/>
    <w:rsid w:val="00032AC7"/>
    <w:rsid w:val="00032D38"/>
    <w:rsid w:val="00033E6A"/>
    <w:rsid w:val="0003410D"/>
    <w:rsid w:val="00036812"/>
    <w:rsid w:val="00037147"/>
    <w:rsid w:val="00045FD6"/>
    <w:rsid w:val="000460CB"/>
    <w:rsid w:val="000473FA"/>
    <w:rsid w:val="00047ECB"/>
    <w:rsid w:val="000502BD"/>
    <w:rsid w:val="000502EB"/>
    <w:rsid w:val="0005030F"/>
    <w:rsid w:val="000516AE"/>
    <w:rsid w:val="000520B1"/>
    <w:rsid w:val="0005230B"/>
    <w:rsid w:val="00052C04"/>
    <w:rsid w:val="000536F6"/>
    <w:rsid w:val="0005450D"/>
    <w:rsid w:val="00054637"/>
    <w:rsid w:val="000553C2"/>
    <w:rsid w:val="0005541B"/>
    <w:rsid w:val="00055892"/>
    <w:rsid w:val="0005633D"/>
    <w:rsid w:val="00057495"/>
    <w:rsid w:val="00060360"/>
    <w:rsid w:val="0006085A"/>
    <w:rsid w:val="00061237"/>
    <w:rsid w:val="00062247"/>
    <w:rsid w:val="000634DB"/>
    <w:rsid w:val="00063538"/>
    <w:rsid w:val="000635F8"/>
    <w:rsid w:val="00065B7A"/>
    <w:rsid w:val="000661DE"/>
    <w:rsid w:val="00067872"/>
    <w:rsid w:val="0007112B"/>
    <w:rsid w:val="0007486C"/>
    <w:rsid w:val="000761EA"/>
    <w:rsid w:val="00076DEF"/>
    <w:rsid w:val="000774F6"/>
    <w:rsid w:val="000811DC"/>
    <w:rsid w:val="00083FD8"/>
    <w:rsid w:val="000858D4"/>
    <w:rsid w:val="00087DC0"/>
    <w:rsid w:val="000916BF"/>
    <w:rsid w:val="0009355B"/>
    <w:rsid w:val="00094799"/>
    <w:rsid w:val="000A1B1B"/>
    <w:rsid w:val="000A1E8B"/>
    <w:rsid w:val="000A22EF"/>
    <w:rsid w:val="000A265B"/>
    <w:rsid w:val="000A4E47"/>
    <w:rsid w:val="000A65B1"/>
    <w:rsid w:val="000A676C"/>
    <w:rsid w:val="000A7714"/>
    <w:rsid w:val="000B1AD8"/>
    <w:rsid w:val="000B1E42"/>
    <w:rsid w:val="000B31E2"/>
    <w:rsid w:val="000B323F"/>
    <w:rsid w:val="000B36FE"/>
    <w:rsid w:val="000B45B9"/>
    <w:rsid w:val="000B5A28"/>
    <w:rsid w:val="000B7471"/>
    <w:rsid w:val="000C0065"/>
    <w:rsid w:val="000C1613"/>
    <w:rsid w:val="000C1BA6"/>
    <w:rsid w:val="000C1E1F"/>
    <w:rsid w:val="000C2B9F"/>
    <w:rsid w:val="000C3837"/>
    <w:rsid w:val="000C44C9"/>
    <w:rsid w:val="000C46A9"/>
    <w:rsid w:val="000C651F"/>
    <w:rsid w:val="000C72CD"/>
    <w:rsid w:val="000C7B0C"/>
    <w:rsid w:val="000D002E"/>
    <w:rsid w:val="000D04E1"/>
    <w:rsid w:val="000D50C1"/>
    <w:rsid w:val="000D7457"/>
    <w:rsid w:val="000D7711"/>
    <w:rsid w:val="000E0086"/>
    <w:rsid w:val="000E375E"/>
    <w:rsid w:val="000E3E1D"/>
    <w:rsid w:val="000E43D6"/>
    <w:rsid w:val="000E54B5"/>
    <w:rsid w:val="000E7CD0"/>
    <w:rsid w:val="000F0DF9"/>
    <w:rsid w:val="000F32F6"/>
    <w:rsid w:val="000F5579"/>
    <w:rsid w:val="000F740F"/>
    <w:rsid w:val="0010105A"/>
    <w:rsid w:val="0010175F"/>
    <w:rsid w:val="00101DBE"/>
    <w:rsid w:val="00103C2D"/>
    <w:rsid w:val="00104ECF"/>
    <w:rsid w:val="00104F31"/>
    <w:rsid w:val="00105E75"/>
    <w:rsid w:val="00107C11"/>
    <w:rsid w:val="001105C6"/>
    <w:rsid w:val="00110E44"/>
    <w:rsid w:val="00111A31"/>
    <w:rsid w:val="0011243F"/>
    <w:rsid w:val="001126F1"/>
    <w:rsid w:val="001128AA"/>
    <w:rsid w:val="00112DAD"/>
    <w:rsid w:val="00114DCE"/>
    <w:rsid w:val="0011685F"/>
    <w:rsid w:val="00120331"/>
    <w:rsid w:val="00123582"/>
    <w:rsid w:val="00124EB8"/>
    <w:rsid w:val="001253FE"/>
    <w:rsid w:val="00125C48"/>
    <w:rsid w:val="00127122"/>
    <w:rsid w:val="0013073C"/>
    <w:rsid w:val="001325ED"/>
    <w:rsid w:val="001359BB"/>
    <w:rsid w:val="00136431"/>
    <w:rsid w:val="00136550"/>
    <w:rsid w:val="00140831"/>
    <w:rsid w:val="00140ABC"/>
    <w:rsid w:val="00142225"/>
    <w:rsid w:val="00143022"/>
    <w:rsid w:val="00143B75"/>
    <w:rsid w:val="00145317"/>
    <w:rsid w:val="001456E6"/>
    <w:rsid w:val="00147C46"/>
    <w:rsid w:val="00147F95"/>
    <w:rsid w:val="001507A4"/>
    <w:rsid w:val="001526C6"/>
    <w:rsid w:val="00152A18"/>
    <w:rsid w:val="0015307E"/>
    <w:rsid w:val="00153E41"/>
    <w:rsid w:val="00155567"/>
    <w:rsid w:val="00155E96"/>
    <w:rsid w:val="00161BDD"/>
    <w:rsid w:val="001625B0"/>
    <w:rsid w:val="001632B2"/>
    <w:rsid w:val="00165C19"/>
    <w:rsid w:val="001660A1"/>
    <w:rsid w:val="00166136"/>
    <w:rsid w:val="00166BAD"/>
    <w:rsid w:val="0017040C"/>
    <w:rsid w:val="00170712"/>
    <w:rsid w:val="00174660"/>
    <w:rsid w:val="00174D74"/>
    <w:rsid w:val="0017510B"/>
    <w:rsid w:val="0018393C"/>
    <w:rsid w:val="0018399F"/>
    <w:rsid w:val="00187112"/>
    <w:rsid w:val="00191CE8"/>
    <w:rsid w:val="001922E6"/>
    <w:rsid w:val="001924A9"/>
    <w:rsid w:val="001925FB"/>
    <w:rsid w:val="001934CA"/>
    <w:rsid w:val="001959EA"/>
    <w:rsid w:val="00195D88"/>
    <w:rsid w:val="00197358"/>
    <w:rsid w:val="00197458"/>
    <w:rsid w:val="00197B73"/>
    <w:rsid w:val="00197EDB"/>
    <w:rsid w:val="001A1D46"/>
    <w:rsid w:val="001A2A5D"/>
    <w:rsid w:val="001A331C"/>
    <w:rsid w:val="001A5E1F"/>
    <w:rsid w:val="001B05A8"/>
    <w:rsid w:val="001B0E00"/>
    <w:rsid w:val="001B1693"/>
    <w:rsid w:val="001B391C"/>
    <w:rsid w:val="001B5CC0"/>
    <w:rsid w:val="001B5DC4"/>
    <w:rsid w:val="001B609D"/>
    <w:rsid w:val="001C32BB"/>
    <w:rsid w:val="001C3ABE"/>
    <w:rsid w:val="001C4004"/>
    <w:rsid w:val="001C4296"/>
    <w:rsid w:val="001C44AD"/>
    <w:rsid w:val="001C50E6"/>
    <w:rsid w:val="001C5C97"/>
    <w:rsid w:val="001D2383"/>
    <w:rsid w:val="001D4F56"/>
    <w:rsid w:val="001D7651"/>
    <w:rsid w:val="001E0127"/>
    <w:rsid w:val="001E0B50"/>
    <w:rsid w:val="001E377E"/>
    <w:rsid w:val="001E4031"/>
    <w:rsid w:val="001E4878"/>
    <w:rsid w:val="001E4D8E"/>
    <w:rsid w:val="001E4EA9"/>
    <w:rsid w:val="001F03D5"/>
    <w:rsid w:val="001F06E6"/>
    <w:rsid w:val="001F0920"/>
    <w:rsid w:val="001F0985"/>
    <w:rsid w:val="001F21BE"/>
    <w:rsid w:val="001F222A"/>
    <w:rsid w:val="001F2559"/>
    <w:rsid w:val="001F3791"/>
    <w:rsid w:val="001F38B6"/>
    <w:rsid w:val="001F3C44"/>
    <w:rsid w:val="001F41F9"/>
    <w:rsid w:val="001F54B3"/>
    <w:rsid w:val="001F552A"/>
    <w:rsid w:val="001F5BAD"/>
    <w:rsid w:val="001F7680"/>
    <w:rsid w:val="001F7864"/>
    <w:rsid w:val="001F7E2C"/>
    <w:rsid w:val="002039F8"/>
    <w:rsid w:val="00203C60"/>
    <w:rsid w:val="00203DDF"/>
    <w:rsid w:val="00204D9A"/>
    <w:rsid w:val="00206F9E"/>
    <w:rsid w:val="0021066C"/>
    <w:rsid w:val="002108D8"/>
    <w:rsid w:val="00210E4D"/>
    <w:rsid w:val="00211504"/>
    <w:rsid w:val="00211F7A"/>
    <w:rsid w:val="00212FCC"/>
    <w:rsid w:val="00214011"/>
    <w:rsid w:val="00217076"/>
    <w:rsid w:val="00217556"/>
    <w:rsid w:val="00220736"/>
    <w:rsid w:val="00220CBD"/>
    <w:rsid w:val="002219D9"/>
    <w:rsid w:val="002242AF"/>
    <w:rsid w:val="0022499B"/>
    <w:rsid w:val="00224C95"/>
    <w:rsid w:val="002301D6"/>
    <w:rsid w:val="002309CD"/>
    <w:rsid w:val="00231B08"/>
    <w:rsid w:val="002352E7"/>
    <w:rsid w:val="00235ED5"/>
    <w:rsid w:val="00237261"/>
    <w:rsid w:val="002378C6"/>
    <w:rsid w:val="002403E3"/>
    <w:rsid w:val="00243B7F"/>
    <w:rsid w:val="002453B7"/>
    <w:rsid w:val="00245F6F"/>
    <w:rsid w:val="00246D52"/>
    <w:rsid w:val="00247235"/>
    <w:rsid w:val="002505E8"/>
    <w:rsid w:val="00250C47"/>
    <w:rsid w:val="00251381"/>
    <w:rsid w:val="00253273"/>
    <w:rsid w:val="002538F2"/>
    <w:rsid w:val="0025496A"/>
    <w:rsid w:val="00257904"/>
    <w:rsid w:val="00257EFA"/>
    <w:rsid w:val="0026098F"/>
    <w:rsid w:val="00261C3A"/>
    <w:rsid w:val="0026228C"/>
    <w:rsid w:val="0026410D"/>
    <w:rsid w:val="00264535"/>
    <w:rsid w:val="0026486E"/>
    <w:rsid w:val="0026487A"/>
    <w:rsid w:val="00265A6B"/>
    <w:rsid w:val="00265C4F"/>
    <w:rsid w:val="00265D0F"/>
    <w:rsid w:val="00270D39"/>
    <w:rsid w:val="00273B9D"/>
    <w:rsid w:val="00274246"/>
    <w:rsid w:val="00274A2D"/>
    <w:rsid w:val="00274FC9"/>
    <w:rsid w:val="002779FD"/>
    <w:rsid w:val="002813A2"/>
    <w:rsid w:val="00282604"/>
    <w:rsid w:val="00284510"/>
    <w:rsid w:val="00286398"/>
    <w:rsid w:val="002873EA"/>
    <w:rsid w:val="00290092"/>
    <w:rsid w:val="0029091E"/>
    <w:rsid w:val="002914DD"/>
    <w:rsid w:val="00291A5F"/>
    <w:rsid w:val="00292B75"/>
    <w:rsid w:val="00292D74"/>
    <w:rsid w:val="0029373D"/>
    <w:rsid w:val="0029404F"/>
    <w:rsid w:val="00295731"/>
    <w:rsid w:val="002957A1"/>
    <w:rsid w:val="002959B8"/>
    <w:rsid w:val="00295C96"/>
    <w:rsid w:val="00296254"/>
    <w:rsid w:val="002963F5"/>
    <w:rsid w:val="0029689C"/>
    <w:rsid w:val="002A0287"/>
    <w:rsid w:val="002A0515"/>
    <w:rsid w:val="002A08C1"/>
    <w:rsid w:val="002A1620"/>
    <w:rsid w:val="002A2091"/>
    <w:rsid w:val="002A24DB"/>
    <w:rsid w:val="002A4E71"/>
    <w:rsid w:val="002A575B"/>
    <w:rsid w:val="002A71AB"/>
    <w:rsid w:val="002B09BC"/>
    <w:rsid w:val="002B19FD"/>
    <w:rsid w:val="002B1FDF"/>
    <w:rsid w:val="002B27BD"/>
    <w:rsid w:val="002B3370"/>
    <w:rsid w:val="002B33E6"/>
    <w:rsid w:val="002B4524"/>
    <w:rsid w:val="002B61DE"/>
    <w:rsid w:val="002B6C9B"/>
    <w:rsid w:val="002C0F1F"/>
    <w:rsid w:val="002C60EE"/>
    <w:rsid w:val="002C67AA"/>
    <w:rsid w:val="002C72B4"/>
    <w:rsid w:val="002D1564"/>
    <w:rsid w:val="002D4EAD"/>
    <w:rsid w:val="002D6FC1"/>
    <w:rsid w:val="002D74BE"/>
    <w:rsid w:val="002D7DBC"/>
    <w:rsid w:val="002E06E0"/>
    <w:rsid w:val="002E0FBD"/>
    <w:rsid w:val="002E226D"/>
    <w:rsid w:val="002E4EDF"/>
    <w:rsid w:val="002E526C"/>
    <w:rsid w:val="002E6647"/>
    <w:rsid w:val="002E7093"/>
    <w:rsid w:val="002F100F"/>
    <w:rsid w:val="002F2006"/>
    <w:rsid w:val="002F3F30"/>
    <w:rsid w:val="002F40B2"/>
    <w:rsid w:val="002F461A"/>
    <w:rsid w:val="002F49D9"/>
    <w:rsid w:val="002F54A6"/>
    <w:rsid w:val="002F6343"/>
    <w:rsid w:val="00301B66"/>
    <w:rsid w:val="003040AA"/>
    <w:rsid w:val="00305838"/>
    <w:rsid w:val="003062E2"/>
    <w:rsid w:val="0031067C"/>
    <w:rsid w:val="00310CF5"/>
    <w:rsid w:val="00315C5E"/>
    <w:rsid w:val="00316707"/>
    <w:rsid w:val="00316817"/>
    <w:rsid w:val="00320184"/>
    <w:rsid w:val="00322AD6"/>
    <w:rsid w:val="0032336B"/>
    <w:rsid w:val="003237B6"/>
    <w:rsid w:val="00325272"/>
    <w:rsid w:val="00325C2E"/>
    <w:rsid w:val="00327A13"/>
    <w:rsid w:val="00330661"/>
    <w:rsid w:val="00331212"/>
    <w:rsid w:val="00331259"/>
    <w:rsid w:val="003322E1"/>
    <w:rsid w:val="0033279C"/>
    <w:rsid w:val="00332BEB"/>
    <w:rsid w:val="00332D04"/>
    <w:rsid w:val="003344EC"/>
    <w:rsid w:val="00335698"/>
    <w:rsid w:val="003400BD"/>
    <w:rsid w:val="00340D40"/>
    <w:rsid w:val="003411FB"/>
    <w:rsid w:val="003414A3"/>
    <w:rsid w:val="00341A84"/>
    <w:rsid w:val="00342A05"/>
    <w:rsid w:val="00342A27"/>
    <w:rsid w:val="00345BBF"/>
    <w:rsid w:val="00346A24"/>
    <w:rsid w:val="00347094"/>
    <w:rsid w:val="00347456"/>
    <w:rsid w:val="0035186E"/>
    <w:rsid w:val="0035467B"/>
    <w:rsid w:val="0035579B"/>
    <w:rsid w:val="003618AD"/>
    <w:rsid w:val="00365819"/>
    <w:rsid w:val="00365D67"/>
    <w:rsid w:val="003664D2"/>
    <w:rsid w:val="00367F87"/>
    <w:rsid w:val="00370CE1"/>
    <w:rsid w:val="003719B4"/>
    <w:rsid w:val="00372157"/>
    <w:rsid w:val="003727B9"/>
    <w:rsid w:val="0037286C"/>
    <w:rsid w:val="00373296"/>
    <w:rsid w:val="003737D3"/>
    <w:rsid w:val="003748A7"/>
    <w:rsid w:val="00375F1B"/>
    <w:rsid w:val="00376755"/>
    <w:rsid w:val="003821DB"/>
    <w:rsid w:val="0038298F"/>
    <w:rsid w:val="00382D94"/>
    <w:rsid w:val="00382E57"/>
    <w:rsid w:val="00387314"/>
    <w:rsid w:val="00387DE5"/>
    <w:rsid w:val="00390C02"/>
    <w:rsid w:val="00391724"/>
    <w:rsid w:val="003920BB"/>
    <w:rsid w:val="00392C32"/>
    <w:rsid w:val="003A05E1"/>
    <w:rsid w:val="003A07A5"/>
    <w:rsid w:val="003A45A0"/>
    <w:rsid w:val="003A4AA3"/>
    <w:rsid w:val="003A65ED"/>
    <w:rsid w:val="003A77C4"/>
    <w:rsid w:val="003B0648"/>
    <w:rsid w:val="003B2DAA"/>
    <w:rsid w:val="003B36FA"/>
    <w:rsid w:val="003B492B"/>
    <w:rsid w:val="003B5902"/>
    <w:rsid w:val="003B5E4E"/>
    <w:rsid w:val="003B6711"/>
    <w:rsid w:val="003B7D4B"/>
    <w:rsid w:val="003B7F4E"/>
    <w:rsid w:val="003C0FCA"/>
    <w:rsid w:val="003C23AF"/>
    <w:rsid w:val="003C34BD"/>
    <w:rsid w:val="003C4B9E"/>
    <w:rsid w:val="003C52C9"/>
    <w:rsid w:val="003C6A18"/>
    <w:rsid w:val="003C7C25"/>
    <w:rsid w:val="003D460D"/>
    <w:rsid w:val="003D4BDF"/>
    <w:rsid w:val="003D627C"/>
    <w:rsid w:val="003D6B9C"/>
    <w:rsid w:val="003D6CCA"/>
    <w:rsid w:val="003D7052"/>
    <w:rsid w:val="003E0FD8"/>
    <w:rsid w:val="003E2353"/>
    <w:rsid w:val="003E55AB"/>
    <w:rsid w:val="003E7307"/>
    <w:rsid w:val="003E76E9"/>
    <w:rsid w:val="003E7985"/>
    <w:rsid w:val="003F1434"/>
    <w:rsid w:val="003F171E"/>
    <w:rsid w:val="003F176E"/>
    <w:rsid w:val="003F37A5"/>
    <w:rsid w:val="003F5389"/>
    <w:rsid w:val="00401AE9"/>
    <w:rsid w:val="00402D60"/>
    <w:rsid w:val="004036B6"/>
    <w:rsid w:val="00403A80"/>
    <w:rsid w:val="0040604D"/>
    <w:rsid w:val="00406560"/>
    <w:rsid w:val="004066B9"/>
    <w:rsid w:val="004115FF"/>
    <w:rsid w:val="004127AC"/>
    <w:rsid w:val="00412B2C"/>
    <w:rsid w:val="00416408"/>
    <w:rsid w:val="004174D0"/>
    <w:rsid w:val="00422366"/>
    <w:rsid w:val="004225B8"/>
    <w:rsid w:val="00423C2C"/>
    <w:rsid w:val="00424695"/>
    <w:rsid w:val="004249E7"/>
    <w:rsid w:val="00425C97"/>
    <w:rsid w:val="00426411"/>
    <w:rsid w:val="00427114"/>
    <w:rsid w:val="00430772"/>
    <w:rsid w:val="00431FDC"/>
    <w:rsid w:val="00432104"/>
    <w:rsid w:val="0043404E"/>
    <w:rsid w:val="00436A29"/>
    <w:rsid w:val="0043770A"/>
    <w:rsid w:val="00437C92"/>
    <w:rsid w:val="00440C15"/>
    <w:rsid w:val="00442C44"/>
    <w:rsid w:val="004438F6"/>
    <w:rsid w:val="00443C8F"/>
    <w:rsid w:val="00444F57"/>
    <w:rsid w:val="00445F38"/>
    <w:rsid w:val="00450530"/>
    <w:rsid w:val="00453058"/>
    <w:rsid w:val="004538F5"/>
    <w:rsid w:val="00455269"/>
    <w:rsid w:val="00455BBB"/>
    <w:rsid w:val="00456C57"/>
    <w:rsid w:val="00464465"/>
    <w:rsid w:val="00465663"/>
    <w:rsid w:val="004679FE"/>
    <w:rsid w:val="00471A02"/>
    <w:rsid w:val="00471D03"/>
    <w:rsid w:val="0047207F"/>
    <w:rsid w:val="00472557"/>
    <w:rsid w:val="004748D6"/>
    <w:rsid w:val="00474E51"/>
    <w:rsid w:val="00477625"/>
    <w:rsid w:val="0048110A"/>
    <w:rsid w:val="00481635"/>
    <w:rsid w:val="00481671"/>
    <w:rsid w:val="0048225A"/>
    <w:rsid w:val="004842A4"/>
    <w:rsid w:val="00484814"/>
    <w:rsid w:val="00485FC0"/>
    <w:rsid w:val="00490CBE"/>
    <w:rsid w:val="00491360"/>
    <w:rsid w:val="00492D45"/>
    <w:rsid w:val="00493BAC"/>
    <w:rsid w:val="0049459E"/>
    <w:rsid w:val="00495988"/>
    <w:rsid w:val="004959F9"/>
    <w:rsid w:val="004971FB"/>
    <w:rsid w:val="004A0067"/>
    <w:rsid w:val="004A0AFD"/>
    <w:rsid w:val="004A1949"/>
    <w:rsid w:val="004A1C3C"/>
    <w:rsid w:val="004A2C03"/>
    <w:rsid w:val="004A3251"/>
    <w:rsid w:val="004A4943"/>
    <w:rsid w:val="004A6F1D"/>
    <w:rsid w:val="004B0991"/>
    <w:rsid w:val="004B179E"/>
    <w:rsid w:val="004B37CF"/>
    <w:rsid w:val="004B4EEB"/>
    <w:rsid w:val="004B52C5"/>
    <w:rsid w:val="004C0310"/>
    <w:rsid w:val="004C03B1"/>
    <w:rsid w:val="004C03B6"/>
    <w:rsid w:val="004C067F"/>
    <w:rsid w:val="004C08FE"/>
    <w:rsid w:val="004C0945"/>
    <w:rsid w:val="004C12AE"/>
    <w:rsid w:val="004C1638"/>
    <w:rsid w:val="004C2CB2"/>
    <w:rsid w:val="004C3A64"/>
    <w:rsid w:val="004C3B19"/>
    <w:rsid w:val="004C4793"/>
    <w:rsid w:val="004C55E2"/>
    <w:rsid w:val="004C6B4F"/>
    <w:rsid w:val="004C6E56"/>
    <w:rsid w:val="004C7903"/>
    <w:rsid w:val="004C7F74"/>
    <w:rsid w:val="004D0658"/>
    <w:rsid w:val="004D0CA9"/>
    <w:rsid w:val="004D16B9"/>
    <w:rsid w:val="004D33CA"/>
    <w:rsid w:val="004D3581"/>
    <w:rsid w:val="004D3A78"/>
    <w:rsid w:val="004D3A98"/>
    <w:rsid w:val="004D4A7D"/>
    <w:rsid w:val="004E0009"/>
    <w:rsid w:val="004E0828"/>
    <w:rsid w:val="004E25C9"/>
    <w:rsid w:val="004E3FE3"/>
    <w:rsid w:val="004E6B4F"/>
    <w:rsid w:val="004E78DB"/>
    <w:rsid w:val="004E7F70"/>
    <w:rsid w:val="004F058B"/>
    <w:rsid w:val="004F1F32"/>
    <w:rsid w:val="004F1FAB"/>
    <w:rsid w:val="004F431A"/>
    <w:rsid w:val="004F50F4"/>
    <w:rsid w:val="004F638B"/>
    <w:rsid w:val="004F6C3F"/>
    <w:rsid w:val="004F7535"/>
    <w:rsid w:val="00500809"/>
    <w:rsid w:val="0050144D"/>
    <w:rsid w:val="0050358E"/>
    <w:rsid w:val="005048E9"/>
    <w:rsid w:val="005065EE"/>
    <w:rsid w:val="005068A3"/>
    <w:rsid w:val="00506C3F"/>
    <w:rsid w:val="00507349"/>
    <w:rsid w:val="00507470"/>
    <w:rsid w:val="0051041F"/>
    <w:rsid w:val="00510435"/>
    <w:rsid w:val="0051314B"/>
    <w:rsid w:val="00514EBB"/>
    <w:rsid w:val="0051512B"/>
    <w:rsid w:val="005153DA"/>
    <w:rsid w:val="00515597"/>
    <w:rsid w:val="0051595F"/>
    <w:rsid w:val="00516D1A"/>
    <w:rsid w:val="00520A83"/>
    <w:rsid w:val="005222CE"/>
    <w:rsid w:val="005243AD"/>
    <w:rsid w:val="005244BB"/>
    <w:rsid w:val="005266EF"/>
    <w:rsid w:val="00526AF7"/>
    <w:rsid w:val="005277AA"/>
    <w:rsid w:val="00527920"/>
    <w:rsid w:val="005304E1"/>
    <w:rsid w:val="00530802"/>
    <w:rsid w:val="005315D2"/>
    <w:rsid w:val="005332F1"/>
    <w:rsid w:val="00534A69"/>
    <w:rsid w:val="00537CF7"/>
    <w:rsid w:val="00540C96"/>
    <w:rsid w:val="00542112"/>
    <w:rsid w:val="00544476"/>
    <w:rsid w:val="00544A62"/>
    <w:rsid w:val="00545558"/>
    <w:rsid w:val="0054702C"/>
    <w:rsid w:val="00547E60"/>
    <w:rsid w:val="00551909"/>
    <w:rsid w:val="00551FB4"/>
    <w:rsid w:val="005537CE"/>
    <w:rsid w:val="00553EAE"/>
    <w:rsid w:val="00554F20"/>
    <w:rsid w:val="00556E35"/>
    <w:rsid w:val="005608A0"/>
    <w:rsid w:val="00560CC4"/>
    <w:rsid w:val="00561902"/>
    <w:rsid w:val="00561E62"/>
    <w:rsid w:val="00562455"/>
    <w:rsid w:val="00562468"/>
    <w:rsid w:val="0056474F"/>
    <w:rsid w:val="00564FAC"/>
    <w:rsid w:val="00570C54"/>
    <w:rsid w:val="00571315"/>
    <w:rsid w:val="00572E18"/>
    <w:rsid w:val="00575061"/>
    <w:rsid w:val="0057741E"/>
    <w:rsid w:val="005815BE"/>
    <w:rsid w:val="0058293E"/>
    <w:rsid w:val="005830CB"/>
    <w:rsid w:val="00584554"/>
    <w:rsid w:val="00584E64"/>
    <w:rsid w:val="00590747"/>
    <w:rsid w:val="005914BC"/>
    <w:rsid w:val="0059182F"/>
    <w:rsid w:val="00592110"/>
    <w:rsid w:val="00592B97"/>
    <w:rsid w:val="00594112"/>
    <w:rsid w:val="00595525"/>
    <w:rsid w:val="005966B1"/>
    <w:rsid w:val="00597669"/>
    <w:rsid w:val="005A1E9A"/>
    <w:rsid w:val="005A3FC3"/>
    <w:rsid w:val="005A4733"/>
    <w:rsid w:val="005A7661"/>
    <w:rsid w:val="005A771B"/>
    <w:rsid w:val="005A7EC0"/>
    <w:rsid w:val="005B08B3"/>
    <w:rsid w:val="005B0C3C"/>
    <w:rsid w:val="005B11DA"/>
    <w:rsid w:val="005B27B2"/>
    <w:rsid w:val="005B3B47"/>
    <w:rsid w:val="005B3B62"/>
    <w:rsid w:val="005B45A3"/>
    <w:rsid w:val="005B47BD"/>
    <w:rsid w:val="005B58D2"/>
    <w:rsid w:val="005B6948"/>
    <w:rsid w:val="005B6F53"/>
    <w:rsid w:val="005C2204"/>
    <w:rsid w:val="005C409E"/>
    <w:rsid w:val="005C5936"/>
    <w:rsid w:val="005D10E3"/>
    <w:rsid w:val="005D18D4"/>
    <w:rsid w:val="005D1C45"/>
    <w:rsid w:val="005D249C"/>
    <w:rsid w:val="005D292A"/>
    <w:rsid w:val="005D32F6"/>
    <w:rsid w:val="005D330A"/>
    <w:rsid w:val="005D3867"/>
    <w:rsid w:val="005D5B20"/>
    <w:rsid w:val="005D5D43"/>
    <w:rsid w:val="005D659A"/>
    <w:rsid w:val="005D6BA8"/>
    <w:rsid w:val="005D7857"/>
    <w:rsid w:val="005D7879"/>
    <w:rsid w:val="005E0149"/>
    <w:rsid w:val="005E075E"/>
    <w:rsid w:val="005E162F"/>
    <w:rsid w:val="005E3727"/>
    <w:rsid w:val="005E39E2"/>
    <w:rsid w:val="005E4BDA"/>
    <w:rsid w:val="005E6140"/>
    <w:rsid w:val="005E6B42"/>
    <w:rsid w:val="005E7F28"/>
    <w:rsid w:val="005F002F"/>
    <w:rsid w:val="005F2433"/>
    <w:rsid w:val="005F3A4B"/>
    <w:rsid w:val="005F4027"/>
    <w:rsid w:val="005F4234"/>
    <w:rsid w:val="005F63A9"/>
    <w:rsid w:val="006007F2"/>
    <w:rsid w:val="00600B36"/>
    <w:rsid w:val="00600E5A"/>
    <w:rsid w:val="00603A99"/>
    <w:rsid w:val="00610546"/>
    <w:rsid w:val="00611695"/>
    <w:rsid w:val="0061365F"/>
    <w:rsid w:val="00613F86"/>
    <w:rsid w:val="00613FC0"/>
    <w:rsid w:val="0061442A"/>
    <w:rsid w:val="00616BFA"/>
    <w:rsid w:val="00616D44"/>
    <w:rsid w:val="0062073A"/>
    <w:rsid w:val="006242E9"/>
    <w:rsid w:val="0062477C"/>
    <w:rsid w:val="00625032"/>
    <w:rsid w:val="00625143"/>
    <w:rsid w:val="00632E46"/>
    <w:rsid w:val="006354DF"/>
    <w:rsid w:val="006359EA"/>
    <w:rsid w:val="00635A22"/>
    <w:rsid w:val="00635DC7"/>
    <w:rsid w:val="00637E2E"/>
    <w:rsid w:val="00637F1C"/>
    <w:rsid w:val="00640611"/>
    <w:rsid w:val="00640F43"/>
    <w:rsid w:val="00641DBF"/>
    <w:rsid w:val="0064308D"/>
    <w:rsid w:val="006439CE"/>
    <w:rsid w:val="00643C9B"/>
    <w:rsid w:val="006463B5"/>
    <w:rsid w:val="00646C49"/>
    <w:rsid w:val="006470A0"/>
    <w:rsid w:val="00651007"/>
    <w:rsid w:val="00652D30"/>
    <w:rsid w:val="006537F7"/>
    <w:rsid w:val="00653D4E"/>
    <w:rsid w:val="00655ED9"/>
    <w:rsid w:val="00655F28"/>
    <w:rsid w:val="0065656C"/>
    <w:rsid w:val="00656908"/>
    <w:rsid w:val="00656C18"/>
    <w:rsid w:val="00663A34"/>
    <w:rsid w:val="006644C7"/>
    <w:rsid w:val="00665B17"/>
    <w:rsid w:val="00667FEE"/>
    <w:rsid w:val="006708BC"/>
    <w:rsid w:val="00671C24"/>
    <w:rsid w:val="00671EF3"/>
    <w:rsid w:val="00672219"/>
    <w:rsid w:val="00672329"/>
    <w:rsid w:val="00672684"/>
    <w:rsid w:val="00672B1B"/>
    <w:rsid w:val="006761DC"/>
    <w:rsid w:val="00680437"/>
    <w:rsid w:val="00680CBC"/>
    <w:rsid w:val="00681960"/>
    <w:rsid w:val="00683EF0"/>
    <w:rsid w:val="00684617"/>
    <w:rsid w:val="00686B41"/>
    <w:rsid w:val="0069188C"/>
    <w:rsid w:val="00694087"/>
    <w:rsid w:val="006942B2"/>
    <w:rsid w:val="00695052"/>
    <w:rsid w:val="00695799"/>
    <w:rsid w:val="006958CF"/>
    <w:rsid w:val="00695BDE"/>
    <w:rsid w:val="006A01B6"/>
    <w:rsid w:val="006A12B8"/>
    <w:rsid w:val="006A1825"/>
    <w:rsid w:val="006A32C7"/>
    <w:rsid w:val="006A558C"/>
    <w:rsid w:val="006B283D"/>
    <w:rsid w:val="006B33B8"/>
    <w:rsid w:val="006B46EF"/>
    <w:rsid w:val="006B5845"/>
    <w:rsid w:val="006B613C"/>
    <w:rsid w:val="006B6618"/>
    <w:rsid w:val="006C09A9"/>
    <w:rsid w:val="006C0E1F"/>
    <w:rsid w:val="006C24B8"/>
    <w:rsid w:val="006C3576"/>
    <w:rsid w:val="006C35E3"/>
    <w:rsid w:val="006C486B"/>
    <w:rsid w:val="006C4D88"/>
    <w:rsid w:val="006C5E41"/>
    <w:rsid w:val="006D00AA"/>
    <w:rsid w:val="006D290D"/>
    <w:rsid w:val="006D56BA"/>
    <w:rsid w:val="006D59CC"/>
    <w:rsid w:val="006D7758"/>
    <w:rsid w:val="006D795C"/>
    <w:rsid w:val="006E1330"/>
    <w:rsid w:val="006E2C26"/>
    <w:rsid w:val="006E3500"/>
    <w:rsid w:val="006F11B5"/>
    <w:rsid w:val="006F131D"/>
    <w:rsid w:val="006F275E"/>
    <w:rsid w:val="006F434B"/>
    <w:rsid w:val="006F4DF6"/>
    <w:rsid w:val="006F6E92"/>
    <w:rsid w:val="006F725A"/>
    <w:rsid w:val="0070093F"/>
    <w:rsid w:val="00700BD5"/>
    <w:rsid w:val="00702966"/>
    <w:rsid w:val="00702D78"/>
    <w:rsid w:val="00703413"/>
    <w:rsid w:val="0070579B"/>
    <w:rsid w:val="0070591E"/>
    <w:rsid w:val="00705F68"/>
    <w:rsid w:val="007074DB"/>
    <w:rsid w:val="0071240D"/>
    <w:rsid w:val="00712B12"/>
    <w:rsid w:val="00712B67"/>
    <w:rsid w:val="007161C1"/>
    <w:rsid w:val="00717B11"/>
    <w:rsid w:val="00720169"/>
    <w:rsid w:val="00722702"/>
    <w:rsid w:val="00723CA3"/>
    <w:rsid w:val="00724BAE"/>
    <w:rsid w:val="0072666C"/>
    <w:rsid w:val="0073004F"/>
    <w:rsid w:val="00730DBF"/>
    <w:rsid w:val="00731C06"/>
    <w:rsid w:val="007354FB"/>
    <w:rsid w:val="007359FE"/>
    <w:rsid w:val="007362B2"/>
    <w:rsid w:val="007368C1"/>
    <w:rsid w:val="00736DCB"/>
    <w:rsid w:val="0074239A"/>
    <w:rsid w:val="00743492"/>
    <w:rsid w:val="0074360F"/>
    <w:rsid w:val="00743F7E"/>
    <w:rsid w:val="007449E8"/>
    <w:rsid w:val="007470C6"/>
    <w:rsid w:val="00750DD3"/>
    <w:rsid w:val="00751DC2"/>
    <w:rsid w:val="00751E46"/>
    <w:rsid w:val="0075293E"/>
    <w:rsid w:val="007558B8"/>
    <w:rsid w:val="00757056"/>
    <w:rsid w:val="0075769C"/>
    <w:rsid w:val="00761DED"/>
    <w:rsid w:val="00762190"/>
    <w:rsid w:val="00764290"/>
    <w:rsid w:val="00764D7E"/>
    <w:rsid w:val="00767868"/>
    <w:rsid w:val="0077052A"/>
    <w:rsid w:val="00770BC7"/>
    <w:rsid w:val="00772E63"/>
    <w:rsid w:val="0077329F"/>
    <w:rsid w:val="00774708"/>
    <w:rsid w:val="0077591B"/>
    <w:rsid w:val="007764E5"/>
    <w:rsid w:val="0077793E"/>
    <w:rsid w:val="00780731"/>
    <w:rsid w:val="00780D66"/>
    <w:rsid w:val="00781A57"/>
    <w:rsid w:val="007823C2"/>
    <w:rsid w:val="00783775"/>
    <w:rsid w:val="00786055"/>
    <w:rsid w:val="00786634"/>
    <w:rsid w:val="00787538"/>
    <w:rsid w:val="00787967"/>
    <w:rsid w:val="00791156"/>
    <w:rsid w:val="00791251"/>
    <w:rsid w:val="00792387"/>
    <w:rsid w:val="007926BB"/>
    <w:rsid w:val="00793D38"/>
    <w:rsid w:val="00793D61"/>
    <w:rsid w:val="00793DB9"/>
    <w:rsid w:val="00793F9D"/>
    <w:rsid w:val="007959A4"/>
    <w:rsid w:val="00795C34"/>
    <w:rsid w:val="007974FD"/>
    <w:rsid w:val="007A061D"/>
    <w:rsid w:val="007A34AA"/>
    <w:rsid w:val="007A3F5F"/>
    <w:rsid w:val="007A5BD8"/>
    <w:rsid w:val="007A5E1D"/>
    <w:rsid w:val="007A6A70"/>
    <w:rsid w:val="007A72DC"/>
    <w:rsid w:val="007A7871"/>
    <w:rsid w:val="007B18A5"/>
    <w:rsid w:val="007B2BBD"/>
    <w:rsid w:val="007B3403"/>
    <w:rsid w:val="007B4269"/>
    <w:rsid w:val="007B5A2D"/>
    <w:rsid w:val="007B76FE"/>
    <w:rsid w:val="007B7F2C"/>
    <w:rsid w:val="007C05E5"/>
    <w:rsid w:val="007C0BEB"/>
    <w:rsid w:val="007C1380"/>
    <w:rsid w:val="007C29FB"/>
    <w:rsid w:val="007C2CF7"/>
    <w:rsid w:val="007C30BA"/>
    <w:rsid w:val="007C3A15"/>
    <w:rsid w:val="007C43CE"/>
    <w:rsid w:val="007C4F75"/>
    <w:rsid w:val="007D087E"/>
    <w:rsid w:val="007D3E81"/>
    <w:rsid w:val="007D4A44"/>
    <w:rsid w:val="007D4ACE"/>
    <w:rsid w:val="007D6378"/>
    <w:rsid w:val="007D69E0"/>
    <w:rsid w:val="007E0394"/>
    <w:rsid w:val="007E1CCC"/>
    <w:rsid w:val="007E2BEF"/>
    <w:rsid w:val="007E4405"/>
    <w:rsid w:val="007E4564"/>
    <w:rsid w:val="007E6E38"/>
    <w:rsid w:val="007E7CD1"/>
    <w:rsid w:val="007F0519"/>
    <w:rsid w:val="007F0565"/>
    <w:rsid w:val="007F0CA1"/>
    <w:rsid w:val="007F0D42"/>
    <w:rsid w:val="007F1786"/>
    <w:rsid w:val="007F1EB7"/>
    <w:rsid w:val="007F2A5B"/>
    <w:rsid w:val="007F3253"/>
    <w:rsid w:val="007F6A1C"/>
    <w:rsid w:val="0080118E"/>
    <w:rsid w:val="00801459"/>
    <w:rsid w:val="00801610"/>
    <w:rsid w:val="00801C2E"/>
    <w:rsid w:val="00801E14"/>
    <w:rsid w:val="00801EC5"/>
    <w:rsid w:val="00802010"/>
    <w:rsid w:val="00802152"/>
    <w:rsid w:val="00804914"/>
    <w:rsid w:val="0081105A"/>
    <w:rsid w:val="00813966"/>
    <w:rsid w:val="008159B0"/>
    <w:rsid w:val="0081623B"/>
    <w:rsid w:val="00817959"/>
    <w:rsid w:val="00817AF6"/>
    <w:rsid w:val="00822C02"/>
    <w:rsid w:val="00823837"/>
    <w:rsid w:val="0082447C"/>
    <w:rsid w:val="00824565"/>
    <w:rsid w:val="008260BA"/>
    <w:rsid w:val="008263F9"/>
    <w:rsid w:val="0082643B"/>
    <w:rsid w:val="00830F16"/>
    <w:rsid w:val="008326BA"/>
    <w:rsid w:val="008334B3"/>
    <w:rsid w:val="0083376D"/>
    <w:rsid w:val="00835E1D"/>
    <w:rsid w:val="00837942"/>
    <w:rsid w:val="00840052"/>
    <w:rsid w:val="0084065D"/>
    <w:rsid w:val="008428D3"/>
    <w:rsid w:val="00843890"/>
    <w:rsid w:val="00844416"/>
    <w:rsid w:val="008450E8"/>
    <w:rsid w:val="00845767"/>
    <w:rsid w:val="00845EB1"/>
    <w:rsid w:val="008460B2"/>
    <w:rsid w:val="00846CE5"/>
    <w:rsid w:val="00847710"/>
    <w:rsid w:val="00847872"/>
    <w:rsid w:val="00852469"/>
    <w:rsid w:val="00853590"/>
    <w:rsid w:val="0085529D"/>
    <w:rsid w:val="008553D2"/>
    <w:rsid w:val="0085617B"/>
    <w:rsid w:val="008579F1"/>
    <w:rsid w:val="00860E58"/>
    <w:rsid w:val="00861C38"/>
    <w:rsid w:val="00862642"/>
    <w:rsid w:val="00862BED"/>
    <w:rsid w:val="00865AC1"/>
    <w:rsid w:val="00870EC4"/>
    <w:rsid w:val="0087243A"/>
    <w:rsid w:val="00873BBE"/>
    <w:rsid w:val="00875E14"/>
    <w:rsid w:val="00880B55"/>
    <w:rsid w:val="00882AB3"/>
    <w:rsid w:val="00884612"/>
    <w:rsid w:val="008846C2"/>
    <w:rsid w:val="00885125"/>
    <w:rsid w:val="0088754E"/>
    <w:rsid w:val="00887ECC"/>
    <w:rsid w:val="008901AF"/>
    <w:rsid w:val="00893902"/>
    <w:rsid w:val="00893BB6"/>
    <w:rsid w:val="0089454F"/>
    <w:rsid w:val="0089516E"/>
    <w:rsid w:val="008964F2"/>
    <w:rsid w:val="008A0F6D"/>
    <w:rsid w:val="008A1696"/>
    <w:rsid w:val="008A1DB9"/>
    <w:rsid w:val="008A1F2A"/>
    <w:rsid w:val="008A20A5"/>
    <w:rsid w:val="008A3649"/>
    <w:rsid w:val="008A41BF"/>
    <w:rsid w:val="008A5226"/>
    <w:rsid w:val="008A5726"/>
    <w:rsid w:val="008A5A8E"/>
    <w:rsid w:val="008A6AD4"/>
    <w:rsid w:val="008A6BEE"/>
    <w:rsid w:val="008A7751"/>
    <w:rsid w:val="008A7BBD"/>
    <w:rsid w:val="008A7FB9"/>
    <w:rsid w:val="008B0347"/>
    <w:rsid w:val="008B07C7"/>
    <w:rsid w:val="008B0FFF"/>
    <w:rsid w:val="008B101A"/>
    <w:rsid w:val="008B16E3"/>
    <w:rsid w:val="008B208E"/>
    <w:rsid w:val="008B32E0"/>
    <w:rsid w:val="008B654F"/>
    <w:rsid w:val="008B6F84"/>
    <w:rsid w:val="008C0F1F"/>
    <w:rsid w:val="008C12CB"/>
    <w:rsid w:val="008C41A5"/>
    <w:rsid w:val="008C45B1"/>
    <w:rsid w:val="008C47DC"/>
    <w:rsid w:val="008C4BF9"/>
    <w:rsid w:val="008C4D4B"/>
    <w:rsid w:val="008C592E"/>
    <w:rsid w:val="008C6044"/>
    <w:rsid w:val="008C6B6B"/>
    <w:rsid w:val="008C6E36"/>
    <w:rsid w:val="008C71F3"/>
    <w:rsid w:val="008C7508"/>
    <w:rsid w:val="008C7C43"/>
    <w:rsid w:val="008D07B6"/>
    <w:rsid w:val="008D2CB3"/>
    <w:rsid w:val="008D3C0F"/>
    <w:rsid w:val="008D3FA9"/>
    <w:rsid w:val="008D6ECE"/>
    <w:rsid w:val="008D6ECF"/>
    <w:rsid w:val="008E0656"/>
    <w:rsid w:val="008E12C2"/>
    <w:rsid w:val="008E16F4"/>
    <w:rsid w:val="008E1E6A"/>
    <w:rsid w:val="008E36FC"/>
    <w:rsid w:val="008E3ABF"/>
    <w:rsid w:val="008E6FE1"/>
    <w:rsid w:val="008E7D4F"/>
    <w:rsid w:val="008F1100"/>
    <w:rsid w:val="008F23F6"/>
    <w:rsid w:val="008F2DBC"/>
    <w:rsid w:val="008F4183"/>
    <w:rsid w:val="008F4190"/>
    <w:rsid w:val="008F48A4"/>
    <w:rsid w:val="008F6B6B"/>
    <w:rsid w:val="008F6DDA"/>
    <w:rsid w:val="008F713F"/>
    <w:rsid w:val="008F7C06"/>
    <w:rsid w:val="009005D0"/>
    <w:rsid w:val="00902B35"/>
    <w:rsid w:val="00905BEA"/>
    <w:rsid w:val="00906FD0"/>
    <w:rsid w:val="00907DC6"/>
    <w:rsid w:val="00912545"/>
    <w:rsid w:val="00915FB9"/>
    <w:rsid w:val="00916037"/>
    <w:rsid w:val="0092203C"/>
    <w:rsid w:val="00922D9F"/>
    <w:rsid w:val="00922DB3"/>
    <w:rsid w:val="00923A16"/>
    <w:rsid w:val="0092526B"/>
    <w:rsid w:val="00926380"/>
    <w:rsid w:val="00930C1A"/>
    <w:rsid w:val="00935A4D"/>
    <w:rsid w:val="00936735"/>
    <w:rsid w:val="00936ADB"/>
    <w:rsid w:val="00937FD6"/>
    <w:rsid w:val="00941A66"/>
    <w:rsid w:val="009432DC"/>
    <w:rsid w:val="009439F8"/>
    <w:rsid w:val="00945629"/>
    <w:rsid w:val="00946AE8"/>
    <w:rsid w:val="00950DEE"/>
    <w:rsid w:val="009521AF"/>
    <w:rsid w:val="00956D8A"/>
    <w:rsid w:val="009577E2"/>
    <w:rsid w:val="00960024"/>
    <w:rsid w:val="00961603"/>
    <w:rsid w:val="00961851"/>
    <w:rsid w:val="0096225C"/>
    <w:rsid w:val="00962983"/>
    <w:rsid w:val="00964B81"/>
    <w:rsid w:val="00966998"/>
    <w:rsid w:val="00966CE3"/>
    <w:rsid w:val="00966F82"/>
    <w:rsid w:val="00967CA7"/>
    <w:rsid w:val="00967FEB"/>
    <w:rsid w:val="0097107C"/>
    <w:rsid w:val="00973AB9"/>
    <w:rsid w:val="00973C6E"/>
    <w:rsid w:val="00977E20"/>
    <w:rsid w:val="00977F19"/>
    <w:rsid w:val="0098084D"/>
    <w:rsid w:val="00983A15"/>
    <w:rsid w:val="00983C01"/>
    <w:rsid w:val="00984379"/>
    <w:rsid w:val="009856F7"/>
    <w:rsid w:val="009900A6"/>
    <w:rsid w:val="0099038D"/>
    <w:rsid w:val="00990A14"/>
    <w:rsid w:val="00990C79"/>
    <w:rsid w:val="009917F0"/>
    <w:rsid w:val="009930C8"/>
    <w:rsid w:val="00994617"/>
    <w:rsid w:val="009946CF"/>
    <w:rsid w:val="009A007E"/>
    <w:rsid w:val="009A07BC"/>
    <w:rsid w:val="009A1AF1"/>
    <w:rsid w:val="009A1C01"/>
    <w:rsid w:val="009A3AE8"/>
    <w:rsid w:val="009A4A22"/>
    <w:rsid w:val="009A5620"/>
    <w:rsid w:val="009A643C"/>
    <w:rsid w:val="009A77E1"/>
    <w:rsid w:val="009B0276"/>
    <w:rsid w:val="009B0D78"/>
    <w:rsid w:val="009B3357"/>
    <w:rsid w:val="009B3D8D"/>
    <w:rsid w:val="009B4603"/>
    <w:rsid w:val="009B647A"/>
    <w:rsid w:val="009C14D7"/>
    <w:rsid w:val="009C3C83"/>
    <w:rsid w:val="009C3DA4"/>
    <w:rsid w:val="009C4047"/>
    <w:rsid w:val="009C4CB0"/>
    <w:rsid w:val="009C6BFD"/>
    <w:rsid w:val="009C7466"/>
    <w:rsid w:val="009D04B7"/>
    <w:rsid w:val="009D10DD"/>
    <w:rsid w:val="009D1906"/>
    <w:rsid w:val="009D1C94"/>
    <w:rsid w:val="009D253B"/>
    <w:rsid w:val="009D3308"/>
    <w:rsid w:val="009D35DD"/>
    <w:rsid w:val="009D3E9D"/>
    <w:rsid w:val="009D4C95"/>
    <w:rsid w:val="009D5165"/>
    <w:rsid w:val="009D548F"/>
    <w:rsid w:val="009E264D"/>
    <w:rsid w:val="009E3431"/>
    <w:rsid w:val="009E4088"/>
    <w:rsid w:val="009E4CBF"/>
    <w:rsid w:val="009E5639"/>
    <w:rsid w:val="009E6B2D"/>
    <w:rsid w:val="009E6B53"/>
    <w:rsid w:val="009E7588"/>
    <w:rsid w:val="009F2B9C"/>
    <w:rsid w:val="009F42A4"/>
    <w:rsid w:val="009F664D"/>
    <w:rsid w:val="00A00D6D"/>
    <w:rsid w:val="00A01B66"/>
    <w:rsid w:val="00A03731"/>
    <w:rsid w:val="00A03A3B"/>
    <w:rsid w:val="00A05CF9"/>
    <w:rsid w:val="00A06CBD"/>
    <w:rsid w:val="00A11325"/>
    <w:rsid w:val="00A11331"/>
    <w:rsid w:val="00A12578"/>
    <w:rsid w:val="00A13BBC"/>
    <w:rsid w:val="00A16192"/>
    <w:rsid w:val="00A16318"/>
    <w:rsid w:val="00A17196"/>
    <w:rsid w:val="00A17921"/>
    <w:rsid w:val="00A17C2E"/>
    <w:rsid w:val="00A20405"/>
    <w:rsid w:val="00A21A4D"/>
    <w:rsid w:val="00A21DEE"/>
    <w:rsid w:val="00A22BE4"/>
    <w:rsid w:val="00A23EAA"/>
    <w:rsid w:val="00A24714"/>
    <w:rsid w:val="00A25E2F"/>
    <w:rsid w:val="00A27A0B"/>
    <w:rsid w:val="00A27E98"/>
    <w:rsid w:val="00A30795"/>
    <w:rsid w:val="00A312A7"/>
    <w:rsid w:val="00A3183A"/>
    <w:rsid w:val="00A3211A"/>
    <w:rsid w:val="00A366AF"/>
    <w:rsid w:val="00A36F2D"/>
    <w:rsid w:val="00A3703F"/>
    <w:rsid w:val="00A3708B"/>
    <w:rsid w:val="00A40027"/>
    <w:rsid w:val="00A4098D"/>
    <w:rsid w:val="00A40F7F"/>
    <w:rsid w:val="00A439AE"/>
    <w:rsid w:val="00A45170"/>
    <w:rsid w:val="00A45DCF"/>
    <w:rsid w:val="00A46599"/>
    <w:rsid w:val="00A47F08"/>
    <w:rsid w:val="00A51CE6"/>
    <w:rsid w:val="00A521E9"/>
    <w:rsid w:val="00A52505"/>
    <w:rsid w:val="00A535BD"/>
    <w:rsid w:val="00A53755"/>
    <w:rsid w:val="00A54D15"/>
    <w:rsid w:val="00A60B0D"/>
    <w:rsid w:val="00A60D95"/>
    <w:rsid w:val="00A6186C"/>
    <w:rsid w:val="00A65D11"/>
    <w:rsid w:val="00A66974"/>
    <w:rsid w:val="00A700F3"/>
    <w:rsid w:val="00A706E3"/>
    <w:rsid w:val="00A70F42"/>
    <w:rsid w:val="00A72BB4"/>
    <w:rsid w:val="00A737F5"/>
    <w:rsid w:val="00A74D48"/>
    <w:rsid w:val="00A757C6"/>
    <w:rsid w:val="00A76161"/>
    <w:rsid w:val="00A80D6A"/>
    <w:rsid w:val="00A81EF1"/>
    <w:rsid w:val="00A84575"/>
    <w:rsid w:val="00A84934"/>
    <w:rsid w:val="00A91963"/>
    <w:rsid w:val="00A9260A"/>
    <w:rsid w:val="00A932E9"/>
    <w:rsid w:val="00A93C6E"/>
    <w:rsid w:val="00A9464B"/>
    <w:rsid w:val="00A95302"/>
    <w:rsid w:val="00A953A0"/>
    <w:rsid w:val="00A95884"/>
    <w:rsid w:val="00A97BAB"/>
    <w:rsid w:val="00A97BC2"/>
    <w:rsid w:val="00AA1AD8"/>
    <w:rsid w:val="00AA1E7A"/>
    <w:rsid w:val="00AA2CAF"/>
    <w:rsid w:val="00AA3E58"/>
    <w:rsid w:val="00AA444D"/>
    <w:rsid w:val="00AA6CDC"/>
    <w:rsid w:val="00AB0201"/>
    <w:rsid w:val="00AB066B"/>
    <w:rsid w:val="00AB1662"/>
    <w:rsid w:val="00AB1E22"/>
    <w:rsid w:val="00AB1E35"/>
    <w:rsid w:val="00AB2703"/>
    <w:rsid w:val="00AB2D85"/>
    <w:rsid w:val="00AB511C"/>
    <w:rsid w:val="00AB628F"/>
    <w:rsid w:val="00AC12B2"/>
    <w:rsid w:val="00AC13F6"/>
    <w:rsid w:val="00AC2E34"/>
    <w:rsid w:val="00AC510A"/>
    <w:rsid w:val="00AD33EE"/>
    <w:rsid w:val="00AD60DD"/>
    <w:rsid w:val="00AD794C"/>
    <w:rsid w:val="00AE1363"/>
    <w:rsid w:val="00AE1BBE"/>
    <w:rsid w:val="00AE2407"/>
    <w:rsid w:val="00AE2CE9"/>
    <w:rsid w:val="00AE3BA4"/>
    <w:rsid w:val="00AE561A"/>
    <w:rsid w:val="00AE58F7"/>
    <w:rsid w:val="00AE6C16"/>
    <w:rsid w:val="00AE7884"/>
    <w:rsid w:val="00AF0669"/>
    <w:rsid w:val="00AF1DEA"/>
    <w:rsid w:val="00AF2034"/>
    <w:rsid w:val="00AF359C"/>
    <w:rsid w:val="00AF43F5"/>
    <w:rsid w:val="00AF4E42"/>
    <w:rsid w:val="00AF5AA6"/>
    <w:rsid w:val="00AF626D"/>
    <w:rsid w:val="00B0076D"/>
    <w:rsid w:val="00B00D6E"/>
    <w:rsid w:val="00B01241"/>
    <w:rsid w:val="00B01BCD"/>
    <w:rsid w:val="00B01EC8"/>
    <w:rsid w:val="00B02200"/>
    <w:rsid w:val="00B0397B"/>
    <w:rsid w:val="00B05165"/>
    <w:rsid w:val="00B05DAC"/>
    <w:rsid w:val="00B07939"/>
    <w:rsid w:val="00B07B6E"/>
    <w:rsid w:val="00B10978"/>
    <w:rsid w:val="00B115F0"/>
    <w:rsid w:val="00B124AC"/>
    <w:rsid w:val="00B14B42"/>
    <w:rsid w:val="00B1719D"/>
    <w:rsid w:val="00B17C39"/>
    <w:rsid w:val="00B223E1"/>
    <w:rsid w:val="00B2254C"/>
    <w:rsid w:val="00B233D2"/>
    <w:rsid w:val="00B234F3"/>
    <w:rsid w:val="00B2358D"/>
    <w:rsid w:val="00B23E9F"/>
    <w:rsid w:val="00B24C18"/>
    <w:rsid w:val="00B25CEB"/>
    <w:rsid w:val="00B279B8"/>
    <w:rsid w:val="00B27E9A"/>
    <w:rsid w:val="00B31EB3"/>
    <w:rsid w:val="00B33747"/>
    <w:rsid w:val="00B33A4F"/>
    <w:rsid w:val="00B33B82"/>
    <w:rsid w:val="00B347C5"/>
    <w:rsid w:val="00B350B3"/>
    <w:rsid w:val="00B35A16"/>
    <w:rsid w:val="00B3660C"/>
    <w:rsid w:val="00B36A38"/>
    <w:rsid w:val="00B37127"/>
    <w:rsid w:val="00B37656"/>
    <w:rsid w:val="00B37CA0"/>
    <w:rsid w:val="00B411A1"/>
    <w:rsid w:val="00B42738"/>
    <w:rsid w:val="00B4290D"/>
    <w:rsid w:val="00B42F66"/>
    <w:rsid w:val="00B43FC8"/>
    <w:rsid w:val="00B4436E"/>
    <w:rsid w:val="00B45099"/>
    <w:rsid w:val="00B457F4"/>
    <w:rsid w:val="00B50B0E"/>
    <w:rsid w:val="00B51971"/>
    <w:rsid w:val="00B51AA7"/>
    <w:rsid w:val="00B5260F"/>
    <w:rsid w:val="00B52AB9"/>
    <w:rsid w:val="00B54C58"/>
    <w:rsid w:val="00B55713"/>
    <w:rsid w:val="00B55B83"/>
    <w:rsid w:val="00B56743"/>
    <w:rsid w:val="00B61B93"/>
    <w:rsid w:val="00B64167"/>
    <w:rsid w:val="00B70974"/>
    <w:rsid w:val="00B71474"/>
    <w:rsid w:val="00B71EAA"/>
    <w:rsid w:val="00B728E1"/>
    <w:rsid w:val="00B74A18"/>
    <w:rsid w:val="00B74AED"/>
    <w:rsid w:val="00B7515F"/>
    <w:rsid w:val="00B75F11"/>
    <w:rsid w:val="00B7763F"/>
    <w:rsid w:val="00B77949"/>
    <w:rsid w:val="00B77BC1"/>
    <w:rsid w:val="00B813EE"/>
    <w:rsid w:val="00B822B1"/>
    <w:rsid w:val="00B82C5D"/>
    <w:rsid w:val="00B831A8"/>
    <w:rsid w:val="00B83BB0"/>
    <w:rsid w:val="00B83EE6"/>
    <w:rsid w:val="00B85053"/>
    <w:rsid w:val="00B855EA"/>
    <w:rsid w:val="00B86C63"/>
    <w:rsid w:val="00B8775C"/>
    <w:rsid w:val="00B92060"/>
    <w:rsid w:val="00B92324"/>
    <w:rsid w:val="00B93E33"/>
    <w:rsid w:val="00B953B6"/>
    <w:rsid w:val="00B95C64"/>
    <w:rsid w:val="00BA0551"/>
    <w:rsid w:val="00BA3539"/>
    <w:rsid w:val="00BA5304"/>
    <w:rsid w:val="00BA6AA4"/>
    <w:rsid w:val="00BA6FE7"/>
    <w:rsid w:val="00BA7966"/>
    <w:rsid w:val="00BB08E6"/>
    <w:rsid w:val="00BB1384"/>
    <w:rsid w:val="00BB2204"/>
    <w:rsid w:val="00BB3A95"/>
    <w:rsid w:val="00BB499B"/>
    <w:rsid w:val="00BB4D3B"/>
    <w:rsid w:val="00BB5F04"/>
    <w:rsid w:val="00BB7DB5"/>
    <w:rsid w:val="00BC11DB"/>
    <w:rsid w:val="00BC3299"/>
    <w:rsid w:val="00BC32E3"/>
    <w:rsid w:val="00BC41F5"/>
    <w:rsid w:val="00BC572F"/>
    <w:rsid w:val="00BC5835"/>
    <w:rsid w:val="00BC59C1"/>
    <w:rsid w:val="00BC649D"/>
    <w:rsid w:val="00BC6518"/>
    <w:rsid w:val="00BD05D3"/>
    <w:rsid w:val="00BD3651"/>
    <w:rsid w:val="00BD441A"/>
    <w:rsid w:val="00BD5CAC"/>
    <w:rsid w:val="00BE033D"/>
    <w:rsid w:val="00BE09DA"/>
    <w:rsid w:val="00BE495E"/>
    <w:rsid w:val="00BE635E"/>
    <w:rsid w:val="00BE65A2"/>
    <w:rsid w:val="00BE677C"/>
    <w:rsid w:val="00BE7A53"/>
    <w:rsid w:val="00BF09B5"/>
    <w:rsid w:val="00BF1A09"/>
    <w:rsid w:val="00BF29E1"/>
    <w:rsid w:val="00BF3B1F"/>
    <w:rsid w:val="00BF4504"/>
    <w:rsid w:val="00BF5722"/>
    <w:rsid w:val="00BF691C"/>
    <w:rsid w:val="00C01AFA"/>
    <w:rsid w:val="00C026C1"/>
    <w:rsid w:val="00C03983"/>
    <w:rsid w:val="00C0411C"/>
    <w:rsid w:val="00C055B4"/>
    <w:rsid w:val="00C05CCA"/>
    <w:rsid w:val="00C07276"/>
    <w:rsid w:val="00C116F4"/>
    <w:rsid w:val="00C132A8"/>
    <w:rsid w:val="00C1399E"/>
    <w:rsid w:val="00C14D19"/>
    <w:rsid w:val="00C1591A"/>
    <w:rsid w:val="00C160E8"/>
    <w:rsid w:val="00C16DC7"/>
    <w:rsid w:val="00C1764E"/>
    <w:rsid w:val="00C20ADC"/>
    <w:rsid w:val="00C21AFF"/>
    <w:rsid w:val="00C22F45"/>
    <w:rsid w:val="00C2356E"/>
    <w:rsid w:val="00C2453D"/>
    <w:rsid w:val="00C26AA5"/>
    <w:rsid w:val="00C26C1D"/>
    <w:rsid w:val="00C30EB1"/>
    <w:rsid w:val="00C31512"/>
    <w:rsid w:val="00C334A1"/>
    <w:rsid w:val="00C348B0"/>
    <w:rsid w:val="00C35075"/>
    <w:rsid w:val="00C4170C"/>
    <w:rsid w:val="00C417BC"/>
    <w:rsid w:val="00C41C70"/>
    <w:rsid w:val="00C4202F"/>
    <w:rsid w:val="00C456DD"/>
    <w:rsid w:val="00C458EC"/>
    <w:rsid w:val="00C477BA"/>
    <w:rsid w:val="00C513BC"/>
    <w:rsid w:val="00C51920"/>
    <w:rsid w:val="00C51990"/>
    <w:rsid w:val="00C51AA5"/>
    <w:rsid w:val="00C5394C"/>
    <w:rsid w:val="00C549F7"/>
    <w:rsid w:val="00C55699"/>
    <w:rsid w:val="00C56B32"/>
    <w:rsid w:val="00C6053E"/>
    <w:rsid w:val="00C61187"/>
    <w:rsid w:val="00C61205"/>
    <w:rsid w:val="00C61DE2"/>
    <w:rsid w:val="00C62E8E"/>
    <w:rsid w:val="00C636F2"/>
    <w:rsid w:val="00C64817"/>
    <w:rsid w:val="00C649CE"/>
    <w:rsid w:val="00C65E28"/>
    <w:rsid w:val="00C70407"/>
    <w:rsid w:val="00C70C66"/>
    <w:rsid w:val="00C72A00"/>
    <w:rsid w:val="00C72B89"/>
    <w:rsid w:val="00C7334C"/>
    <w:rsid w:val="00C7615B"/>
    <w:rsid w:val="00C77C4F"/>
    <w:rsid w:val="00C80083"/>
    <w:rsid w:val="00C80551"/>
    <w:rsid w:val="00C81489"/>
    <w:rsid w:val="00C81943"/>
    <w:rsid w:val="00C84355"/>
    <w:rsid w:val="00C84518"/>
    <w:rsid w:val="00C849CB"/>
    <w:rsid w:val="00C854E6"/>
    <w:rsid w:val="00C85FA6"/>
    <w:rsid w:val="00C9131D"/>
    <w:rsid w:val="00C94E5E"/>
    <w:rsid w:val="00C96B02"/>
    <w:rsid w:val="00C97C38"/>
    <w:rsid w:val="00CA2D26"/>
    <w:rsid w:val="00CA44A9"/>
    <w:rsid w:val="00CA4D07"/>
    <w:rsid w:val="00CA5D5D"/>
    <w:rsid w:val="00CA60F9"/>
    <w:rsid w:val="00CA772F"/>
    <w:rsid w:val="00CB0212"/>
    <w:rsid w:val="00CB05F9"/>
    <w:rsid w:val="00CB25B4"/>
    <w:rsid w:val="00CB3679"/>
    <w:rsid w:val="00CB4404"/>
    <w:rsid w:val="00CB4AB0"/>
    <w:rsid w:val="00CB5174"/>
    <w:rsid w:val="00CB797C"/>
    <w:rsid w:val="00CC03D0"/>
    <w:rsid w:val="00CC3135"/>
    <w:rsid w:val="00CC3BA0"/>
    <w:rsid w:val="00CC4AAC"/>
    <w:rsid w:val="00CC5980"/>
    <w:rsid w:val="00CC5FFD"/>
    <w:rsid w:val="00CD076C"/>
    <w:rsid w:val="00CD0CF5"/>
    <w:rsid w:val="00CD2B51"/>
    <w:rsid w:val="00CD37EB"/>
    <w:rsid w:val="00CD4073"/>
    <w:rsid w:val="00CD413A"/>
    <w:rsid w:val="00CE0E41"/>
    <w:rsid w:val="00CE3BDB"/>
    <w:rsid w:val="00CE40EB"/>
    <w:rsid w:val="00CE4189"/>
    <w:rsid w:val="00CE49E3"/>
    <w:rsid w:val="00CE4DEA"/>
    <w:rsid w:val="00CE52FD"/>
    <w:rsid w:val="00CE68EA"/>
    <w:rsid w:val="00CE7DF5"/>
    <w:rsid w:val="00CF094F"/>
    <w:rsid w:val="00CF19C6"/>
    <w:rsid w:val="00CF216E"/>
    <w:rsid w:val="00CF443C"/>
    <w:rsid w:val="00CF528E"/>
    <w:rsid w:val="00CF6568"/>
    <w:rsid w:val="00CF7642"/>
    <w:rsid w:val="00D002EA"/>
    <w:rsid w:val="00D02291"/>
    <w:rsid w:val="00D02322"/>
    <w:rsid w:val="00D02937"/>
    <w:rsid w:val="00D02C60"/>
    <w:rsid w:val="00D02FE4"/>
    <w:rsid w:val="00D03E18"/>
    <w:rsid w:val="00D0423F"/>
    <w:rsid w:val="00D05041"/>
    <w:rsid w:val="00D05BD6"/>
    <w:rsid w:val="00D05D2E"/>
    <w:rsid w:val="00D068D5"/>
    <w:rsid w:val="00D079A1"/>
    <w:rsid w:val="00D079F5"/>
    <w:rsid w:val="00D113F7"/>
    <w:rsid w:val="00D128A6"/>
    <w:rsid w:val="00D13590"/>
    <w:rsid w:val="00D146D7"/>
    <w:rsid w:val="00D14910"/>
    <w:rsid w:val="00D2021B"/>
    <w:rsid w:val="00D209D6"/>
    <w:rsid w:val="00D21B02"/>
    <w:rsid w:val="00D22724"/>
    <w:rsid w:val="00D257D9"/>
    <w:rsid w:val="00D25E91"/>
    <w:rsid w:val="00D26049"/>
    <w:rsid w:val="00D26909"/>
    <w:rsid w:val="00D27CBC"/>
    <w:rsid w:val="00D31B42"/>
    <w:rsid w:val="00D34EAD"/>
    <w:rsid w:val="00D37424"/>
    <w:rsid w:val="00D37783"/>
    <w:rsid w:val="00D40577"/>
    <w:rsid w:val="00D43A69"/>
    <w:rsid w:val="00D45CFC"/>
    <w:rsid w:val="00D468AB"/>
    <w:rsid w:val="00D46CA6"/>
    <w:rsid w:val="00D47309"/>
    <w:rsid w:val="00D47AEC"/>
    <w:rsid w:val="00D51025"/>
    <w:rsid w:val="00D529D2"/>
    <w:rsid w:val="00D5389B"/>
    <w:rsid w:val="00D53EB0"/>
    <w:rsid w:val="00D54ED0"/>
    <w:rsid w:val="00D56C37"/>
    <w:rsid w:val="00D56F3A"/>
    <w:rsid w:val="00D61924"/>
    <w:rsid w:val="00D64FFA"/>
    <w:rsid w:val="00D663ED"/>
    <w:rsid w:val="00D665FC"/>
    <w:rsid w:val="00D67340"/>
    <w:rsid w:val="00D67984"/>
    <w:rsid w:val="00D67D15"/>
    <w:rsid w:val="00D67DCA"/>
    <w:rsid w:val="00D704B3"/>
    <w:rsid w:val="00D70A13"/>
    <w:rsid w:val="00D71AC6"/>
    <w:rsid w:val="00D7280B"/>
    <w:rsid w:val="00D755AA"/>
    <w:rsid w:val="00D7643A"/>
    <w:rsid w:val="00D7725D"/>
    <w:rsid w:val="00D80160"/>
    <w:rsid w:val="00D808DE"/>
    <w:rsid w:val="00D81DAE"/>
    <w:rsid w:val="00D853F5"/>
    <w:rsid w:val="00D86461"/>
    <w:rsid w:val="00D86E4C"/>
    <w:rsid w:val="00D90872"/>
    <w:rsid w:val="00D90F6F"/>
    <w:rsid w:val="00D95E30"/>
    <w:rsid w:val="00D96E38"/>
    <w:rsid w:val="00DA26CB"/>
    <w:rsid w:val="00DA48E0"/>
    <w:rsid w:val="00DA6B2D"/>
    <w:rsid w:val="00DA76E3"/>
    <w:rsid w:val="00DB1BB8"/>
    <w:rsid w:val="00DB1EF3"/>
    <w:rsid w:val="00DB2E02"/>
    <w:rsid w:val="00DB45AD"/>
    <w:rsid w:val="00DB4C95"/>
    <w:rsid w:val="00DB4DAF"/>
    <w:rsid w:val="00DB4DC3"/>
    <w:rsid w:val="00DB522C"/>
    <w:rsid w:val="00DB71B1"/>
    <w:rsid w:val="00DC11B2"/>
    <w:rsid w:val="00DC139C"/>
    <w:rsid w:val="00DC1D2D"/>
    <w:rsid w:val="00DC20BD"/>
    <w:rsid w:val="00DC29A9"/>
    <w:rsid w:val="00DC6A02"/>
    <w:rsid w:val="00DC7D6C"/>
    <w:rsid w:val="00DD0ADF"/>
    <w:rsid w:val="00DD10B0"/>
    <w:rsid w:val="00DD1BB6"/>
    <w:rsid w:val="00DD1EF8"/>
    <w:rsid w:val="00DD2DB7"/>
    <w:rsid w:val="00DD32D1"/>
    <w:rsid w:val="00DD3D9F"/>
    <w:rsid w:val="00DD49D2"/>
    <w:rsid w:val="00DD5BDC"/>
    <w:rsid w:val="00DD5CB4"/>
    <w:rsid w:val="00DD6325"/>
    <w:rsid w:val="00DD6345"/>
    <w:rsid w:val="00DE08BF"/>
    <w:rsid w:val="00DE0BC0"/>
    <w:rsid w:val="00DE0CD0"/>
    <w:rsid w:val="00DE1247"/>
    <w:rsid w:val="00DE1483"/>
    <w:rsid w:val="00DE1A5D"/>
    <w:rsid w:val="00DE1F2C"/>
    <w:rsid w:val="00DE321C"/>
    <w:rsid w:val="00DE36A7"/>
    <w:rsid w:val="00DE5859"/>
    <w:rsid w:val="00DE62A6"/>
    <w:rsid w:val="00DE6D40"/>
    <w:rsid w:val="00DF082A"/>
    <w:rsid w:val="00DF24D5"/>
    <w:rsid w:val="00DF2A28"/>
    <w:rsid w:val="00DF53E6"/>
    <w:rsid w:val="00DF5B03"/>
    <w:rsid w:val="00DF5D1F"/>
    <w:rsid w:val="00DF731E"/>
    <w:rsid w:val="00DF73FD"/>
    <w:rsid w:val="00E01701"/>
    <w:rsid w:val="00E02AA7"/>
    <w:rsid w:val="00E05204"/>
    <w:rsid w:val="00E074F6"/>
    <w:rsid w:val="00E07613"/>
    <w:rsid w:val="00E078A9"/>
    <w:rsid w:val="00E07AEF"/>
    <w:rsid w:val="00E10115"/>
    <w:rsid w:val="00E11EF5"/>
    <w:rsid w:val="00E1261D"/>
    <w:rsid w:val="00E12FF1"/>
    <w:rsid w:val="00E13119"/>
    <w:rsid w:val="00E13FDD"/>
    <w:rsid w:val="00E14053"/>
    <w:rsid w:val="00E147D3"/>
    <w:rsid w:val="00E1492B"/>
    <w:rsid w:val="00E155AB"/>
    <w:rsid w:val="00E17B5E"/>
    <w:rsid w:val="00E216E0"/>
    <w:rsid w:val="00E22838"/>
    <w:rsid w:val="00E23238"/>
    <w:rsid w:val="00E23B0F"/>
    <w:rsid w:val="00E251C6"/>
    <w:rsid w:val="00E259B3"/>
    <w:rsid w:val="00E263EA"/>
    <w:rsid w:val="00E27D58"/>
    <w:rsid w:val="00E31C93"/>
    <w:rsid w:val="00E31DB3"/>
    <w:rsid w:val="00E31F2C"/>
    <w:rsid w:val="00E323BC"/>
    <w:rsid w:val="00E33681"/>
    <w:rsid w:val="00E36E2F"/>
    <w:rsid w:val="00E40009"/>
    <w:rsid w:val="00E41F0A"/>
    <w:rsid w:val="00E44C4C"/>
    <w:rsid w:val="00E44EAA"/>
    <w:rsid w:val="00E50088"/>
    <w:rsid w:val="00E506E3"/>
    <w:rsid w:val="00E51B5D"/>
    <w:rsid w:val="00E53E59"/>
    <w:rsid w:val="00E54031"/>
    <w:rsid w:val="00E54CC1"/>
    <w:rsid w:val="00E55DE4"/>
    <w:rsid w:val="00E579A7"/>
    <w:rsid w:val="00E60FC1"/>
    <w:rsid w:val="00E61B2A"/>
    <w:rsid w:val="00E62C3D"/>
    <w:rsid w:val="00E64C51"/>
    <w:rsid w:val="00E66886"/>
    <w:rsid w:val="00E70FFD"/>
    <w:rsid w:val="00E71CB0"/>
    <w:rsid w:val="00E72306"/>
    <w:rsid w:val="00E7382F"/>
    <w:rsid w:val="00E738F4"/>
    <w:rsid w:val="00E73DE2"/>
    <w:rsid w:val="00E7415F"/>
    <w:rsid w:val="00E74195"/>
    <w:rsid w:val="00E74D19"/>
    <w:rsid w:val="00E77194"/>
    <w:rsid w:val="00E818A6"/>
    <w:rsid w:val="00E82B65"/>
    <w:rsid w:val="00E848C8"/>
    <w:rsid w:val="00E8535E"/>
    <w:rsid w:val="00E85A50"/>
    <w:rsid w:val="00E8715F"/>
    <w:rsid w:val="00E872E3"/>
    <w:rsid w:val="00E9142E"/>
    <w:rsid w:val="00E91651"/>
    <w:rsid w:val="00E93641"/>
    <w:rsid w:val="00E93689"/>
    <w:rsid w:val="00E978BD"/>
    <w:rsid w:val="00E97B2F"/>
    <w:rsid w:val="00EA01AC"/>
    <w:rsid w:val="00EA16D9"/>
    <w:rsid w:val="00EA2B25"/>
    <w:rsid w:val="00EA3AE7"/>
    <w:rsid w:val="00EA3C75"/>
    <w:rsid w:val="00EA3E5D"/>
    <w:rsid w:val="00EA4C5B"/>
    <w:rsid w:val="00EA6CA3"/>
    <w:rsid w:val="00EA7912"/>
    <w:rsid w:val="00EB0FA0"/>
    <w:rsid w:val="00EB1D0B"/>
    <w:rsid w:val="00EB5007"/>
    <w:rsid w:val="00EB5A19"/>
    <w:rsid w:val="00EB5A8C"/>
    <w:rsid w:val="00EB6FD1"/>
    <w:rsid w:val="00EB74E5"/>
    <w:rsid w:val="00EC004C"/>
    <w:rsid w:val="00EC0BA8"/>
    <w:rsid w:val="00EC317F"/>
    <w:rsid w:val="00EC53F7"/>
    <w:rsid w:val="00EC5B61"/>
    <w:rsid w:val="00EC65DE"/>
    <w:rsid w:val="00EC7812"/>
    <w:rsid w:val="00ED1796"/>
    <w:rsid w:val="00ED17A7"/>
    <w:rsid w:val="00ED3A57"/>
    <w:rsid w:val="00ED6567"/>
    <w:rsid w:val="00EE246C"/>
    <w:rsid w:val="00EE4525"/>
    <w:rsid w:val="00EE49BB"/>
    <w:rsid w:val="00EE7DBE"/>
    <w:rsid w:val="00EF01F9"/>
    <w:rsid w:val="00EF029F"/>
    <w:rsid w:val="00EF2C7A"/>
    <w:rsid w:val="00EF34D4"/>
    <w:rsid w:val="00EF3B32"/>
    <w:rsid w:val="00EF6290"/>
    <w:rsid w:val="00EF6A97"/>
    <w:rsid w:val="00EF6F16"/>
    <w:rsid w:val="00F00883"/>
    <w:rsid w:val="00F00AB1"/>
    <w:rsid w:val="00F02E7A"/>
    <w:rsid w:val="00F0443F"/>
    <w:rsid w:val="00F0611E"/>
    <w:rsid w:val="00F06FDF"/>
    <w:rsid w:val="00F07ABD"/>
    <w:rsid w:val="00F10992"/>
    <w:rsid w:val="00F10EE2"/>
    <w:rsid w:val="00F1110A"/>
    <w:rsid w:val="00F17820"/>
    <w:rsid w:val="00F21CC6"/>
    <w:rsid w:val="00F22FEE"/>
    <w:rsid w:val="00F26C5B"/>
    <w:rsid w:val="00F309FA"/>
    <w:rsid w:val="00F3178C"/>
    <w:rsid w:val="00F31837"/>
    <w:rsid w:val="00F32B97"/>
    <w:rsid w:val="00F32D3F"/>
    <w:rsid w:val="00F32D85"/>
    <w:rsid w:val="00F332F2"/>
    <w:rsid w:val="00F339E4"/>
    <w:rsid w:val="00F33C5A"/>
    <w:rsid w:val="00F34604"/>
    <w:rsid w:val="00F34D51"/>
    <w:rsid w:val="00F35454"/>
    <w:rsid w:val="00F35864"/>
    <w:rsid w:val="00F3600D"/>
    <w:rsid w:val="00F37164"/>
    <w:rsid w:val="00F40152"/>
    <w:rsid w:val="00F402B9"/>
    <w:rsid w:val="00F40562"/>
    <w:rsid w:val="00F40DDD"/>
    <w:rsid w:val="00F446F4"/>
    <w:rsid w:val="00F44754"/>
    <w:rsid w:val="00F51E54"/>
    <w:rsid w:val="00F52402"/>
    <w:rsid w:val="00F541C2"/>
    <w:rsid w:val="00F55BFF"/>
    <w:rsid w:val="00F60EBD"/>
    <w:rsid w:val="00F612B9"/>
    <w:rsid w:val="00F619AE"/>
    <w:rsid w:val="00F63871"/>
    <w:rsid w:val="00F63D2E"/>
    <w:rsid w:val="00F641F7"/>
    <w:rsid w:val="00F670A6"/>
    <w:rsid w:val="00F67233"/>
    <w:rsid w:val="00F7446C"/>
    <w:rsid w:val="00F765A7"/>
    <w:rsid w:val="00F76A26"/>
    <w:rsid w:val="00F7727B"/>
    <w:rsid w:val="00F77C11"/>
    <w:rsid w:val="00F80021"/>
    <w:rsid w:val="00F8034D"/>
    <w:rsid w:val="00F8179F"/>
    <w:rsid w:val="00F823BB"/>
    <w:rsid w:val="00F82821"/>
    <w:rsid w:val="00F83712"/>
    <w:rsid w:val="00F85E35"/>
    <w:rsid w:val="00F9016D"/>
    <w:rsid w:val="00F930B6"/>
    <w:rsid w:val="00F93F2B"/>
    <w:rsid w:val="00F9633E"/>
    <w:rsid w:val="00F96D23"/>
    <w:rsid w:val="00FA1418"/>
    <w:rsid w:val="00FA2A39"/>
    <w:rsid w:val="00FA3649"/>
    <w:rsid w:val="00FA650E"/>
    <w:rsid w:val="00FA72D9"/>
    <w:rsid w:val="00FA7B85"/>
    <w:rsid w:val="00FB19FD"/>
    <w:rsid w:val="00FB1F3A"/>
    <w:rsid w:val="00FB23AA"/>
    <w:rsid w:val="00FB23B6"/>
    <w:rsid w:val="00FB2A54"/>
    <w:rsid w:val="00FB31F6"/>
    <w:rsid w:val="00FB3A2A"/>
    <w:rsid w:val="00FB3C6F"/>
    <w:rsid w:val="00FB793B"/>
    <w:rsid w:val="00FC0AC1"/>
    <w:rsid w:val="00FC1212"/>
    <w:rsid w:val="00FC1FA7"/>
    <w:rsid w:val="00FC491A"/>
    <w:rsid w:val="00FC560E"/>
    <w:rsid w:val="00FC788F"/>
    <w:rsid w:val="00FC7B0D"/>
    <w:rsid w:val="00FD05AB"/>
    <w:rsid w:val="00FD28F3"/>
    <w:rsid w:val="00FD35D4"/>
    <w:rsid w:val="00FD36EC"/>
    <w:rsid w:val="00FD4564"/>
    <w:rsid w:val="00FD696E"/>
    <w:rsid w:val="00FD6C74"/>
    <w:rsid w:val="00FD6CAE"/>
    <w:rsid w:val="00FE1797"/>
    <w:rsid w:val="00FE1C81"/>
    <w:rsid w:val="00FE2837"/>
    <w:rsid w:val="00FE4DC9"/>
    <w:rsid w:val="00FE6049"/>
    <w:rsid w:val="00FE7D57"/>
    <w:rsid w:val="00FF20D9"/>
    <w:rsid w:val="00FF25FE"/>
    <w:rsid w:val="00FF3763"/>
    <w:rsid w:val="00FF4741"/>
    <w:rsid w:val="00FF52A8"/>
    <w:rsid w:val="00FF5710"/>
    <w:rsid w:val="00FF5824"/>
    <w:rsid w:val="00FF7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."/>
  <w:listSeparator w:val=";"/>
  <w14:docId w14:val="15F5D04F"/>
  <w15:docId w15:val="{499A08ED-D142-4EED-8F03-08BADD85C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v-SE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A5D"/>
    <w:pPr>
      <w:spacing w:before="120" w:after="120"/>
      <w:jc w:val="both"/>
    </w:pPr>
    <w:rPr>
      <w:rFonts w:ascii="Verdana" w:hAnsi="Verdana"/>
      <w:szCs w:val="24"/>
      <w:lang w:val="sv-SE" w:eastAsia="en-US"/>
    </w:rPr>
  </w:style>
  <w:style w:type="paragraph" w:styleId="Heading2">
    <w:name w:val="heading 2"/>
    <w:basedOn w:val="Normal"/>
    <w:next w:val="Normal"/>
    <w:link w:val="Heading2Char"/>
    <w:autoRedefine/>
    <w:qFormat/>
    <w:rsid w:val="00D02FE4"/>
    <w:pPr>
      <w:keepNext/>
      <w:spacing w:before="240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 Char,Footnote Text Char Char,Footnote,FSR footnote,lábléc,Carattere1,Footnote Text Char1 Char,Footnote Text Char2 Char Char Char,Footnote Text Char1 Char Char Char Char,Footnote Text Char Char Char Char Char Char,fn,f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,Footnote Text Char Char Char,Footnote Char,FSR footnote Char,lábléc Char,Carattere1 Char,Footnote Text Char1 Char Char,Footnote Text Char2 Char Char Char Char,Footnote Text Char1 Char Char Char Char Char"/>
    <w:link w:val="FootnoteText"/>
    <w:rsid w:val="00D02FE4"/>
    <w:rPr>
      <w:rFonts w:ascii="Verdana" w:hAnsi="Verdana"/>
      <w:sz w:val="16"/>
      <w:szCs w:val="16"/>
      <w:lang w:val="sv-SE" w:eastAsia="en-US" w:bidi="ar-SA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character" w:customStyle="1" w:styleId="Heading2Char">
    <w:name w:val="Heading 2 Char"/>
    <w:link w:val="Heading2"/>
    <w:rsid w:val="00D02FE4"/>
    <w:rPr>
      <w:rFonts w:ascii="Verdana" w:hAnsi="Verdana"/>
      <w:b/>
      <w:sz w:val="24"/>
      <w:szCs w:val="24"/>
      <w:lang w:val="sv-SE" w:eastAsia="en-US" w:bidi="ar-SA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845EB1"/>
    <w:pPr>
      <w:spacing w:before="0" w:after="0"/>
      <w:ind w:left="33"/>
    </w:pPr>
    <w:rPr>
      <w:rFonts w:ascii="Times New Roman" w:hAnsi="Times New Roman"/>
      <w:sz w:val="24"/>
      <w:lang w:val="sv-SE" w:eastAsia="de-DE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845EB1"/>
    <w:rPr>
      <w:sz w:val="24"/>
      <w:szCs w:val="24"/>
      <w:lang w:val="sv-SE" w:eastAsia="de-DE"/>
    </w:rPr>
  </w:style>
  <w:style w:type="paragraph" w:customStyle="1" w:styleId="InstructionsText2">
    <w:name w:val="Instructions Text 2"/>
    <w:basedOn w:val="InstructionsText"/>
    <w:qFormat/>
    <w:rsid w:val="00D02FE4"/>
    <w:pPr>
      <w:spacing w:after="240"/>
      <w:ind w:left="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sv-SE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sv-SE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sv-SE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sv-SE" w:eastAsia="en-US"/>
    </w:rPr>
  </w:style>
  <w:style w:type="paragraph" w:styleId="PlainText">
    <w:name w:val="Plain Text"/>
    <w:basedOn w:val="Normal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val="sv-SE" w:eastAsia="de-AT"/>
    </w:rPr>
  </w:style>
  <w:style w:type="paragraph" w:customStyle="1" w:styleId="Numberedheadinglevel1">
    <w:name w:val="Numbered heading level 1"/>
    <w:basedOn w:val="Normal"/>
    <w:next w:val="Normal"/>
    <w:qFormat/>
    <w:rsid w:val="00BF691C"/>
    <w:pPr>
      <w:numPr>
        <w:numId w:val="2"/>
      </w:numPr>
      <w:tabs>
        <w:tab w:val="left" w:pos="0"/>
      </w:tabs>
      <w:spacing w:before="360" w:after="360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qFormat/>
    <w:rsid w:val="00BF691C"/>
    <w:pPr>
      <w:numPr>
        <w:ilvl w:val="1"/>
        <w:numId w:val="2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BF691C"/>
    <w:pPr>
      <w:numPr>
        <w:ilvl w:val="2"/>
        <w:numId w:val="2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customStyle="1" w:styleId="DeltaViewInsertion">
    <w:name w:val="DeltaView Insertion"/>
    <w:rsid w:val="00723CA3"/>
    <w:rPr>
      <w:color w:val="0000FF"/>
      <w:spacing w:val="0"/>
      <w:u w:val="double"/>
    </w:rPr>
  </w:style>
  <w:style w:type="character" w:customStyle="1" w:styleId="DeltaViewDeletion">
    <w:name w:val="DeltaView Deletion"/>
    <w:rsid w:val="00723CA3"/>
    <w:rPr>
      <w:strike/>
      <w:color w:val="FF0000"/>
      <w:spacing w:val="0"/>
    </w:rPr>
  </w:style>
  <w:style w:type="paragraph" w:customStyle="1" w:styleId="Point1">
    <w:name w:val="Point 1"/>
    <w:basedOn w:val="Normal"/>
    <w:link w:val="Point1Char"/>
    <w:rsid w:val="00751DC2"/>
    <w:pPr>
      <w:ind w:left="1417" w:hanging="567"/>
    </w:pPr>
    <w:rPr>
      <w:rFonts w:ascii="Times New Roman" w:hAnsi="Times New Roman"/>
      <w:sz w:val="24"/>
      <w:lang w:eastAsia="de-DE"/>
    </w:rPr>
  </w:style>
  <w:style w:type="paragraph" w:customStyle="1" w:styleId="Point0number">
    <w:name w:val="Point 0 (number)"/>
    <w:basedOn w:val="Normal"/>
    <w:rsid w:val="00751DC2"/>
    <w:pPr>
      <w:tabs>
        <w:tab w:val="num" w:pos="360"/>
      </w:tabs>
      <w:ind w:left="850" w:hanging="850"/>
    </w:pPr>
    <w:rPr>
      <w:rFonts w:ascii="Times New Roman" w:hAnsi="Times New Roman"/>
      <w:sz w:val="24"/>
    </w:rPr>
  </w:style>
  <w:style w:type="character" w:customStyle="1" w:styleId="Point1Char">
    <w:name w:val="Point 1 Char"/>
    <w:link w:val="Point1"/>
    <w:locked/>
    <w:rsid w:val="00751DC2"/>
    <w:rPr>
      <w:sz w:val="24"/>
      <w:szCs w:val="24"/>
      <w:lang w:val="sv-SE" w:eastAsia="de-DE"/>
    </w:rPr>
  </w:style>
  <w:style w:type="paragraph" w:styleId="Revision">
    <w:name w:val="Revision"/>
    <w:hidden/>
    <w:uiPriority w:val="99"/>
    <w:semiHidden/>
    <w:rsid w:val="0089454F"/>
    <w:rPr>
      <w:rFonts w:ascii="Verdana" w:hAnsi="Verdana"/>
      <w:szCs w:val="24"/>
      <w:lang w:val="sv-SE" w:eastAsia="en-US"/>
    </w:rPr>
  </w:style>
  <w:style w:type="paragraph" w:styleId="ListParagraph">
    <w:name w:val="List Paragraph"/>
    <w:basedOn w:val="Normal"/>
    <w:uiPriority w:val="34"/>
    <w:qFormat/>
    <w:rsid w:val="007E6E38"/>
    <w:pPr>
      <w:ind w:left="720"/>
      <w:contextualSpacing/>
    </w:pPr>
  </w:style>
  <w:style w:type="paragraph" w:customStyle="1" w:styleId="DocTitle">
    <w:name w:val="Doc Title"/>
    <w:basedOn w:val="Normal"/>
    <w:qFormat/>
    <w:rsid w:val="00CB3679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CB3679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customStyle="1" w:styleId="Numberedparagraphs">
    <w:name w:val="Numbered paragraphs"/>
    <w:basedOn w:val="Normal"/>
    <w:qFormat/>
    <w:rsid w:val="00CB3679"/>
    <w:pPr>
      <w:numPr>
        <w:numId w:val="3"/>
      </w:numPr>
      <w:tabs>
        <w:tab w:val="left" w:pos="284"/>
      </w:tabs>
      <w:spacing w:before="0" w:after="300" w:line="300" w:lineRule="exact"/>
      <w:ind w:left="284" w:hanging="284"/>
    </w:pPr>
    <w:rPr>
      <w:rFonts w:ascii="Arial" w:hAnsi="Arial"/>
      <w:color w:val="000000"/>
      <w:szCs w:val="20"/>
    </w:rPr>
  </w:style>
  <w:style w:type="paragraph" w:styleId="Header">
    <w:name w:val="header"/>
    <w:basedOn w:val="Normal"/>
    <w:link w:val="HeaderChar"/>
    <w:rsid w:val="00CB3679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CB3679"/>
    <w:rPr>
      <w:rFonts w:ascii="Verdana" w:hAnsi="Verdana"/>
      <w:szCs w:val="24"/>
      <w:lang w:val="sv-SE" w:eastAsia="en-US"/>
    </w:rPr>
  </w:style>
  <w:style w:type="paragraph" w:customStyle="1" w:styleId="CM15">
    <w:name w:val="CM1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val="sv-SE" w:eastAsia="fr-FR"/>
    </w:rPr>
  </w:style>
  <w:style w:type="paragraph" w:customStyle="1" w:styleId="CM35">
    <w:name w:val="CM3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val="sv-SE" w:eastAsia="fr-FR"/>
    </w:rPr>
  </w:style>
  <w:style w:type="table" w:styleId="TableGrid">
    <w:name w:val="Table Grid"/>
    <w:basedOn w:val="TableNormal"/>
    <w:uiPriority w:val="59"/>
    <w:rsid w:val="00E05204"/>
    <w:rPr>
      <w:lang w:val="sv-S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9B3D8D"/>
    <w:rPr>
      <w:sz w:val="24"/>
      <w:szCs w:val="24"/>
      <w:lang w:val="sv-SE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B6E28-FFB5-480D-AB55-86286DDE41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67933F-D78A-4FEC-ABBC-5D609FE74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868</Words>
  <Characters>4806</Characters>
  <Application>Microsoft Office Word</Application>
  <DocSecurity>0</DocSecurity>
  <Lines>114</Lines>
  <Paragraphs>63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PART II: TEMPLATE RELATED INSTRUCTIONS</vt:lpstr>
      <vt:lpstr>PART II: TEMPLATE RELATED INSTRUCTIONS</vt:lpstr>
    </vt:vector>
  </TitlesOfParts>
  <Company>Financial Services Authority</Company>
  <LinksUpToDate>false</LinksUpToDate>
  <CharactersWithSpaces>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II: TEMPLATE RELATED INSTRUCTIONS</dc:title>
  <dc:creator>gvanderkamp</dc:creator>
  <cp:lastModifiedBy>GRIKSAS Gintaras (FISMA)</cp:lastModifiedBy>
  <cp:revision>5</cp:revision>
  <cp:lastPrinted>2014-06-12T12:55:00Z</cp:lastPrinted>
  <dcterms:created xsi:type="dcterms:W3CDTF">2020-10-01T13:01:00Z</dcterms:created>
  <dcterms:modified xsi:type="dcterms:W3CDTF">2020-10-01T14:39:00Z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gFAAXJDLFUo5N7unGP9kUBbqvhLQIJscQnjJY4xD+dGpziffwBYUZ621pbLrBPs/WcwN0tcAGQtHvCFM_x000d_
3T/x091d1AWUwMNDdE/Av0CQqYk2Hg/F4Nh6coUUsSD+Tsg4a5ZJenvs72R3+1eLh12dR8xbcXWv_x000d_
K5+xf2hCyazLXhs9NmyqwQNZRDQ2BALi6j02xnsO2ZBYnEuDLhVHmhIl+CEZ9Mda6DOmAr5HhIA0_x000d_
YnlSqt8jOWdj4Tyg8</vt:lpwstr>
  </property>
  <property fmtid="{D5CDD505-2E9C-101B-9397-08002B2CF9AE}" pid="3" name="MAIL_MSG_ID2">
    <vt:lpwstr>WJ8XpAoQxKdbXxCn1bR9Z6fxKZW95BRMdMhhT7m/8Ejv14Oa89m9ZgLkNVM_x000d_
Ussb5/SdsbiPhKK0JA2MqwXAHnFG/VSBfRjOzA==</vt:lpwstr>
  </property>
  <property fmtid="{D5CDD505-2E9C-101B-9397-08002B2CF9AE}" pid="4" name="RESPONSE_SENDER_NAME">
    <vt:lpwstr>sAAA4E8dREqJqIqQ8043TmSfpK2Y3z+Vu+xReiKSeWwV8v0=</vt:lpwstr>
  </property>
  <property fmtid="{D5CDD505-2E9C-101B-9397-08002B2CF9AE}" pid="5" name="EMAIL_OWNER_ADDRESS">
    <vt:lpwstr>4AAAyjQjm0EOGgLdpxEAuTOStZAPJflHB1hBCjK4hju38YpqEB5SAx5tcA==</vt:lpwstr>
  </property>
  <property fmtid="{D5CDD505-2E9C-101B-9397-08002B2CF9AE}" pid="6" name="_NewReviewCycle">
    <vt:lpwstr/>
  </property>
</Properties>
</file>