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BIJLAGE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INSTRUCTIES VOOR DE RAPPORTAGE OVER LOOPTIJDKLASSEN</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bookmarkStart w:id="0" w:name="_GoBack"/>
      <w:bookmarkEnd w:id="0"/>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41B63918" w14:textId="629F7562" w:rsidR="002D4199" w:rsidRPr="002D4199" w:rsidRDefault="00391EF9">
      <w:pPr>
        <w:pStyle w:val="TOC1"/>
        <w:rPr>
          <w:rFonts w:asciiTheme="minorHAnsi" w:eastAsiaTheme="minorEastAsia" w:hAnsiTheme="minorHAnsi" w:cstheme="minorBidi"/>
          <w:color w:val="auto"/>
          <w:sz w:val="24"/>
          <w:szCs w:val="24"/>
          <w:lang w:val="en-US"/>
        </w:rPr>
      </w:pPr>
      <w:r w:rsidRPr="002D4199">
        <w:rPr>
          <w:rFonts w:ascii="Times New Roman" w:hAnsi="Times New Roman"/>
          <w:b/>
          <w:sz w:val="24"/>
          <w:szCs w:val="24"/>
        </w:rPr>
        <w:fldChar w:fldCharType="begin"/>
      </w:r>
      <w:r w:rsidRPr="002D4199">
        <w:rPr>
          <w:rFonts w:ascii="Times New Roman" w:hAnsi="Times New Roman"/>
          <w:b/>
          <w:sz w:val="24"/>
          <w:szCs w:val="24"/>
        </w:rPr>
        <w:instrText xml:space="preserve"> TOC \o "1-3" \h \z \u </w:instrText>
      </w:r>
      <w:r w:rsidRPr="002D4199">
        <w:rPr>
          <w:rFonts w:ascii="Times New Roman" w:hAnsi="Times New Roman"/>
          <w:b/>
          <w:sz w:val="24"/>
          <w:szCs w:val="24"/>
        </w:rPr>
        <w:fldChar w:fldCharType="separate"/>
      </w:r>
      <w:hyperlink w:anchor="_Toc58329180" w:history="1">
        <w:r w:rsidR="002D4199" w:rsidRPr="002D4199">
          <w:rPr>
            <w:rStyle w:val="Hyperlink"/>
            <w:rFonts w:ascii="Times New Roman" w:hAnsi="Times New Roman"/>
            <w:b/>
            <w:sz w:val="24"/>
            <w:szCs w:val="24"/>
          </w:rPr>
          <w:t>DEEL I: ALGEMENE INSTRUCTIES</w:t>
        </w:r>
        <w:r w:rsidR="002D4199" w:rsidRPr="002D4199">
          <w:rPr>
            <w:webHidden/>
            <w:sz w:val="24"/>
            <w:szCs w:val="24"/>
          </w:rPr>
          <w:tab/>
        </w:r>
        <w:r w:rsidR="002D4199" w:rsidRPr="002D4199">
          <w:rPr>
            <w:webHidden/>
            <w:sz w:val="24"/>
            <w:szCs w:val="24"/>
          </w:rPr>
          <w:fldChar w:fldCharType="begin"/>
        </w:r>
        <w:r w:rsidR="002D4199" w:rsidRPr="002D4199">
          <w:rPr>
            <w:webHidden/>
            <w:sz w:val="24"/>
            <w:szCs w:val="24"/>
          </w:rPr>
          <w:instrText xml:space="preserve"> PAGEREF _Toc58329180 \h </w:instrText>
        </w:r>
        <w:r w:rsidR="002D4199" w:rsidRPr="002D4199">
          <w:rPr>
            <w:webHidden/>
            <w:sz w:val="24"/>
            <w:szCs w:val="24"/>
          </w:rPr>
        </w:r>
        <w:r w:rsidR="002D4199" w:rsidRPr="002D4199">
          <w:rPr>
            <w:webHidden/>
            <w:sz w:val="24"/>
            <w:szCs w:val="24"/>
          </w:rPr>
          <w:fldChar w:fldCharType="separate"/>
        </w:r>
        <w:r w:rsidR="002D4199" w:rsidRPr="002D4199">
          <w:rPr>
            <w:webHidden/>
            <w:sz w:val="24"/>
            <w:szCs w:val="24"/>
          </w:rPr>
          <w:t>2</w:t>
        </w:r>
        <w:r w:rsidR="002D4199" w:rsidRPr="002D4199">
          <w:rPr>
            <w:webHidden/>
            <w:sz w:val="24"/>
            <w:szCs w:val="24"/>
          </w:rPr>
          <w:fldChar w:fldCharType="end"/>
        </w:r>
      </w:hyperlink>
    </w:p>
    <w:p w14:paraId="06B915E1" w14:textId="0BA71828" w:rsidR="002D4199" w:rsidRPr="002D4199" w:rsidRDefault="002D4199">
      <w:pPr>
        <w:pStyle w:val="TOC1"/>
        <w:rPr>
          <w:rFonts w:asciiTheme="minorHAnsi" w:eastAsiaTheme="minorEastAsia" w:hAnsiTheme="minorHAnsi" w:cstheme="minorBidi"/>
          <w:color w:val="auto"/>
          <w:sz w:val="24"/>
          <w:szCs w:val="24"/>
          <w:lang w:val="en-US"/>
        </w:rPr>
      </w:pPr>
      <w:hyperlink w:anchor="_Toc58329181" w:history="1">
        <w:r w:rsidRPr="002D4199">
          <w:rPr>
            <w:rStyle w:val="Hyperlink"/>
            <w:rFonts w:ascii="Times New Roman" w:hAnsi="Times New Roman"/>
            <w:b/>
            <w:sz w:val="24"/>
            <w:szCs w:val="24"/>
          </w:rPr>
          <w:t>DEEL II: INSTRUCTIES VOOR BEPAALDE RIJEN</w:t>
        </w:r>
        <w:r w:rsidRPr="002D4199">
          <w:rPr>
            <w:webHidden/>
            <w:sz w:val="24"/>
            <w:szCs w:val="24"/>
          </w:rPr>
          <w:tab/>
        </w:r>
        <w:r w:rsidRPr="002D4199">
          <w:rPr>
            <w:webHidden/>
            <w:sz w:val="24"/>
            <w:szCs w:val="24"/>
          </w:rPr>
          <w:fldChar w:fldCharType="begin"/>
        </w:r>
        <w:r w:rsidRPr="002D4199">
          <w:rPr>
            <w:webHidden/>
            <w:sz w:val="24"/>
            <w:szCs w:val="24"/>
          </w:rPr>
          <w:instrText xml:space="preserve"> PAGEREF _Toc58329181 \h </w:instrText>
        </w:r>
        <w:r w:rsidRPr="002D4199">
          <w:rPr>
            <w:webHidden/>
            <w:sz w:val="24"/>
            <w:szCs w:val="24"/>
          </w:rPr>
        </w:r>
        <w:r w:rsidRPr="002D4199">
          <w:rPr>
            <w:webHidden/>
            <w:sz w:val="24"/>
            <w:szCs w:val="24"/>
          </w:rPr>
          <w:fldChar w:fldCharType="separate"/>
        </w:r>
        <w:r w:rsidRPr="002D4199">
          <w:rPr>
            <w:webHidden/>
            <w:sz w:val="24"/>
            <w:szCs w:val="24"/>
          </w:rPr>
          <w:t>5</w:t>
        </w:r>
        <w:r w:rsidRPr="002D4199">
          <w:rPr>
            <w:webHidden/>
            <w:sz w:val="24"/>
            <w:szCs w:val="24"/>
          </w:rPr>
          <w:fldChar w:fldCharType="end"/>
        </w:r>
      </w:hyperlink>
    </w:p>
    <w:p w14:paraId="323DFBA7" w14:textId="6D7BCEB7" w:rsidR="000D338D" w:rsidRPr="001A280E" w:rsidRDefault="00391EF9" w:rsidP="00347FF0">
      <w:pPr>
        <w:pStyle w:val="BodyText1"/>
        <w:rPr>
          <w:rFonts w:ascii="Times New Roman" w:hAnsi="Times New Roman"/>
          <w:sz w:val="24"/>
          <w:szCs w:val="24"/>
        </w:rPr>
      </w:pPr>
      <w:r w:rsidRPr="002D4199">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329180"/>
      <w:r>
        <w:rPr>
          <w:rFonts w:ascii="Times New Roman" w:hAnsi="Times New Roman"/>
          <w:b/>
          <w:sz w:val="24"/>
          <w:szCs w:val="24"/>
        </w:rPr>
        <w:lastRenderedPageBreak/>
        <w:t>DEEL I:</w:t>
      </w:r>
      <w:bookmarkEnd w:id="1"/>
      <w:r>
        <w:rPr>
          <w:rFonts w:ascii="Times New Roman" w:hAnsi="Times New Roman"/>
          <w:b/>
          <w:sz w:val="24"/>
          <w:szCs w:val="24"/>
        </w:rPr>
        <w:t xml:space="preserve"> ALGEMENE INSTRUCTIES</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Om de looptijdmismatch van de activiteiten van een instelling (“looptijdklassen”) weer te geven in de template van bijlage XXII, volgen de instellingen de instructies van deze bijlage.</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Het monitoringinstrument voor looptijdklassen heeft betrekking op contractuele stromen en voorwaardelijke uitstromen. De contractuele stromen uit hoofde van juridisch bindende overeenkomsten en de resterende looptijd vanaf de rapportagedatum worden gerapporteerd overeenkomstig de bepalingen van deze juridische overeenkomsten.</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De instellingen mogen instromen niet dubbeltellen.</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In de kolom “initiële stand” wordt de stand van posten op de rapportagedatum gerapporteerd.</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Alleen de blanco witte cellen van de template in bijlage XXII moeten worden ingevuld.</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Het onderdeel van de looptijdklassentemplate getiteld “Uitstromen en instromen” heeft betrekking op toekomstige contractuele kasstromen uit hoofde van alle posten binnen en buiten de balanstelling. Alleen uitstromen en instromen ingevolge op de rapportagedatum geldige contracten worden gerapporteerd.</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De afdeling van de looptijdklassentemplate getiteld “Neutraliserende capaciteit” geeft de stand weer van de onbezwaarde activa of andere financieringsbronnen die op de rapportagedatum voor de instelling juridisch en praktisch beschikbaar zijn om potentiële contractuele tekorten te dekken. Alleen uitstromen en instromen ingevolge op de verslagdatum bestaande contracten worden gerapporteerd.</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Kasuitstromen en -instromen in de afdeling “uitstromen” respectievelijk “instromen” worden op brutobasis met een positief teken gerapporteerd. Te betalen en te ontvangen bedragen worden respectievelijk in de afdelingen uitstroom en instroom gerapporteerd.</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Voor de afdeling van de looptijdklassentemplate getiteld “Neutraliserende capaciteit” worden uitstromen en instromen op nettobasis gerapporteerd met een positief teken als het een instroom betreft en een negatief teken als het een uitstroom betreft. Voor kasstromen worden verschuldigde bedragen gerapporteerd. Effectenstromen worden tegen actuele marktwaarde gerapporteerd. Voor stromen uit hoofde van krediet- en liquiditeitslijnen worden de contractuele beschikbare bedragen gerapporteerd.</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Contractuele stromen worden volgens hun resterende looptijd over de tweeëntwintig tijdsintervallen verdeeld, waarbij dagen verwijzen naar kalenderdagen.</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Alle contractuele stromen worden gerapporteerd, inclusief alle materiële kasstromen uit hoofde van niet-financiële activiteiten zoals belastingen, bonussen, dividenden en rente.</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tab/>
      </w:r>
      <w:r>
        <w:rPr>
          <w:bCs/>
          <w:sz w:val="24"/>
        </w:rPr>
        <w:t>Om conservatief te werk te gaan bij het bepalen van de contractuele looptijden van stromen, zorgen de instellingen voor het volgende:</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tab/>
      </w:r>
      <w:r>
        <w:rPr>
          <w:bCs/>
          <w:sz w:val="24"/>
        </w:rPr>
        <w:t>indien de mogelijkheid bestaat om een betaling uit te stellen of een vervroegde betaling te ontvangen, wordt deze mogelijkheid geacht te worden gebruikt indien dit voor de instelling zou leiden tot een vervroegde uitstroom of een verlate instroom;</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indien de mogelijkheid om uitstromen uit de instelling te vervroegen uitsluitend een beslissing van de instelling is, wordt deze mogelijkheid alleen geacht te worden gebruikt wanneer de marktverwachting is dat de instelling dit daadwerkelijk zal doen. De mogelijkheid wordt geacht niet te worden gebruikt indien dit voor de instelling zou leiden tot vervroegde instromen of verlate uitstromen. Elke kasuitstroom die door een dergelijke instroom contractueel in werking zou treden – zoals bij pass through-financiering – wordt gerapporteerd op dezelfde datum als deze instroom;</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alle direct opvraagbare en niet vervallende deposito's worden gerapporteerd als eendagsdeposito in kolom 020;</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open of omgekeerde retrocessieovereenkomsten en soortgelijke transacties die door elk van beide partijen op elke dag kunnen worden opgezegd, worden geacht binnen één dag te vervallen tenzij de opzegtermijn langer dan één dag is; in dat geval worden zij overeenkomstig de opzegtermijn in het desbetreffende tijdsinterval gerapporteerd;</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retailtermijndeposito's met een mogelijkheid tot vervroegde opvraging worden geacht te vervallen in de periode waarin de vervroegde opvraging van het deposito niet zou leiden tot een boete overeenkomstig artikel 25, lid 4, punt b), van Gedelegeerde Verordening (EU) 2015/61;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indien de instelling voor een bepaalde post of gedeelte daarvan niet in staat is om een schema voor minimale contractuele betalingen vast te stellen, wordt deze post of het gedeelte daarvan in kolom 220 gerapporteerd als langer dan 5 jaar.</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Rente-uitstromen en -instromen van alle instrumenten binnen en buiten de balanstelling worden opgenomen in alle betrokken posten van de afdelingen “uitstromen” en “instromen”.</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Vervallende valutaswaps geven de vervallende notionele waarde van cross-currency swaps, valutatermijntransacties en niet-afgewikkelde contante valutaovereenkomsten in de toepasselijke tijdsintervallen van de template weer.</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Kasstromen van niet-afgewikkelde transacties worden, in de korte periode vóór de afwikkeling, in de passende rijen en intervallen gerapporteerd.</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Voor posten waarvoor de instelling geen onderliggende bedrijfsactiviteit heeft, bijvoorbeeld indien zij geen deposito's van een bepaalde categorie heeft, wordt niets ingevuld.</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tab/>
      </w:r>
      <w:r>
        <w:rPr>
          <w:bCs/>
          <w:sz w:val="24"/>
        </w:rPr>
        <w:t>Posten waarvan de vervaldatum is verstreken en posten waarvoor de instelling reden heeft om aan te nemen dat zij niet worden betaald, worden niet gerapporteerd.</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Indien de ontvangen zekerheid opnieuw als zekerheid wordt aangeboden bij een transactie die vervalt na de transactie waarbij de instelling de zekerheid heeft ontvangen, wordt in de afdeling neutraliserende capaciteit een effectenuitstroom ten bedrage van de reële waarde van de ontvangen zekerheid gerapporteerd overeenkomstig de vervaldatum van de transactie die tot de ontvangst van de zekerheid heeft geleid.</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Intragroepposten hebben geen invloed op de rapportage op geconsolideerde basis.</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329181"/>
      <w:r>
        <w:rPr>
          <w:rFonts w:ascii="Times New Roman" w:hAnsi="Times New Roman"/>
          <w:b/>
          <w:sz w:val="24"/>
          <w:szCs w:val="24"/>
        </w:rPr>
        <w:t>DEEL II: INSTRUCTIES VOOR BEPAALDE RIJEN</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Rij</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Verwijzingen naar wetgeving en instructies</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 tot en met</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UITSTROMEN</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 xml:space="preserve">Het </w:t>
            </w:r>
            <w:r>
              <w:rPr>
                <w:rFonts w:ascii="Times New Roman" w:hAnsi="Times New Roman"/>
                <w:sz w:val="24"/>
                <w:szCs w:val="24"/>
              </w:rPr>
              <w:t>totale</w:t>
            </w:r>
            <w:r>
              <w:rPr>
                <w:rFonts w:ascii="Times New Roman" w:hAnsi="Times New Roman"/>
                <w:bCs/>
                <w:sz w:val="24"/>
                <w:szCs w:val="24"/>
              </w:rPr>
              <w:t xml:space="preserve"> bedrag van de kasuitstromen wordt in de volgende subcategorieën gerapporteerd:</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Passiva die voortvloeien uit uitgegeven effecten</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Kasuitstromen uit hoofde van door de rapporterende instelling uitgegeven schuldtitels, d.w.z. eigen uitgiften.</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vervallen ongedekte obligaties</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010 gerapporteerde bedrag van de kasuitstromen uit hoofde van uitgegeven effecten, zijnde ongedekte schuld uitgegeven door de rapporterende instelling aan derden.</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gereglementeerde gedekte obligaties</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010 gerapporteerde bedrag van de kasuitstromen uit hoofde van uitgegeven effecten, zijnde obligaties die in aanmerking komen voor de behandeling bedoeld in artikel 129, lid 4 of lid 5, van Verordening (EU) nr. 575/2013, of artikel 52, lid 4, van Richtlijn 2009/65/EG.</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vervallen securitisaties</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010 gerapporteerde bedrag van de kasuitstromen uit hoofde van uitgegeven effecten, zijnde securitisatietransacties met derden, overeenkomstig artikel 4, lid 1, punt 61, van Verordening (EU) nr.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andere</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010 gerapporteerde bedrag van de kasuitstromen uit hoofde van uitgegeven effecten dat niet onder de hierboven genoemde subcategorieën valt.</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Verplichtingen die voortvloeien uit gedekte leningstransacties en kapitaalmarktgerelateerde</w:t>
            </w:r>
            <w:r>
              <w:rPr>
                <w:rFonts w:ascii="Times New Roman" w:hAnsi="Times New Roman"/>
                <w:b/>
                <w:sz w:val="24"/>
                <w:szCs w:val="24"/>
              </w:rPr>
              <w:t xml:space="preserve"> </w:t>
            </w:r>
            <w:r>
              <w:rPr>
                <w:rFonts w:ascii="Times New Roman" w:hAnsi="Times New Roman"/>
                <w:b/>
                <w:sz w:val="24"/>
                <w:szCs w:val="24"/>
                <w:u w:val="thick" w:color="000000"/>
              </w:rPr>
              <w:t>transacties, zekergesteld door:</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Totaalbedrag van alle kasuitstromen uit hoofde van gedekte leningstransacties en kapitaalmarktgerelateerde transacties zoals omschreven in artikel 192 van Verordening (EU) nr.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De instellingen rapporteren alleen kasstromen. Effectenstromen betreffende gedekte leningstransacties en kapitaalmarktgerelateerde transacties worden in de afdeling “neutraliserende capaciteit” gerapporteerd.</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Verhandelbare activa van niveau 1</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Het in rij 070 gerapporteerde bedrag van de kasuitstromen dat wordt gedekt door verhandelbare activa die aan de vereisten van de artikelen 7, 8 en 10 van Gedelegeerde Verordening (EU) 2015/61 zouden voldoen indien zij niet als zekerheid voor de desbetreffende transactie waren gebruikt.</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Aandelen of rechten van deelneming in icb's in de zin van artikel 15 van Gedelegeerde Verordening (EU) 2015/61 die als activa van niveau 1 gelden, worden overeenkomstig de onderliggende activa in de onderstaande subcategorieën gerapporteerd.</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Activa van niveau 1 exclusief gedekte obligaties</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070 gerapporteerde bedrag van de kasuitstromen dat wordt gedekt door activa die geen gedekte obligaties zijn.</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Niveau 1 centrale bank</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080 gerapporteerde bedrag van de kasuitstromen dat wordt gedekt door activa die vorderingen zijn op of gegarandeerd worden door centrale banken.</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Niveau 1 (kredietkwaliteitscategorie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080 gerapporteerde bedrag van de kasuitstromen dat niet onder rij 090 valt en dat wordt gedekt door activa die vorderingen vertegenwoordigen op of worden gegarandeerd door de emittent of garant waaraan kredietkwaliteitscategorie 1 is toegekend door een aangewezen EKBI.</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Niveau 1 (kredietkwaliteitscategorie 2 of 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080 gerapporteerde bedrag van de kasuitstromen dat niet onder rij 090 valt en dat wordt gedekt door activa die vorderingen vertegenwoordigen op of worden gegarandeerd door de emittent of garant waaraan kredietkwaliteitscategorie 2 of 3 is toegekend door een aangewezen EKBI.</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Niveau 1 (kredietkwaliteitscategorie 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080 gerapporteerde bedrag van de kasuitstromen dat niet onder rij 090 valt en dat wordt gedekt door activa die vorderingen vertegenwoordigen op of worden gegarandeerd door de emittent of garant waaraan kredietkwaliteitscategorie 4 of slechter is toegekend door een aangewezen EKBI.</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Niveau 1 gedekte obligaties (kredietkwaliteitscategorie 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Het in rij 070 gerapporteerde bedrag van de kasuitstromen dat wordt gedekt door activa die gedekte obligaties zijn.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Overeenkomstig artikel 10, lid 1, punt f), van Gedelegeerde Verordening (EU) 2015/61 komen alleen gedekte obligaties met kredietkwaliteitscategorie 1 in aanmerking als activa van niveau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Verhandelbare activa van niveau 2A</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060 gerapporteerde bedrag van de kasuitstromen dat wordt gedekt door verhandelbare activa die aan de vereisten van de artikelen 7, 8 en 11 van Gedelegeerde Verordening (EU) 2015/61 zouden voldoen indien zij niet als zekerheid voor de desbetreffende transactie waren gebruikt.</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Aandelen of rechten van deelneming in icb's in de zin van artikel 15 van Gedelegeerde Verordening (EU) 2015/61 die als activa van niveau 2A gelden, worden overeenkomstig de onderliggende activa in de onderstaande subcategorieën gerapporteerd.</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Niveau 2A bedrijfsobligaties (kredietkwaliteitscategorie 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140 gerapporteerde bedrag van de kasuitstromen dat wordt gedekt door bedrijfsobligaties waaraan door een aangewezen EKBI kredietkwaliteitscategorie 1 is toegekend.</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Niveau 2A gedekte obligaties (kredietkwaliteitscategorie 1 of 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140 gerapporteerde bedrag van de kasuitstromen dat wordt gedekt door gedekte obligaties waaraan door een aangewezen EKBI kredietkwaliteitscategorie 1 of 2 is toegekend.</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Niveau 2A openbare sector (kredietkwaliteitscategorie 1 of 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Het in rij 140 gerapporteerde bedrag van de kasuitstromen dat wordt gedekt door activa die vorderingen zijn op of gegarandeerd worden door centrale overheden, centrale banken, regionale overheden, plaatselijke autoriteiten of publiekrechtelijke lichamen.</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Overeenkomstig artikel 11, lid 1, punten a) en b), van Gedelegeerde Verordening (EU) 2015/61 moeten alle publiekesectoractiva van niveau 2A kredietkwaliteitscategorie 1 of kredietkwaliteitscategorie 2 hebben.</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Verhandelbare activa van niveau 2B</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Het in rij 060 gerapporteerde bedrag van de kasuitstromen dat wordt gedekt door verhandelbare activa die aan de vereisten van de artikelen 7, 8 en 12 of 13 van Gedelegeerde Verordening (EU) 2015/61 zouden voldoen indien zij niet als zekerheid voor de desbetreffende transactie waren gebruikt.</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Aandelen of rechten van deelneming in icb's in de zin van artikel 15 van Gedelegeerde Verordening (EU) 2015/61 die als activa van niveau 2B gelden, worden overeenkomstig de onderliggende activa in de onderstaande subcategorieën gerapporteerd.</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Door activa gedekte effecten van niveau 2B (kredietkwaliteitscategorie 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Het in rij 180 gerapporteerde bedrag van de kasuitstromen dat wordt gedekt door effecten die door activa worden gedekt, inclusief RMBS.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Overeenkomstig artikel 13, lid 2, punt a), van Gedelegeerde Verordening (EU) 2015/61 moeten alle door activa gedekte effecten van niveau 2B kredietkwaliteitscategorie 1 hebben.</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Gedekte obligaties van niveau 2B (kredietkwaliteitscategorie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180 gerapporteerde bedrag van de kasuitstromen dat wordt gedekt door gedekte obligaties.</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Bedrijfsobligaties van niveau 2B (kredietkwaliteitscategorie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180 gerapporteerde bedrag van de kasuitstromen dat wordt gedekt door bedrijfsschuldpapieren.</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Aandelen van niveau 2B</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180 gerapporteerde bedrag van de kasuitstromen dat wordt gedekt door aandelen.</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Niveau 2B openbare sector (kredietkwaliteitscategorie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180 gerapporteerde bedrag van de kasuitstromen dat wordt gedekt door activa van niveau 2B die niet zijn opgenomen in de rijen 190 tot en met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andere verhandelbare activa</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060 gerapporteerde bedrag van de kasuitstromen dat wordt gedekt met verhandelbare activa die niet zijn opgenomen in de rijen 070, 140 of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andere activa</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060 gerapporteerde bedrag van de kasuitstromen dat wordt gedekt met activa die niet zijn opgenomen in de rijen 070, 140, 180 of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single"/>
              </w:rPr>
              <w:t xml:space="preserve">1.3 </w:t>
            </w:r>
            <w:r>
              <w:rPr>
                <w:rFonts w:ascii="Times New Roman" w:hAnsi="Times New Roman"/>
                <w:b/>
                <w:sz w:val="24"/>
                <w:szCs w:val="24"/>
                <w:u w:val="single" w:color="000000"/>
              </w:rPr>
              <w:t>N</w:t>
            </w:r>
            <w:r>
              <w:rPr>
                <w:rFonts w:ascii="Times New Roman" w:hAnsi="Times New Roman"/>
                <w:b/>
                <w:sz w:val="24"/>
                <w:szCs w:val="24"/>
                <w:u w:val="thick" w:color="000000"/>
              </w:rPr>
              <w:t>iet in 1.2 gerapporteerde verplichtingen die voortvloeien uit ontvangen</w:t>
            </w:r>
            <w:r>
              <w:rPr>
                <w:rFonts w:ascii="Times New Roman" w:hAnsi="Times New Roman"/>
                <w:b/>
                <w:sz w:val="24"/>
                <w:szCs w:val="24"/>
              </w:rPr>
              <w:t xml:space="preserve"> </w:t>
            </w:r>
            <w:r>
              <w:rPr>
                <w:rFonts w:ascii="Times New Roman" w:hAnsi="Times New Roman"/>
                <w:b/>
                <w:sz w:val="24"/>
                <w:szCs w:val="24"/>
                <w:u w:val="thick" w:color="000000"/>
              </w:rPr>
              <w:t>deposito's, exclusief als zekerheid ontvangen deposito's</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Kasuitstromen die voorvloeien uit alle ontvangen deposito's met uitzondering van in rij 060 gerapporteerde uitstromen en als zekerheid ontvangen deposito's.</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Kasuitstromen die voortvloeien uit derivatentransacties worden in rij 350 of 360 gerapporteerd.</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Deposito's worden gerapporteerd volgens hun vroegst mogelijke contractuele vervaldatum. Deposito's die onmiddellijk kunnen worden opgenomen zonder opzegtermijn (direct opvraagbare deposito's) of niet vervallende deposito's worden in het tijdsinterval “voor één dag” gerapporteerd.</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stabiele retaildeposito's</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Het in rij 260 gerapporteerde bedrag van de kasuitstromen dat voortvloeit uit retaildeposito's overeenkomstig artikel 3, punt 8, en artikel 24 van Gedelegeerde Verordening (EU)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andere retaildeposito's</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260 gerapporteerde bedrag van de kasuitstromen dat voortvloeit uit retaildeposito's overeenkomstig artikel 3, punt 8, van Gedelegeerde Verordening (EU) 2015/61, behalve die welke in rij 270 zijn gerapporteerd.</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operationele deposito's</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260 gerapporteerde bedrag van de kasuitstromen dat voortvloeit uit operationele deposito's overeenkomstig artikel 27 van Gedelegeerde Verordening (EU)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niet-operationele deposito's van kredietinstellingen</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260 gerapporteerde bedrag van de kasuitstromen dat voortvloeit uit deposito's van kredietinstellingen, behalve die welke in rij 290 zijn gerapporteerd.</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niet-operationele deposito's van andere financiële cliënten</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260 gerapporteerde bedrag van de kasuitstromen dat voortvloeit uit deposito's van financiële cliënten, behalve die welke in rij 290 en 300 zijn gerapporteerd.</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niet-operationele deposito's van centrale banken</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260 gerapporteerde bedrag van de kasuitstromen dat voortvloeit uit niet-operationele deposito's van centrale banken.</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niet-operationele deposito's van niet-financiële ondernemingen</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260 gerapporteerde bedrag van de kasuitstromen dat voortvloeit uit niet-operationele deposito's van niet-financiële ondernemingen.</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niet-operationele deposito's van andere tegenpartijen</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260 gerapporteerde bedrag van de kasuitstromen dat voortvloeit uit deposito’s die niet zijn opgenomen in de rijen 270 tot en met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vervallende valutaswaps</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Totaalbedrag van de kasuitstromen uit hoofde van het vervallen van valutaswaptransacties zoals de uitwisseling van hoofdsommen aan het eind van het contract.</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Te betalen bedragen uit derivaten, anders dan in 1.4 gerapporteerd</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Totaalbedrag van de kasuitstromen uit hoofde van posities inzake te betalen bedragen uit derivaten in het kader van de in bijlage II bij Verordening (EU) nr. 575/2013 genoemde contracten, met uitzondering van de uitstromen uit hoofde van vervallende valutaswaps, die in rij 350 worden gerapporteerd.</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Het totaalbedrag omvat de afwikkelingsbedragen, inclusief de niet-afgewikkelde margeopvragingen vanaf de rapportagedatum.</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Het totaalbedrag geeft de som van 1) en 2) als volgt over de verschillende tijdsintervallen weer:</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kas- en effectenstromen met betrekking tot derivaten waarvoor een zekerhedenovereenkomst van kracht is die de volledige of toereikende zekerheidsstelling van de tegenpartijblootstellingen vereist, zijn van de looptijdklassentemplates uitgesloten; alle stromen van contanten, effecten, contante zekerheden en zekerheden in de vorm van effecten met betrekking tot deze derivaten zijn van de templates uitgesloten. De standen van de zekerheden in de vorm van contanten en effecten die reeds zijn ontvangen of verstrekt in de context van door zekerheden gedekte derivaten worden niet opgenomen in de kolom “stand” van onderdeel 3 van de looptijdklassen met betrekking tot de neutraliserende capaciteit, met uitzondering van de kas- en effectenstromen in de context van margeopvragingen (“stromen van zekerheden in de vorm van contanten of effecten”) die te gepasten tijde betaalbaar zijn, maar nog niet zijn afgewikkeld. Deze laatste worden weergegeven in de posten 1.5 “kasuitstromen met betrekking tot derivaten” en 2.4 “kasinstromen met betrekking tot derivaten” in geval van contante zekerheden en in onderdeel 3 “neutraliserende capaciteit” in geval van zekerheden in de vorm van effecten;</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voor instromen en uitstromen in de vorm van contanten en effecten met betrekking tot derivaten waarvoor geen zekerhedenovereenkomst van kracht is of slechts gedeeltelijke zekerheidsstelling vereist is, wordt een onderscheid gemaakt tussen contracten waarvoor optionaliteit geldt en andere contracten:</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stromen met betrekking tot op opties gelijkende derivaten worden alleen opgenomen als de uitoefenprijs onder de marktprijs ligt bij een call of boven de marktprijs ligt bij een put (“in the money”). Voor deze stromen wordt de volgende vervangende maatstaf toegepast:</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de actuele marktwaarde of de contante nettowaarde van het contract wordt als instroom in post 2.4 van de looptijdklassen “kasinstromen met betrekking tot derivaten” opgenomen op de laatste uitoefendatum van de optie als de bank het recht heeft om de optie uit te oefenen;</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de actuele marktwaarde of de contante nettowaarde van het contract wordt als uitstroom in post 1.5 van de looptijdklassen “kasuitstromen met betrekking tot derivaten” opgenomen op de vroegste uitoefendatum van de optie als de tegenpartij van de bank het recht heeft om de optie uit te oefenen;</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b) stromen met betrekking tot andere dan de onder a) bedoelde contracten worden opgenomen door het extrapoleren van de bruto contractuele stromen van contanten in de betrokken tijdsintervallen in de posten 1.5 “kasuitstromen met betrekking tot derivaten” en 2.4 “kasinstromen met betrekking tot derivaten” en de contractuele stromen van effecten in de neutraliserende capaciteit van de looptijdklassen, onder gebruikmaking van de actuele impliciete markttermijnkoersen die van toepassing zijn op de rapportagedatum als de bedragen nog niet zijn vastgesteld.</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Andere uitstromen</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Totaalbedrag van alle andere, niet in de rijen 010, 060, 260, 350 of 360. gerapporteerde kastuitstromen. Voorwaardelijke uitstromen worden hier niet gerapporteerd.</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Totale uitstromen</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 som van de in de rijen 010, 060, 260, 350, 360 en 370 gerapporteerde uitstromen.</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 tot en met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INSTROMEN</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Verschuldigde gelden uit gedekte leningstransacties en kapitaalmarktgerelateerde</w:t>
            </w:r>
            <w:r>
              <w:rPr>
                <w:rFonts w:ascii="Times New Roman" w:hAnsi="Times New Roman"/>
                <w:b/>
                <w:sz w:val="24"/>
                <w:szCs w:val="24"/>
              </w:rPr>
              <w:t xml:space="preserve"> </w:t>
            </w:r>
            <w:r>
              <w:rPr>
                <w:rFonts w:ascii="Times New Roman" w:hAnsi="Times New Roman"/>
                <w:b/>
                <w:sz w:val="24"/>
                <w:szCs w:val="24"/>
                <w:u w:val="thick" w:color="000000"/>
              </w:rPr>
              <w:t>transacties, zekergesteld door:</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Totaalbedrag van de kasinstromen uit hoofde van gedekte leningstransacties en kapitaalmarktgerelateerde transacties zoals omschreven in artikel 192 van Verordening (EU) nr.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Hier worden alleen kasstromen gerapporteerd; effectenstromen betreffende gedekte leningstransacties en kapitaalmarktgerelateerde transacties worden in de afdeling “neutraliserende capaciteit” gerapporteerd.</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Verhandelbare activa van niveau 1</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390 gerapporteerde bedrag van de kasinstromen dat wordt gedekt door verhandelbare activa overeenkomstig de artikelen 7, 8 en 10 van Gedelegeerde Verordening (EU)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Aandelen of rechten van deelneming in icb's in de zin van artikel 15 van Gedelegeerde Verordening (EU) 2015/61 die als activa van niveau 1 gelden, worden overeenkomstig de onderliggende activa in de onderstaande subcategorieën gerapporteerd.</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Activa van niveau 1 exclusief gedekte obligaties</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400 gerapporteerde bedrag van de kasinstromen dat wordt gedekt door activa die geen gedekte obligaties zijn.</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Niveau 1 centrale bank</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410 gerapporteerde bedrag van de kasinstromen dat wordt gedekt door activa die vorderingen zijn op of gegarandeerd worden door centrale banken.</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Niveau 1 (kredietkwaliteitscategorie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410 gerapporteerde bedrag van de kasinstromen dat niet onder rij 420 valt en dat wordt gedekt door activa die vorderingen vertegenwoordigen op of worden gegarandeerd door de emittent of garant waaraan kredietkwaliteitscategorie 1 is toegekend door een aangewezen EKBI.</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Niveau 1 (kredietkwaliteitscategorie 2 of 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410 gerapporteerde bedrag van de kasinstromen dat niet onder rij 420 valt en dat wordt gedekt door activa die vorderingen vertegenwoordigen op of worden gegarandeerd door de emittent of garant waaraan kredietkwaliteitscategorie 2 of 3 is toegekend door een aangewezen EKBI.</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Niveau 1 (kredietkwaliteitscategorie 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410 gerapporteerde bedrag van de kasinstromen dat niet onder rij 420 valt en dat wordt gedekt door activa die vorderingen vertegenwoordigen op of worden gegarandeerd door de emittent of garant waaraan kredietkwaliteitscategorie 4 of slechter is toegekend door een aangewezen EKBI.</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Niveau 1 gedekte obligaties (kredietkwaliteitscategorie 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Het in rij 400 gerapporteerde bedrag van de kasinstromen dat wordt gedekt door activa die gedekte obligaties zijn.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Overeenkomstig artikel 10, lid 1, punt f), van Gedelegeerde Verordening (EU) 2015/61 komen alleen gedekte obligaties met kredietkwaliteitscategorie 1 in aanmerking als activa van niveau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Verhandelbare activa van niveau 2A</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390 gerapporteerde bedrag van de kasinstromen dat wordt gedekt door verhandelbare activa overeenkomstig de artikelen 7, 8 en 11 van Gedelegeerde Verordening (EU)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Aandelen of rechten van deelneming in icb's in de zin van artikel 15 van Gedelegeerde Verordening (EU) 2015/61 die als activa van niveau 2A gelden, worden overeenkomstig de onderliggende activa in de onderstaande subcategorieën gerapporteerd.</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Niveau 2A bedrijfsobligaties (kredietkwaliteitscategorie 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470 gerapporteerde bedrag van de kasinstromen dat wordt gedekt door bedrijfsobligaties waaraan door een aangewezen EKBI kredietkwaliteitscategorie 1 is toegekend.</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Niveau 2A gedekte obligaties (kredietkwaliteitscategorie 1 of 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470 gerapporteerde bedrag van de kasinstromen dat wordt gedekt door gedekte obligaties waaraan door een aangewezen EKBI kredietkwaliteitscategorie 1 of 2 is toegekend.</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Niveau 2A openbare sector (kredietkwaliteitscategorie 1 of 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Het in rij 470 gerapporteerde bedrag van de kasinstromen dat wordt gedekt door activa die vorderingen zijn op of gegarandeerd worden door centrale overheden, centrale banken, regionale overheden, plaatselijke autoriteiten of publiekrechtelijke lichamen.</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Overeenkomstig artikel 11, lid 1, punten a) en b), van Gedelegeerde Verordening (EU) 2015/61 moeten alle publiekesectoractiva van niveau 2A kredietkwaliteitscategorie 1 of kredietkwaliteitscategorie 2 hebben.</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Verhandelbare activa van niveau 2B</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390 gerapporteerde bedrag van de kasinstromen dat wordt gedekt door verhandelbare activa overeenkomstig de artikelen 7, 8 en 12 of 13 van Gedelegeerde Verordening (EU)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Aandelen of rechten van deelneming in icb's in de zin van artikel 15 van Gedelegeerde Verordening (EU) 2015/61 die als activa van niveau 2B gelden, worden overeenkomstig de onderliggende activa in de onderstaande subcategorieën gerapporteerd.</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Door activa gedekte effecten van niveau 2B (kredietkwaliteitscategorie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510 gerapporteerde bedrag van de kasinstromen dat wordt gedekt door effecten die door activa worden gedekt, inclusief 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Gedekte obligaties van niveau 2B (kredietkwaliteitscategorie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510 gerapporteerde bedrag van de kasinstromen dat wordt gedekt door gedekte obligaties.</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Bedrijfsobligaties van niveau 2B (kredietkwaliteitscategorie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510 gerapporteerde bedrag van de kasinstromen dat wordt gedekt door bedrijfsschuldpapieren.</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Aandelen van niveau 2B</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510 gerapporteerde bedrag van de kasinstromen dat wordt gedekt door aandelen.</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Niveau 2B openbare sector (kredietkwaliteitscategorie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510 gerapporteerde bedrag van de kasinstromen dat wordt gedekt door activa van niveau 2B die niet zijn opgenomen in de rijen 520 tot en met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andere verhandelbare activa</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390 gerapporteerde bedrag van de kasinstromen dat wordt gedekt met verhandelbare activa die niet zijn opgenomen in de rijen 400, 470 of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andere activa</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390 gerapporteerde bedrag van de kasinstromen dat wordt gedekt met activa die niet zijn opgenomen in de rijen 400, 470, 510 of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Niet in post 2.1 gerapporteerde verschuldigde gelden die voortvloeien uit</w:t>
            </w:r>
            <w:r>
              <w:rPr>
                <w:rFonts w:ascii="Times New Roman" w:hAnsi="Times New Roman"/>
                <w:b/>
                <w:sz w:val="24"/>
                <w:szCs w:val="24"/>
              </w:rPr>
              <w:t xml:space="preserve"> </w:t>
            </w:r>
            <w:r>
              <w:rPr>
                <w:rFonts w:ascii="Times New Roman" w:hAnsi="Times New Roman"/>
                <w:b/>
                <w:sz w:val="24"/>
                <w:szCs w:val="24"/>
                <w:u w:val="thick" w:color="000000"/>
              </w:rPr>
              <w:t>leningen en voorschotten aan</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Kasinstromen uit leningen en voorschotten.</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Kasinstromen worden op de laatste contractuele datum voor terugbetaling gerapporteerd. Voor doorlopende faciliteiten wordt de bestaande lening geacht te worden doorgerold en resterende bedragen worden behandeld als gecommitteerde faciliteiten.</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retailcliënten</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590 gerapporteerde bedrag van de kasinstromen dat voortvloeit uit natuurlijke personen of kmo's overeenkomstig artikel 3, punt 8, van Gedelegeerde Verordening (EU)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niet-financiële ondernemingen</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590 gerapporteerde bedrag van de kasinstromen dat voortvloeit uit niet-financiële ondernemingen.</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kredietinstellingen</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590 gerapporteerde bedrag van de kasinstromen dat voortvloeit uit kredietinstellingen.</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andere financiële cliënten</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590 gerapporteerde bedrag van de kasinstromen dat voortvloeit uit financiële cliënten overeenkomstig artikel 3, punt 9, van Gedelegeerde Verordening (EU) 2015/61, behalve die welke in rij 620 zijn gerapporteerd.</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centrale banken</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590 gerapporteerde bedrag van de kasinstromen dat voortvloeit uit centrale banken.</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andere tegenpartijen</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590 gerapporteerde bedrag van de kasinstromen dat voortvloeit uit tegenpartijen die niet onder de posten 2.2.1 tot en met 2.2.5 vallen.</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vervallende valutaswaps</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Totaalbedrag van de contractuele kasinstromen uit hoofde van het vervallen van valutaswaptransacties zoals de uitwisseling van hoofdsommen aan het eind van het contract.</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Dit geeft de vervallende notionele waarde van cross-currency swaps, contante valutatransacties en valutatermijntransacties in de toepasselijke tijdsintervallen van de template weer.</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rsidRPr="002D4199">
              <w:rPr>
                <w:b/>
                <w:u w:val="single"/>
              </w:rPr>
              <w:tab/>
            </w:r>
            <w:r>
              <w:rPr>
                <w:rFonts w:ascii="Times New Roman" w:hAnsi="Times New Roman"/>
                <w:b/>
                <w:sz w:val="24"/>
                <w:szCs w:val="24"/>
                <w:u w:val="thick" w:color="000000"/>
              </w:rPr>
              <w:t>Te ontvangen bedragen uit derivaten, anders dan in 2.3 gerapporteerd</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Totaalbedrag van de kasinstromen uit hoofde van posities inzake te ontvangen bedragen uit derivaten in het kader van de in bijlage II bij Verordening (EU) nr. 575/2013 genoemde contracten, met uitzondering van de instromen uit hoofde van vervallende valutaswaps, die in post 2.3 worden gerapporteerd.</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Het totaalbedrag omvat de afwikkelingsbedragen, inclusief de niet-afgewikkelde margeopvragingen vanaf de rapportagedatum.</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Het totaalbedrag geeft de som van 1) en 2) als volgt over de verschillende tijdsintervallen weer:</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kas- en effectenstromen met betrekking tot derivaten waarvoor een zekerhedenovereenkomst van kracht is die de volledige of toereikende zekerheidsstelling van de tegenpartijblootstellingen vereist, zijn van de looptijdklassentemplate uitgesloten, en alle stromen van contanten, effecten, contante zekerheden en zekerheden in de vorm van effecten met betrekking tot deze derivaten zijn van de template uitgesloten. De standen van de zekerheden in de vorm van contanten en effecten die reeds zijn ontvangen of verstrekt in de context van door zekerheden gedekte derivaten worden niet opgenomen in de kolom “stand” van onderdeel 3 van de looptijdklassen met betrekking tot de neutraliserende capaciteit, met uitzondering van de kas- en effectenstromen in de context van margeopvragingen die te gepasten tijde betaalbaar zijn, maar nog niet zijn afgewikkeld. Deze laatste worden weergegeven in de posten 1.5 “kasuitstromen met betrekking tot derivaten” en 2.4 “kasinstromen met betrekking tot derivaten” in geval van contante zekerheden en in onderdeel 3 “neutraliserende capaciteit” in geval van zekerheden in de vorm van effecten in de looptijdklassen;</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voor instromen en uitstromen in de vorm van contanten en effecten met betrekking tot derivaten waarvoor geen zekerhedenovereenkomst van kracht is of slechts gedeeltelijke zekerheidsstelling vereist is, wordt een onderscheid gemaakt tussen contracten waarvoor optionaliteit geldt en andere contracten:</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stromen met betrekking tot op opties gelijkende derivaten worden alleen opgenomen als zij “in the money” zijn. Voor deze stromen wordt de volgende vervangende maatstaf toegepast:</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de actuele marktwaarde of de contante nettowaarde van het contract wordt als instroom in post 2.4 van de looptijdklassen “kasinstromen met betrekking tot derivaten” opgenomen op de laatste uitoefendatum van de optie als de bank het recht heeft om de optie uit te oefenen;</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de actuele marktwaarde of de contante nettowaarde van het contract wordt als uitstroom in post 1.5 van de looptijdklassen “kasuitstromen met betrekking tot derivaten” opgenomen op de vroegste uitoefendatum van de optie als de tegenpartij van de bank het recht heeft om de optie uit te oefenen;</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stromen met betrekking tot andere dan de onder a) bedoelde contracten worden opgenomen door het extrapoleren van de bruto contractuele stromen van contanten in de betrokken tijdsintervallen in de posten 1.5 “kasuitstromen met betrekking tot derivaten” en 2.4 “kasinstromen met betrekking tot derivaten” en de contractuele stromen van effecten in de neutraliserende capaciteit van de looptijdklassen, onder gebruikmaking van de actuele impliciete markttermijnkoersen die van toepassing zijn op de rapportagedatum als de bedragen nog niet zijn vastgesteld.</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Vervallend papier in eigen portefeuille</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Het bedrag van de instromen zijnde terugbetaling van de hoofdsom uit hoofde van vervallen eigen beleggingen in obligaties, gerapporteerd volgens de resterende contractuele looptijd ervan.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Deze post omvat kasinstromen uit vervallende effecten die onder de neutraliserende capaciteit worden gerapporteerd. Zodra een effect vervalt, wordt het onder de neutraliserende capaciteit als effectenuitstroom en dus hier als kasinstroom gerapporteerd.</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Andere instromen</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Totaalbedrag van alle andere, niet in de rijen 390, 590, 660, 670 of 680. gerapporteerde kastinstromen.</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Voorwaardelijke instromen worden hier niet gerapporteerd.</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Totale instromen</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 som van de in de rijen 390, 590, 660, 670, 680 en 690 gerapporteerde instromen.</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Netto contractueel verschil</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Totale in rij 700 gerapporteerde instromen minus totale in rij 380 gerapporteerde uitstromen</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Gecumuleerd netto contractueel verschil</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Gecumuleerd netto contractueel verschil vanaf de rapportagedatum tot aan de bovengrens van een relevant tijdsinterval.</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NEUTRALISERENDE CAPACITEIT</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De “neutraliserende capaciteit” van de looptijdklassen bevat informatie over de ontwikkeling van de door een instelling gehouden activa van verschillende liquiditeitsgraad, waaronder verhandelbare activa en voor de centrale bank toelaatbare activa, alsmede de contractueel aan de instelling toegezegde faciliteiten.</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Bij rapportage op geconsolideerd niveau over toelaatbaarheid voor de centrale bank wordt uitgegaan van de regels inzake toelaatbaarheid voor de centrale bank die voor elke geconsolideerde instelling in het oprichtingsrechtsgebied ervan gelden.</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Indien de neutraliserende capaciteit betrekking heeft op verhandelbare activa</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rapporteren de instellingen activa die verhandeld worden op brede, diepe en actieve retrocessietransactie- of contantmarkten die door een laag niveau van concentratie worden gekenmerkt.</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In de kolommen van de neutraliserende capaciteit gerapporteerde activa omvatten alleen onbezwaarde activa die de instelling te allen tijde te gelde kan maken om tijdens de tijdhorizon contractuele verschillen tussen kasinstromen en -uitstromen te dekken. Voor deze doeleinden is de definitie van onbezwaarde activa van Gedelegeerde Verordening (EU) 2015/61 van de Commissie van toepassing. De activa mogen niet worden gebruikt om kredietverbeteringen te verlenen bij gestructureerde transacties of om operationele kosten, zoals huren en salarissen, te dekken, en moeten worden beheerd met het duidelijke en enige doel om als bron van voorwaardelijke financiering te worden gebruikt.</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Activa die de instelling als zekerheid heeft ontvangen bij omgekeerde retrocessietransacties en effectenfinancieringstransacties, kunnen als onderdeel van de neutraliserende capaciteit worden beschouwd als zij bij de instelling worden gehouden, niet zijn herbeleend en wettelijk en contractueel beschikbaar zijn voor gebruik door de instelling.</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Wanneer de instelling in de posten 3.1 tot en met 3.7 geplaatste activa rapporteert, mag zij, om dubbeltelling te vermijden, de gerelateerde capaciteit van deze faciliteiten niet in post 3.8 rapporteren.</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De instellingen rapporteren activa die aan de omschrijving van een rij voldoen en op de rapportagedatum beschikbaar zijn, als een initiële stand in kolom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De kolommen 020 tot en met 220 bevatten contractuele stromen in de neutraliserende capaciteit. Indien een instelling een retrocessieovereenkomst is aangegaan, wordt het betrokken activum weer als een effecteninstroom in het looptijdsegment opgenomen wanneer de retrocessietransactie vervalt. Dienovereenkomstig wordt de kasuitstroom uit hoofde van de vervallende retrocessietransactie in het relevante looptijdsegment van de kasuitstroom in post 1.2 gerapporteerd. Indien een instelling een omgekeerde retrocessieovereenkomst is aangegaan, wordt het betrokken activum weer als een effectenuitstroom in het looptijdsegment opgenomen wanneer de retrocessietransactie vervalt. Dienovereenkomstig wordt de kasinstroom uit hoofde van de vervallende retrocessietransactie in het relevante looptijdsegment van de kasinstroom in post 2.1 gerapporteerd. Zekerhedenswaps worden gerapporteerd als contractuele instromen en uitstromen van effecten in de afdeling neutraliserende capaciteit overeenkomstig het relevante looptijdsegment waarin deze swaps vervallen.</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Een verandering in het contractueel beschikbare bedrag van de krediet- en liquiditeitslijnen gerapporteerd in post 3.8 wordt als een stroom in het relevante tijdsinterval gerapporteerd. Indien een instelling een overnightdeposito bij een centrale bank heeft, wordt het bedrag van het deposito als een initiële stand in post 3.2 en als een kasuitstroom in het looptijdsegment “voor één dag” voor deze post gerapporteerd. Dienovereenkomstig wordt de resulterende kasinstroom in post 2.2.5 gerapporteerd.</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Vervallende effecten in de neutraliserende capaciteit worden gerapporteerd op basis van hun contractuele looptijd. Wanneer een effect vervalt, wordt het verwijderd uit de activacategorie waarin het oorspronkelijk is gerapporteerd en behandeld als een uitstroom van effecten, en wordt de resulterende kasinstroom in post 2.5 gerapporteerd.</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Alle effectenwaarden worden in het relevante segment tegen actuele marktwaarden gerapporteerd.</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Alleen contractueel beschikbare bedragen worden gerapporteerd in post 3.8.</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Om dubbeltelling te vermijden, worden kasinstromen niet geregistreerd in post 3.1 of 3.2 van de neutraliserende capaciteit.</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Posten in de neutraliserende capaciteit worden in de volgende subcategorieën gerapporteerd:</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Munten en bankbiljetten</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Totaalbedrag aan contanten (munten en bankbiljetten)</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Opvraagbare reserves bij centrale banken</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Totaalbedrag van de reserves bij centrale banken overeenkomstig artikel 10, lid 1, punt b), iii), van Gedelegeerde Verordening 2015/61 dat binnen één dag opvraagbaar is.</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Effecten zijnde vorderingen op of gegarandeerd door centrale banken worden hier niet gerapporteerd.</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Verhandelbare activa van niveau 1</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 marktwaarde van verhandelbare activa overeenkomstig de artikelen 7, 8 en 10 van Gedelegeerde Verordening (EU)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Aandelen of rechten van deelneming in icb's in de zin van artikel 15 van Gedelegeerde Verordening (EU) 2015/61 die als activa van niveau 1 gelden, worden overeenkomstig de onderliggende activa in de onderstaande subcategorieën gerapporteerd.</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Activa van niveau 1 exclusief gedekte obligaties</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750 gerapporteerde bedrag dat geen betrekking heeft op gedekte obligaties.</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Niveau 1 centrale bank</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760 gerapporteerde bedrag van de activa die vorderingen zijn op of gegarandeerd worden door centrale banken.</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Niveau 1 (kredietkwaliteitscategorie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760 gerapporteerde bedrag dat niet onder rij 770 valt en dat bestaat uit activa die vorderingen vertegenwoordigen op of worden gegarandeerd door de emittent of garant waaraan kredietkwaliteitscategorie 1 is toegekend door een aangewezen EKBI.</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Niveau 1 (kredietkwaliteitscategorie 2 of 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760 gerapporteerde bedrag dat niet onder rij 770 valt en dat overeenkomt met activa die vorderingen vertegenwoordigen op of worden gegarandeerd door de emittent of garant waaraan kredietkwaliteitscategorie 2 of 3 is toegekend door een aangewezen EKBI.</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Niveau 1 (kredietkwaliteitscategorie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760 gerapporteerde bedrag dat niet onder rij 770 valt en dat betrekking heeft op activa die vorderingen vertegenwoordigen op of worden gegarandeerd door de emittent of garant waaraan kredietkwaliteitscategorie 4 of slechter is toegekend door een aangewezen EKBI.</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Niveau 1 gedekte obligaties (kredietkwaliteitscategorie 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Het in rij 750 gerapporteerde bedrag dat betrekking heeft op gedekte obligaties.</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Overeenkomstig artikel 10, lid 1, punt f), van Gedelegeerde Verordening (EU) 2015/61 komen alleen gedekte obligaties met kredietkwaliteitscategorie 1 in aanmerking als activa van niveau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Verhandelbare activa van niveau 2A</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 marktwaarde van verhandelbare activa overeenkomstig de artikelen 7, 8 en 11 van Gedelegeerde Verordening (EU)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Aandelen of rechten van deelneming in icb's in de zin van artikel 15 van Gedelegeerde Verordening (EU) 2015/61 die als activa van niveau 2A gelden, worden overeenkomstig de onderliggende activa in de onderstaande subcategorieën gerapporteerd.</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Niveau 2A bedrijfsobligaties (kredietkwaliteitscategorie 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820 gerapporteerde bedrag dat bestaat uit bedrijfsobligaties waaraan door een aangewezen EKBI kredietkwaliteitscategorie 1 is toegekend.</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Gedekte obligaties van niveau 2A (kredietkwaliteitscategorie 1 of 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820 gerapporteerde bedrag dat bestaat uit bedrijfsobligaties waaraan door een aangewezen EKBI kredietkwaliteitscategorie 1 of 2 is toegekend.</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Niveau 2A openbare sector (kredietkwaliteitscategorie 1 of 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Het in rij 820 gerapporteerde bedrag dat bestaat uit activa die vorderingen zijn op of gegarandeerd worden door centrale overheden, centrale banken, regionale overheden, plaatselijke autoriteiten of publiekrechtelijke lichamen.</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Overeenkomstig artikel 11, lid 1, punten a) en b), van Gedelegeerde Verordening (EU) 2015/61 moeten alle publiekesectoractiva van niveau 2A kredietkwaliteitscategorie 1 of kredietkwaliteitscategorie 2 hebben.</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Verhandelbare activa van niveau 2B</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 marktwaarde van verhandelbare activa overeenkomstig de artikelen 7, 8 en 12 of 13 van Gedelegeerde Verordening (EU)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Aandelen of rechten van deelneming in icb's in de zin van artikel 15 van Gedelegeerde Verordening (EU) 2015/61 die als activa van niveau 2B gelden, worden overeenkomstig de onderliggende activa in de onderstaande subcategorieën gerapporteerd.</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Door activa gedekte effecten van niveau 2B (kredietkwaliteitscategorie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Het in rij 860 gerapporteerde bedrag dat bestaat uit effecten die door activa worden gedekt, inclusief RMBS.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Overeenkomstig artikel 13, lid 2, punt a), van Gedelegeerde Verordening (EU) 2015/61 moeten alle door activa gedekte effecten van niveau 2B kredietkwaliteitscategorie 1 hebben.</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Gedekte obligaties van niveau 2B (kredietkwaliteitscategorie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860 gerapporteerde bedrag dat geen betrekking heeft op gedekte obligaties.</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Bedrijfsobligaties van niveau 2B (kredietkwaliteitscategorie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860 gerapporteerde bedrag dat betrekking heeft op bedrijfsschuldpapieren.</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Aandelen van niveau 2B</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860 gerapporteerde bedrag dat betrekking heeft op aandelen.</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Niveau 2B openbare sector (kredietkwaliteitscategorie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Het in rij 860 gerapporteerde bedrag dat bestaat uit activa van niveau 2B die niet zijn opgenomen in de posten 3.5.1 tot en met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andere verhandelbare activa</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marktwaarde van de verhandelbare activa die niet in de rijen 750, 820 en 860 zijn opgenomen.</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Effecten en effectenstromen uit andere verhandelbare activa in de vorm van intragroepuitgiften of eigen uitgiften worden niet in de neutraliserende capaciteit gerapporteerd. Desondanks worden kasstromen in verband met dergelijke activa in het desbetreffende deel van afdeling 1 en 2 van de template gerapporteerd.</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centrale overheid (kredietkwaliteitscategorie 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920 gerapporteerde bedrag dat bestaat uit activa die vorderingen zijn op of gegarandeerd worden door een centrale overheid en waaraan door een aangewezen EKBI kredietkwaliteitscategorie 1 is toegekend.</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centrale overheid (kredietkwaliteitscategorie 2 of 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920 gerapporteerde bedrag dat bestaat uit activa die vorderingen zijn op of gegarandeerd worden door een centrale overheid en waaraan door een aangewezen EKBI kredietkwaliteitscategorie 2 of 3 is toegekend.</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aandelen</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920 gerapporteerde bedrag dat betrekking heeft op aandelen.</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Gedekte obligaties</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920 gerapporteerde bedrag dat betrekking heeft op gedekte obligaties.</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Door activa gedekte effecten</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Het in rij 920 gerapporteerde bedrag dat betrekking heeft op door activa gedekte effecten.</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andere verhandelbare activa</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920 gerapporteerde bedrag dat betrekking heeft op andere verhandelbare activa die niet zijn opgenomen in de rijen 930 tot en met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niet-verhandelbare activa die toelaatbaar zijn voor de centrale bank</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boekwaarde van niet-verhandelbare activa die een toelaatbare zekerheid voor normale liquiditeitsoperaties van de centrale bank vormen waartoe de instelling direct toegang heeft op haar consolidatieniveau.</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Voor activa in een valuta die in de bijlage bij Uitvoeringsverordening (EU) 2015/233 van de Commissie</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is opgenomen als valuta waarvoor de centrale bank zeer nauw omschreven toelaatbaarheidscriteria hanteert, laten de instellingen dit veld open. Effecten en effectenstromen uit andere verhandelbare activa in de vorm van intragroepuitgiften of eigen uitgiften worden niet in de neutraliserende capaciteit gerapporteerd. Desondanks worden kasstromen in verband met dergelijke activa in het desbetreffende deel van afdeling 1 en 2 van de template gerapporteerd.</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Ongebruikte ontvangen gecommitteerde faciliteiten</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Totaalbedrag van de ongebruikte gecommitteerde faciliteiten die aan de rapporterende instelling zijn toegekend.</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Daartoe behoren contractueel onherroepbare faciliteiten. De instellingen rapporteren een verminderd bedrag wanneer de potentiële behoeften aan zekerheden om deze faciliteiten te gebruiken de beschikbaarheid van zekerheden overstijgen.</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Om dubbeltelling te vermijden, worden faciliteiten niet gerapporteerd in rij 1000 indien de rapporterende instelling voor een niet-gebruikte faciliteit reeds activa als zekerheid heeft geplaatst en de activa reeds heeft gerapporteerd in de rijen 730 tot en met 990. Hetzelfde geldt voor gevallen waarin de rapporterende instelling misschien activa als zekerheid moet plaatsen om op te nemen als in dit veld gerapporteerd.</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Faciliteiten van niveau 1</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1000 gerapporteerde bedrag dat een faciliteit van de centrale bank is in de zin van artikel 19, lid 1, punt b), van Gedelegeerde Verordening (EU)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Faciliteiten voor beperkt gebruik van niveau 2B</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1000 gerapporteerde bedrag dat betrekking heeft op faciliteiten in de zin van artikel 14 van Gedelegeerde Verordening (EU)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IPS-faciliteiten van niveau 2B</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1000 gerapporteerde bedrag dat liquiditeitsfinanciering is in de zin van artikel 16, lid 2, van Gedelegeerde Verordening (EU)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andere faciliteiten</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1000 gerapporteerde bedrag dat niet in de rijen 1010 tot en met 1030 is opgenomen.</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van tegenpartijen binnen een groep</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1040 gerapporteerde bedrag waarbij de tegenpartij de moederinstelling of een dochter is van de kredietinstelling of een andere dochterinstelling van dezelfde moederinstelling of met de kredietinstelling verbonden door een betrekking in de zin van artikel 12, lid 1, van Richtlijn 83/349/EEG, of een lid van hetzelfde institutionele protectiestelsel, als bedoeld in artikel 113, lid 7, van Verordening (EU) nr. 575/2013, of de centrale instelling of een aangesloten instelling van een netwerk of coöperatieve groep als bedoeld in artikel 10 van Verordening (EU) nr.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van andere tegenpartijen</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Het in rij 1040 gerapporteerde bedrag dat niet in rij 1050 is opgenomen.</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Netto wijziging van de neutraliserende capaciteit</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Hier rapporteert men de netto wijziging van blootstellingen als bedoeld in de posten 3.2, 3.3, 3.4 en 3.5, 3.6, 3.7 en 3.8 aan respectievelijk centrale banken, effectenstromen en toegezegde kredietlijnen in een bepaald tijdsinterval.</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Gecumuleerde neutraliserende capaciteit</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Gecumuleerd bedrag van de neutraliserende capaciteit vanaf de rapportagedatum tot aan de bovengrens van een relevant tijdsinterval.</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VOORWAARDELIJKE UITSTROMEN</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 rubriek “voorwaardelijke uitstromen” van de looptijdklassen bevat informatie over voorwaardelijke uitstromen.</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Uitstromen uit hoofde van gecommitteerde faciliteiten</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Kasuitstromen die voortvloeien uit gecommitteerde faciliteiten.</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instellingen rapporteren het maximumbedrag dat in een bepaalde periode kan worden opgenomen als uitstroom. Voor doorlopende kredietfaciliteiten wordt alleen het bedrag boven de bestaande lening gerapporteerd.</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Gecommitteerde kredietfaciliteiten</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1090 gerapporteerde bedrag dat voortvloeit uit gecommitteerde kredietfaciliteiten overeenkomstig artikel 31 van Gedelegeerde Verordening (EU)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door de ontvanger als niveau 2B beschouwd</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1100 gerapporteerde bedrag dat als liquiditeitsfinanciering in de zin van artikel 16, lid 2, van Gedelegeerde Verordening (EU) 2015/61 wordt beschouwd.</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andere</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1100 gerapporteerde bedrag dat niet in rij 1110 is opgenomen.</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Liquiditeitsfaciliteiten</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Het in rij 1090 gerapporteerde bedrag dat voortvloeit uit liquiditeitsfaciliteiten overeenkomstig artikel 31 van Gedelegeerde Verordening (EU)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Uitstromen als gevolg van verlagingstriggers</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Instellingen rapporteren hier het effect van een wezenlijke verslechtering van hun kredietkwaliteit die een verlaging van hun externe kredietbeoordeling met ten minste drie stappen inhoudt.</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Positieve bedragen vertegenwoordigen voorwaardelijke uitstromen en negatieve bedragen vertegenwoordigen een verlaging van de oorspronkelijke verplichting.</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Als het effect van de verlaging een vervroegde aflossing van uitstaande verplichtingen is, worden de desbetreffende verplichtingen gerapporteerd met een minteken in een looptijdklasse waar zij in post 1 worden gerapporteerd en tegelijkertijd met een plusteken in een looptijdklasse wanneer de verplichting verschuldigd wordt, indien de effecten van de verlaging op de rapportagedatum van toepassing worden.</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Als het effect van de verlaging een margeopvraging is, wordt de marktwaarde van de te stellen zekerheid gerapporteerd met een plusteken in een looptijdklasse wanneer de opvraging verschuldigd wordt, indien de effecten van de verlaging op de rapportagedatum van toepassing worden.</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Als het effect van de verlaging een verandering is van de rechten tot herbelening van de effecten die van tegenpartijen als zekerheden ontvangen zijn, wordt de marktwaarde van de betrokken effecten gerapporteerd met een plusteken in een looptijdklasse wanneer de effecten niet langer beschikbaar zijn voor de rapporterende instelling, indien de effecten van de verlaging op de rapportagedatum van toepassing worden.</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PRO-MEMORIEPOSTEN</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Intragroeps- of IPS-uitstromen (met uitsluiting van valutaswaps)</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som van de in de rijen 010, 060, 260, 360, en 370 gerapporteerde uitstromen waarbij de tegenpartij de moederinstelling of een dochter is van de kredietinstelling of een andere dochterinstelling van dezelfde moederinstelling of met de kredietinstelling verbonden door een betrekking in de zin van artikel 12, lid 1, van Richtlijn 83/349/EEG, of een lid van hetzelfde institutionele protectiestelsel, als bedoeld in artikel 113, lid 7, van Verordening (EU) nr. 575/2013, of de centrale instelling of een aangesloten instelling van een netwerk of coöperatieve groep als bedoeld in artikel 10 van Verordening (EU) nr.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Intragroeps- of IPS-instromen (met uitsluiting van valutaswaps en vervallende effecten)</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som van de in de rijen 390, 590, 670 en 690 gerapporteerde instromen waarbij de tegenpartij de moederinstelling of een dochter is van de kredietinstelling of een andere dochterinstelling van dezelfde moederinstelling of met de kredietinstelling verbonden door een betrekking in de zin van artikel 12, lid 1, van Richtlijn 83/349/EEG, of een lid van hetzelfde institutionele protectiestelsel, als bedoeld in artikel 113, lid 7, van Verordening (EU) nr. 575/2013, of de centrale instelling of een aangesloten instelling van een netwerk of coöperatieve groep als bedoeld in artikel 10 van Verordening (EU) nr.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Intragroeps- of IPS-instromen uit hoofde van vervallende effecten</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som van de instromen in rij 680 waarbij de tegenpartij de moederinstelling of een dochter is van de kredietinstelling of een andere dochterinstelling van dezelfde moederinstelling of met de kredietinstelling verbonden door een betrekking in de zin van artikel 12, lid 1, van Richtlijn 83/349/EEG, of een lid van hetzelfde institutionele protectiestelsel, als bedoeld in artikel 113, lid 7, van Verordening (EU) nr. 575/2013, of de centrale instelling of een aangesloten instelling van een netwerk of coöperatieve groep als bedoeld in artikel 10 van Verordening (EU) nr.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Bij centrale banken beleenbare liquide activa van hoge kwaliteit</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som van de in de rijen 750, 820 en 860 gerapporteerde bedragen die een toelaatbare zekerheid voor normale liquiditeitsoperaties van de centrale bank vormen waartoe de instelling direct toegang heeft op haar consolidatieniveau.</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Voor activa in een valuta die in de bijlage bij Verordening (EU) 2015/233 is opgenomen als valuta waarvoor de centrale bank zeer nauw omschreven toelaatbaarheidscriteria hanteert, laten de instellingen dit veld open.</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Bij centrale banken beleenbare niet-liquide activa van hoge kwaliteit</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De som van:</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het in rij 920 gerapporteerde totaalbedrag dat een toelaatbare zekerheid voor normale liquiditeitsoperaties van de centrale bank vormt waartoe de instelling direct toegang heeft op haar consolidatieniveau.</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ìi) de eigen uitgiften die een toelaatbare zekerheid voor normale liquiditeitsoperaties van de centrale bank vormen waartoe de instelling direct toegang heeft op haar consolidatieniveau.</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Voor activa in een valuta die in Verordening (EU) 2015/233 is opgenomen als valuta waarvoor de centrale bank zeer nauw omschreven toelaatbaarheidscriteria hanteert, laten de instellingen dit veld open.</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Gedragsgebaseerde uitstromen van deposito's</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Het in rij 260 gerapporteerde bedrag opnieuw verdeeld over de tijdsintervallen volgens de gedragsgebaseerde looptijd op basis van de gebruikelijke gang van zaken die ten behoeve van het liquiditeitenrisicobeheer van de rapporterende instelling wordt gebruikt.</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Gebruikelijke gang van zaken betekent in dit verband een situatie waarin ervan wordt uitgegaan dat geen liquiditeitsstress optreedt.</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verdeling weerspiegelt de starheid van de deposito's.</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Deze post houdt geen rekening met hypotheses uit het ondernemingsplan en bevat dus geen informatie in verband met nieuwe bedrijfsactiviteiten.</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toewijzing aan de tijdsintervallen geschiedt volgens de granulariteit die voor interne doeleinden wordt gehanteerd. Niet alle tijdsintervallen behoeven dus te worden ingevuld.</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Gedragsgebaseerde instromen van leningen en voorschotten</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Het in rij 590 gerapporteerde bedrag opnieuw verdeeld over de tijdsintervallen volgens de gedragsgebaseerde looptijd op basis van de gebruikelijke gang van zaken die ten behoeve van het liquiditeitenrisicobeheer van de rapporterende instelling wordt gebruikt.</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Gebruikelijke gang van zaken betekent in dit verband een situatie waarin ervan wordt uitgegaan dat geen liquiditeitsstress optreedt.</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Deze post houdt geen rekening met hypotheses uit het ondernemingsplan en dus ook niet met nieuwe bedrijfsactiviteiten.</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toewijzing aan de tijdsintervallen geschiedt volgens de granulariteit die voor interne doeleinden wordt gehanteerd. Het is dus niet noodzakelijk alle tijdsintervallen in te vullen.</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Gedragsgebaseerde opvragingen van gecommitteerde faciliteiten</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Het in rij 1090 gerapporteerde bedrag opnieuw verdeeld over de tijdsintervallen volgens het gedragsgebaseerde niveau van de opvragingen op basis van de gebruikelijke gang van zaken die ten behoeve van het liquiditeitenrisicobeheer van de rapporterende instelling wordt gebruikt.</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Gebruikelijke gang van zaken betekent in dit verband een situatie waarin ervan wordt uitgegaan dat geen liquiditeitsstress optreedt.</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Deze post houdt geen rekening met hypotheses uit het ondernemingsplan en dus ook niet met nieuwe bedrijfsactiviteiten.</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 toewijzing aan de tijdsintervallen geschiedt volgens de granulariteit die voor interne doeleinden wordt gehanteerd. Niet alle tijdsintervallen behoeven dus te worden ingevuld.</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70F72B3C" w:rsidR="00FF6A85" w:rsidRDefault="00FF6A85">
        <w:pPr>
          <w:pStyle w:val="Footer"/>
          <w:jc w:val="right"/>
        </w:pPr>
        <w:r>
          <w:fldChar w:fldCharType="begin"/>
        </w:r>
        <w:r>
          <w:instrText xml:space="preserve"> PAGE   \* MERGEFORMAT </w:instrText>
        </w:r>
        <w:r>
          <w:fldChar w:fldCharType="separate"/>
        </w:r>
        <w:r w:rsidR="001B1426">
          <w:rPr>
            <w:noProof/>
          </w:rPr>
          <w:t>20</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http://eur-lex.europa.eu/legal-content/NL/TXT/?uri=CELEX%3A32015R0233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26"/>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4199"/>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nl-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nl-NL"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nl-NL"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NL/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028C85-540A-4423-B58B-A551CAAC1E1C}">
  <ds:schemaRefs>
    <ds:schemaRef ds:uri="http://schemas.openxmlformats.org/officeDocument/2006/bibliography"/>
  </ds:schemaRefs>
</ds:datastoreItem>
</file>

<file path=customXml/itemProps2.xml><?xml version="1.0" encoding="utf-8"?>
<ds:datastoreItem xmlns:ds="http://schemas.openxmlformats.org/officeDocument/2006/customXml" ds:itemID="{39655060-EFD5-4E44-9155-0F0A205DD34C}">
  <ds:schemaRefs>
    <ds:schemaRef ds:uri="http://schemas.openxmlformats.org/officeDocument/2006/bibliography"/>
  </ds:schemaRefs>
</ds:datastoreItem>
</file>

<file path=customXml/itemProps3.xml><?xml version="1.0" encoding="utf-8"?>
<ds:datastoreItem xmlns:ds="http://schemas.openxmlformats.org/officeDocument/2006/customXml" ds:itemID="{5A18BB5A-5CB4-40FE-8591-417AD7515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7802</Words>
  <Characters>48104</Characters>
  <Application>Microsoft Office Word</Application>
  <DocSecurity>0</DocSecurity>
  <Lines>1072</Lines>
  <Paragraphs>494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55419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IDZERDA Renee (DGT)</cp:lastModifiedBy>
  <cp:revision>6</cp:revision>
  <cp:lastPrinted>2015-04-10T08:05:00Z</cp:lastPrinted>
  <dcterms:created xsi:type="dcterms:W3CDTF">2020-12-02T17:03:00Z</dcterms:created>
  <dcterms:modified xsi:type="dcterms:W3CDTF">2020-12-08T13:19:00Z</dcterms:modified>
</cp:coreProperties>
</file>