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460C1D" w14:textId="1B78311E" w:rsidR="002648B0" w:rsidRPr="00EC067D" w:rsidRDefault="002648B0" w:rsidP="00A33695">
      <w:pPr>
        <w:jc w:val="center"/>
        <w:rPr>
          <w:rFonts w:ascii="Times New Roman" w:hAnsi="Times New Roman"/>
          <w:sz w:val="24"/>
        </w:rPr>
      </w:pPr>
      <w:bookmarkStart w:id="0" w:name="_Toc262568021"/>
      <w:bookmarkStart w:id="1" w:name="_Toc295829847"/>
      <w:r>
        <w:rPr>
          <w:rFonts w:ascii="Times New Roman" w:hAnsi="Times New Roman"/>
          <w:sz w:val="24"/>
        </w:rPr>
        <w:t>PRILOG XXVII.</w:t>
      </w:r>
    </w:p>
    <w:p w14:paraId="644BA8AC" w14:textId="243A90EC" w:rsidR="002648B0" w:rsidRPr="00EC067D" w:rsidRDefault="002648B0" w:rsidP="00C87CEE">
      <w:pPr>
        <w:jc w:val="center"/>
        <w:rPr>
          <w:rFonts w:ascii="Times New Roman" w:hAnsi="Times New Roman"/>
          <w:b/>
          <w:sz w:val="24"/>
        </w:rPr>
      </w:pPr>
      <w:r>
        <w:rPr>
          <w:rFonts w:ascii="Times New Roman" w:hAnsi="Times New Roman"/>
          <w:b/>
          <w:sz w:val="24"/>
        </w:rPr>
        <w:t xml:space="preserve">UPUTE ZA IZVJEŠĆIVANJE ZA POTREBE UTVRĐIVANJA I DODJELE STOPA ZAŠTITNOG SLOJA ZA GSV INSTITUCIJE </w:t>
      </w:r>
    </w:p>
    <w:p w14:paraId="4592BD27" w14:textId="77777777" w:rsidR="00436204" w:rsidRPr="00EC067D" w:rsidRDefault="00436204" w:rsidP="00C87CEE">
      <w:pPr>
        <w:jc w:val="center"/>
        <w:rPr>
          <w:rFonts w:ascii="Times New Roman" w:hAnsi="Times New Roman"/>
          <w:b/>
          <w:sz w:val="24"/>
          <w:lang w:eastAsia="de-DE"/>
        </w:rPr>
      </w:pPr>
    </w:p>
    <w:p w14:paraId="296F65E0" w14:textId="77777777" w:rsidR="00783881" w:rsidRPr="00EC067D" w:rsidRDefault="002648B0" w:rsidP="00004542">
      <w:pPr>
        <w:pStyle w:val="InstructionsText"/>
      </w:pPr>
      <w:r>
        <w:t>Sadržaj</w:t>
      </w:r>
    </w:p>
    <w:bookmarkStart w:id="2" w:name="_GoBack"/>
    <w:bookmarkEnd w:id="2"/>
    <w:p w14:paraId="0FD16BF8" w14:textId="053CDFEA" w:rsidR="00470139" w:rsidRDefault="00745369">
      <w:pPr>
        <w:pStyle w:val="TOC2"/>
        <w:rPr>
          <w:rFonts w:asciiTheme="minorHAnsi" w:eastAsiaTheme="minorEastAsia" w:hAnsiTheme="minorHAnsi" w:cstheme="minorBidi"/>
          <w:b w:val="0"/>
          <w:smallCaps w:val="0"/>
          <w:sz w:val="22"/>
          <w:lang w:eastAsia="hr-HR"/>
        </w:rPr>
      </w:pPr>
      <w:r w:rsidRPr="00EC067D">
        <w:rPr>
          <w:rFonts w:ascii="Times New Roman" w:hAnsi="Times New Roman"/>
          <w:sz w:val="24"/>
          <w:szCs w:val="24"/>
        </w:rPr>
        <w:fldChar w:fldCharType="begin"/>
      </w:r>
      <w:r w:rsidR="002648B0" w:rsidRPr="00EC067D">
        <w:rPr>
          <w:rFonts w:ascii="Times New Roman" w:hAnsi="Times New Roman"/>
          <w:sz w:val="24"/>
          <w:szCs w:val="24"/>
        </w:rPr>
        <w:instrText xml:space="preserve"> TOC \o "1-3" \h \z \u </w:instrText>
      </w:r>
      <w:r w:rsidRPr="00EC067D">
        <w:rPr>
          <w:rFonts w:ascii="Times New Roman" w:hAnsi="Times New Roman"/>
          <w:sz w:val="24"/>
          <w:szCs w:val="24"/>
        </w:rPr>
        <w:fldChar w:fldCharType="separate"/>
      </w:r>
      <w:hyperlink w:anchor="_Toc58572722" w:history="1">
        <w:r w:rsidR="00470139" w:rsidRPr="00004563">
          <w:rPr>
            <w:rStyle w:val="Hyperlink"/>
          </w:rPr>
          <w:t>DIO I.: OPĆE UPUTE</w:t>
        </w:r>
        <w:r w:rsidR="00470139">
          <w:rPr>
            <w:webHidden/>
          </w:rPr>
          <w:tab/>
        </w:r>
        <w:r w:rsidR="00470139">
          <w:rPr>
            <w:webHidden/>
          </w:rPr>
          <w:fldChar w:fldCharType="begin"/>
        </w:r>
        <w:r w:rsidR="00470139">
          <w:rPr>
            <w:webHidden/>
          </w:rPr>
          <w:instrText xml:space="preserve"> PAGEREF _Toc58572722 \h </w:instrText>
        </w:r>
        <w:r w:rsidR="00470139">
          <w:rPr>
            <w:webHidden/>
          </w:rPr>
        </w:r>
        <w:r w:rsidR="00470139">
          <w:rPr>
            <w:webHidden/>
          </w:rPr>
          <w:fldChar w:fldCharType="separate"/>
        </w:r>
        <w:r w:rsidR="00470139">
          <w:rPr>
            <w:webHidden/>
          </w:rPr>
          <w:t>2</w:t>
        </w:r>
        <w:r w:rsidR="00470139">
          <w:rPr>
            <w:webHidden/>
          </w:rPr>
          <w:fldChar w:fldCharType="end"/>
        </w:r>
      </w:hyperlink>
    </w:p>
    <w:p w14:paraId="7027CD93" w14:textId="04BCCF34" w:rsidR="00470139" w:rsidRDefault="00470139">
      <w:pPr>
        <w:pStyle w:val="TOC2"/>
        <w:rPr>
          <w:rFonts w:asciiTheme="minorHAnsi" w:eastAsiaTheme="minorEastAsia" w:hAnsiTheme="minorHAnsi" w:cstheme="minorBidi"/>
          <w:b w:val="0"/>
          <w:smallCaps w:val="0"/>
          <w:sz w:val="22"/>
          <w:lang w:eastAsia="hr-HR"/>
        </w:rPr>
      </w:pPr>
      <w:hyperlink w:anchor="_Toc58572723" w:history="1">
        <w:r w:rsidRPr="00004563">
          <w:rPr>
            <w:rStyle w:val="Hyperlink"/>
          </w:rPr>
          <w:t>1.1</w:t>
        </w:r>
        <w:r>
          <w:rPr>
            <w:rFonts w:asciiTheme="minorHAnsi" w:eastAsiaTheme="minorEastAsia" w:hAnsiTheme="minorHAnsi" w:cstheme="minorBidi"/>
            <w:b w:val="0"/>
            <w:smallCaps w:val="0"/>
            <w:sz w:val="22"/>
            <w:lang w:eastAsia="hr-HR"/>
          </w:rPr>
          <w:tab/>
        </w:r>
        <w:r w:rsidRPr="00004563">
          <w:rPr>
            <w:rStyle w:val="Hyperlink"/>
          </w:rPr>
          <w:t>1. Struktura i pravila</w:t>
        </w:r>
        <w:r>
          <w:rPr>
            <w:webHidden/>
          </w:rPr>
          <w:tab/>
        </w:r>
        <w:r>
          <w:rPr>
            <w:webHidden/>
          </w:rPr>
          <w:fldChar w:fldCharType="begin"/>
        </w:r>
        <w:r>
          <w:rPr>
            <w:webHidden/>
          </w:rPr>
          <w:instrText xml:space="preserve"> PAGEREF _Toc58572723 \h </w:instrText>
        </w:r>
        <w:r>
          <w:rPr>
            <w:webHidden/>
          </w:rPr>
        </w:r>
        <w:r>
          <w:rPr>
            <w:webHidden/>
          </w:rPr>
          <w:fldChar w:fldCharType="separate"/>
        </w:r>
        <w:r>
          <w:rPr>
            <w:webHidden/>
          </w:rPr>
          <w:t>2</w:t>
        </w:r>
        <w:r>
          <w:rPr>
            <w:webHidden/>
          </w:rPr>
          <w:fldChar w:fldCharType="end"/>
        </w:r>
      </w:hyperlink>
    </w:p>
    <w:p w14:paraId="4206815B" w14:textId="65E38CF9" w:rsidR="00470139" w:rsidRDefault="00470139">
      <w:pPr>
        <w:pStyle w:val="TOC2"/>
        <w:rPr>
          <w:rFonts w:asciiTheme="minorHAnsi" w:eastAsiaTheme="minorEastAsia" w:hAnsiTheme="minorHAnsi" w:cstheme="minorBidi"/>
          <w:b w:val="0"/>
          <w:smallCaps w:val="0"/>
          <w:sz w:val="22"/>
          <w:lang w:eastAsia="hr-HR"/>
        </w:rPr>
      </w:pPr>
      <w:hyperlink w:anchor="_Toc58572724" w:history="1">
        <w:r w:rsidRPr="00004563">
          <w:rPr>
            <w:rStyle w:val="Hyperlink"/>
          </w:rPr>
          <w:t>2.1</w:t>
        </w:r>
        <w:r>
          <w:rPr>
            <w:rFonts w:asciiTheme="minorHAnsi" w:eastAsiaTheme="minorEastAsia" w:hAnsiTheme="minorHAnsi" w:cstheme="minorBidi"/>
            <w:b w:val="0"/>
            <w:smallCaps w:val="0"/>
            <w:sz w:val="22"/>
            <w:lang w:eastAsia="hr-HR"/>
          </w:rPr>
          <w:tab/>
        </w:r>
        <w:r w:rsidRPr="00004563">
          <w:rPr>
            <w:rStyle w:val="Hyperlink"/>
          </w:rPr>
          <w:t>1.1. Struktura</w:t>
        </w:r>
        <w:r>
          <w:rPr>
            <w:webHidden/>
          </w:rPr>
          <w:tab/>
        </w:r>
        <w:r>
          <w:rPr>
            <w:webHidden/>
          </w:rPr>
          <w:fldChar w:fldCharType="begin"/>
        </w:r>
        <w:r>
          <w:rPr>
            <w:webHidden/>
          </w:rPr>
          <w:instrText xml:space="preserve"> PAGEREF _Toc58572724 \h </w:instrText>
        </w:r>
        <w:r>
          <w:rPr>
            <w:webHidden/>
          </w:rPr>
        </w:r>
        <w:r>
          <w:rPr>
            <w:webHidden/>
          </w:rPr>
          <w:fldChar w:fldCharType="separate"/>
        </w:r>
        <w:r>
          <w:rPr>
            <w:webHidden/>
          </w:rPr>
          <w:t>2</w:t>
        </w:r>
        <w:r>
          <w:rPr>
            <w:webHidden/>
          </w:rPr>
          <w:fldChar w:fldCharType="end"/>
        </w:r>
      </w:hyperlink>
    </w:p>
    <w:p w14:paraId="0E9D4AC4" w14:textId="6080BAB4" w:rsidR="00470139" w:rsidRDefault="00470139">
      <w:pPr>
        <w:pStyle w:val="TOC2"/>
        <w:rPr>
          <w:rFonts w:asciiTheme="minorHAnsi" w:eastAsiaTheme="minorEastAsia" w:hAnsiTheme="minorHAnsi" w:cstheme="minorBidi"/>
          <w:b w:val="0"/>
          <w:smallCaps w:val="0"/>
          <w:sz w:val="22"/>
          <w:lang w:eastAsia="hr-HR"/>
        </w:rPr>
      </w:pPr>
      <w:hyperlink w:anchor="_Toc58572725" w:history="1">
        <w:r w:rsidRPr="00004563">
          <w:rPr>
            <w:rStyle w:val="Hyperlink"/>
          </w:rPr>
          <w:t>3.1</w:t>
        </w:r>
        <w:r>
          <w:rPr>
            <w:rFonts w:asciiTheme="minorHAnsi" w:eastAsiaTheme="minorEastAsia" w:hAnsiTheme="minorHAnsi" w:cstheme="minorBidi"/>
            <w:b w:val="0"/>
            <w:smallCaps w:val="0"/>
            <w:sz w:val="22"/>
            <w:lang w:eastAsia="hr-HR"/>
          </w:rPr>
          <w:tab/>
        </w:r>
        <w:r w:rsidRPr="00004563">
          <w:rPr>
            <w:rStyle w:val="Hyperlink"/>
          </w:rPr>
          <w:t>1.2. Pravila označivanja brojevima</w:t>
        </w:r>
        <w:r>
          <w:rPr>
            <w:webHidden/>
          </w:rPr>
          <w:tab/>
        </w:r>
        <w:r>
          <w:rPr>
            <w:webHidden/>
          </w:rPr>
          <w:fldChar w:fldCharType="begin"/>
        </w:r>
        <w:r>
          <w:rPr>
            <w:webHidden/>
          </w:rPr>
          <w:instrText xml:space="preserve"> PAGEREF _Toc58572725 \h </w:instrText>
        </w:r>
        <w:r>
          <w:rPr>
            <w:webHidden/>
          </w:rPr>
        </w:r>
        <w:r>
          <w:rPr>
            <w:webHidden/>
          </w:rPr>
          <w:fldChar w:fldCharType="separate"/>
        </w:r>
        <w:r>
          <w:rPr>
            <w:webHidden/>
          </w:rPr>
          <w:t>2</w:t>
        </w:r>
        <w:r>
          <w:rPr>
            <w:webHidden/>
          </w:rPr>
          <w:fldChar w:fldCharType="end"/>
        </w:r>
      </w:hyperlink>
    </w:p>
    <w:p w14:paraId="4349F85A" w14:textId="5B184D33" w:rsidR="00470139" w:rsidRDefault="00470139">
      <w:pPr>
        <w:pStyle w:val="TOC2"/>
        <w:rPr>
          <w:rFonts w:asciiTheme="minorHAnsi" w:eastAsiaTheme="minorEastAsia" w:hAnsiTheme="minorHAnsi" w:cstheme="minorBidi"/>
          <w:b w:val="0"/>
          <w:smallCaps w:val="0"/>
          <w:sz w:val="22"/>
          <w:lang w:eastAsia="hr-HR"/>
        </w:rPr>
      </w:pPr>
      <w:hyperlink w:anchor="_Toc58572726" w:history="1">
        <w:r w:rsidRPr="00004563">
          <w:rPr>
            <w:rStyle w:val="Hyperlink"/>
          </w:rPr>
          <w:t>4.1</w:t>
        </w:r>
        <w:r>
          <w:rPr>
            <w:rFonts w:asciiTheme="minorHAnsi" w:eastAsiaTheme="minorEastAsia" w:hAnsiTheme="minorHAnsi" w:cstheme="minorBidi"/>
            <w:b w:val="0"/>
            <w:smallCaps w:val="0"/>
            <w:sz w:val="22"/>
            <w:lang w:eastAsia="hr-HR"/>
          </w:rPr>
          <w:tab/>
        </w:r>
        <w:r w:rsidRPr="00004563">
          <w:rPr>
            <w:rStyle w:val="Hyperlink"/>
          </w:rPr>
          <w:t>1.3. Pravilo o predznaku</w:t>
        </w:r>
        <w:r>
          <w:rPr>
            <w:webHidden/>
          </w:rPr>
          <w:tab/>
        </w:r>
        <w:r>
          <w:rPr>
            <w:webHidden/>
          </w:rPr>
          <w:fldChar w:fldCharType="begin"/>
        </w:r>
        <w:r>
          <w:rPr>
            <w:webHidden/>
          </w:rPr>
          <w:instrText xml:space="preserve"> PAGEREF _Toc58572726 \h </w:instrText>
        </w:r>
        <w:r>
          <w:rPr>
            <w:webHidden/>
          </w:rPr>
        </w:r>
        <w:r>
          <w:rPr>
            <w:webHidden/>
          </w:rPr>
          <w:fldChar w:fldCharType="separate"/>
        </w:r>
        <w:r>
          <w:rPr>
            <w:webHidden/>
          </w:rPr>
          <w:t>2</w:t>
        </w:r>
        <w:r>
          <w:rPr>
            <w:webHidden/>
          </w:rPr>
          <w:fldChar w:fldCharType="end"/>
        </w:r>
      </w:hyperlink>
    </w:p>
    <w:p w14:paraId="07C9628D" w14:textId="213466AA" w:rsidR="00470139" w:rsidRDefault="00470139">
      <w:pPr>
        <w:pStyle w:val="TOC2"/>
        <w:rPr>
          <w:rFonts w:asciiTheme="minorHAnsi" w:eastAsiaTheme="minorEastAsia" w:hAnsiTheme="minorHAnsi" w:cstheme="minorBidi"/>
          <w:b w:val="0"/>
          <w:smallCaps w:val="0"/>
          <w:sz w:val="22"/>
          <w:lang w:eastAsia="hr-HR"/>
        </w:rPr>
      </w:pPr>
      <w:hyperlink w:anchor="_Toc58572727" w:history="1">
        <w:r w:rsidRPr="00004563">
          <w:rPr>
            <w:rStyle w:val="Hyperlink"/>
          </w:rPr>
          <w:t>5.1</w:t>
        </w:r>
        <w:r>
          <w:rPr>
            <w:rFonts w:asciiTheme="minorHAnsi" w:eastAsiaTheme="minorEastAsia" w:hAnsiTheme="minorHAnsi" w:cstheme="minorBidi"/>
            <w:b w:val="0"/>
            <w:smallCaps w:val="0"/>
            <w:sz w:val="22"/>
            <w:lang w:eastAsia="hr-HR"/>
          </w:rPr>
          <w:tab/>
        </w:r>
        <w:r w:rsidRPr="00004563">
          <w:rPr>
            <w:rStyle w:val="Hyperlink"/>
          </w:rPr>
          <w:t>1.4. Pokrate</w:t>
        </w:r>
        <w:r>
          <w:rPr>
            <w:webHidden/>
          </w:rPr>
          <w:tab/>
        </w:r>
        <w:r>
          <w:rPr>
            <w:webHidden/>
          </w:rPr>
          <w:fldChar w:fldCharType="begin"/>
        </w:r>
        <w:r>
          <w:rPr>
            <w:webHidden/>
          </w:rPr>
          <w:instrText xml:space="preserve"> PAGEREF _Toc58572727 \h </w:instrText>
        </w:r>
        <w:r>
          <w:rPr>
            <w:webHidden/>
          </w:rPr>
        </w:r>
        <w:r>
          <w:rPr>
            <w:webHidden/>
          </w:rPr>
          <w:fldChar w:fldCharType="separate"/>
        </w:r>
        <w:r>
          <w:rPr>
            <w:webHidden/>
          </w:rPr>
          <w:t>2</w:t>
        </w:r>
        <w:r>
          <w:rPr>
            <w:webHidden/>
          </w:rPr>
          <w:fldChar w:fldCharType="end"/>
        </w:r>
      </w:hyperlink>
    </w:p>
    <w:p w14:paraId="53D66422" w14:textId="191079F5" w:rsidR="00470139" w:rsidRDefault="00470139">
      <w:pPr>
        <w:pStyle w:val="TOC2"/>
        <w:rPr>
          <w:rFonts w:asciiTheme="minorHAnsi" w:eastAsiaTheme="minorEastAsia" w:hAnsiTheme="minorHAnsi" w:cstheme="minorBidi"/>
          <w:b w:val="0"/>
          <w:smallCaps w:val="0"/>
          <w:sz w:val="22"/>
          <w:lang w:eastAsia="hr-HR"/>
        </w:rPr>
      </w:pPr>
      <w:hyperlink w:anchor="_Toc58572728" w:history="1">
        <w:r w:rsidRPr="00004563">
          <w:rPr>
            <w:rStyle w:val="Hyperlink"/>
          </w:rPr>
          <w:t>DIO II.: UPUTE ZA OBRAZAC</w:t>
        </w:r>
        <w:r>
          <w:rPr>
            <w:webHidden/>
          </w:rPr>
          <w:tab/>
        </w:r>
        <w:r>
          <w:rPr>
            <w:webHidden/>
          </w:rPr>
          <w:fldChar w:fldCharType="begin"/>
        </w:r>
        <w:r>
          <w:rPr>
            <w:webHidden/>
          </w:rPr>
          <w:instrText xml:space="preserve"> PAGEREF _Toc58572728 \h </w:instrText>
        </w:r>
        <w:r>
          <w:rPr>
            <w:webHidden/>
          </w:rPr>
        </w:r>
        <w:r>
          <w:rPr>
            <w:webHidden/>
          </w:rPr>
          <w:fldChar w:fldCharType="separate"/>
        </w:r>
        <w:r>
          <w:rPr>
            <w:webHidden/>
          </w:rPr>
          <w:t>3</w:t>
        </w:r>
        <w:r>
          <w:rPr>
            <w:webHidden/>
          </w:rPr>
          <w:fldChar w:fldCharType="end"/>
        </w:r>
      </w:hyperlink>
    </w:p>
    <w:p w14:paraId="62CC4CEF" w14:textId="68A7834F" w:rsidR="00470139" w:rsidRDefault="00470139">
      <w:pPr>
        <w:pStyle w:val="TOC2"/>
        <w:rPr>
          <w:rFonts w:asciiTheme="minorHAnsi" w:eastAsiaTheme="minorEastAsia" w:hAnsiTheme="minorHAnsi" w:cstheme="minorBidi"/>
          <w:b w:val="0"/>
          <w:smallCaps w:val="0"/>
          <w:sz w:val="22"/>
          <w:lang w:eastAsia="hr-HR"/>
        </w:rPr>
      </w:pPr>
      <w:hyperlink w:anchor="_Toc58572729" w:history="1">
        <w:r w:rsidRPr="00004563">
          <w:rPr>
            <w:rStyle w:val="Hyperlink"/>
          </w:rPr>
          <w:t>6.1</w:t>
        </w:r>
        <w:r>
          <w:rPr>
            <w:rFonts w:asciiTheme="minorHAnsi" w:eastAsiaTheme="minorEastAsia" w:hAnsiTheme="minorHAnsi" w:cstheme="minorBidi"/>
            <w:b w:val="0"/>
            <w:smallCaps w:val="0"/>
            <w:sz w:val="22"/>
            <w:lang w:eastAsia="hr-HR"/>
          </w:rPr>
          <w:tab/>
        </w:r>
        <w:r w:rsidRPr="00004563">
          <w:rPr>
            <w:rStyle w:val="Hyperlink"/>
          </w:rPr>
          <w:t>1. Opće napomene</w:t>
        </w:r>
        <w:r>
          <w:rPr>
            <w:webHidden/>
          </w:rPr>
          <w:tab/>
        </w:r>
        <w:r>
          <w:rPr>
            <w:webHidden/>
          </w:rPr>
          <w:fldChar w:fldCharType="begin"/>
        </w:r>
        <w:r>
          <w:rPr>
            <w:webHidden/>
          </w:rPr>
          <w:instrText xml:space="preserve"> PAGEREF _Toc58572729 \h </w:instrText>
        </w:r>
        <w:r>
          <w:rPr>
            <w:webHidden/>
          </w:rPr>
        </w:r>
        <w:r>
          <w:rPr>
            <w:webHidden/>
          </w:rPr>
          <w:fldChar w:fldCharType="separate"/>
        </w:r>
        <w:r>
          <w:rPr>
            <w:webHidden/>
          </w:rPr>
          <w:t>3</w:t>
        </w:r>
        <w:r>
          <w:rPr>
            <w:webHidden/>
          </w:rPr>
          <w:fldChar w:fldCharType="end"/>
        </w:r>
      </w:hyperlink>
    </w:p>
    <w:p w14:paraId="52B04BD5" w14:textId="2D881D00" w:rsidR="00470139" w:rsidRDefault="00470139">
      <w:pPr>
        <w:pStyle w:val="TOC2"/>
        <w:rPr>
          <w:rFonts w:asciiTheme="minorHAnsi" w:eastAsiaTheme="minorEastAsia" w:hAnsiTheme="minorHAnsi" w:cstheme="minorBidi"/>
          <w:b w:val="0"/>
          <w:smallCaps w:val="0"/>
          <w:sz w:val="22"/>
          <w:lang w:eastAsia="hr-HR"/>
        </w:rPr>
      </w:pPr>
      <w:hyperlink w:anchor="_Toc58572730" w:history="1">
        <w:r w:rsidRPr="00004563">
          <w:rPr>
            <w:rStyle w:val="Hyperlink"/>
          </w:rPr>
          <w:t>7.1</w:t>
        </w:r>
        <w:r>
          <w:rPr>
            <w:rFonts w:asciiTheme="minorHAnsi" w:eastAsiaTheme="minorEastAsia" w:hAnsiTheme="minorHAnsi" w:cstheme="minorBidi"/>
            <w:b w:val="0"/>
            <w:smallCaps w:val="0"/>
            <w:sz w:val="22"/>
            <w:lang w:eastAsia="hr-HR"/>
          </w:rPr>
          <w:tab/>
        </w:r>
        <w:r w:rsidRPr="00004563">
          <w:rPr>
            <w:rStyle w:val="Hyperlink"/>
          </w:rPr>
          <w:t>2. Upute za specifične pozicije</w:t>
        </w:r>
        <w:r>
          <w:rPr>
            <w:webHidden/>
          </w:rPr>
          <w:tab/>
        </w:r>
        <w:r>
          <w:rPr>
            <w:webHidden/>
          </w:rPr>
          <w:fldChar w:fldCharType="begin"/>
        </w:r>
        <w:r>
          <w:rPr>
            <w:webHidden/>
          </w:rPr>
          <w:instrText xml:space="preserve"> PAGEREF _Toc58572730 \h </w:instrText>
        </w:r>
        <w:r>
          <w:rPr>
            <w:webHidden/>
          </w:rPr>
        </w:r>
        <w:r>
          <w:rPr>
            <w:webHidden/>
          </w:rPr>
          <w:fldChar w:fldCharType="separate"/>
        </w:r>
        <w:r>
          <w:rPr>
            <w:webHidden/>
          </w:rPr>
          <w:t>3</w:t>
        </w:r>
        <w:r>
          <w:rPr>
            <w:webHidden/>
          </w:rPr>
          <w:fldChar w:fldCharType="end"/>
        </w:r>
      </w:hyperlink>
    </w:p>
    <w:p w14:paraId="7AC7042C" w14:textId="6771B248" w:rsidR="002648B0" w:rsidRPr="00EC067D" w:rsidRDefault="00745369" w:rsidP="00005FFC">
      <w:pPr>
        <w:rPr>
          <w:rFonts w:ascii="Times New Roman" w:hAnsi="Times New Roman"/>
          <w:sz w:val="24"/>
        </w:rPr>
        <w:sectPr w:rsidR="002648B0" w:rsidRPr="00EC067D" w:rsidSect="004D4419">
          <w:footerReference w:type="default" r:id="rId8"/>
          <w:footerReference w:type="first" r:id="rId9"/>
          <w:endnotePr>
            <w:numFmt w:val="decimal"/>
          </w:endnotePr>
          <w:type w:val="continuous"/>
          <w:pgSz w:w="11906" w:h="16838"/>
          <w:pgMar w:top="1417" w:right="1417" w:bottom="1134" w:left="1417" w:header="708" w:footer="708" w:gutter="0"/>
          <w:cols w:space="708"/>
          <w:titlePg/>
          <w:docGrid w:linePitch="360"/>
        </w:sectPr>
      </w:pPr>
      <w:r w:rsidRPr="00EC067D">
        <w:rPr>
          <w:rFonts w:ascii="Times New Roman" w:hAnsi="Times New Roman"/>
          <w:sz w:val="24"/>
        </w:rPr>
        <w:fldChar w:fldCharType="end"/>
      </w:r>
    </w:p>
    <w:p w14:paraId="2820F465" w14:textId="77777777" w:rsidR="002648B0" w:rsidRPr="00EC067D" w:rsidRDefault="002648B0" w:rsidP="00EC067D">
      <w:pPr>
        <w:pStyle w:val="Heading2"/>
      </w:pPr>
      <w:bookmarkStart w:id="3" w:name="_Toc264038394"/>
      <w:bookmarkStart w:id="4" w:name="_Toc360188317"/>
      <w:bookmarkStart w:id="5" w:name="_Toc473560865"/>
      <w:bookmarkStart w:id="6" w:name="_Toc58572722"/>
      <w:r>
        <w:lastRenderedPageBreak/>
        <w:t>DIO I.:</w:t>
      </w:r>
      <w:bookmarkEnd w:id="3"/>
      <w:r>
        <w:t xml:space="preserve"> OPĆE UPUTE</w:t>
      </w:r>
      <w:bookmarkEnd w:id="4"/>
      <w:bookmarkEnd w:id="5"/>
      <w:bookmarkEnd w:id="6"/>
    </w:p>
    <w:p w14:paraId="134C985E" w14:textId="77777777" w:rsidR="002648B0" w:rsidRPr="00EC067D" w:rsidRDefault="00125707" w:rsidP="00EC067D">
      <w:pPr>
        <w:pStyle w:val="Instructionsberschrift2"/>
        <w:rPr>
          <w:rFonts w:cs="Times New Roman"/>
          <w:sz w:val="24"/>
        </w:rPr>
      </w:pPr>
      <w:bookmarkStart w:id="7" w:name="_Toc360188318"/>
      <w:bookmarkStart w:id="8" w:name="_Toc473560866"/>
      <w:bookmarkStart w:id="9" w:name="_Toc58572723"/>
      <w:r>
        <w:rPr>
          <w:sz w:val="24"/>
        </w:rPr>
        <w:t>1.</w:t>
      </w:r>
      <w:r>
        <w:rPr>
          <w:sz w:val="24"/>
        </w:rPr>
        <w:tab/>
        <w:t>Struktura i pravila</w:t>
      </w:r>
      <w:bookmarkEnd w:id="7"/>
      <w:bookmarkEnd w:id="8"/>
      <w:bookmarkEnd w:id="9"/>
    </w:p>
    <w:p w14:paraId="7C7E012C" w14:textId="77777777" w:rsidR="002648B0" w:rsidRPr="00EC067D" w:rsidRDefault="00125707" w:rsidP="00EC067D">
      <w:pPr>
        <w:pStyle w:val="Instructionsberschrift2"/>
        <w:rPr>
          <w:rFonts w:cs="Times New Roman"/>
          <w:sz w:val="24"/>
        </w:rPr>
      </w:pPr>
      <w:bookmarkStart w:id="10" w:name="_Toc360188319"/>
      <w:bookmarkStart w:id="11" w:name="_Toc473560867"/>
      <w:bookmarkStart w:id="12" w:name="_Toc264038399"/>
      <w:bookmarkStart w:id="13" w:name="_Toc294018834"/>
      <w:bookmarkStart w:id="14" w:name="_Toc58572724"/>
      <w:r>
        <w:rPr>
          <w:sz w:val="24"/>
        </w:rPr>
        <w:t>1.1.</w:t>
      </w:r>
      <w:r>
        <w:rPr>
          <w:sz w:val="24"/>
        </w:rPr>
        <w:tab/>
        <w:t>Struktura</w:t>
      </w:r>
      <w:bookmarkEnd w:id="10"/>
      <w:bookmarkEnd w:id="11"/>
      <w:bookmarkEnd w:id="14"/>
    </w:p>
    <w:p w14:paraId="6C67B776" w14:textId="5BE94C55" w:rsidR="005643EA" w:rsidRPr="00EC067D" w:rsidRDefault="00125707" w:rsidP="00004542">
      <w:pPr>
        <w:pStyle w:val="InstructionsText2"/>
        <w:numPr>
          <w:ilvl w:val="0"/>
          <w:numId w:val="0"/>
        </w:numPr>
        <w:ind w:left="993"/>
      </w:pPr>
      <w:r>
        <w:t>1.</w:t>
      </w:r>
      <w:r>
        <w:tab/>
        <w:t>Ovaj okvir sastoji se od jednog obrasca u kojem se navode informacije o pokazateljima globalne sistemske važnosti i posebnim stavkama koje su potrebne za primjenu EU-ove metodologije za utvrđivanje globalnih sistemski važnih institucija (GSV institucije) i dodjelu odgovarajućih stopa zaštitnog sloja za GSV institucije.</w:t>
      </w:r>
    </w:p>
    <w:p w14:paraId="61F62C51" w14:textId="77777777" w:rsidR="002648B0" w:rsidRPr="00EC067D" w:rsidRDefault="00125707" w:rsidP="00EC067D">
      <w:pPr>
        <w:pStyle w:val="Instructionsberschrift2"/>
        <w:rPr>
          <w:rFonts w:cs="Times New Roman"/>
          <w:sz w:val="24"/>
        </w:rPr>
      </w:pPr>
      <w:bookmarkStart w:id="15" w:name="_Toc360188320"/>
      <w:bookmarkStart w:id="16" w:name="_Toc473560868"/>
      <w:bookmarkStart w:id="17" w:name="_Toc58572725"/>
      <w:r>
        <w:rPr>
          <w:sz w:val="24"/>
        </w:rPr>
        <w:t>1.2.</w:t>
      </w:r>
      <w:r>
        <w:rPr>
          <w:sz w:val="24"/>
        </w:rPr>
        <w:tab/>
        <w:t>Pravila označivanja brojevima</w:t>
      </w:r>
      <w:bookmarkEnd w:id="15"/>
      <w:bookmarkEnd w:id="16"/>
      <w:bookmarkEnd w:id="17"/>
    </w:p>
    <w:p w14:paraId="3C0F0268" w14:textId="5212C39C" w:rsidR="002648B0" w:rsidRPr="00EC067D" w:rsidRDefault="006137FD" w:rsidP="00004542">
      <w:pPr>
        <w:pStyle w:val="InstructionsText2"/>
        <w:numPr>
          <w:ilvl w:val="0"/>
          <w:numId w:val="0"/>
        </w:numPr>
        <w:ind w:left="993"/>
      </w:pPr>
      <w:r>
        <w:t>2.</w:t>
      </w:r>
      <w:r>
        <w:tab/>
        <w:t>Pri upućivanju na stupce, retke i rubrike obrazaca u dokumentu se poštuju pravila označivanja iz točaka od 3. do 5. Te se brojčane oznake u velikoj mjeri koriste u pravilima validacije.</w:t>
      </w:r>
    </w:p>
    <w:p w14:paraId="26DC2799" w14:textId="2C43513E" w:rsidR="005643EA" w:rsidRPr="00EC067D" w:rsidRDefault="006137FD" w:rsidP="00004542">
      <w:pPr>
        <w:pStyle w:val="InstructionsText2"/>
        <w:numPr>
          <w:ilvl w:val="0"/>
          <w:numId w:val="0"/>
        </w:numPr>
        <w:ind w:left="993"/>
      </w:pPr>
      <w:r>
        <w:t>3.</w:t>
      </w:r>
      <w:r>
        <w:tab/>
        <w:t>U uputama se primjenjuje sljedeća opća bilješka: {obrazac; redak; stupac}.</w:t>
      </w:r>
    </w:p>
    <w:p w14:paraId="6A9F72AA" w14:textId="1B191E59" w:rsidR="005643EA" w:rsidRPr="00EC067D" w:rsidRDefault="006137FD" w:rsidP="00004542">
      <w:pPr>
        <w:pStyle w:val="InstructionsText2"/>
        <w:numPr>
          <w:ilvl w:val="0"/>
          <w:numId w:val="0"/>
        </w:numPr>
        <w:ind w:left="993"/>
      </w:pPr>
      <w:r>
        <w:t>4.</w:t>
      </w:r>
      <w:r>
        <w:tab/>
        <w:t>U slučaju upućivanja u okviru obrasca, u kojem se koriste samo podaci iz tog obrasca, u bilješkama se ne upućuje na obrazac: {redak; stupac}. U slučaju obrazaca samo s jednim stupcem upućuje se samo na {obrazac; redak}.</w:t>
      </w:r>
    </w:p>
    <w:p w14:paraId="01FECE3C" w14:textId="482B71E1" w:rsidR="002648B0" w:rsidRPr="00EC067D" w:rsidRDefault="006137FD" w:rsidP="00004542">
      <w:pPr>
        <w:pStyle w:val="InstructionsText2"/>
        <w:numPr>
          <w:ilvl w:val="0"/>
          <w:numId w:val="0"/>
        </w:numPr>
        <w:ind w:left="993"/>
      </w:pPr>
      <w:r>
        <w:t>5.</w:t>
      </w:r>
      <w:r>
        <w:tab/>
        <w:t>Znak zvjezdice koristi se kako bi se naznačilo da upućivanje obuhvaća prethodno navedene retke ili stupce.</w:t>
      </w:r>
    </w:p>
    <w:p w14:paraId="273A8B8C" w14:textId="6B3DAE3F" w:rsidR="002648B0" w:rsidRPr="00EC067D" w:rsidRDefault="00125707" w:rsidP="00EC067D">
      <w:pPr>
        <w:pStyle w:val="Instructionsberschrift2"/>
        <w:rPr>
          <w:rFonts w:cs="Times New Roman"/>
          <w:sz w:val="24"/>
        </w:rPr>
      </w:pPr>
      <w:bookmarkStart w:id="18" w:name="_Toc360188321"/>
      <w:bookmarkStart w:id="19" w:name="_Toc473560869"/>
      <w:bookmarkStart w:id="20" w:name="_Toc58572726"/>
      <w:r>
        <w:rPr>
          <w:sz w:val="24"/>
        </w:rPr>
        <w:t>1.3.</w:t>
      </w:r>
      <w:r>
        <w:rPr>
          <w:sz w:val="24"/>
        </w:rPr>
        <w:tab/>
        <w:t>Pravilo o predznaku</w:t>
      </w:r>
      <w:bookmarkEnd w:id="12"/>
      <w:bookmarkEnd w:id="13"/>
      <w:bookmarkEnd w:id="18"/>
      <w:bookmarkEnd w:id="19"/>
      <w:bookmarkEnd w:id="20"/>
    </w:p>
    <w:p w14:paraId="0C0832BC" w14:textId="4A4E8717" w:rsidR="002648B0" w:rsidRPr="00EC067D" w:rsidRDefault="006137FD" w:rsidP="00004542">
      <w:pPr>
        <w:pStyle w:val="InstructionsText2"/>
        <w:numPr>
          <w:ilvl w:val="0"/>
          <w:numId w:val="0"/>
        </w:numPr>
        <w:ind w:left="993"/>
      </w:pPr>
      <w:r>
        <w:t>6.</w:t>
      </w:r>
      <w:r>
        <w:tab/>
        <w:t>Svaki iznos kojim se povećava vrijednost pokazatelja, imovine, obveza ili izloženosti iskazuje se kao pozitivna vrijednost. Svaki iznos kojim se umanjuje vrijednost pokazatelja, imovine, obveza ili izloženosti iskazuje se kao negativna vrijednost. Ako oznaci stavke prethodi negativan predznak (–), za tu se stavku ne iskazuje pozitivna vrijednost.</w:t>
      </w:r>
    </w:p>
    <w:p w14:paraId="318F1B9B" w14:textId="19EFDD0F" w:rsidR="00304CA5" w:rsidRPr="00EC067D" w:rsidRDefault="00304CA5" w:rsidP="00EC067D">
      <w:pPr>
        <w:pStyle w:val="Instructionsberschrift2"/>
        <w:rPr>
          <w:rFonts w:cs="Times New Roman"/>
          <w:sz w:val="24"/>
        </w:rPr>
      </w:pPr>
      <w:bookmarkStart w:id="21" w:name="_Toc58572727"/>
      <w:r>
        <w:rPr>
          <w:sz w:val="24"/>
        </w:rPr>
        <w:t>1.4.</w:t>
      </w:r>
      <w:r>
        <w:rPr>
          <w:sz w:val="24"/>
        </w:rPr>
        <w:tab/>
        <w:t>Pokrate</w:t>
      </w:r>
      <w:bookmarkEnd w:id="21"/>
    </w:p>
    <w:p w14:paraId="5A22E3D2" w14:textId="07D28013" w:rsidR="00304CA5" w:rsidRPr="00EC067D" w:rsidRDefault="006137FD" w:rsidP="00004542">
      <w:pPr>
        <w:pStyle w:val="InstructionsText2"/>
        <w:numPr>
          <w:ilvl w:val="0"/>
          <w:numId w:val="0"/>
        </w:numPr>
        <w:ind w:left="993"/>
      </w:pPr>
      <w:r>
        <w:t>7. Za potrebe ovog Priloga Uredba (EU) br. 575/2013 Europskog parlamenta i Vijeća</w:t>
      </w:r>
      <w:r w:rsidR="00C7103D" w:rsidRPr="00EC067D">
        <w:rPr>
          <w:rStyle w:val="FootnoteReference"/>
          <w:rFonts w:ascii="Times New Roman" w:hAnsi="Times New Roman"/>
          <w:sz w:val="24"/>
          <w:szCs w:val="24"/>
          <w:vertAlign w:val="superscript"/>
        </w:rPr>
        <w:footnoteReference w:id="2"/>
      </w:r>
      <w:r>
        <w:t xml:space="preserve"> naziva se „CRR”, dok se Direktiva 2013/36/EU Europskog parlamenta i Vijeća</w:t>
      </w:r>
      <w:r w:rsidR="00C7103D" w:rsidRPr="00EC067D">
        <w:rPr>
          <w:rStyle w:val="FootnoteReference"/>
          <w:rFonts w:ascii="Times New Roman" w:hAnsi="Times New Roman"/>
          <w:sz w:val="24"/>
          <w:szCs w:val="24"/>
          <w:vertAlign w:val="superscript"/>
        </w:rPr>
        <w:footnoteReference w:id="3"/>
      </w:r>
      <w:r>
        <w:t xml:space="preserve"> naziva „CRD”.</w:t>
      </w:r>
    </w:p>
    <w:p w14:paraId="078AD951" w14:textId="77777777" w:rsidR="00304CA5" w:rsidRPr="00EC067D" w:rsidRDefault="00304CA5" w:rsidP="00004542">
      <w:pPr>
        <w:pStyle w:val="InstructionsText2"/>
        <w:numPr>
          <w:ilvl w:val="0"/>
          <w:numId w:val="0"/>
        </w:numPr>
        <w:ind w:left="993"/>
      </w:pPr>
    </w:p>
    <w:p w14:paraId="74BFACB9" w14:textId="77777777" w:rsidR="002648B0" w:rsidRPr="00EC067D" w:rsidRDefault="002648B0" w:rsidP="00004542">
      <w:pPr>
        <w:pStyle w:val="InstructionsText2"/>
        <w:sectPr w:rsidR="002648B0" w:rsidRPr="00EC067D" w:rsidSect="00A801A9">
          <w:endnotePr>
            <w:numFmt w:val="decimal"/>
          </w:endnotePr>
          <w:pgSz w:w="11906" w:h="16838"/>
          <w:pgMar w:top="1417" w:right="1417" w:bottom="1134" w:left="1417" w:header="708" w:footer="708" w:gutter="0"/>
          <w:cols w:space="708"/>
          <w:rtlGutter/>
          <w:docGrid w:linePitch="360"/>
        </w:sectPr>
      </w:pPr>
      <w:bookmarkStart w:id="22" w:name="_Toc264033192"/>
      <w:bookmarkEnd w:id="22"/>
    </w:p>
    <w:p w14:paraId="039B9D1F" w14:textId="69049F38" w:rsidR="002648B0" w:rsidRPr="00EC067D" w:rsidRDefault="002648B0" w:rsidP="00EC067D">
      <w:pPr>
        <w:pStyle w:val="Heading2"/>
      </w:pPr>
      <w:bookmarkStart w:id="23" w:name="_Toc360188322"/>
      <w:bookmarkStart w:id="24" w:name="_Toc473560870"/>
      <w:bookmarkStart w:id="25" w:name="_Toc58572728"/>
      <w:r>
        <w:lastRenderedPageBreak/>
        <w:t>DIO II.: UPUTE ZA OBRAZAC</w:t>
      </w:r>
      <w:bookmarkEnd w:id="23"/>
      <w:bookmarkEnd w:id="24"/>
      <w:bookmarkEnd w:id="25"/>
    </w:p>
    <w:p w14:paraId="5E8C221B" w14:textId="6A60103B" w:rsidR="002648B0" w:rsidRPr="00EC067D" w:rsidRDefault="00125707" w:rsidP="00EC067D">
      <w:pPr>
        <w:pStyle w:val="Instructionsberschrift2"/>
        <w:rPr>
          <w:rFonts w:cs="Times New Roman"/>
          <w:sz w:val="24"/>
        </w:rPr>
      </w:pPr>
      <w:bookmarkStart w:id="26" w:name="_Toc360188323"/>
      <w:bookmarkStart w:id="27" w:name="_Toc473560871"/>
      <w:bookmarkStart w:id="28" w:name="_Toc58572729"/>
      <w:r>
        <w:rPr>
          <w:sz w:val="24"/>
        </w:rPr>
        <w:t>1.</w:t>
      </w:r>
      <w:r>
        <w:rPr>
          <w:sz w:val="24"/>
        </w:rPr>
        <w:tab/>
      </w:r>
      <w:bookmarkStart w:id="29" w:name="_Toc308175819"/>
      <w:bookmarkStart w:id="30" w:name="_Toc360188324"/>
      <w:bookmarkStart w:id="31" w:name="_Toc473560872"/>
      <w:bookmarkEnd w:id="26"/>
      <w:bookmarkEnd w:id="27"/>
      <w:r>
        <w:rPr>
          <w:sz w:val="24"/>
        </w:rPr>
        <w:t>Opće napomene</w:t>
      </w:r>
      <w:bookmarkEnd w:id="29"/>
      <w:bookmarkEnd w:id="30"/>
      <w:bookmarkEnd w:id="31"/>
      <w:bookmarkEnd w:id="28"/>
    </w:p>
    <w:p w14:paraId="410557ED" w14:textId="2C0E81CE" w:rsidR="006137FD" w:rsidRPr="00EC067D" w:rsidRDefault="00004542" w:rsidP="00004542">
      <w:pPr>
        <w:pStyle w:val="InstructionsText2"/>
        <w:numPr>
          <w:ilvl w:val="0"/>
          <w:numId w:val="0"/>
        </w:numPr>
        <w:ind w:left="993"/>
      </w:pPr>
      <w:r>
        <w:t>8.</w:t>
      </w:r>
      <w:r>
        <w:tab/>
        <w:t xml:space="preserve">Obrazac je podijeljen u dva odjeljka. Gornji odjeljak o pokazateljima GSV institucija sadržava pokazatelje za utvrđivanje globalnih sistemski važnih institucija kako su definirane u metodologiji koju je razvio Bazelski odbor za nadzor banaka. Donji odjeljak sadržava niz stavki koje su potrebne za izračun relevantnih pokazatelja u skladu s metodologijom definiranom na temelju članka 131. stavka 18. CRD-a. </w:t>
      </w:r>
    </w:p>
    <w:p w14:paraId="285BFC5F" w14:textId="50F4BAE2" w:rsidR="005643EA" w:rsidRPr="00EC067D" w:rsidRDefault="00004542" w:rsidP="00004542">
      <w:pPr>
        <w:pStyle w:val="InstructionsText2"/>
        <w:numPr>
          <w:ilvl w:val="0"/>
          <w:numId w:val="0"/>
        </w:numPr>
        <w:ind w:left="993"/>
      </w:pPr>
      <w:r>
        <w:t>9.</w:t>
      </w:r>
      <w:r>
        <w:tab/>
        <w:t>Prema potrebi, informacije iz ovog obrasca usklađuju se s informacijama koje se dostavljaju relevantnim tijelima za potrebe njihova prikupljanja vrijednosti pokazatelja kako je utvrđeno u članku 3. stavku 2. Delegirane uredbe Komisije (EU) br. 1222/2014.</w:t>
      </w:r>
    </w:p>
    <w:p w14:paraId="1640AAF5" w14:textId="0F89A136" w:rsidR="002648B0" w:rsidRPr="00EC067D" w:rsidRDefault="00125707" w:rsidP="00EC067D">
      <w:pPr>
        <w:pStyle w:val="Instructionsberschrift2"/>
        <w:rPr>
          <w:rFonts w:cs="Times New Roman"/>
          <w:sz w:val="24"/>
        </w:rPr>
      </w:pPr>
      <w:bookmarkStart w:id="32" w:name="_Toc310414968"/>
      <w:bookmarkStart w:id="33" w:name="_Toc360188326"/>
      <w:bookmarkStart w:id="34" w:name="_Toc473560874"/>
      <w:bookmarkStart w:id="35" w:name="_Toc58572730"/>
      <w:r>
        <w:rPr>
          <w:sz w:val="24"/>
        </w:rPr>
        <w:t>2.</w:t>
      </w:r>
      <w:r>
        <w:rPr>
          <w:sz w:val="24"/>
        </w:rPr>
        <w:tab/>
      </w:r>
      <w:bookmarkStart w:id="36" w:name="_Toc308175821"/>
      <w:r>
        <w:rPr>
          <w:sz w:val="24"/>
        </w:rPr>
        <w:t xml:space="preserve">Upute za specifične </w:t>
      </w:r>
      <w:bookmarkEnd w:id="36"/>
      <w:bookmarkEnd w:id="32"/>
      <w:r>
        <w:rPr>
          <w:sz w:val="24"/>
        </w:rPr>
        <w:t>pozicije</w:t>
      </w:r>
      <w:bookmarkEnd w:id="33"/>
      <w:bookmarkEnd w:id="34"/>
      <w:bookmarkEnd w:id="3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EC067D" w14:paraId="5D5CC09A" w14:textId="77777777" w:rsidTr="00D731E3">
        <w:tc>
          <w:tcPr>
            <w:tcW w:w="1129" w:type="dxa"/>
            <w:shd w:val="clear" w:color="auto" w:fill="D9D9D9"/>
          </w:tcPr>
          <w:p w14:paraId="5EE5330B" w14:textId="77777777" w:rsidR="005643EA" w:rsidRPr="00EC067D" w:rsidRDefault="002648B0" w:rsidP="00004542">
            <w:pPr>
              <w:pStyle w:val="InstructionsText"/>
              <w:rPr>
                <w:rStyle w:val="InstructionsTabelleText"/>
                <w:rFonts w:ascii="Times New Roman" w:hAnsi="Times New Roman"/>
                <w:bCs/>
                <w:sz w:val="24"/>
              </w:rPr>
            </w:pPr>
            <w:r>
              <w:rPr>
                <w:rStyle w:val="InstructionsTabelleText"/>
                <w:rFonts w:ascii="Times New Roman" w:hAnsi="Times New Roman"/>
                <w:sz w:val="24"/>
              </w:rPr>
              <w:t>Redak</w:t>
            </w:r>
          </w:p>
        </w:tc>
        <w:tc>
          <w:tcPr>
            <w:tcW w:w="7620" w:type="dxa"/>
            <w:shd w:val="clear" w:color="auto" w:fill="D9D9D9"/>
          </w:tcPr>
          <w:p w14:paraId="19E41094" w14:textId="77777777" w:rsidR="005643EA" w:rsidRPr="00EC067D" w:rsidRDefault="002648B0" w:rsidP="00004542">
            <w:pPr>
              <w:pStyle w:val="InstructionsText"/>
              <w:rPr>
                <w:rStyle w:val="InstructionsTabelleText"/>
                <w:rFonts w:ascii="Times New Roman" w:hAnsi="Times New Roman"/>
                <w:bCs/>
                <w:sz w:val="24"/>
              </w:rPr>
            </w:pPr>
            <w:r>
              <w:rPr>
                <w:rStyle w:val="InstructionsTabelleText"/>
                <w:rFonts w:ascii="Times New Roman" w:hAnsi="Times New Roman"/>
                <w:sz w:val="24"/>
              </w:rPr>
              <w:t>Pravna osnova i upute</w:t>
            </w:r>
          </w:p>
        </w:tc>
      </w:tr>
      <w:tr w:rsidR="002648B0" w:rsidRPr="00EC067D" w14:paraId="0E5D273A" w14:textId="77777777" w:rsidTr="00D731E3">
        <w:tc>
          <w:tcPr>
            <w:tcW w:w="1129" w:type="dxa"/>
          </w:tcPr>
          <w:p w14:paraId="4A55AEAF" w14:textId="3DC4B1B9" w:rsidR="002648B0" w:rsidRPr="00EC067D" w:rsidRDefault="00004542" w:rsidP="0000454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0010–0120</w:t>
            </w:r>
          </w:p>
        </w:tc>
        <w:tc>
          <w:tcPr>
            <w:tcW w:w="7620" w:type="dxa"/>
          </w:tcPr>
          <w:p w14:paraId="541B4823" w14:textId="0EF9A745" w:rsidR="00D7242F" w:rsidRPr="00EC067D" w:rsidRDefault="00004542" w:rsidP="00004542">
            <w:pPr>
              <w:pStyle w:val="InstructionsText"/>
              <w:rPr>
                <w:rStyle w:val="InstructionsTabelleberschrift"/>
                <w:rFonts w:ascii="Times New Roman" w:hAnsi="Times New Roman"/>
                <w:sz w:val="24"/>
              </w:rPr>
            </w:pPr>
            <w:r>
              <w:rPr>
                <w:rStyle w:val="InstructionsTabelleberschrift"/>
                <w:rFonts w:ascii="Times New Roman" w:hAnsi="Times New Roman"/>
                <w:sz w:val="24"/>
              </w:rPr>
              <w:t>Pokazatelji GSV institucija</w:t>
            </w:r>
          </w:p>
          <w:p w14:paraId="71B4C248" w14:textId="77777777" w:rsidR="005643EA" w:rsidRPr="00EC067D" w:rsidRDefault="00004542" w:rsidP="00EF0DDB">
            <w:pPr>
              <w:pStyle w:val="InstructionsText2"/>
              <w:numPr>
                <w:ilvl w:val="0"/>
                <w:numId w:val="0"/>
              </w:numPr>
              <w:rPr>
                <w:rStyle w:val="FormatvorlageInstructionsTabelleText"/>
                <w:rFonts w:ascii="Times New Roman" w:hAnsi="Times New Roman"/>
                <w:sz w:val="24"/>
              </w:rPr>
            </w:pPr>
            <w:r>
              <w:rPr>
                <w:rStyle w:val="FormatvorlageInstructionsTabelleText"/>
                <w:rFonts w:ascii="Times New Roman" w:hAnsi="Times New Roman"/>
                <w:sz w:val="24"/>
              </w:rPr>
              <w:t>Definicija pokazatelja jednaka je definiciji koja se primjenjuje za potrebe utvrđivanja informacija navedenih u Prilogu Delegiranoj uredbi Komisije (EU) br. 1222/2014.</w:t>
            </w:r>
          </w:p>
          <w:p w14:paraId="77AC76F2" w14:textId="77777777" w:rsidR="00EF0DDB" w:rsidRPr="00EC067D" w:rsidRDefault="00087903" w:rsidP="00087903">
            <w:pPr>
              <w:pStyle w:val="InstructionsText2"/>
              <w:numPr>
                <w:ilvl w:val="0"/>
                <w:numId w:val="0"/>
              </w:numPr>
              <w:rPr>
                <w:rStyle w:val="FormatvorlageInstructionsTabelleText"/>
                <w:rFonts w:ascii="Times New Roman" w:hAnsi="Times New Roman"/>
                <w:sz w:val="24"/>
              </w:rPr>
            </w:pPr>
            <w:r>
              <w:rPr>
                <w:rStyle w:val="FormatvorlageInstructionsTabelleText"/>
                <w:rFonts w:ascii="Times New Roman" w:hAnsi="Times New Roman"/>
                <w:sz w:val="24"/>
              </w:rPr>
              <w:t>U slučaju promjena metodologije, ista metodologija koja se primjenjuje za utvrđivanje vrijednosti pokazatelja s kraja financijske godine primjenjuje se za potrebe dostavljanja informacija s kraja prvog, drugog i trećeg tromjesečja iste financijske godine.</w:t>
            </w:r>
          </w:p>
          <w:p w14:paraId="09DD6AF6" w14:textId="46653849" w:rsidR="00805C7A" w:rsidRPr="00EC067D" w:rsidRDefault="00805C7A" w:rsidP="00087903">
            <w:pPr>
              <w:pStyle w:val="InstructionsText2"/>
              <w:numPr>
                <w:ilvl w:val="0"/>
                <w:numId w:val="0"/>
              </w:numPr>
              <w:rPr>
                <w:rStyle w:val="InstructionsTabelleberschrift"/>
                <w:rFonts w:ascii="Times New Roman" w:hAnsi="Times New Roman"/>
                <w:sz w:val="24"/>
              </w:rPr>
            </w:pPr>
            <w:r>
              <w:rPr>
                <w:rStyle w:val="FormatvorlageInstructionsTabelleText"/>
                <w:rFonts w:ascii="Times New Roman" w:hAnsi="Times New Roman"/>
                <w:sz w:val="24"/>
              </w:rPr>
              <w:t>Pokazatelji koji su mjere toka iskazuju se na kumulativnoj osnovi od početka kalendarske ili financijske godine, prema potrebi.</w:t>
            </w:r>
          </w:p>
        </w:tc>
      </w:tr>
      <w:tr w:rsidR="000359E7" w:rsidRPr="00EC067D" w14:paraId="3C8BC05D" w14:textId="77777777" w:rsidTr="00D731E3">
        <w:tc>
          <w:tcPr>
            <w:tcW w:w="1129" w:type="dxa"/>
          </w:tcPr>
          <w:p w14:paraId="2DB15F09" w14:textId="10FDDDE8"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0897A46E" w14:textId="089D7C13"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Međudržavna potraživanja</w:t>
            </w:r>
          </w:p>
        </w:tc>
      </w:tr>
      <w:tr w:rsidR="000359E7" w:rsidRPr="00EC067D" w14:paraId="6D4F9F35" w14:textId="77777777" w:rsidTr="00D731E3">
        <w:tc>
          <w:tcPr>
            <w:tcW w:w="1129" w:type="dxa"/>
          </w:tcPr>
          <w:p w14:paraId="744137FA" w14:textId="7636C40D"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050D6105" w14:textId="1CAD947C"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Međudržavne obveze</w:t>
            </w:r>
          </w:p>
        </w:tc>
      </w:tr>
      <w:tr w:rsidR="000359E7" w:rsidRPr="00EC067D" w14:paraId="6DDE62D2" w14:textId="77777777" w:rsidTr="00D731E3">
        <w:tc>
          <w:tcPr>
            <w:tcW w:w="1129" w:type="dxa"/>
          </w:tcPr>
          <w:p w14:paraId="119F2029" w14:textId="2E0C1E7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20A17A52" w14:textId="24A27EE4"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Ukupne izloženosti (omjer financijske poluge)</w:t>
            </w:r>
          </w:p>
        </w:tc>
      </w:tr>
      <w:tr w:rsidR="000359E7" w:rsidRPr="00EC067D" w14:paraId="1E32E0D4" w14:textId="77777777" w:rsidTr="00D731E3">
        <w:tc>
          <w:tcPr>
            <w:tcW w:w="1129" w:type="dxa"/>
          </w:tcPr>
          <w:p w14:paraId="62806938" w14:textId="21F95289"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1992577C" w14:textId="6F161374"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Imovina unutar financijskog sustava</w:t>
            </w:r>
          </w:p>
        </w:tc>
      </w:tr>
      <w:tr w:rsidR="000359E7" w:rsidRPr="00EC067D" w14:paraId="168CAFD1" w14:textId="77777777" w:rsidTr="00D731E3">
        <w:tc>
          <w:tcPr>
            <w:tcW w:w="1129" w:type="dxa"/>
          </w:tcPr>
          <w:p w14:paraId="20E7E202" w14:textId="74E0180D"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07A315EC" w14:textId="3CF53BEE"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Obveze unutar financijskog sustava</w:t>
            </w:r>
          </w:p>
        </w:tc>
      </w:tr>
      <w:tr w:rsidR="000359E7" w:rsidRPr="00EC067D" w14:paraId="7D83D84B" w14:textId="77777777" w:rsidTr="00D731E3">
        <w:tc>
          <w:tcPr>
            <w:tcW w:w="1129" w:type="dxa"/>
          </w:tcPr>
          <w:p w14:paraId="2E41976E" w14:textId="54079319"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6BD24A93" w14:textId="2708FDCB"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Vrijednosni papiri u optjecaju</w:t>
            </w:r>
          </w:p>
        </w:tc>
      </w:tr>
      <w:tr w:rsidR="000359E7" w:rsidRPr="00EC067D" w14:paraId="40C175C7" w14:textId="77777777" w:rsidTr="00D731E3">
        <w:tc>
          <w:tcPr>
            <w:tcW w:w="1129" w:type="dxa"/>
          </w:tcPr>
          <w:p w14:paraId="05CF3D3D" w14:textId="4A19EAF3"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7A6CF35F" w14:textId="0CE79096"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Imovina pod skrbništvom</w:t>
            </w:r>
          </w:p>
        </w:tc>
      </w:tr>
      <w:tr w:rsidR="000359E7" w:rsidRPr="00EC067D" w14:paraId="3D94B46C" w14:textId="77777777" w:rsidTr="00D731E3">
        <w:tc>
          <w:tcPr>
            <w:tcW w:w="1129" w:type="dxa"/>
          </w:tcPr>
          <w:p w14:paraId="73F13C12" w14:textId="5F573BA0"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14:paraId="2518A593" w14:textId="6F08F20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Platni promet</w:t>
            </w:r>
          </w:p>
        </w:tc>
      </w:tr>
      <w:tr w:rsidR="000359E7" w:rsidRPr="00EC067D" w14:paraId="77AC2598" w14:textId="77777777" w:rsidTr="00D731E3">
        <w:tc>
          <w:tcPr>
            <w:tcW w:w="1129" w:type="dxa"/>
          </w:tcPr>
          <w:p w14:paraId="2EA7B719" w14:textId="61AD4AA2"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78F8B106" w14:textId="501507B6"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Transakcije koje proizlaze iz pružanja usluga provedbe ponude odnosno prodaje na tržištima dužničkih i vlasničkih instrumenata</w:t>
            </w:r>
          </w:p>
        </w:tc>
      </w:tr>
      <w:tr w:rsidR="000359E7" w:rsidRPr="00EC067D" w14:paraId="68CA6CE8" w14:textId="77777777" w:rsidTr="00D731E3">
        <w:tc>
          <w:tcPr>
            <w:tcW w:w="1129" w:type="dxa"/>
          </w:tcPr>
          <w:p w14:paraId="6BF1E474" w14:textId="0CCD0D8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39D62EB3" w14:textId="1E740B39"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Obujam trgovanja</w:t>
            </w:r>
          </w:p>
        </w:tc>
      </w:tr>
      <w:tr w:rsidR="000359E7" w:rsidRPr="00EC067D" w14:paraId="43F77E74" w14:textId="77777777" w:rsidTr="00D731E3">
        <w:tc>
          <w:tcPr>
            <w:tcW w:w="1129" w:type="dxa"/>
          </w:tcPr>
          <w:p w14:paraId="222B2025" w14:textId="318C8EA5"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C924F42" w14:textId="4C122C0B"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Zamišljeni iznos OTC izvedenica</w:t>
            </w:r>
          </w:p>
        </w:tc>
      </w:tr>
      <w:tr w:rsidR="000359E7" w:rsidRPr="00EC067D" w14:paraId="20E3E2F0" w14:textId="77777777" w:rsidTr="00D731E3">
        <w:tc>
          <w:tcPr>
            <w:tcW w:w="1129" w:type="dxa"/>
          </w:tcPr>
          <w:p w14:paraId="4C62BBAD" w14:textId="784915EC" w:rsidR="000359E7" w:rsidRPr="00EC067D" w:rsidRDefault="009964E1"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14:paraId="1AAE0433" w14:textId="53BB7064"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Imovina 3. stupnja</w:t>
            </w:r>
          </w:p>
        </w:tc>
      </w:tr>
      <w:tr w:rsidR="000359E7" w:rsidRPr="00EC067D" w14:paraId="00DCCD96" w14:textId="77777777" w:rsidTr="00D731E3">
        <w:tc>
          <w:tcPr>
            <w:tcW w:w="1129" w:type="dxa"/>
          </w:tcPr>
          <w:p w14:paraId="6185C376" w14:textId="0A67EB11" w:rsidR="000359E7" w:rsidRPr="00EC067D" w:rsidRDefault="009964E1"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0130</w:t>
            </w:r>
          </w:p>
        </w:tc>
        <w:tc>
          <w:tcPr>
            <w:tcW w:w="7620" w:type="dxa"/>
          </w:tcPr>
          <w:p w14:paraId="1AC7DFAE" w14:textId="387365F4" w:rsidR="000359E7" w:rsidRPr="00EC067D" w:rsidRDefault="009964E1"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Vrijednosni papiri namijenjeni trgovanju i raspoloživi za prodaju</w:t>
            </w:r>
          </w:p>
        </w:tc>
      </w:tr>
      <w:tr w:rsidR="000359E7" w:rsidRPr="00EC067D" w14:paraId="1692F927" w14:textId="77777777" w:rsidTr="00D731E3">
        <w:tc>
          <w:tcPr>
            <w:tcW w:w="1129" w:type="dxa"/>
          </w:tcPr>
          <w:p w14:paraId="0B33EE2F" w14:textId="32A65C1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0140–0170</w:t>
            </w:r>
          </w:p>
        </w:tc>
        <w:tc>
          <w:tcPr>
            <w:tcW w:w="7620" w:type="dxa"/>
          </w:tcPr>
          <w:p w14:paraId="37D5CB7B" w14:textId="785C02EE"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Stavke u kojima se europska bankovna unija smatra jednom jurisdikcijom</w:t>
            </w:r>
          </w:p>
          <w:p w14:paraId="5DB1FD22" w14:textId="50C1AAEF" w:rsidR="000359E7" w:rsidRPr="00EC067D" w:rsidRDefault="000359E7" w:rsidP="000359E7">
            <w:pPr>
              <w:pStyle w:val="InstructionsText2"/>
              <w:numPr>
                <w:ilvl w:val="0"/>
                <w:numId w:val="0"/>
              </w:numPr>
              <w:rPr>
                <w:rStyle w:val="FormatvorlageInstructionsTabelleText"/>
                <w:rFonts w:ascii="Times New Roman" w:hAnsi="Times New Roman"/>
                <w:sz w:val="24"/>
              </w:rPr>
            </w:pPr>
            <w:r>
              <w:rPr>
                <w:rStyle w:val="FormatvorlageInstructionsTabelleText"/>
                <w:rFonts w:ascii="Times New Roman" w:hAnsi="Times New Roman"/>
                <w:sz w:val="24"/>
              </w:rPr>
              <w:t>Za potrebe utvrđivanja stavki navedenih u nastavku i u nedostatku specifikacija u uputama u nastavku, definicije i primijenjeni pojmovi usklađuju se, koliko je to moguće, s definicijama i pojmovima definiranima u Smjernicama za izradu međunarodne bankovne statistike BIS-a.</w:t>
            </w:r>
          </w:p>
          <w:p w14:paraId="624545C8" w14:textId="30C77E46" w:rsidR="000359E7" w:rsidRPr="00EC067D" w:rsidRDefault="000359E7" w:rsidP="000359E7">
            <w:pPr>
              <w:pStyle w:val="InstructionsText2"/>
              <w:numPr>
                <w:ilvl w:val="0"/>
                <w:numId w:val="0"/>
              </w:numPr>
              <w:rPr>
                <w:rStyle w:val="InstructionsTabelleberschrift"/>
                <w:rFonts w:ascii="Times New Roman" w:hAnsi="Times New Roman"/>
                <w:sz w:val="24"/>
              </w:rPr>
            </w:pPr>
            <w:r>
              <w:rPr>
                <w:rStyle w:val="FormatvorlageInstructionsTabelleText"/>
                <w:rFonts w:ascii="Times New Roman" w:hAnsi="Times New Roman"/>
                <w:sz w:val="24"/>
              </w:rPr>
              <w:t>Odstupajući od toga, aktivnosti subjekata koji izvješćuju u državama članicama sudionicama iz članka 4. Uredbe (EU) br. 806/2014 Europskog parlamenta i Vijeća</w:t>
            </w:r>
            <w:r w:rsidRPr="00EC067D">
              <w:rPr>
                <w:rStyle w:val="FootnoteReference"/>
                <w:rFonts w:ascii="Times New Roman" w:hAnsi="Times New Roman"/>
                <w:bCs/>
                <w:sz w:val="24"/>
                <w:szCs w:val="24"/>
              </w:rPr>
              <w:footnoteReference w:id="4"/>
            </w:r>
            <w:r>
              <w:rPr>
                <w:rStyle w:val="FormatvorlageInstructionsTabelleText"/>
                <w:rFonts w:ascii="Times New Roman" w:hAnsi="Times New Roman"/>
                <w:sz w:val="24"/>
              </w:rPr>
              <w:t xml:space="preserve"> nisu uključene, tj. države članice sudionice smatraju se jednom jurisdikcijom.</w:t>
            </w:r>
          </w:p>
        </w:tc>
      </w:tr>
      <w:tr w:rsidR="000359E7" w:rsidRPr="00EC067D" w14:paraId="61796B97" w14:textId="77777777" w:rsidTr="00D731E3">
        <w:tc>
          <w:tcPr>
            <w:tcW w:w="1129" w:type="dxa"/>
          </w:tcPr>
          <w:p w14:paraId="03539F89" w14:textId="70440909"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5728CDBE"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Ukupna inozemna potraživanja na temelju krajnjeg rizika</w:t>
            </w:r>
          </w:p>
          <w:p w14:paraId="3ECF379D" w14:textId="77D3E075"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Ukupna inozemna potraživanja zbroj su prekograničnih potraživanja i lokalnih potraživanja inozemnih povezanih društava u lokalnoj ili stranoj valuti. Potraživanja iz pozicija u ugovorima s izvedenicama nisu uključena. „Potraživanja”, „prekogranična potraživanja”, „lokalna potraživanja inozemnih povezanih društava u stranoj i lokalnoj valuti” imaju jednako značenje kako je definirano u Smjernicama za izradu međunarodne bankovne statistike BIS-a. </w:t>
            </w:r>
          </w:p>
          <w:p w14:paraId="3A1C0F08" w14:textId="52022B5A"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„Na temelju krajnjeg rizika” znači da se za potrebe utvrđivanja je li potraživanje prekogranično ili lokalno pozicija dodjeljuje trećoj strani koja se ugovorno obvezala preuzeti dugove ili obveze primarne druge ugovorne strane ako ta strana ne ispuni obveze, ako takva treća strana postoji. Ta dodjela provodi</w:t>
            </w:r>
            <w:r>
              <w:rPr>
                <w:rStyle w:val="FormatvorlageInstructionsTabelleText"/>
                <w:rFonts w:ascii="Times New Roman" w:hAnsi="Times New Roman"/>
                <w:sz w:val="24"/>
              </w:rPr>
              <w:t xml:space="preserve"> </w:t>
            </w:r>
            <w:r>
              <w:rPr>
                <w:rStyle w:val="FormatvorlageInstructionsTabelleText"/>
                <w:rFonts w:ascii="Times New Roman" w:hAnsi="Times New Roman"/>
                <w:sz w:val="24"/>
              </w:rPr>
              <w:t>se u skladu s odredbama o prijenosu rizika iz Smjernica za izradu međunarodne bankovne statistike BIS-a.</w:t>
            </w:r>
          </w:p>
        </w:tc>
      </w:tr>
      <w:tr w:rsidR="000359E7" w:rsidRPr="00EC067D" w14:paraId="66BA7DC6" w14:textId="77777777" w:rsidTr="00D731E3">
        <w:tc>
          <w:tcPr>
            <w:tcW w:w="1129" w:type="dxa"/>
          </w:tcPr>
          <w:p w14:paraId="310D6463" w14:textId="2622CA93"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14:paraId="370543F2"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Inozemna potraživanja povezana s izvedenicama na temelju krajnjeg rizika</w:t>
            </w:r>
          </w:p>
          <w:p w14:paraId="0B6542C2" w14:textId="19ABBE5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Pozitivna fer vrijednost svih potraživanja povezanih s izvedenicama koja su prekogranična potraživanja ili lokalna potraživanja inozemnih povezanih društava u lokalnoj ili stranoj valuti. </w:t>
            </w:r>
          </w:p>
          <w:p w14:paraId="3184A088" w14:textId="07B1BB53"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Izvedenice uključuju </w:t>
            </w:r>
            <w:proofErr w:type="spellStart"/>
            <w:r>
              <w:rPr>
                <w:rStyle w:val="FormatvorlageInstructionsTabelleText"/>
                <w:rFonts w:ascii="Times New Roman" w:hAnsi="Times New Roman"/>
                <w:sz w:val="24"/>
              </w:rPr>
              <w:t>forvarde</w:t>
            </w:r>
            <w:proofErr w:type="spellEnd"/>
            <w:r>
              <w:rPr>
                <w:rStyle w:val="FormatvorlageInstructionsTabelleText"/>
                <w:rFonts w:ascii="Times New Roman" w:hAnsi="Times New Roman"/>
                <w:sz w:val="24"/>
              </w:rPr>
              <w:t>, ugovore o razmjeni i opcije povezane s inozemnim valutama, kamatama, vlasničkim instrumentima, robom i kreditnim instrumentima. To uključuje kupljene kreditne izvedenice koje štite ili poništavaju prodanu kreditnu zaštitu ili koje se drže radi trgovanja.</w:t>
            </w:r>
          </w:p>
          <w:p w14:paraId="1C0B5693" w14:textId="134EDA39"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 slučaju takvih kupljenih kreditnih izvedenica vrijednost im ne smije biti ograničena na vrijednost neposrednog potraživanja koje je kupljeno za jamstvo. </w:t>
            </w:r>
          </w:p>
          <w:p w14:paraId="1BF6CB23" w14:textId="77777777"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Pozitivne fer vrijednosti ugovora o izvedenicama mogu se poništiti negativnim fer vrijednostima samo ako su pozicije izvršene s istom drugom ugovornom stranom na temelju pravno izvršivog sporazuma o </w:t>
            </w:r>
            <w:proofErr w:type="spellStart"/>
            <w:r>
              <w:rPr>
                <w:rStyle w:val="FormatvorlageInstructionsTabelleText"/>
                <w:rFonts w:ascii="Times New Roman" w:hAnsi="Times New Roman"/>
                <w:sz w:val="24"/>
              </w:rPr>
              <w:t>netiranju</w:t>
            </w:r>
            <w:proofErr w:type="spellEnd"/>
            <w:r>
              <w:rPr>
                <w:rStyle w:val="FormatvorlageInstructionsTabelleText"/>
                <w:rFonts w:ascii="Times New Roman" w:hAnsi="Times New Roman"/>
                <w:sz w:val="24"/>
              </w:rPr>
              <w:t xml:space="preserve">. Samo skupovi za </w:t>
            </w:r>
            <w:proofErr w:type="spellStart"/>
            <w:r>
              <w:rPr>
                <w:rStyle w:val="FormatvorlageInstructionsTabelleText"/>
                <w:rFonts w:ascii="Times New Roman" w:hAnsi="Times New Roman"/>
                <w:sz w:val="24"/>
              </w:rPr>
              <w:t>netiranje</w:t>
            </w:r>
            <w:proofErr w:type="spellEnd"/>
            <w:r>
              <w:rPr>
                <w:rStyle w:val="FormatvorlageInstructionsTabelleText"/>
                <w:rFonts w:ascii="Times New Roman" w:hAnsi="Times New Roman"/>
                <w:sz w:val="24"/>
              </w:rPr>
              <w:t xml:space="preserve"> s pozitivnom vrijednosti uključuju se u ovu stavku. </w:t>
            </w:r>
          </w:p>
          <w:p w14:paraId="1D1D95FC" w14:textId="16E54AF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Potraživanja povezana s izvedenicama iskazuju se bez umanjenja za gotovinski </w:t>
            </w:r>
            <w:proofErr w:type="spellStart"/>
            <w:r>
              <w:rPr>
                <w:rStyle w:val="FormatvorlageInstructionsTabelleText"/>
                <w:rFonts w:ascii="Times New Roman" w:hAnsi="Times New Roman"/>
                <w:sz w:val="24"/>
              </w:rPr>
              <w:t>kolateral</w:t>
            </w:r>
            <w:proofErr w:type="spellEnd"/>
            <w:r>
              <w:rPr>
                <w:rStyle w:val="FormatvorlageInstructionsTabelleText"/>
                <w:rFonts w:ascii="Times New Roman" w:hAnsi="Times New Roman"/>
                <w:sz w:val="24"/>
              </w:rPr>
              <w:t xml:space="preserve">. </w:t>
            </w:r>
          </w:p>
          <w:p w14:paraId="57A0BD55" w14:textId="77777777"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Za potrebe iskazivanja informacija na temelju krajnjeg rizika primjenjuje se sljedeće:</w:t>
            </w:r>
          </w:p>
          <w:p w14:paraId="11BDA188" w14:textId="218D72C7" w:rsidR="000359E7" w:rsidRPr="00EC067D" w:rsidRDefault="000359E7" w:rsidP="000359E7">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Ako krajnji rizik snosi druga ugovorna strana, izvedenica se smatra inozemnom ako druga ugovorna strana nije u matičnoj jurisdikciji subjekata koji izvješćuju. </w:t>
            </w:r>
          </w:p>
          <w:p w14:paraId="4EE29D54" w14:textId="079BBA53" w:rsidR="000359E7" w:rsidRPr="00EC067D" w:rsidRDefault="000359E7" w:rsidP="000359E7">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Ako krajnji rizik snosi davatelj jamstva, izvedenica se smatra inozemnom ako davatelj jamstva nije u matičnoj jurisdikciji subjekata koji izvješćuju.</w:t>
            </w:r>
          </w:p>
        </w:tc>
      </w:tr>
      <w:tr w:rsidR="000359E7" w:rsidRPr="00EC067D" w14:paraId="24B21B52" w14:textId="77777777" w:rsidTr="00D731E3">
        <w:tc>
          <w:tcPr>
            <w:tcW w:w="1129" w:type="dxa"/>
          </w:tcPr>
          <w:p w14:paraId="1B78021A" w14:textId="7536B145"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0160</w:t>
            </w:r>
          </w:p>
        </w:tc>
        <w:tc>
          <w:tcPr>
            <w:tcW w:w="7620" w:type="dxa"/>
          </w:tcPr>
          <w:p w14:paraId="4AFA7D61"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Inozemne obveze na temelju neposrednog rizika, uključujući izvedenice</w:t>
            </w:r>
          </w:p>
          <w:p w14:paraId="2232ACAE" w14:textId="70B62A74"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Inozemne obveze, uključujući izvedenice, zbroj su inozemnih obveza i inozemnih obveza koje proizlaze iz izvedenica. Iz ove stavke isključuju se obveze s naslova vrijednosnih papira koji su financijska imovina kojom se trguje i koje je izdala institucija koja izvješćuje.</w:t>
            </w:r>
          </w:p>
          <w:p w14:paraId="253FB5E8" w14:textId="0968641F"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Definicija izvedenica jednaka je onoj koja se primjenjuje za redak 0140.</w:t>
            </w:r>
          </w:p>
          <w:p w14:paraId="3AF86A8E" w14:textId="7C54EB9B"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Negativne fer vrijednosti ugovora o izvedenicama mogu se poništiti pozitivnim fer vrijednostima samo ako su pozicije izvršene s istom drugom ugovornom stranom na temelju pravno izvršivog sporazuma o </w:t>
            </w:r>
            <w:proofErr w:type="spellStart"/>
            <w:r>
              <w:rPr>
                <w:rStyle w:val="FormatvorlageInstructionsTabelleText"/>
                <w:rFonts w:ascii="Times New Roman" w:hAnsi="Times New Roman"/>
                <w:sz w:val="24"/>
              </w:rPr>
              <w:t>netiranju</w:t>
            </w:r>
            <w:proofErr w:type="spellEnd"/>
            <w:r>
              <w:rPr>
                <w:rStyle w:val="FormatvorlageInstructionsTabelleText"/>
                <w:rFonts w:ascii="Times New Roman" w:hAnsi="Times New Roman"/>
                <w:sz w:val="24"/>
              </w:rPr>
              <w:t xml:space="preserve">. Obveze koje proizlaze iz izvedenica iskazuju se uključujući </w:t>
            </w:r>
            <w:proofErr w:type="spellStart"/>
            <w:r>
              <w:rPr>
                <w:rStyle w:val="FormatvorlageInstructionsTabelleText"/>
                <w:rFonts w:ascii="Times New Roman" w:hAnsi="Times New Roman"/>
                <w:sz w:val="24"/>
              </w:rPr>
              <w:t>kolateral</w:t>
            </w:r>
            <w:proofErr w:type="spellEnd"/>
            <w:r>
              <w:rPr>
                <w:rStyle w:val="FormatvorlageInstructionsTabelleText"/>
                <w:rFonts w:ascii="Times New Roman" w:hAnsi="Times New Roman"/>
                <w:sz w:val="24"/>
              </w:rPr>
              <w:t xml:space="preserve"> (gotovinski i negotovinski). </w:t>
            </w:r>
          </w:p>
          <w:p w14:paraId="2F888DBB" w14:textId="1705453E"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„Na temelju neposrednog rizika” znači da se za potrebe utvrđivanja je li potraživanje prekogranično ili lokalno pozicija raspoređuje izravnoj drugoj ugovornoj strani ugovora. </w:t>
            </w:r>
          </w:p>
        </w:tc>
      </w:tr>
      <w:tr w:rsidR="000359E7" w:rsidRPr="00EC067D" w14:paraId="5A972F21" w14:textId="77777777" w:rsidTr="00D731E3">
        <w:tc>
          <w:tcPr>
            <w:tcW w:w="1129" w:type="dxa"/>
          </w:tcPr>
          <w:p w14:paraId="5FCEF134" w14:textId="5E849A8E"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14:paraId="3E471746"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inozemne obveze koje proizlaze iz izvedenica na temelju neposrednog rizika</w:t>
            </w:r>
          </w:p>
          <w:p w14:paraId="2ACECCE5" w14:textId="202A3512"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Podskup retka 0160 koji su obveze koje proizlaze iz izvedenica</w:t>
            </w:r>
          </w:p>
        </w:tc>
      </w:tr>
      <w:bookmarkEnd w:id="0"/>
      <w:bookmarkEnd w:id="1"/>
    </w:tbl>
    <w:p w14:paraId="61DBD972" w14:textId="77777777" w:rsidR="00DD00B4" w:rsidRPr="00EC067D" w:rsidRDefault="00DD00B4" w:rsidP="006137FD">
      <w:pPr>
        <w:spacing w:after="0"/>
        <w:rPr>
          <w:rStyle w:val="InstructionsTabelleText"/>
          <w:rFonts w:ascii="Times New Roman" w:hAnsi="Times New Roman"/>
          <w:sz w:val="24"/>
        </w:rPr>
      </w:pPr>
    </w:p>
    <w:sectPr w:rsidR="00DD00B4" w:rsidRPr="00EC067D" w:rsidSect="00B51F42">
      <w:footerReference w:type="even" r:id="rId10"/>
      <w:footerReference w:type="default" r:id="rId11"/>
      <w:headerReference w:type="first" r:id="rId1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67EC6" w14:textId="77777777" w:rsidR="005E1B10" w:rsidRDefault="005E1B10" w:rsidP="00D946DB">
      <w:pPr>
        <w:spacing w:before="0" w:after="0"/>
      </w:pPr>
      <w:r>
        <w:separator/>
      </w:r>
    </w:p>
  </w:endnote>
  <w:endnote w:type="continuationSeparator" w:id="0">
    <w:p w14:paraId="517AFAD2" w14:textId="77777777" w:rsidR="005E1B10" w:rsidRDefault="005E1B10" w:rsidP="00D946DB">
      <w:pPr>
        <w:spacing w:before="0" w:after="0"/>
      </w:pPr>
      <w:r>
        <w:continuationSeparator/>
      </w:r>
    </w:p>
  </w:endnote>
  <w:endnote w:type="continuationNotice" w:id="1">
    <w:p w14:paraId="59B4096F" w14:textId="77777777" w:rsidR="005E1B10" w:rsidRDefault="005E1B1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7A4FF706" w:rsidR="005E1B10" w:rsidRPr="00ED1956" w:rsidRDefault="005E1B10">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470139">
      <w:rPr>
        <w:rFonts w:ascii="Times New Roman" w:hAnsi="Times New Roman"/>
        <w:noProof/>
        <w:sz w:val="22"/>
        <w:szCs w:val="22"/>
      </w:rPr>
      <w:t>2</w:t>
    </w:r>
    <w:r w:rsidRPr="00ED1956">
      <w:rPr>
        <w:rFonts w:ascii="Times New Roman" w:hAnsi="Times New Roman"/>
        <w:sz w:val="22"/>
        <w:szCs w:val="22"/>
      </w:rPr>
      <w:fldChar w:fldCharType="end"/>
    </w:r>
  </w:p>
  <w:p w14:paraId="14BC9F62" w14:textId="77777777" w:rsidR="005E1B10" w:rsidRDefault="005E1B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6764DE92" w:rsidR="005E1B10" w:rsidRPr="00E85358" w:rsidRDefault="005E1B10">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470139">
      <w:rPr>
        <w:noProof/>
        <w:sz w:val="22"/>
        <w:szCs w:val="22"/>
      </w:rPr>
      <w:t>1</w:t>
    </w:r>
    <w:r w:rsidRPr="00E85358">
      <w:rPr>
        <w:sz w:val="22"/>
        <w:szCs w:val="22"/>
      </w:rPr>
      <w:fldChar w:fldCharType="end"/>
    </w:r>
  </w:p>
  <w:p w14:paraId="4E07410F" w14:textId="77777777" w:rsidR="005E1B10"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5E1B10" w:rsidRDefault="005E1B10">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14:paraId="484C2E5B" w14:textId="77777777" w:rsidR="005E1B10" w:rsidRDefault="005E1B10">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384B6890" w:rsidR="005E1B10" w:rsidRPr="00ED1956" w:rsidRDefault="005E1B10">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470139">
      <w:rPr>
        <w:rFonts w:ascii="Times New Roman" w:hAnsi="Times New Roman"/>
        <w:noProof/>
        <w:sz w:val="20"/>
        <w:szCs w:val="20"/>
      </w:rPr>
      <w:t>3</w:t>
    </w:r>
    <w:r w:rsidRPr="00ED1956">
      <w:rPr>
        <w:rFonts w:ascii="Times New Roman" w:hAnsi="Times New Roman"/>
        <w:sz w:val="20"/>
        <w:szCs w:val="20"/>
      </w:rPr>
      <w:fldChar w:fldCharType="end"/>
    </w:r>
  </w:p>
  <w:p w14:paraId="4071C94B" w14:textId="77777777" w:rsidR="005E1B10" w:rsidRPr="00A772B4" w:rsidRDefault="005E1B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EC82C" w14:textId="77777777" w:rsidR="005E1B10" w:rsidRDefault="005E1B10" w:rsidP="00D946DB">
      <w:pPr>
        <w:spacing w:before="0" w:after="0"/>
      </w:pPr>
      <w:r>
        <w:separator/>
      </w:r>
    </w:p>
  </w:footnote>
  <w:footnote w:type="continuationSeparator" w:id="0">
    <w:p w14:paraId="5D734917" w14:textId="77777777" w:rsidR="005E1B10" w:rsidRDefault="005E1B10" w:rsidP="00D946DB">
      <w:pPr>
        <w:spacing w:before="0" w:after="0"/>
      </w:pPr>
      <w:r>
        <w:continuationSeparator/>
      </w:r>
    </w:p>
  </w:footnote>
  <w:footnote w:type="continuationNotice" w:id="1">
    <w:p w14:paraId="504F2A36" w14:textId="77777777" w:rsidR="005E1B10" w:rsidRDefault="005E1B10">
      <w:pPr>
        <w:spacing w:before="0" w:after="0"/>
      </w:pPr>
    </w:p>
  </w:footnote>
  <w:footnote w:id="2">
    <w:p w14:paraId="0A122620" w14:textId="77777777" w:rsidR="005E1B10" w:rsidRPr="00F95727" w:rsidRDefault="005E1B10" w:rsidP="00C7103D">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lang w:val="en-GB"/>
        </w:rPr>
        <w:footnoteRef/>
      </w:r>
      <w:r>
        <w:rPr>
          <w:rFonts w:ascii="Times New Roman" w:hAnsi="Times New Roman"/>
          <w:sz w:val="20"/>
          <w:szCs w:val="20"/>
        </w:rPr>
        <w:tab/>
      </w:r>
      <w:r>
        <w:rPr>
          <w:rFonts w:ascii="Times New Roman" w:hAnsi="Times New Roman"/>
          <w:color w:val="444444"/>
          <w:sz w:val="20"/>
          <w:szCs w:val="20"/>
        </w:rPr>
        <w:t>Uredba (EU) br. 575/2013 Europskog parlamenta i Vijeća od 26. lipnja 2013. o bonitetnim zahtjevima za kreditne institucije i investicijska društva i o izmjeni Uredbe (EU) br. 648/2012 (</w:t>
      </w:r>
      <w:r>
        <w:rPr>
          <w:rFonts w:ascii="Times New Roman" w:hAnsi="Times New Roman"/>
          <w:iCs/>
          <w:color w:val="444444"/>
          <w:sz w:val="20"/>
          <w:szCs w:val="20"/>
        </w:rPr>
        <w:t>SL L 176, 27.6.2013., str. 1.).</w:t>
      </w:r>
    </w:p>
  </w:footnote>
  <w:footnote w:id="3">
    <w:p w14:paraId="754D5245" w14:textId="77777777" w:rsidR="005E1B10" w:rsidRPr="00F95727" w:rsidRDefault="005E1B10" w:rsidP="00C7103D">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szCs w:val="20"/>
        </w:rPr>
        <w:tab/>
      </w:r>
      <w:r>
        <w:rPr>
          <w:rFonts w:ascii="Times New Roman" w:hAnsi="Times New Roman"/>
          <w:color w:val="444444"/>
          <w:sz w:val="20"/>
          <w:szCs w:val="20"/>
        </w:rPr>
        <w:t>Direktiva 2013/36/EU Europskog parlamenta i Vijeća od 26. lipnja 2013. o pristupanju djelatnosti kreditnih institucija i bonitetnom nadzoru nad kreditnim institucijama i investicijskim društvima, izmjeni Direktive 2002/87/EZ te stavljanju izvan snage direktiva 2006/48/EZ i 2006/49/EZ (SL L 176, 27.6.2013., str. 338.).</w:t>
      </w:r>
    </w:p>
  </w:footnote>
  <w:footnote w:id="4">
    <w:p w14:paraId="7E81C75F" w14:textId="7AFAACB8" w:rsidR="000359E7" w:rsidRPr="00EF0DDB" w:rsidRDefault="000359E7">
      <w:pPr>
        <w:pStyle w:val="FootnoteText"/>
      </w:pPr>
      <w:r>
        <w:rPr>
          <w:rStyle w:val="FootnoteReference"/>
        </w:rPr>
        <w:footnoteRef/>
      </w:r>
      <w:r>
        <w:t>Uredba (EU) br. 806/2014 Europskog parlamenta i Vijeća od 15. srpnja 2014. o utvrđivanju jedinstvenih pravila i jedinstvenog postupka za sanaciju kreditnih institucija i određenih investicijskih društava u okviru jedinstvenog sanacijskog mehanizma i jedinstvenog fonda za sanaciju te o izmjeni Uredbe (EU) br. 1093/2010 (SL L 225, 30.7.2014., str.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77777777"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7D7F02"/>
    <w:multiLevelType w:val="multilevel"/>
    <w:tmpl w:val="0407001D"/>
    <w:numStyleLink w:val="Formatvorlage3"/>
  </w:abstractNum>
  <w:abstractNum w:abstractNumId="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19"/>
  </w:num>
  <w:num w:numId="4">
    <w:abstractNumId w:val="9"/>
  </w:num>
  <w:num w:numId="5">
    <w:abstractNumId w:val="16"/>
  </w:num>
  <w:num w:numId="6">
    <w:abstractNumId w:val="8"/>
  </w:num>
  <w:num w:numId="7">
    <w:abstractNumId w:val="18"/>
  </w:num>
  <w:num w:numId="8">
    <w:abstractNumId w:val="2"/>
  </w:num>
  <w:num w:numId="9">
    <w:abstractNumId w:val="14"/>
  </w:num>
  <w:num w:numId="10">
    <w:abstractNumId w:val="7"/>
  </w:num>
  <w:num w:numId="11">
    <w:abstractNumId w:val="11"/>
  </w:num>
  <w:num w:numId="12">
    <w:abstractNumId w:val="3"/>
  </w:num>
  <w:num w:numId="13">
    <w:abstractNumId w:val="15"/>
  </w:num>
  <w:num w:numId="14">
    <w:abstractNumId w:val="12"/>
  </w:num>
  <w:num w:numId="15">
    <w:abstractNumId w:val="5"/>
  </w:num>
  <w:num w:numId="16">
    <w:abstractNumId w:val="10"/>
  </w:num>
  <w:num w:numId="17">
    <w:abstractNumId w:val="4"/>
  </w:num>
  <w:num w:numId="18">
    <w:abstractNumId w:val="17"/>
  </w:num>
  <w:num w:numId="19">
    <w:abstractNumId w:val="1"/>
  </w:num>
  <w:num w:numId="20">
    <w:abstractNumId w:val="6"/>
  </w:num>
  <w:num w:numId="21">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6"/>
  <w:hideSpelling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696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542"/>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59E7"/>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4352"/>
    <w:rsid w:val="000D5292"/>
    <w:rsid w:val="000D5958"/>
    <w:rsid w:val="000D6B9B"/>
    <w:rsid w:val="000E093A"/>
    <w:rsid w:val="000E1572"/>
    <w:rsid w:val="000E2774"/>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72E"/>
    <w:rsid w:val="0016282F"/>
    <w:rsid w:val="001628F4"/>
    <w:rsid w:val="00162CCF"/>
    <w:rsid w:val="00163DBA"/>
    <w:rsid w:val="00164970"/>
    <w:rsid w:val="00164B62"/>
    <w:rsid w:val="00167619"/>
    <w:rsid w:val="00167763"/>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201"/>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3B5F"/>
    <w:rsid w:val="00283C5E"/>
    <w:rsid w:val="00284A6D"/>
    <w:rsid w:val="00285E2F"/>
    <w:rsid w:val="0028628A"/>
    <w:rsid w:val="00290CAD"/>
    <w:rsid w:val="002917CA"/>
    <w:rsid w:val="002920FF"/>
    <w:rsid w:val="00292409"/>
    <w:rsid w:val="00292A20"/>
    <w:rsid w:val="0029520F"/>
    <w:rsid w:val="00295225"/>
    <w:rsid w:val="0029630E"/>
    <w:rsid w:val="00297074"/>
    <w:rsid w:val="0029726F"/>
    <w:rsid w:val="002A04D3"/>
    <w:rsid w:val="002A09D5"/>
    <w:rsid w:val="002A1B49"/>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E5"/>
    <w:rsid w:val="002D3982"/>
    <w:rsid w:val="002D4561"/>
    <w:rsid w:val="002D4E10"/>
    <w:rsid w:val="002D4F6A"/>
    <w:rsid w:val="002D6B9E"/>
    <w:rsid w:val="002D7779"/>
    <w:rsid w:val="002E053A"/>
    <w:rsid w:val="002E0DDB"/>
    <w:rsid w:val="002E136A"/>
    <w:rsid w:val="002E1B35"/>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2E9"/>
    <w:rsid w:val="004408E7"/>
    <w:rsid w:val="00443003"/>
    <w:rsid w:val="00443DD0"/>
    <w:rsid w:val="0044539D"/>
    <w:rsid w:val="00445E06"/>
    <w:rsid w:val="0044639C"/>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29A2"/>
    <w:rsid w:val="00462BAB"/>
    <w:rsid w:val="00464DCB"/>
    <w:rsid w:val="00464F34"/>
    <w:rsid w:val="00467F08"/>
    <w:rsid w:val="00470139"/>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113"/>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C7CBE"/>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A98"/>
    <w:rsid w:val="00536B6D"/>
    <w:rsid w:val="0053702D"/>
    <w:rsid w:val="005429A0"/>
    <w:rsid w:val="00542C33"/>
    <w:rsid w:val="00542EAE"/>
    <w:rsid w:val="00543964"/>
    <w:rsid w:val="00543DBD"/>
    <w:rsid w:val="00544DA4"/>
    <w:rsid w:val="00544E37"/>
    <w:rsid w:val="00547047"/>
    <w:rsid w:val="00550113"/>
    <w:rsid w:val="005511AD"/>
    <w:rsid w:val="00551271"/>
    <w:rsid w:val="0055245C"/>
    <w:rsid w:val="005528C1"/>
    <w:rsid w:val="00552A83"/>
    <w:rsid w:val="00552E3E"/>
    <w:rsid w:val="00554886"/>
    <w:rsid w:val="00554A32"/>
    <w:rsid w:val="005563DA"/>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DE"/>
    <w:rsid w:val="00581FA5"/>
    <w:rsid w:val="00582923"/>
    <w:rsid w:val="00583884"/>
    <w:rsid w:val="00584165"/>
    <w:rsid w:val="00585466"/>
    <w:rsid w:val="00585C1D"/>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25D"/>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27C"/>
    <w:rsid w:val="0073581C"/>
    <w:rsid w:val="00736AD5"/>
    <w:rsid w:val="00736D27"/>
    <w:rsid w:val="00736F34"/>
    <w:rsid w:val="00741BA6"/>
    <w:rsid w:val="007420C6"/>
    <w:rsid w:val="007434D0"/>
    <w:rsid w:val="007445C4"/>
    <w:rsid w:val="00745142"/>
    <w:rsid w:val="00745369"/>
    <w:rsid w:val="007463E2"/>
    <w:rsid w:val="007466A4"/>
    <w:rsid w:val="00747FFA"/>
    <w:rsid w:val="007503D4"/>
    <w:rsid w:val="007510AA"/>
    <w:rsid w:val="0075112B"/>
    <w:rsid w:val="00752B94"/>
    <w:rsid w:val="0075303E"/>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0F0C"/>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B0068"/>
    <w:rsid w:val="007B025E"/>
    <w:rsid w:val="007B0AC3"/>
    <w:rsid w:val="007B16A3"/>
    <w:rsid w:val="007B2F85"/>
    <w:rsid w:val="007B4F0B"/>
    <w:rsid w:val="007B4FD3"/>
    <w:rsid w:val="007B5523"/>
    <w:rsid w:val="007C099C"/>
    <w:rsid w:val="007C3B71"/>
    <w:rsid w:val="007C4C33"/>
    <w:rsid w:val="007C5DF2"/>
    <w:rsid w:val="007C64F7"/>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05C7A"/>
    <w:rsid w:val="00810D73"/>
    <w:rsid w:val="00810F87"/>
    <w:rsid w:val="0081176B"/>
    <w:rsid w:val="00812582"/>
    <w:rsid w:val="008125D7"/>
    <w:rsid w:val="008136B4"/>
    <w:rsid w:val="008151A6"/>
    <w:rsid w:val="00816B32"/>
    <w:rsid w:val="00816F2D"/>
    <w:rsid w:val="00820E23"/>
    <w:rsid w:val="0082105B"/>
    <w:rsid w:val="008241B9"/>
    <w:rsid w:val="008247BA"/>
    <w:rsid w:val="008248E0"/>
    <w:rsid w:val="00827C9A"/>
    <w:rsid w:val="008304E8"/>
    <w:rsid w:val="00830F86"/>
    <w:rsid w:val="0083278B"/>
    <w:rsid w:val="0083285E"/>
    <w:rsid w:val="00833EC0"/>
    <w:rsid w:val="008343BD"/>
    <w:rsid w:val="0083444D"/>
    <w:rsid w:val="00836845"/>
    <w:rsid w:val="00837E6A"/>
    <w:rsid w:val="00841322"/>
    <w:rsid w:val="00841645"/>
    <w:rsid w:val="008420D9"/>
    <w:rsid w:val="008427C5"/>
    <w:rsid w:val="00842A5C"/>
    <w:rsid w:val="00844689"/>
    <w:rsid w:val="00845545"/>
    <w:rsid w:val="008469DF"/>
    <w:rsid w:val="008503E1"/>
    <w:rsid w:val="00850C75"/>
    <w:rsid w:val="00852CAD"/>
    <w:rsid w:val="00854E5A"/>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3B93"/>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4E1"/>
    <w:rsid w:val="0099694B"/>
    <w:rsid w:val="009A1317"/>
    <w:rsid w:val="009A1A9B"/>
    <w:rsid w:val="009A2864"/>
    <w:rsid w:val="009A2E43"/>
    <w:rsid w:val="009A30B3"/>
    <w:rsid w:val="009A3874"/>
    <w:rsid w:val="009A455A"/>
    <w:rsid w:val="009A47E2"/>
    <w:rsid w:val="009A4B3E"/>
    <w:rsid w:val="009A6E08"/>
    <w:rsid w:val="009A7A38"/>
    <w:rsid w:val="009B09F5"/>
    <w:rsid w:val="009B0E38"/>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2F0"/>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4679"/>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6F51"/>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48C2"/>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7F0C"/>
    <w:rsid w:val="00B50194"/>
    <w:rsid w:val="00B51CC6"/>
    <w:rsid w:val="00B51F42"/>
    <w:rsid w:val="00B522A4"/>
    <w:rsid w:val="00B52872"/>
    <w:rsid w:val="00B53030"/>
    <w:rsid w:val="00B53847"/>
    <w:rsid w:val="00B53939"/>
    <w:rsid w:val="00B542AB"/>
    <w:rsid w:val="00B62635"/>
    <w:rsid w:val="00B70A6C"/>
    <w:rsid w:val="00B71CD5"/>
    <w:rsid w:val="00B71DAC"/>
    <w:rsid w:val="00B72E87"/>
    <w:rsid w:val="00B730C7"/>
    <w:rsid w:val="00B7350E"/>
    <w:rsid w:val="00B74792"/>
    <w:rsid w:val="00B74827"/>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6FBD"/>
    <w:rsid w:val="00B976CF"/>
    <w:rsid w:val="00B97F1B"/>
    <w:rsid w:val="00BA05FE"/>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6DB1"/>
    <w:rsid w:val="00C4706F"/>
    <w:rsid w:val="00C47BD3"/>
    <w:rsid w:val="00C504D3"/>
    <w:rsid w:val="00C536B3"/>
    <w:rsid w:val="00C53B22"/>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1093"/>
    <w:rsid w:val="00CE2B78"/>
    <w:rsid w:val="00CE31F7"/>
    <w:rsid w:val="00CE47AF"/>
    <w:rsid w:val="00CE4BEB"/>
    <w:rsid w:val="00CE4C49"/>
    <w:rsid w:val="00CE5ACF"/>
    <w:rsid w:val="00CE7F91"/>
    <w:rsid w:val="00CF0568"/>
    <w:rsid w:val="00CF2D64"/>
    <w:rsid w:val="00CF5466"/>
    <w:rsid w:val="00CF55F4"/>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6CB6"/>
    <w:rsid w:val="00E27969"/>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67D"/>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9633"/>
    <o:shapelayout v:ext="edit">
      <o:idmap v:ext="edit" data="1"/>
    </o:shapelayout>
  </w:shapeDefaults>
  <w:decimalSymbol w:val=","/>
  <w:listSeparator w:val=";"/>
  <w14:docId w14:val="774D65CD"/>
  <w15:docId w15:val="{5ECB933B-08DF-4CDB-A68C-212C6C07B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hr-HR"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C067D"/>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hr-HR"/>
    </w:rPr>
  </w:style>
  <w:style w:type="character" w:customStyle="1" w:styleId="Heading2Char">
    <w:name w:val="Heading 2 Char"/>
    <w:link w:val="Heading2"/>
    <w:uiPriority w:val="99"/>
    <w:locked/>
    <w:rsid w:val="00EC067D"/>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hr-HR"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Cs w:val="20"/>
    </w:rPr>
  </w:style>
  <w:style w:type="character" w:customStyle="1" w:styleId="CommentTextChar">
    <w:name w:val="Comment Text Char"/>
    <w:link w:val="CommentText"/>
    <w:uiPriority w:val="99"/>
    <w:locked/>
    <w:rsid w:val="00884FEB"/>
    <w:rPr>
      <w:rFonts w:ascii="Verdana" w:hAnsi="Verdana" w:cs="Times New Roman"/>
      <w:sz w:val="20"/>
      <w:szCs w:val="20"/>
      <w:lang w:val="hr-HR"/>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hr-HR"/>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hr-HR"/>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04542"/>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hr-HR"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04542"/>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hr-HR"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hr-HR"/>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hr-HR"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hr-HR"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hr-HR"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1F7806-04CD-4BAA-AAA7-698EC8CE3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1122</Words>
  <Characters>7418</Characters>
  <Application>Microsoft Office Word</Application>
  <DocSecurity>0</DocSecurity>
  <Lines>185</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8430</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HEIDL Ana (DGT)</cp:lastModifiedBy>
  <cp:revision>5</cp:revision>
  <dcterms:created xsi:type="dcterms:W3CDTF">2020-12-02T17:25:00Z</dcterms:created>
  <dcterms:modified xsi:type="dcterms:W3CDTF">2020-12-11T08:52:00Z</dcterms:modified>
</cp:coreProperties>
</file>