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11301" w14:textId="4475C7FE" w:rsidR="0040604D" w:rsidRPr="003E55AB" w:rsidRDefault="0040604D" w:rsidP="003E55AB">
      <w:pPr>
        <w:spacing w:before="0"/>
        <w:jc w:val="center"/>
        <w:rPr>
          <w:rFonts w:ascii="Times New Roman" w:hAnsi="Times New Roman"/>
          <w:sz w:val="24"/>
        </w:rPr>
      </w:pPr>
      <w:bookmarkStart w:id="0" w:name="_GoBack"/>
      <w:bookmarkEnd w:id="0"/>
      <w:r>
        <w:rPr>
          <w:rFonts w:ascii="Times New Roman" w:hAnsi="Times New Roman"/>
          <w:sz w:val="24"/>
        </w:rPr>
        <w:t>BIJLAGE XXI</w:t>
      </w:r>
    </w:p>
    <w:p w14:paraId="55B2E7E1" w14:textId="065A927F" w:rsidR="0040604D" w:rsidRDefault="0040604D" w:rsidP="003E55AB">
      <w:pPr>
        <w:spacing w:before="0"/>
        <w:jc w:val="center"/>
        <w:rPr>
          <w:rFonts w:ascii="Times New Roman" w:hAnsi="Times New Roman"/>
          <w:b/>
          <w:sz w:val="24"/>
        </w:rPr>
      </w:pPr>
      <w:r>
        <w:rPr>
          <w:rFonts w:ascii="Times New Roman" w:hAnsi="Times New Roman"/>
          <w:b/>
          <w:sz w:val="24"/>
        </w:rPr>
        <w:t>INSTRUCTIES VOOR DE RAPPORTAGE OVER CONCENTRATIE VAN NEUTRALISERENDE CAPACITEIT</w:t>
      </w:r>
    </w:p>
    <w:p w14:paraId="6C60C302" w14:textId="77777777" w:rsidR="0081623B" w:rsidRPr="003E55AB" w:rsidRDefault="0081623B" w:rsidP="003E55AB">
      <w:pPr>
        <w:spacing w:before="0"/>
        <w:jc w:val="center"/>
        <w:rPr>
          <w:rFonts w:ascii="Times New Roman" w:hAnsi="Times New Roman"/>
          <w:b/>
          <w:sz w:val="24"/>
        </w:rPr>
      </w:pPr>
    </w:p>
    <w:p w14:paraId="2314BCB9" w14:textId="3D6E6875" w:rsidR="00B1719D" w:rsidRPr="0081623B" w:rsidRDefault="00292B75" w:rsidP="003E55AB">
      <w:pPr>
        <w:widowControl w:val="0"/>
        <w:spacing w:before="0" w:line="280" w:lineRule="atLeast"/>
        <w:ind w:left="714" w:hanging="357"/>
        <w:rPr>
          <w:rFonts w:ascii="Times New Roman" w:hAnsi="Times New Roman"/>
          <w:sz w:val="24"/>
        </w:rPr>
      </w:pPr>
      <w:r w:rsidRPr="00DC3EC2">
        <w:rPr>
          <w:rFonts w:ascii="Times New Roman" w:hAnsi="Times New Roman"/>
          <w:sz w:val="24"/>
        </w:rPr>
        <w:t>1</w:t>
      </w:r>
      <w:r>
        <w:rPr>
          <w:rFonts w:ascii="Times New Roman" w:hAnsi="Times New Roman"/>
          <w:sz w:val="24"/>
        </w:rPr>
        <w:t>.</w:t>
      </w:r>
      <w:r>
        <w:tab/>
      </w:r>
      <w:r>
        <w:rPr>
          <w:rFonts w:ascii="Times New Roman" w:hAnsi="Times New Roman"/>
          <w:sz w:val="24"/>
        </w:rPr>
        <w:t xml:space="preserve">Om informatie te verzamelen over de concentratie van neutraliserende capaciteit van de rapporterende instellingen aan de hand van de tien grootse portefeuilles van activa of voor dit doeleinde aan de instelling toegekende liquiditeitslijnen overeenkomstig template C </w:t>
      </w:r>
      <w:r w:rsidRPr="00DC3EC2">
        <w:rPr>
          <w:rFonts w:ascii="Times New Roman" w:hAnsi="Times New Roman"/>
          <w:sz w:val="24"/>
        </w:rPr>
        <w:t>71</w:t>
      </w:r>
      <w:r>
        <w:rPr>
          <w:rFonts w:ascii="Times New Roman" w:hAnsi="Times New Roman"/>
          <w:sz w:val="24"/>
        </w:rPr>
        <w:t>.</w:t>
      </w:r>
      <w:r w:rsidRPr="00DC3EC2">
        <w:rPr>
          <w:rFonts w:ascii="Times New Roman" w:hAnsi="Times New Roman"/>
          <w:sz w:val="24"/>
        </w:rPr>
        <w:t>00</w:t>
      </w:r>
      <w:r>
        <w:rPr>
          <w:rFonts w:ascii="Times New Roman" w:hAnsi="Times New Roman"/>
          <w:sz w:val="24"/>
        </w:rPr>
        <w:t>, volgen de instellingen de in deze bijlage opgenomen instructies.</w:t>
      </w:r>
    </w:p>
    <w:p w14:paraId="6D98D095" w14:textId="6A747233" w:rsidR="00672B1B" w:rsidRPr="0081623B" w:rsidRDefault="00292B75" w:rsidP="003E55AB">
      <w:pPr>
        <w:widowControl w:val="0"/>
        <w:spacing w:before="0" w:line="280" w:lineRule="atLeast"/>
        <w:ind w:left="714" w:hanging="357"/>
        <w:rPr>
          <w:rFonts w:ascii="Times New Roman" w:hAnsi="Times New Roman"/>
          <w:sz w:val="24"/>
        </w:rPr>
      </w:pPr>
      <w:r w:rsidRPr="00DC3EC2">
        <w:rPr>
          <w:rFonts w:ascii="Times New Roman" w:hAnsi="Times New Roman"/>
          <w:sz w:val="24"/>
        </w:rPr>
        <w:t>2</w:t>
      </w:r>
      <w:r>
        <w:rPr>
          <w:rFonts w:ascii="Times New Roman" w:hAnsi="Times New Roman"/>
          <w:sz w:val="24"/>
        </w:rPr>
        <w:t>.</w:t>
      </w:r>
      <w:r>
        <w:tab/>
      </w:r>
      <w:r>
        <w:rPr>
          <w:rFonts w:ascii="Times New Roman" w:hAnsi="Times New Roman"/>
          <w:sz w:val="24"/>
        </w:rPr>
        <w:t xml:space="preserve">Wanneer een emittent of tegenpartij bij meer dan één productsoort, valuta of kredietkwaliteitscategorie wordt vermeld, wordt het totale bedrag gerapporteerd. Als productsoort, valuta of kredietkwaliteitscategorie worden die gerapporteerd welke relevant zijn voor het grootste gedeelte van de concentratie van neutraliserende capaciteit. </w:t>
      </w:r>
    </w:p>
    <w:p w14:paraId="1A86D9FE" w14:textId="2D9CE2DF" w:rsidR="00FF4741" w:rsidRPr="0081623B" w:rsidRDefault="00292B75" w:rsidP="003E55AB">
      <w:pPr>
        <w:widowControl w:val="0"/>
        <w:spacing w:before="0" w:line="280" w:lineRule="atLeast"/>
        <w:ind w:left="714" w:hanging="357"/>
        <w:rPr>
          <w:rFonts w:ascii="Times New Roman" w:hAnsi="Times New Roman"/>
          <w:sz w:val="24"/>
        </w:rPr>
      </w:pPr>
      <w:r w:rsidRPr="00DC3EC2">
        <w:rPr>
          <w:rFonts w:ascii="Times New Roman" w:hAnsi="Times New Roman"/>
          <w:sz w:val="24"/>
        </w:rPr>
        <w:t>3</w:t>
      </w:r>
      <w:r>
        <w:rPr>
          <w:rFonts w:ascii="Times New Roman" w:hAnsi="Times New Roman"/>
          <w:sz w:val="24"/>
        </w:rPr>
        <w:t>.</w:t>
      </w:r>
      <w:r>
        <w:tab/>
      </w:r>
      <w:r>
        <w:rPr>
          <w:rFonts w:ascii="Times New Roman" w:hAnsi="Times New Roman"/>
          <w:sz w:val="24"/>
        </w:rPr>
        <w:t xml:space="preserve">De neutraliserende capaciteit in C </w:t>
      </w:r>
      <w:r w:rsidRPr="00DC3EC2">
        <w:rPr>
          <w:rFonts w:ascii="Times New Roman" w:hAnsi="Times New Roman"/>
          <w:sz w:val="24"/>
        </w:rPr>
        <w:t>71</w:t>
      </w:r>
      <w:r>
        <w:rPr>
          <w:rFonts w:ascii="Times New Roman" w:hAnsi="Times New Roman"/>
          <w:sz w:val="24"/>
        </w:rPr>
        <w:t>.</w:t>
      </w:r>
      <w:r w:rsidRPr="00DC3EC2">
        <w:rPr>
          <w:rFonts w:ascii="Times New Roman" w:hAnsi="Times New Roman"/>
          <w:sz w:val="24"/>
        </w:rPr>
        <w:t>00</w:t>
      </w:r>
      <w:r>
        <w:rPr>
          <w:rFonts w:ascii="Times New Roman" w:hAnsi="Times New Roman"/>
          <w:sz w:val="24"/>
        </w:rPr>
        <w:t xml:space="preserve"> is dezelfde als die in C </w:t>
      </w:r>
      <w:r w:rsidRPr="00DC3EC2">
        <w:rPr>
          <w:rFonts w:ascii="Times New Roman" w:hAnsi="Times New Roman"/>
          <w:sz w:val="24"/>
        </w:rPr>
        <w:t>66</w:t>
      </w:r>
      <w:r>
        <w:rPr>
          <w:rFonts w:ascii="Times New Roman" w:hAnsi="Times New Roman"/>
          <w:sz w:val="24"/>
        </w:rPr>
        <w:t>.</w:t>
      </w:r>
      <w:r w:rsidRPr="00DC3EC2">
        <w:rPr>
          <w:rFonts w:ascii="Times New Roman" w:hAnsi="Times New Roman"/>
          <w:sz w:val="24"/>
        </w:rPr>
        <w:t>01</w:t>
      </w:r>
      <w:r>
        <w:rPr>
          <w:rFonts w:ascii="Times New Roman" w:hAnsi="Times New Roman"/>
          <w:sz w:val="24"/>
        </w:rPr>
        <w:t>, met dien verstande dat de activa die als neutraliserende capaciteit voor C </w:t>
      </w:r>
      <w:r w:rsidRPr="00DC3EC2">
        <w:rPr>
          <w:rFonts w:ascii="Times New Roman" w:hAnsi="Times New Roman"/>
          <w:sz w:val="24"/>
        </w:rPr>
        <w:t>71</w:t>
      </w:r>
      <w:r>
        <w:rPr>
          <w:rFonts w:ascii="Times New Roman" w:hAnsi="Times New Roman"/>
          <w:sz w:val="24"/>
        </w:rPr>
        <w:t>.</w:t>
      </w:r>
      <w:r w:rsidRPr="00DC3EC2">
        <w:rPr>
          <w:rFonts w:ascii="Times New Roman" w:hAnsi="Times New Roman"/>
          <w:sz w:val="24"/>
        </w:rPr>
        <w:t>00</w:t>
      </w:r>
      <w:r>
        <w:rPr>
          <w:rFonts w:ascii="Times New Roman" w:hAnsi="Times New Roman"/>
          <w:sz w:val="24"/>
        </w:rPr>
        <w:t xml:space="preserve"> worden gerapporteerd, onbezwaard zijn, zodat de instelling er op de rapportagereferentiedatum over kan beschikken om ze te gelde te maken.</w:t>
      </w:r>
    </w:p>
    <w:p w14:paraId="52C95F92" w14:textId="76B8503D" w:rsidR="00EF029F" w:rsidRPr="0081623B" w:rsidRDefault="00292B75" w:rsidP="003E55AB">
      <w:pPr>
        <w:widowControl w:val="0"/>
        <w:spacing w:before="0" w:line="280" w:lineRule="atLeast"/>
        <w:ind w:left="714" w:hanging="357"/>
        <w:rPr>
          <w:rFonts w:ascii="Times New Roman" w:hAnsi="Times New Roman"/>
          <w:sz w:val="24"/>
        </w:rPr>
      </w:pPr>
      <w:r w:rsidRPr="00DC3EC2">
        <w:rPr>
          <w:rFonts w:ascii="Times New Roman" w:hAnsi="Times New Roman"/>
          <w:sz w:val="24"/>
        </w:rPr>
        <w:t>4</w:t>
      </w:r>
      <w:r>
        <w:rPr>
          <w:rFonts w:ascii="Times New Roman" w:hAnsi="Times New Roman"/>
          <w:sz w:val="24"/>
        </w:rPr>
        <w:t>.</w:t>
      </w:r>
      <w:r>
        <w:tab/>
      </w:r>
      <w:r>
        <w:rPr>
          <w:rFonts w:ascii="Times New Roman" w:hAnsi="Times New Roman"/>
          <w:sz w:val="24"/>
        </w:rPr>
        <w:t xml:space="preserve">Voor de berekening van de concentraties voor rapportagetemplate C </w:t>
      </w:r>
      <w:r w:rsidRPr="00DC3EC2">
        <w:rPr>
          <w:rFonts w:ascii="Times New Roman" w:hAnsi="Times New Roman"/>
          <w:sz w:val="24"/>
        </w:rPr>
        <w:t>71</w:t>
      </w:r>
      <w:r>
        <w:rPr>
          <w:rFonts w:ascii="Times New Roman" w:hAnsi="Times New Roman"/>
          <w:sz w:val="24"/>
        </w:rPr>
        <w:t>.</w:t>
      </w:r>
      <w:r w:rsidRPr="00DC3EC2">
        <w:rPr>
          <w:rFonts w:ascii="Times New Roman" w:hAnsi="Times New Roman"/>
          <w:sz w:val="24"/>
        </w:rPr>
        <w:t>00</w:t>
      </w:r>
      <w:r>
        <w:rPr>
          <w:rFonts w:ascii="Times New Roman" w:hAnsi="Times New Roman"/>
          <w:sz w:val="24"/>
        </w:rPr>
        <w:t xml:space="preserve"> per significante valuta gebruiken de instellingen de concentraties in alle valuta's.</w:t>
      </w:r>
    </w:p>
    <w:p w14:paraId="5D592CDE" w14:textId="137C55E0" w:rsidR="0005633D" w:rsidRPr="0081623B" w:rsidRDefault="00292B75" w:rsidP="003E55AB">
      <w:pPr>
        <w:widowControl w:val="0"/>
        <w:spacing w:before="0" w:line="280" w:lineRule="atLeast"/>
        <w:ind w:left="714" w:hanging="357"/>
        <w:rPr>
          <w:rFonts w:ascii="Times New Roman" w:hAnsi="Times New Roman"/>
          <w:sz w:val="24"/>
        </w:rPr>
      </w:pPr>
      <w:r w:rsidRPr="00DC3EC2">
        <w:rPr>
          <w:rFonts w:ascii="Times New Roman" w:hAnsi="Times New Roman"/>
          <w:sz w:val="24"/>
        </w:rPr>
        <w:t>5</w:t>
      </w:r>
      <w:r>
        <w:rPr>
          <w:rFonts w:ascii="Times New Roman" w:hAnsi="Times New Roman"/>
          <w:sz w:val="24"/>
        </w:rPr>
        <w:t>.</w:t>
      </w:r>
      <w:r>
        <w:tab/>
      </w:r>
      <w:r>
        <w:rPr>
          <w:rFonts w:ascii="Times New Roman" w:hAnsi="Times New Roman"/>
          <w:sz w:val="24"/>
        </w:rPr>
        <w:t>Indien een emittent of tegenpartij tot verschillende groepen verbonden cliënten behoort, wordt deze slechts één keer gerapporteerd in de groep met de hoogste concentratie van neutraliserende capaciteit.</w:t>
      </w:r>
    </w:p>
    <w:p w14:paraId="2C0B2260" w14:textId="17EB1C17" w:rsidR="00CB05F9" w:rsidRPr="0081623B" w:rsidRDefault="00292B75" w:rsidP="003E55AB">
      <w:pPr>
        <w:widowControl w:val="0"/>
        <w:spacing w:before="0" w:line="280" w:lineRule="atLeast"/>
        <w:ind w:left="714" w:hanging="357"/>
        <w:rPr>
          <w:rFonts w:ascii="Times New Roman" w:hAnsi="Times New Roman"/>
          <w:sz w:val="24"/>
        </w:rPr>
      </w:pPr>
      <w:r w:rsidRPr="00DC3EC2">
        <w:rPr>
          <w:rFonts w:ascii="Times New Roman" w:hAnsi="Times New Roman"/>
          <w:sz w:val="24"/>
        </w:rPr>
        <w:t>6</w:t>
      </w:r>
      <w:r>
        <w:rPr>
          <w:rFonts w:ascii="Times New Roman" w:hAnsi="Times New Roman"/>
          <w:sz w:val="24"/>
        </w:rPr>
        <w:t>.</w:t>
      </w:r>
      <w:r>
        <w:tab/>
      </w:r>
      <w:r>
        <w:rPr>
          <w:rFonts w:ascii="Times New Roman" w:hAnsi="Times New Roman"/>
          <w:sz w:val="24"/>
        </w:rPr>
        <w:t xml:space="preserve">Behalve in rij </w:t>
      </w:r>
      <w:r w:rsidRPr="00DC3EC2">
        <w:rPr>
          <w:rFonts w:ascii="Times New Roman" w:hAnsi="Times New Roman"/>
          <w:sz w:val="24"/>
        </w:rPr>
        <w:t>120</w:t>
      </w:r>
      <w:r>
        <w:rPr>
          <w:rFonts w:ascii="Times New Roman" w:hAnsi="Times New Roman"/>
          <w:sz w:val="24"/>
        </w:rPr>
        <w:t xml:space="preserve"> worden in deze template geen concentraties van neutraliserende capaciteit met een centrale bank als emittent of tegenpartij gerapporteerd. In het geval dat een instelling vooraf bij een centrale bank activa heeft geplaatst voor normale liquiditeitsoperaties en voor zover deze activa tot de tien grootste emittenten of tegenpartijen van onbezwaarde neutraliserende capaciteit behoren, rapporteert de instelling de oorspronkelijke emittent en het oorspronkelijke producttype.</w:t>
      </w:r>
    </w:p>
    <w:p w14:paraId="423289FA" w14:textId="77777777" w:rsidR="00E05204" w:rsidRPr="00DC3EC2" w:rsidRDefault="00E05204" w:rsidP="003E55AB">
      <w:pPr>
        <w:spacing w:before="0"/>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81623B" w14:paraId="4310E2B4" w14:textId="77777777" w:rsidTr="00845EB1">
        <w:tc>
          <w:tcPr>
            <w:tcW w:w="990" w:type="dxa"/>
            <w:shd w:val="clear" w:color="auto" w:fill="EEECE1" w:themeFill="background2"/>
          </w:tcPr>
          <w:p w14:paraId="27E41224" w14:textId="77777777" w:rsidR="00E05204" w:rsidRPr="0081623B" w:rsidRDefault="00E05204" w:rsidP="003E55AB">
            <w:pPr>
              <w:spacing w:before="0"/>
              <w:rPr>
                <w:rFonts w:ascii="Times New Roman" w:hAnsi="Times New Roman"/>
                <w:sz w:val="24"/>
              </w:rPr>
            </w:pPr>
            <w:r>
              <w:rPr>
                <w:rFonts w:ascii="Times New Roman" w:hAnsi="Times New Roman"/>
                <w:sz w:val="24"/>
              </w:rPr>
              <w:t>Kolom</w:t>
            </w:r>
          </w:p>
        </w:tc>
        <w:tc>
          <w:tcPr>
            <w:tcW w:w="7306" w:type="dxa"/>
            <w:shd w:val="clear" w:color="auto" w:fill="EEECE1" w:themeFill="background2"/>
          </w:tcPr>
          <w:p w14:paraId="7398AC24" w14:textId="77777777" w:rsidR="00E05204" w:rsidRPr="0081623B" w:rsidRDefault="00E05204" w:rsidP="003E55AB">
            <w:pPr>
              <w:spacing w:before="0"/>
              <w:rPr>
                <w:rFonts w:ascii="Times New Roman" w:hAnsi="Times New Roman"/>
                <w:sz w:val="24"/>
              </w:rPr>
            </w:pPr>
            <w:r>
              <w:rPr>
                <w:rFonts w:ascii="Times New Roman" w:hAnsi="Times New Roman"/>
                <w:sz w:val="24"/>
              </w:rPr>
              <w:t>Verwijzingen naar wetgeving en instructies</w:t>
            </w:r>
          </w:p>
        </w:tc>
      </w:tr>
      <w:tr w:rsidR="00E05204" w:rsidRPr="0081623B" w14:paraId="32AA40F1" w14:textId="77777777" w:rsidTr="00845EB1">
        <w:tc>
          <w:tcPr>
            <w:tcW w:w="990" w:type="dxa"/>
          </w:tcPr>
          <w:p w14:paraId="79D5F65E" w14:textId="77777777" w:rsidR="00E05204" w:rsidRPr="0081623B" w:rsidRDefault="00125C48" w:rsidP="003E55AB">
            <w:pPr>
              <w:spacing w:before="0"/>
              <w:rPr>
                <w:rFonts w:ascii="Times New Roman" w:hAnsi="Times New Roman"/>
                <w:sz w:val="24"/>
              </w:rPr>
            </w:pPr>
            <w:r w:rsidRPr="00DC3EC2">
              <w:rPr>
                <w:rFonts w:ascii="Times New Roman" w:hAnsi="Times New Roman"/>
                <w:sz w:val="24"/>
              </w:rPr>
              <w:t>010</w:t>
            </w:r>
          </w:p>
        </w:tc>
        <w:tc>
          <w:tcPr>
            <w:tcW w:w="7306" w:type="dxa"/>
          </w:tcPr>
          <w:p w14:paraId="20597254" w14:textId="73E89BCB" w:rsidR="00E05204" w:rsidRPr="0081623B" w:rsidRDefault="004C1638" w:rsidP="003E55AB">
            <w:pPr>
              <w:spacing w:before="0"/>
              <w:rPr>
                <w:rFonts w:ascii="Times New Roman" w:hAnsi="Times New Roman"/>
                <w:b/>
                <w:sz w:val="24"/>
                <w:u w:val="single"/>
              </w:rPr>
            </w:pPr>
            <w:r>
              <w:rPr>
                <w:rFonts w:ascii="Times New Roman" w:hAnsi="Times New Roman"/>
                <w:b/>
                <w:sz w:val="24"/>
                <w:u w:val="single"/>
              </w:rPr>
              <w:t>Naam emittent</w:t>
            </w:r>
          </w:p>
          <w:p w14:paraId="36B02E7E" w14:textId="56EF9FD1" w:rsidR="00E05204" w:rsidRPr="0081623B" w:rsidRDefault="00E05204" w:rsidP="003E55AB">
            <w:pPr>
              <w:spacing w:before="0"/>
              <w:rPr>
                <w:rFonts w:ascii="Times New Roman" w:hAnsi="Times New Roman"/>
                <w:sz w:val="24"/>
              </w:rPr>
            </w:pPr>
            <w:r>
              <w:rPr>
                <w:rFonts w:ascii="Times New Roman" w:hAnsi="Times New Roman"/>
                <w:sz w:val="24"/>
              </w:rPr>
              <w:t xml:space="preserve">De naam van de tien grootste emittenten van onbezwaarde activa of tegenpartijen van aan de instelling toegekende onbenutte gecommitteerde liquiditeitslijnen wordt in afnemende grootte vermeld in kolom </w:t>
            </w:r>
            <w:r w:rsidRPr="00DC3EC2">
              <w:rPr>
                <w:rFonts w:ascii="Times New Roman" w:hAnsi="Times New Roman"/>
                <w:sz w:val="24"/>
              </w:rPr>
              <w:t>010</w:t>
            </w:r>
            <w:r>
              <w:rPr>
                <w:rFonts w:ascii="Times New Roman" w:hAnsi="Times New Roman"/>
                <w:sz w:val="24"/>
              </w:rPr>
              <w:t xml:space="preserve">. De grootste post wordt vermeld in </w:t>
            </w:r>
            <w:r w:rsidRPr="00DC3EC2">
              <w:rPr>
                <w:rFonts w:ascii="Times New Roman" w:hAnsi="Times New Roman"/>
                <w:sz w:val="24"/>
              </w:rPr>
              <w:t>1</w:t>
            </w:r>
            <w:r>
              <w:rPr>
                <w:rFonts w:ascii="Times New Roman" w:hAnsi="Times New Roman"/>
                <w:sz w:val="24"/>
              </w:rPr>
              <w:t>.</w:t>
            </w:r>
            <w:r w:rsidRPr="00DC3EC2">
              <w:rPr>
                <w:rFonts w:ascii="Times New Roman" w:hAnsi="Times New Roman"/>
                <w:sz w:val="24"/>
              </w:rPr>
              <w:t>01</w:t>
            </w:r>
            <w:r>
              <w:rPr>
                <w:rFonts w:ascii="Times New Roman" w:hAnsi="Times New Roman"/>
                <w:sz w:val="24"/>
              </w:rPr>
              <w:t xml:space="preserve">, de op een na grootste in </w:t>
            </w:r>
            <w:r w:rsidRPr="00DC3EC2">
              <w:rPr>
                <w:rFonts w:ascii="Times New Roman" w:hAnsi="Times New Roman"/>
                <w:sz w:val="24"/>
              </w:rPr>
              <w:t>1</w:t>
            </w:r>
            <w:r>
              <w:rPr>
                <w:rFonts w:ascii="Times New Roman" w:hAnsi="Times New Roman"/>
                <w:sz w:val="24"/>
              </w:rPr>
              <w:t>.</w:t>
            </w:r>
            <w:r w:rsidRPr="00DC3EC2">
              <w:rPr>
                <w:rFonts w:ascii="Times New Roman" w:hAnsi="Times New Roman"/>
                <w:sz w:val="24"/>
              </w:rPr>
              <w:t>02</w:t>
            </w:r>
            <w:r>
              <w:rPr>
                <w:rFonts w:ascii="Times New Roman" w:hAnsi="Times New Roman"/>
                <w:sz w:val="24"/>
              </w:rPr>
              <w:t xml:space="preserve"> enz. Emittenten en tegenpartijen die een groep verbonden cliënten vormen, worden als één concentratie gerapporteerd.</w:t>
            </w:r>
          </w:p>
          <w:p w14:paraId="4E01B5DA" w14:textId="4F0E946D" w:rsidR="00E05204" w:rsidRPr="0081623B" w:rsidRDefault="00E05204" w:rsidP="003E55AB">
            <w:pPr>
              <w:spacing w:before="0"/>
              <w:rPr>
                <w:rFonts w:ascii="Times New Roman" w:hAnsi="Times New Roman"/>
                <w:sz w:val="24"/>
              </w:rPr>
            </w:pPr>
            <w:r>
              <w:rPr>
                <w:rFonts w:ascii="Times New Roman" w:hAnsi="Times New Roman"/>
                <w:sz w:val="24"/>
              </w:rPr>
              <w:t>De vermelde naam van de emittent of tegenpartij is de volledige naam van de juridische entiteit die de activa heeft uitgegeven of de liquiditeitslijnen heeft toegekend, inclusief de aanduiding van het soort onderneming overeenkomstig het nationale vennootschapsrecht.</w:t>
            </w:r>
          </w:p>
        </w:tc>
      </w:tr>
      <w:tr w:rsidR="00E05204" w:rsidRPr="0081623B" w14:paraId="5485249F" w14:textId="77777777" w:rsidTr="00845EB1">
        <w:tc>
          <w:tcPr>
            <w:tcW w:w="990" w:type="dxa"/>
          </w:tcPr>
          <w:p w14:paraId="488A21BC" w14:textId="77777777" w:rsidR="00E05204" w:rsidRPr="0081623B" w:rsidRDefault="00125C48" w:rsidP="003E55AB">
            <w:pPr>
              <w:spacing w:before="0"/>
              <w:rPr>
                <w:rFonts w:ascii="Times New Roman" w:hAnsi="Times New Roman"/>
                <w:sz w:val="24"/>
              </w:rPr>
            </w:pPr>
            <w:r w:rsidRPr="00DC3EC2">
              <w:rPr>
                <w:rFonts w:ascii="Times New Roman" w:hAnsi="Times New Roman"/>
                <w:sz w:val="24"/>
              </w:rPr>
              <w:lastRenderedPageBreak/>
              <w:t>020</w:t>
            </w:r>
          </w:p>
        </w:tc>
        <w:tc>
          <w:tcPr>
            <w:tcW w:w="7306" w:type="dxa"/>
          </w:tcPr>
          <w:p w14:paraId="763D0E5F" w14:textId="77777777" w:rsidR="00E05204" w:rsidRPr="0081623B" w:rsidRDefault="00E05204" w:rsidP="003E55AB">
            <w:pPr>
              <w:spacing w:before="0"/>
              <w:rPr>
                <w:rStyle w:val="InstructionsTabelleberschrift"/>
                <w:rFonts w:ascii="Times New Roman" w:hAnsi="Times New Roman"/>
                <w:sz w:val="24"/>
              </w:rPr>
            </w:pPr>
            <w:r>
              <w:rPr>
                <w:rStyle w:val="InstructionsTabelleberschrift"/>
                <w:rFonts w:ascii="Times New Roman" w:hAnsi="Times New Roman"/>
                <w:sz w:val="24"/>
              </w:rPr>
              <w:t>LEI-code</w:t>
            </w:r>
          </w:p>
          <w:p w14:paraId="7861A1B2" w14:textId="190A7764" w:rsidR="00E05204" w:rsidRPr="003E55AB" w:rsidRDefault="00E05204" w:rsidP="003E55AB">
            <w:pPr>
              <w:spacing w:before="0"/>
              <w:rPr>
                <w:rFonts w:ascii="Times New Roman" w:hAnsi="Times New Roman"/>
                <w:b/>
                <w:sz w:val="24"/>
              </w:rPr>
            </w:pPr>
            <w:r>
              <w:rPr>
                <w:rFonts w:ascii="Times New Roman" w:hAnsi="Times New Roman"/>
                <w:sz w:val="24"/>
              </w:rPr>
              <w:t>De identificatiecode van de rechtspersoon van de tegenpartij</w:t>
            </w:r>
            <w:r>
              <w:rPr>
                <w:rFonts w:ascii="Times New Roman" w:hAnsi="Times New Roman"/>
                <w:bCs/>
                <w:sz w:val="24"/>
              </w:rPr>
              <w:t xml:space="preserve"> </w:t>
            </w:r>
          </w:p>
        </w:tc>
      </w:tr>
      <w:tr w:rsidR="00E05204" w:rsidRPr="0081623B" w14:paraId="2B1BAA00" w14:textId="77777777" w:rsidTr="00845EB1">
        <w:tc>
          <w:tcPr>
            <w:tcW w:w="990" w:type="dxa"/>
          </w:tcPr>
          <w:p w14:paraId="12DAC473" w14:textId="77777777" w:rsidR="00E05204" w:rsidRPr="0081623B" w:rsidRDefault="00125C48" w:rsidP="003E55AB">
            <w:pPr>
              <w:spacing w:before="0"/>
              <w:rPr>
                <w:rFonts w:ascii="Times New Roman" w:hAnsi="Times New Roman"/>
                <w:sz w:val="24"/>
              </w:rPr>
            </w:pPr>
            <w:r w:rsidRPr="00DC3EC2">
              <w:rPr>
                <w:rFonts w:ascii="Times New Roman" w:hAnsi="Times New Roman"/>
                <w:sz w:val="24"/>
              </w:rPr>
              <w:t>030</w:t>
            </w:r>
          </w:p>
        </w:tc>
        <w:tc>
          <w:tcPr>
            <w:tcW w:w="7306" w:type="dxa"/>
          </w:tcPr>
          <w:p w14:paraId="6DAF3DB3" w14:textId="4B8E1486" w:rsidR="00E05204" w:rsidRPr="0081623B" w:rsidRDefault="004C1638" w:rsidP="003E55AB">
            <w:pPr>
              <w:spacing w:before="0"/>
              <w:rPr>
                <w:rFonts w:ascii="Times New Roman" w:hAnsi="Times New Roman"/>
                <w:b/>
                <w:sz w:val="24"/>
                <w:u w:val="single"/>
              </w:rPr>
            </w:pPr>
            <w:r>
              <w:rPr>
                <w:rFonts w:ascii="Times New Roman" w:hAnsi="Times New Roman"/>
                <w:b/>
                <w:sz w:val="24"/>
                <w:u w:val="single"/>
              </w:rPr>
              <w:t>Sector van de emittent</w:t>
            </w:r>
          </w:p>
          <w:p w14:paraId="62F53B63" w14:textId="27347E6E" w:rsidR="00E05204" w:rsidRPr="003E55AB" w:rsidRDefault="00E05204" w:rsidP="003E55AB">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Aan elke emittent of tegenpartij wordt één sector toegekend volgens de FINREP-indeling van economische sectoren:</w:t>
            </w:r>
          </w:p>
          <w:p w14:paraId="563180C8" w14:textId="31A14F6F" w:rsidR="00E05204" w:rsidRPr="0081623B" w:rsidRDefault="00E05204" w:rsidP="003E55AB">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 overheden; ii) kredietinstellingen; iii) overige financiële ondernemingen; iv) niet-financiële ondernemingen; v) huishoudens. </w:t>
            </w:r>
          </w:p>
          <w:p w14:paraId="3E53ACDF" w14:textId="14712E31" w:rsidR="00E05204" w:rsidRPr="0081623B" w:rsidRDefault="00E05204" w:rsidP="003E55AB">
            <w:pPr>
              <w:spacing w:before="0"/>
              <w:rPr>
                <w:rFonts w:ascii="Times New Roman" w:hAnsi="Times New Roman"/>
                <w:sz w:val="24"/>
              </w:rPr>
            </w:pPr>
            <w:r>
              <w:rPr>
                <w:rStyle w:val="FormatvorlageInstructionsTabelleText"/>
                <w:rFonts w:ascii="Times New Roman" w:hAnsi="Times New Roman"/>
                <w:sz w:val="24"/>
              </w:rPr>
              <w:t xml:space="preserve">Voor </w:t>
            </w:r>
            <w:r>
              <w:rPr>
                <w:rFonts w:ascii="Times New Roman" w:hAnsi="Times New Roman"/>
                <w:sz w:val="24"/>
              </w:rPr>
              <w:t>groepen</w:t>
            </w:r>
            <w:r>
              <w:rPr>
                <w:rStyle w:val="FormatvorlageInstructionsTabelleText"/>
                <w:rFonts w:ascii="Times New Roman" w:hAnsi="Times New Roman"/>
                <w:sz w:val="24"/>
              </w:rPr>
              <w:t xml:space="preserve"> verbonden cliënten wordt geen sector gerapporteerd. </w:t>
            </w:r>
          </w:p>
        </w:tc>
      </w:tr>
      <w:tr w:rsidR="00E05204" w:rsidRPr="0081623B" w14:paraId="66F40C8E" w14:textId="77777777" w:rsidTr="00845EB1">
        <w:tc>
          <w:tcPr>
            <w:tcW w:w="990" w:type="dxa"/>
          </w:tcPr>
          <w:p w14:paraId="5F55844F" w14:textId="77777777" w:rsidR="00E05204" w:rsidRPr="0081623B" w:rsidRDefault="00125C48" w:rsidP="003E55AB">
            <w:pPr>
              <w:spacing w:before="0"/>
              <w:rPr>
                <w:rFonts w:ascii="Times New Roman" w:hAnsi="Times New Roman"/>
                <w:sz w:val="24"/>
              </w:rPr>
            </w:pPr>
            <w:r w:rsidRPr="00DC3EC2">
              <w:rPr>
                <w:rFonts w:ascii="Times New Roman" w:hAnsi="Times New Roman"/>
                <w:sz w:val="24"/>
              </w:rPr>
              <w:t>040</w:t>
            </w:r>
          </w:p>
        </w:tc>
        <w:tc>
          <w:tcPr>
            <w:tcW w:w="7306" w:type="dxa"/>
          </w:tcPr>
          <w:p w14:paraId="6EC1C162" w14:textId="488287EA"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 xml:space="preserve">Vestigingsplaats van de emittent </w:t>
            </w:r>
          </w:p>
          <w:p w14:paraId="0F33DF35" w14:textId="52A4F552" w:rsidR="00E05204" w:rsidRPr="0081623B" w:rsidRDefault="00E05204" w:rsidP="003E55AB">
            <w:pPr>
              <w:spacing w:before="0"/>
              <w:rPr>
                <w:rStyle w:val="FormatvorlageInstructionsTabelleText"/>
                <w:rFonts w:ascii="Times New Roman" w:hAnsi="Times New Roman"/>
                <w:sz w:val="24"/>
              </w:rPr>
            </w:pPr>
            <w:r>
              <w:rPr>
                <w:rStyle w:val="FormatvorlageInstructionsTabelleText"/>
                <w:rFonts w:ascii="Times New Roman" w:hAnsi="Times New Roman"/>
                <w:sz w:val="24"/>
              </w:rPr>
              <w:t xml:space="preserve">Er wordt gebruik gemaakt van de ISO-code </w:t>
            </w:r>
            <w:r w:rsidRPr="00DC3EC2">
              <w:rPr>
                <w:rStyle w:val="FormatvorlageInstructionsTabelleText"/>
                <w:rFonts w:ascii="Times New Roman" w:hAnsi="Times New Roman"/>
                <w:sz w:val="24"/>
              </w:rPr>
              <w:t>3166</w:t>
            </w:r>
            <w:r>
              <w:rPr>
                <w:rStyle w:val="FormatvorlageInstructionsTabelleText"/>
                <w:rFonts w:ascii="Times New Roman" w:hAnsi="Times New Roman"/>
                <w:sz w:val="24"/>
              </w:rPr>
              <w:t>-</w:t>
            </w:r>
            <w:r w:rsidRPr="00DC3EC2">
              <w:rPr>
                <w:rStyle w:val="FormatvorlageInstructionsTabelleText"/>
                <w:rFonts w:ascii="Times New Roman" w:hAnsi="Times New Roman"/>
                <w:sz w:val="24"/>
              </w:rPr>
              <w:t>1</w:t>
            </w:r>
            <w:r>
              <w:rPr>
                <w:rStyle w:val="FormatvorlageInstructionsTabelleText"/>
                <w:rFonts w:ascii="Times New Roman" w:hAnsi="Times New Roman"/>
                <w:sz w:val="24"/>
              </w:rPr>
              <w:t>-alfa-</w:t>
            </w:r>
            <w:r w:rsidRPr="00DC3EC2">
              <w:rPr>
                <w:rStyle w:val="FormatvorlageInstructionsTabelleText"/>
                <w:rFonts w:ascii="Times New Roman" w:hAnsi="Times New Roman"/>
                <w:sz w:val="24"/>
              </w:rPr>
              <w:t>2</w:t>
            </w:r>
            <w:r>
              <w:rPr>
                <w:rStyle w:val="FormatvorlageInstructionsTabelleText"/>
                <w:rFonts w:ascii="Times New Roman" w:hAnsi="Times New Roman"/>
                <w:sz w:val="24"/>
              </w:rPr>
              <w:t xml:space="preserve"> van het land van oprichting van de emittent of tegenpartij, inclusief pseudo-ISO-codes voor internationale organisaties</w:t>
            </w:r>
            <w:r>
              <w:rPr>
                <w:rFonts w:ascii="Times New Roman" w:hAnsi="Times New Roman"/>
                <w:sz w:val="24"/>
              </w:rPr>
              <w:t>; zie de laatste uitgave van het "Balance of Payments Vademecum" van Eurostat</w:t>
            </w:r>
            <w:r>
              <w:rPr>
                <w:rStyle w:val="FormatvorlageInstructionsTabelleText"/>
                <w:rFonts w:ascii="Times New Roman" w:hAnsi="Times New Roman"/>
                <w:sz w:val="24"/>
              </w:rPr>
              <w:t xml:space="preserve">. </w:t>
            </w:r>
          </w:p>
          <w:p w14:paraId="60598FF1" w14:textId="5505D19C" w:rsidR="00E05204" w:rsidRPr="0081623B" w:rsidRDefault="00E05204" w:rsidP="003E55AB">
            <w:pPr>
              <w:spacing w:before="0"/>
              <w:rPr>
                <w:rFonts w:ascii="Times New Roman" w:hAnsi="Times New Roman"/>
                <w:sz w:val="24"/>
              </w:rPr>
            </w:pPr>
            <w:r>
              <w:rPr>
                <w:rStyle w:val="FormatvorlageInstructionsTabelleText"/>
                <w:rFonts w:ascii="Times New Roman" w:hAnsi="Times New Roman"/>
                <w:sz w:val="24"/>
              </w:rPr>
              <w:t xml:space="preserve">Voor groepen verbonden cliënten wordt geen land gerapporteerd. </w:t>
            </w:r>
          </w:p>
        </w:tc>
      </w:tr>
      <w:tr w:rsidR="00E05204" w:rsidRPr="0081623B" w14:paraId="0F08D697" w14:textId="77777777" w:rsidTr="00845EB1">
        <w:tc>
          <w:tcPr>
            <w:tcW w:w="990" w:type="dxa"/>
          </w:tcPr>
          <w:p w14:paraId="3B929507" w14:textId="77777777" w:rsidR="00E05204" w:rsidRPr="0081623B" w:rsidRDefault="00125C48" w:rsidP="003E55AB">
            <w:pPr>
              <w:spacing w:before="0"/>
              <w:rPr>
                <w:rFonts w:ascii="Times New Roman" w:hAnsi="Times New Roman"/>
                <w:sz w:val="24"/>
              </w:rPr>
            </w:pPr>
            <w:r w:rsidRPr="00DC3EC2">
              <w:rPr>
                <w:rFonts w:ascii="Times New Roman" w:hAnsi="Times New Roman"/>
                <w:sz w:val="24"/>
              </w:rPr>
              <w:t>050</w:t>
            </w:r>
          </w:p>
        </w:tc>
        <w:tc>
          <w:tcPr>
            <w:tcW w:w="7306" w:type="dxa"/>
          </w:tcPr>
          <w:p w14:paraId="016C0789"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Productsoort</w:t>
            </w:r>
          </w:p>
          <w:p w14:paraId="7DC48699" w14:textId="3405D5A6" w:rsidR="00E05204" w:rsidRPr="0081623B" w:rsidRDefault="00E05204" w:rsidP="003E55AB">
            <w:pPr>
              <w:spacing w:before="0"/>
              <w:rPr>
                <w:rFonts w:ascii="Times New Roman" w:hAnsi="Times New Roman"/>
                <w:sz w:val="24"/>
              </w:rPr>
            </w:pPr>
            <w:r>
              <w:rPr>
                <w:rFonts w:ascii="Times New Roman" w:hAnsi="Times New Roman"/>
                <w:sz w:val="24"/>
              </w:rPr>
              <w:t xml:space="preserve">Aan de in kolom </w:t>
            </w:r>
            <w:r w:rsidRPr="00DC3EC2">
              <w:rPr>
                <w:rFonts w:ascii="Times New Roman" w:hAnsi="Times New Roman"/>
                <w:sz w:val="24"/>
              </w:rPr>
              <w:t>010</w:t>
            </w:r>
            <w:r>
              <w:rPr>
                <w:rFonts w:ascii="Times New Roman" w:hAnsi="Times New Roman"/>
                <w:sz w:val="24"/>
              </w:rPr>
              <w:t xml:space="preserve"> vermelde emittenten/tegenpartijen wordt aan de hand van de volgende vetgedrukte codes een productsoort toegewezen </w:t>
            </w:r>
            <w:r>
              <w:rPr>
                <w:rStyle w:val="FormatvorlageInstructionsTabelleText"/>
                <w:rFonts w:ascii="Times New Roman" w:hAnsi="Times New Roman"/>
                <w:sz w:val="24"/>
              </w:rPr>
              <w:t>die overeenstemt</w:t>
            </w:r>
            <w:r>
              <w:rPr>
                <w:rFonts w:ascii="Times New Roman" w:hAnsi="Times New Roman"/>
                <w:sz w:val="24"/>
              </w:rPr>
              <w:t xml:space="preserve"> met het product waarin het activum wordt gehouden of de stand-by liquiditeitsfaciliteit is ontvangen:</w:t>
            </w:r>
          </w:p>
          <w:p w14:paraId="1CB9AEA2" w14:textId="6EDC6F2E" w:rsidR="00E05204" w:rsidRPr="0081623B" w:rsidRDefault="00E05204" w:rsidP="003E55AB">
            <w:pPr>
              <w:pStyle w:val="ListParagraph"/>
              <w:numPr>
                <w:ilvl w:val="0"/>
                <w:numId w:val="4"/>
              </w:numPr>
              <w:spacing w:before="0"/>
              <w:rPr>
                <w:rFonts w:ascii="Times New Roman" w:hAnsi="Times New Roman"/>
                <w:sz w:val="24"/>
              </w:rPr>
            </w:pPr>
            <w:bookmarkStart w:id="1" w:name="OLE_LINK1"/>
            <w:r>
              <w:rPr>
                <w:rFonts w:ascii="Times New Roman" w:hAnsi="Times New Roman"/>
                <w:b/>
                <w:sz w:val="24"/>
              </w:rPr>
              <w:t xml:space="preserve">SrB </w:t>
            </w:r>
            <w:r>
              <w:rPr>
                <w:rFonts w:ascii="Times New Roman" w:hAnsi="Times New Roman"/>
                <w:sz w:val="24"/>
              </w:rPr>
              <w:t>(</w:t>
            </w:r>
            <w:r>
              <w:rPr>
                <w:rStyle w:val="FormatvorlageInstructionsTabelleText"/>
                <w:rFonts w:ascii="Times New Roman" w:hAnsi="Times New Roman"/>
                <w:sz w:val="24"/>
              </w:rPr>
              <w:t>bevoorrechte</w:t>
            </w:r>
            <w:r>
              <w:rPr>
                <w:rFonts w:ascii="Times New Roman" w:hAnsi="Times New Roman"/>
                <w:sz w:val="24"/>
              </w:rPr>
              <w:t xml:space="preserve"> obligatie); </w:t>
            </w:r>
          </w:p>
          <w:p w14:paraId="6ADB0D10" w14:textId="7357AEF5"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SubB </w:t>
            </w:r>
            <w:r>
              <w:rPr>
                <w:rFonts w:ascii="Times New Roman" w:hAnsi="Times New Roman"/>
                <w:sz w:val="24"/>
              </w:rPr>
              <w:t>(</w:t>
            </w:r>
            <w:r>
              <w:rPr>
                <w:rStyle w:val="FormatvorlageInstructionsTabelleText"/>
                <w:rFonts w:ascii="Times New Roman" w:hAnsi="Times New Roman"/>
                <w:sz w:val="24"/>
              </w:rPr>
              <w:t>achtergestelde</w:t>
            </w:r>
            <w:r>
              <w:rPr>
                <w:rFonts w:ascii="Times New Roman" w:hAnsi="Times New Roman"/>
                <w:sz w:val="24"/>
              </w:rPr>
              <w:t xml:space="preserve"> obligatie);</w:t>
            </w:r>
          </w:p>
          <w:p w14:paraId="08EFBEC2" w14:textId="5FF6EE23"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CP </w:t>
            </w:r>
            <w:r>
              <w:rPr>
                <w:rFonts w:ascii="Times New Roman" w:hAnsi="Times New Roman"/>
                <w:sz w:val="24"/>
              </w:rPr>
              <w:t>(</w:t>
            </w:r>
            <w:r>
              <w:rPr>
                <w:rStyle w:val="FormatvorlageInstructionsTabelleText"/>
                <w:rFonts w:ascii="Times New Roman" w:hAnsi="Times New Roman"/>
                <w:sz w:val="24"/>
              </w:rPr>
              <w:t>handels</w:t>
            </w:r>
            <w:r>
              <w:rPr>
                <w:rFonts w:ascii="Times New Roman" w:hAnsi="Times New Roman"/>
                <w:sz w:val="24"/>
              </w:rPr>
              <w:t>papier);</w:t>
            </w:r>
          </w:p>
          <w:p w14:paraId="71AB267C" w14:textId="2722007C"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CB </w:t>
            </w:r>
            <w:r>
              <w:rPr>
                <w:rFonts w:ascii="Times New Roman" w:hAnsi="Times New Roman"/>
                <w:sz w:val="24"/>
              </w:rPr>
              <w:t xml:space="preserve">(gedekte </w:t>
            </w:r>
            <w:r>
              <w:rPr>
                <w:rStyle w:val="FormatvorlageInstructionsTabelleText"/>
                <w:rFonts w:ascii="Times New Roman" w:hAnsi="Times New Roman"/>
                <w:sz w:val="24"/>
              </w:rPr>
              <w:t>obligaties</w:t>
            </w:r>
            <w:r>
              <w:rPr>
                <w:rFonts w:ascii="Times New Roman" w:hAnsi="Times New Roman"/>
                <w:sz w:val="24"/>
              </w:rPr>
              <w:t xml:space="preserve">); </w:t>
            </w:r>
          </w:p>
          <w:p w14:paraId="16004F55" w14:textId="4EBDEEC7"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US (</w:t>
            </w:r>
            <w:r>
              <w:rPr>
                <w:rFonts w:ascii="Times New Roman" w:hAnsi="Times New Roman"/>
                <w:sz w:val="24"/>
              </w:rPr>
              <w:t>icbe-</w:t>
            </w:r>
            <w:r>
              <w:rPr>
                <w:rStyle w:val="FormatvorlageInstructionsTabelleText"/>
                <w:rFonts w:ascii="Times New Roman" w:hAnsi="Times New Roman"/>
                <w:sz w:val="24"/>
              </w:rPr>
              <w:t>effect</w:t>
            </w:r>
            <w:r>
              <w:rPr>
                <w:rFonts w:ascii="Times New Roman" w:hAnsi="Times New Roman"/>
                <w:sz w:val="24"/>
              </w:rPr>
              <w:t>, d.w.z. financiële instrumenten die een aandeel in of een door een instelling voor collectieve belegging in effecten uitgegeven effect vertegenwoordigen);</w:t>
            </w:r>
          </w:p>
          <w:p w14:paraId="2E54EB88" w14:textId="73B3ACBF"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ABS </w:t>
            </w:r>
            <w:r>
              <w:rPr>
                <w:rFonts w:ascii="Times New Roman" w:hAnsi="Times New Roman"/>
                <w:sz w:val="24"/>
              </w:rPr>
              <w:t>(door activa gedekt effect);</w:t>
            </w:r>
          </w:p>
          <w:p w14:paraId="47B806DE" w14:textId="0B534D77"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CrCl </w:t>
            </w:r>
            <w:r>
              <w:rPr>
                <w:rFonts w:ascii="Times New Roman" w:hAnsi="Times New Roman"/>
                <w:sz w:val="24"/>
              </w:rPr>
              <w:t>(krediet</w:t>
            </w:r>
            <w:r>
              <w:rPr>
                <w:rStyle w:val="FormatvorlageInstructionsTabelleText"/>
                <w:rFonts w:ascii="Times New Roman" w:hAnsi="Times New Roman"/>
                <w:sz w:val="24"/>
              </w:rPr>
              <w:t>vordering</w:t>
            </w:r>
            <w:r>
              <w:rPr>
                <w:rFonts w:ascii="Times New Roman" w:hAnsi="Times New Roman"/>
                <w:sz w:val="24"/>
              </w:rPr>
              <w:t>);</w:t>
            </w:r>
          </w:p>
          <w:p w14:paraId="77F497F4" w14:textId="220D3D3A"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Eq </w:t>
            </w:r>
            <w:r>
              <w:rPr>
                <w:rFonts w:ascii="Times New Roman" w:hAnsi="Times New Roman"/>
                <w:sz w:val="24"/>
              </w:rPr>
              <w:t>(</w:t>
            </w:r>
            <w:r>
              <w:rPr>
                <w:rStyle w:val="FormatvorlageInstructionsTabelleText"/>
                <w:rFonts w:ascii="Times New Roman" w:hAnsi="Times New Roman"/>
                <w:sz w:val="24"/>
              </w:rPr>
              <w:t>aandelen</w:t>
            </w:r>
            <w:r>
              <w:rPr>
                <w:rFonts w:ascii="Times New Roman" w:hAnsi="Times New Roman"/>
                <w:sz w:val="24"/>
              </w:rPr>
              <w:t>);</w:t>
            </w:r>
          </w:p>
          <w:p w14:paraId="3F4E3AAB" w14:textId="5007592A" w:rsidR="00E05204" w:rsidRPr="0081623B" w:rsidRDefault="00E05204" w:rsidP="003E55AB">
            <w:pPr>
              <w:pStyle w:val="ListParagraph"/>
              <w:numPr>
                <w:ilvl w:val="0"/>
                <w:numId w:val="4"/>
              </w:numPr>
              <w:spacing w:before="0"/>
              <w:rPr>
                <w:rFonts w:ascii="Times New Roman" w:hAnsi="Times New Roman"/>
                <w:b/>
                <w:sz w:val="24"/>
              </w:rPr>
            </w:pPr>
            <w:r>
              <w:rPr>
                <w:rFonts w:ascii="Times New Roman" w:hAnsi="Times New Roman"/>
                <w:sz w:val="24"/>
              </w:rPr>
              <w:t>Goud (indien fysiek goud, dat als één tegenpartij kan worden behandeld);</w:t>
            </w:r>
          </w:p>
          <w:p w14:paraId="6AE61C73" w14:textId="026D514D"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LiqL </w:t>
            </w:r>
            <w:r>
              <w:rPr>
                <w:rFonts w:ascii="Times New Roman" w:hAnsi="Times New Roman"/>
                <w:sz w:val="24"/>
              </w:rPr>
              <w:t>(</w:t>
            </w:r>
            <w:r>
              <w:rPr>
                <w:rStyle w:val="FormatvorlageInstructionsTabelleText"/>
                <w:rFonts w:ascii="Times New Roman" w:hAnsi="Times New Roman"/>
                <w:sz w:val="24"/>
              </w:rPr>
              <w:t>aan de instelling</w:t>
            </w:r>
            <w:r>
              <w:rPr>
                <w:rFonts w:ascii="Times New Roman" w:hAnsi="Times New Roman"/>
                <w:sz w:val="24"/>
              </w:rPr>
              <w:t xml:space="preserve"> toegekende niet-opgenomen toegezegde kredietlijn);</w:t>
            </w:r>
          </w:p>
          <w:p w14:paraId="23B5C30F" w14:textId="792C14AB" w:rsidR="00E05204" w:rsidRPr="0081623B" w:rsidRDefault="00E05204" w:rsidP="003E55AB">
            <w:pPr>
              <w:pStyle w:val="ListParagraph"/>
              <w:numPr>
                <w:ilvl w:val="0"/>
                <w:numId w:val="4"/>
              </w:numPr>
              <w:spacing w:before="0"/>
              <w:rPr>
                <w:rFonts w:ascii="Times New Roman" w:hAnsi="Times New Roman"/>
                <w:b/>
                <w:sz w:val="24"/>
              </w:rPr>
            </w:pPr>
            <w:r>
              <w:rPr>
                <w:b/>
              </w:rPr>
              <w:t xml:space="preserve">OPT </w:t>
            </w:r>
            <w:r>
              <w:rPr>
                <w:rFonts w:ascii="Times New Roman" w:hAnsi="Times New Roman"/>
                <w:sz w:val="24"/>
              </w:rPr>
              <w:t>(</w:t>
            </w:r>
            <w:r>
              <w:rPr>
                <w:rStyle w:val="FormatvorlageInstructionsTabelleText"/>
                <w:rFonts w:ascii="Times New Roman" w:hAnsi="Times New Roman"/>
                <w:sz w:val="24"/>
              </w:rPr>
              <w:t>andere</w:t>
            </w:r>
            <w:r>
              <w:rPr>
                <w:rFonts w:ascii="Times New Roman" w:hAnsi="Times New Roman"/>
                <w:sz w:val="24"/>
              </w:rPr>
              <w:t xml:space="preserve"> productsoort)</w:t>
            </w:r>
            <w:bookmarkEnd w:id="1"/>
            <w:r>
              <w:rPr>
                <w:rFonts w:ascii="Times New Roman" w:hAnsi="Times New Roman"/>
                <w:sz w:val="24"/>
              </w:rPr>
              <w:t>.</w:t>
            </w:r>
          </w:p>
        </w:tc>
      </w:tr>
      <w:tr w:rsidR="00E05204" w:rsidRPr="0081623B" w14:paraId="4C932A7E" w14:textId="77777777" w:rsidTr="00845EB1">
        <w:tc>
          <w:tcPr>
            <w:tcW w:w="990" w:type="dxa"/>
          </w:tcPr>
          <w:p w14:paraId="611D24E9" w14:textId="77777777" w:rsidR="00E05204" w:rsidRPr="0081623B" w:rsidRDefault="00125C48" w:rsidP="003E55AB">
            <w:pPr>
              <w:spacing w:before="0"/>
              <w:rPr>
                <w:rFonts w:ascii="Times New Roman" w:hAnsi="Times New Roman"/>
                <w:sz w:val="24"/>
              </w:rPr>
            </w:pPr>
            <w:r w:rsidRPr="00DC3EC2">
              <w:rPr>
                <w:rFonts w:ascii="Times New Roman" w:hAnsi="Times New Roman"/>
                <w:sz w:val="24"/>
              </w:rPr>
              <w:t>060</w:t>
            </w:r>
          </w:p>
        </w:tc>
        <w:tc>
          <w:tcPr>
            <w:tcW w:w="7306" w:type="dxa"/>
          </w:tcPr>
          <w:p w14:paraId="361DF87B"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Valuta</w:t>
            </w:r>
          </w:p>
          <w:p w14:paraId="1D458B95" w14:textId="65954469" w:rsidR="00C05CCA" w:rsidRPr="0081623B" w:rsidRDefault="004C1638" w:rsidP="003E55AB">
            <w:pPr>
              <w:spacing w:before="0"/>
              <w:rPr>
                <w:rFonts w:ascii="Times New Roman" w:hAnsi="Times New Roman"/>
                <w:sz w:val="24"/>
              </w:rPr>
            </w:pPr>
            <w:r>
              <w:rPr>
                <w:rFonts w:ascii="Times New Roman" w:hAnsi="Times New Roman"/>
                <w:sz w:val="24"/>
              </w:rPr>
              <w:t xml:space="preserve">Bij de in kolom </w:t>
            </w:r>
            <w:r w:rsidRPr="00DC3EC2">
              <w:rPr>
                <w:rFonts w:ascii="Times New Roman" w:hAnsi="Times New Roman"/>
                <w:sz w:val="24"/>
              </w:rPr>
              <w:t>010</w:t>
            </w:r>
            <w:r>
              <w:rPr>
                <w:rFonts w:ascii="Times New Roman" w:hAnsi="Times New Roman"/>
                <w:sz w:val="24"/>
              </w:rPr>
              <w:t xml:space="preserve"> vermelde emittenten of tegenpartijen wordt een valuta-ISO-code in kolom </w:t>
            </w:r>
            <w:r w:rsidRPr="00DC3EC2">
              <w:rPr>
                <w:rFonts w:ascii="Times New Roman" w:hAnsi="Times New Roman"/>
                <w:sz w:val="24"/>
              </w:rPr>
              <w:t>060</w:t>
            </w:r>
            <w:r>
              <w:rPr>
                <w:rFonts w:ascii="Times New Roman" w:hAnsi="Times New Roman"/>
                <w:sz w:val="24"/>
              </w:rPr>
              <w:t xml:space="preserve"> vermeld die overeenstemt met de valuta van het ontvangen actief of van de aan de instelling toegekende onbenutte gecommitteerde liquiditeitslijnen. De uit drie letters bestaande valutacode overeenkomstig ISO </w:t>
            </w:r>
            <w:r w:rsidRPr="00DC3EC2">
              <w:rPr>
                <w:rFonts w:ascii="Times New Roman" w:hAnsi="Times New Roman"/>
                <w:sz w:val="24"/>
              </w:rPr>
              <w:t>4217</w:t>
            </w:r>
            <w:r>
              <w:rPr>
                <w:rFonts w:ascii="Times New Roman" w:hAnsi="Times New Roman"/>
                <w:sz w:val="24"/>
              </w:rPr>
              <w:t xml:space="preserve"> moet worden vermeld. </w:t>
            </w:r>
          </w:p>
          <w:p w14:paraId="74611C9A" w14:textId="73FE19CB" w:rsidR="00774708" w:rsidRPr="0081623B" w:rsidRDefault="00047ECB" w:rsidP="003E55AB">
            <w:pPr>
              <w:spacing w:before="0"/>
              <w:rPr>
                <w:rFonts w:ascii="Times New Roman" w:hAnsi="Times New Roman"/>
                <w:sz w:val="24"/>
              </w:rPr>
            </w:pPr>
            <w:r>
              <w:rPr>
                <w:rFonts w:ascii="Times New Roman" w:hAnsi="Times New Roman"/>
                <w:sz w:val="24"/>
              </w:rPr>
              <w:t xml:space="preserve">Wanneer een lijn in meerdere valuta's deel uitmaakt van een concentratie van neutraliserende capaciteit, wordt deze lijn vermeld in de valuta die in de rest van de concentratie overheerst. Ten aanzien van de afzonderlijke </w:t>
            </w:r>
            <w:r>
              <w:rPr>
                <w:rFonts w:ascii="Times New Roman" w:hAnsi="Times New Roman"/>
                <w:sz w:val="24"/>
              </w:rPr>
              <w:lastRenderedPageBreak/>
              <w:t xml:space="preserve">rapportage in significante valuta's zoals bepaald onder artikel </w:t>
            </w:r>
            <w:r w:rsidRPr="00DC3EC2">
              <w:rPr>
                <w:rFonts w:ascii="Times New Roman" w:hAnsi="Times New Roman"/>
                <w:sz w:val="24"/>
              </w:rPr>
              <w:t>415</w:t>
            </w:r>
            <w:r>
              <w:rPr>
                <w:rFonts w:ascii="Times New Roman" w:hAnsi="Times New Roman"/>
                <w:sz w:val="24"/>
              </w:rPr>
              <w:t xml:space="preserve">, lid </w:t>
            </w:r>
            <w:r w:rsidRPr="00DC3EC2">
              <w:rPr>
                <w:rFonts w:ascii="Times New Roman" w:hAnsi="Times New Roman"/>
                <w:sz w:val="24"/>
              </w:rPr>
              <w:t>2</w:t>
            </w:r>
            <w:r>
              <w:rPr>
                <w:rFonts w:ascii="Times New Roman" w:hAnsi="Times New Roman"/>
                <w:sz w:val="24"/>
              </w:rPr>
              <w:t xml:space="preserve">, van Verordening (EU) nr. </w:t>
            </w:r>
            <w:r w:rsidRPr="00DC3EC2">
              <w:rPr>
                <w:rFonts w:ascii="Times New Roman" w:hAnsi="Times New Roman"/>
                <w:sz w:val="24"/>
              </w:rPr>
              <w:t>575</w:t>
            </w:r>
            <w:r>
              <w:rPr>
                <w:rFonts w:ascii="Times New Roman" w:hAnsi="Times New Roman"/>
                <w:sz w:val="24"/>
              </w:rPr>
              <w:t>/</w:t>
            </w:r>
            <w:r w:rsidRPr="00DC3EC2">
              <w:rPr>
                <w:rFonts w:ascii="Times New Roman" w:hAnsi="Times New Roman"/>
                <w:sz w:val="24"/>
              </w:rPr>
              <w:t>2013</w:t>
            </w:r>
            <w:r>
              <w:rPr>
                <w:rFonts w:ascii="Times New Roman" w:hAnsi="Times New Roman"/>
                <w:sz w:val="24"/>
              </w:rPr>
              <w:t xml:space="preserve"> maken instellingen een beoordeling van de valuta waarin de stroom waarschijnlijk zal plaatsvinden en rapporteren zij de post alleen in die significante valuta, in lijn met de instructies voor de afzonderlijke rapportage van significante valuta's met betrekking tot de LCR, in overeenstemming met Verordening (EU) </w:t>
            </w:r>
            <w:r w:rsidRPr="00DC3EC2">
              <w:rPr>
                <w:rFonts w:ascii="Times New Roman" w:hAnsi="Times New Roman"/>
                <w:sz w:val="24"/>
              </w:rPr>
              <w:t>2016</w:t>
            </w:r>
            <w:r>
              <w:rPr>
                <w:rFonts w:ascii="Times New Roman" w:hAnsi="Times New Roman"/>
                <w:sz w:val="24"/>
              </w:rPr>
              <w:t>/</w:t>
            </w:r>
            <w:r w:rsidRPr="00DC3EC2">
              <w:rPr>
                <w:rFonts w:ascii="Times New Roman" w:hAnsi="Times New Roman"/>
                <w:sz w:val="24"/>
              </w:rPr>
              <w:t>322</w:t>
            </w:r>
            <w:r>
              <w:rPr>
                <w:rFonts w:ascii="Times New Roman" w:hAnsi="Times New Roman"/>
                <w:sz w:val="24"/>
              </w:rPr>
              <w:t>.</w:t>
            </w:r>
          </w:p>
        </w:tc>
      </w:tr>
      <w:tr w:rsidR="00E05204" w:rsidRPr="0081623B" w14:paraId="73A43F51" w14:textId="77777777" w:rsidTr="00845EB1">
        <w:tc>
          <w:tcPr>
            <w:tcW w:w="990" w:type="dxa"/>
          </w:tcPr>
          <w:p w14:paraId="44D208DA" w14:textId="77777777" w:rsidR="00E05204" w:rsidRPr="0081623B" w:rsidRDefault="00125C48" w:rsidP="003E55AB">
            <w:pPr>
              <w:spacing w:before="0"/>
              <w:rPr>
                <w:rFonts w:ascii="Times New Roman" w:hAnsi="Times New Roman"/>
                <w:sz w:val="24"/>
              </w:rPr>
            </w:pPr>
            <w:r w:rsidRPr="00DC3EC2">
              <w:rPr>
                <w:rFonts w:ascii="Times New Roman" w:hAnsi="Times New Roman"/>
                <w:sz w:val="24"/>
              </w:rPr>
              <w:lastRenderedPageBreak/>
              <w:t>070</w:t>
            </w:r>
          </w:p>
        </w:tc>
        <w:tc>
          <w:tcPr>
            <w:tcW w:w="7306" w:type="dxa"/>
          </w:tcPr>
          <w:p w14:paraId="48AA6E4F"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Kredietkwaliteitscategorie</w:t>
            </w:r>
          </w:p>
          <w:p w14:paraId="692CB839" w14:textId="76307C3A" w:rsidR="00E05204" w:rsidRPr="0081623B" w:rsidRDefault="00966F82" w:rsidP="003E55AB">
            <w:pPr>
              <w:spacing w:before="0"/>
              <w:rPr>
                <w:rFonts w:ascii="Times New Roman" w:hAnsi="Times New Roman"/>
                <w:sz w:val="24"/>
                <w:u w:val="single"/>
              </w:rPr>
            </w:pPr>
            <w:r>
              <w:rPr>
                <w:rFonts w:ascii="Times New Roman" w:hAnsi="Times New Roman"/>
                <w:sz w:val="24"/>
              </w:rPr>
              <w:t xml:space="preserve">De passende kredietkwaliteitscategorie overeenkomstig Verordening (EU) nr. </w:t>
            </w:r>
            <w:r w:rsidRPr="00DC3EC2">
              <w:rPr>
                <w:rFonts w:ascii="Times New Roman" w:hAnsi="Times New Roman"/>
                <w:sz w:val="24"/>
              </w:rPr>
              <w:t>575</w:t>
            </w:r>
            <w:r>
              <w:rPr>
                <w:rFonts w:ascii="Times New Roman" w:hAnsi="Times New Roman"/>
                <w:sz w:val="24"/>
              </w:rPr>
              <w:t>/</w:t>
            </w:r>
            <w:r w:rsidRPr="00DC3EC2">
              <w:rPr>
                <w:rFonts w:ascii="Times New Roman" w:hAnsi="Times New Roman"/>
                <w:sz w:val="24"/>
              </w:rPr>
              <w:t>2013</w:t>
            </w:r>
            <w:r>
              <w:rPr>
                <w:rFonts w:ascii="Times New Roman" w:hAnsi="Times New Roman"/>
                <w:sz w:val="24"/>
              </w:rPr>
              <w:t xml:space="preserve"> wordt vermeld, en wel dezelfde als die van de in de looptijdklassen gerapporteerde posten. Indien er geen rating is, wordt de vermelding "zonder rating" gebruikt.</w:t>
            </w:r>
          </w:p>
        </w:tc>
      </w:tr>
      <w:tr w:rsidR="00E05204" w:rsidRPr="0081623B" w14:paraId="2461383F" w14:textId="77777777" w:rsidTr="00845EB1">
        <w:tc>
          <w:tcPr>
            <w:tcW w:w="990" w:type="dxa"/>
          </w:tcPr>
          <w:p w14:paraId="7F1DF3BE" w14:textId="77777777" w:rsidR="00E05204" w:rsidRPr="0081623B" w:rsidRDefault="00125C48" w:rsidP="003E55AB">
            <w:pPr>
              <w:spacing w:before="0"/>
              <w:rPr>
                <w:rFonts w:ascii="Times New Roman" w:hAnsi="Times New Roman"/>
                <w:sz w:val="24"/>
              </w:rPr>
            </w:pPr>
            <w:r w:rsidRPr="00DC3EC2">
              <w:rPr>
                <w:rFonts w:ascii="Times New Roman" w:hAnsi="Times New Roman"/>
                <w:sz w:val="24"/>
              </w:rPr>
              <w:t>080</w:t>
            </w:r>
          </w:p>
        </w:tc>
        <w:tc>
          <w:tcPr>
            <w:tcW w:w="7306" w:type="dxa"/>
          </w:tcPr>
          <w:p w14:paraId="3B1CC0D3"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Marktwaarde/nominale waarde</w:t>
            </w:r>
          </w:p>
          <w:p w14:paraId="78CE7B68" w14:textId="7B52544C" w:rsidR="00E05204" w:rsidRPr="0081623B" w:rsidRDefault="00E05204" w:rsidP="003E55AB">
            <w:pPr>
              <w:spacing w:before="0"/>
              <w:rPr>
                <w:rFonts w:ascii="Times New Roman" w:hAnsi="Times New Roman"/>
                <w:sz w:val="24"/>
              </w:rPr>
            </w:pPr>
            <w:r>
              <w:rPr>
                <w:rFonts w:ascii="Times New Roman" w:hAnsi="Times New Roman"/>
                <w:sz w:val="24"/>
              </w:rPr>
              <w:t xml:space="preserve">De marktwaarde of de reële waarde van de activa, of, indien toepasselijk, de nominale waarde van de aan de instelling toegekende niet-opgenomen toegezegde kredietlijn </w:t>
            </w:r>
          </w:p>
        </w:tc>
      </w:tr>
      <w:tr w:rsidR="00E05204" w:rsidRPr="0081623B" w14:paraId="74EA2D80" w14:textId="77777777" w:rsidTr="00845EB1">
        <w:tc>
          <w:tcPr>
            <w:tcW w:w="990" w:type="dxa"/>
          </w:tcPr>
          <w:p w14:paraId="40B79F48" w14:textId="77777777" w:rsidR="00E05204" w:rsidRPr="0081623B" w:rsidRDefault="00125C48" w:rsidP="003E55AB">
            <w:pPr>
              <w:spacing w:before="0"/>
              <w:rPr>
                <w:rFonts w:ascii="Times New Roman" w:hAnsi="Times New Roman"/>
                <w:sz w:val="24"/>
              </w:rPr>
            </w:pPr>
            <w:r w:rsidRPr="00DC3EC2">
              <w:rPr>
                <w:rFonts w:ascii="Times New Roman" w:hAnsi="Times New Roman"/>
                <w:sz w:val="24"/>
              </w:rPr>
              <w:t>090</w:t>
            </w:r>
          </w:p>
        </w:tc>
        <w:tc>
          <w:tcPr>
            <w:tcW w:w="7306" w:type="dxa"/>
          </w:tcPr>
          <w:p w14:paraId="5F665131"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Waarde van zekerheden volgens CB-regelgeving</w:t>
            </w:r>
          </w:p>
          <w:p w14:paraId="507C4FE8" w14:textId="2078D53B" w:rsidR="00E05204" w:rsidRPr="0081623B" w:rsidRDefault="00E05204" w:rsidP="003E55AB">
            <w:pPr>
              <w:spacing w:before="0"/>
              <w:rPr>
                <w:rFonts w:ascii="Times New Roman" w:hAnsi="Times New Roman"/>
                <w:sz w:val="24"/>
              </w:rPr>
            </w:pPr>
            <w:r>
              <w:rPr>
                <w:rFonts w:ascii="Times New Roman" w:hAnsi="Times New Roman"/>
                <w:sz w:val="24"/>
              </w:rPr>
              <w:t xml:space="preserve">De waarde van </w:t>
            </w:r>
            <w:r>
              <w:rPr>
                <w:rStyle w:val="FormatvorlageInstructionsTabelleText"/>
                <w:rFonts w:ascii="Times New Roman" w:hAnsi="Times New Roman"/>
                <w:sz w:val="24"/>
              </w:rPr>
              <w:t>zekerheden</w:t>
            </w:r>
            <w:r>
              <w:rPr>
                <w:rFonts w:ascii="Times New Roman" w:hAnsi="Times New Roman"/>
                <w:sz w:val="24"/>
              </w:rPr>
              <w:t xml:space="preserve"> volgens de regels van de centrale bank voor permanente faciliteiten voor de specifieke activa.</w:t>
            </w:r>
          </w:p>
          <w:p w14:paraId="4C124B93" w14:textId="3D1AA419" w:rsidR="00BA0551" w:rsidRPr="0081623B" w:rsidRDefault="00B457F4" w:rsidP="003E55AB">
            <w:pPr>
              <w:spacing w:before="0"/>
              <w:rPr>
                <w:rFonts w:ascii="Times New Roman" w:hAnsi="Times New Roman"/>
                <w:sz w:val="24"/>
              </w:rPr>
            </w:pPr>
            <w:r>
              <w:rPr>
                <w:rFonts w:ascii="Times New Roman" w:hAnsi="Times New Roman"/>
                <w:sz w:val="24"/>
              </w:rPr>
              <w:t xml:space="preserve">Voor activa die luiden in een valuta die in Verordening (EU) </w:t>
            </w:r>
            <w:r w:rsidRPr="00DC3EC2">
              <w:rPr>
                <w:rFonts w:ascii="Times New Roman" w:hAnsi="Times New Roman"/>
                <w:sz w:val="24"/>
              </w:rPr>
              <w:t>2015</w:t>
            </w:r>
            <w:r>
              <w:rPr>
                <w:rFonts w:ascii="Times New Roman" w:hAnsi="Times New Roman"/>
                <w:sz w:val="24"/>
              </w:rPr>
              <w:t>/</w:t>
            </w:r>
            <w:r w:rsidRPr="00DC3EC2">
              <w:rPr>
                <w:rFonts w:ascii="Times New Roman" w:hAnsi="Times New Roman"/>
                <w:sz w:val="24"/>
              </w:rPr>
              <w:t>233</w:t>
            </w:r>
            <w:r>
              <w:rPr>
                <w:rFonts w:ascii="Times New Roman" w:hAnsi="Times New Roman"/>
                <w:sz w:val="24"/>
              </w:rPr>
              <w:t xml:space="preserve"> is opgenomen als een valuta waarin de centrale bank zeer nauw omschreven toelaatbaarheidscriteria hanteert, laten de instellingen dit veld open.</w:t>
            </w:r>
          </w:p>
        </w:tc>
      </w:tr>
    </w:tbl>
    <w:p w14:paraId="56E0854E" w14:textId="56990862" w:rsidR="00D02FE4" w:rsidRPr="003E55AB" w:rsidRDefault="00D02FE4" w:rsidP="003E55AB">
      <w:pPr>
        <w:pStyle w:val="InstructionsText"/>
        <w:spacing w:after="120"/>
        <w:rPr>
          <w:rStyle w:val="InstructionsTabelleText"/>
          <w:rFonts w:ascii="Times New Roman" w:hAnsi="Times New Roman"/>
          <w:b/>
          <w:sz w:val="24"/>
        </w:rPr>
      </w:pPr>
    </w:p>
    <w:sectPr w:rsidR="00D02FE4" w:rsidRPr="003E55AB"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76179EF5" w:rsidR="008E3ABF" w:rsidRDefault="008E3ABF">
        <w:pPr>
          <w:pStyle w:val="Footer"/>
          <w:jc w:val="center"/>
        </w:pPr>
        <w:r>
          <w:fldChar w:fldCharType="begin"/>
        </w:r>
        <w:r>
          <w:instrText xml:space="preserve"> PAGE   \* MERGEFORMAT </w:instrText>
        </w:r>
        <w:r>
          <w:fldChar w:fldCharType="separate"/>
        </w:r>
        <w:r w:rsidR="00DC3EC2">
          <w:rPr>
            <w:noProof/>
          </w:rPr>
          <w:t>3</w:t>
        </w:r>
        <w: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75035C66" w:rsidR="009B3D8D" w:rsidRDefault="009B3D8D">
        <w:pPr>
          <w:pStyle w:val="Footer"/>
          <w:jc w:val="center"/>
        </w:pPr>
        <w:r>
          <w:fldChar w:fldCharType="begin"/>
        </w:r>
        <w:r>
          <w:instrText xml:space="preserve"> PAGE   \* MERGEFORMAT </w:instrText>
        </w:r>
        <w:r>
          <w:fldChar w:fldCharType="separate"/>
        </w:r>
        <w:r w:rsidR="00DC3EC2">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77777777" w:rsidR="00B85053"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31250521"/>
    <w:multiLevelType w:val="hybridMultilevel"/>
    <w:tmpl w:val="DFE4B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136"/>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55AB"/>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38F5"/>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219"/>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623B"/>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357"/>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575"/>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3EC2"/>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15F5D04F"/>
  <w15:docId w15:val="{499A08ED-D142-4EED-8F03-08BADD85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nl-NL"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nl-NL"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nl-NL"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nl-NL" w:eastAsia="en-US" w:bidi="ar-SA"/>
    </w:rPr>
  </w:style>
  <w:style w:type="character" w:customStyle="1" w:styleId="FunoteChar">
    <w:name w:val="Fußnote Char"/>
    <w:aliases w:val=" Char Char Char"/>
    <w:semiHidden/>
    <w:rsid w:val="009D253B"/>
    <w:rPr>
      <w:rFonts w:ascii="Arial" w:hAnsi="Arial"/>
      <w:sz w:val="18"/>
      <w:lang w:val="nl-NL"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nl-NL"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nl-NL"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nl-NL"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nl-NL"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nl-NL"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nl-NL"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17DCD-1DD5-4B00-8E36-D220A84F9293}">
  <ds:schemaRefs>
    <ds:schemaRef ds:uri="http://schemas.openxmlformats.org/officeDocument/2006/bibliography"/>
  </ds:schemaRefs>
</ds:datastoreItem>
</file>

<file path=customXml/itemProps2.xml><?xml version="1.0" encoding="utf-8"?>
<ds:datastoreItem xmlns:ds="http://schemas.openxmlformats.org/officeDocument/2006/customXml" ds:itemID="{CE513057-BEE8-40D3-9594-7FFFC790F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830</Words>
  <Characters>5257</Characters>
  <Application>Microsoft Office Word</Application>
  <DocSecurity>0</DocSecurity>
  <Lines>118</Lines>
  <Paragraphs>54</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PART II: TEMPLATE RELATED INSTRUCTIONS</vt:lpstr>
      <vt:lpstr>PART II: TEMPLATE RELATED INSTRUCTIONS</vt:lpstr>
    </vt:vector>
  </TitlesOfParts>
  <Company>Financial Services Authority</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IDZERDA Renee (DGT)</cp:lastModifiedBy>
  <cp:revision>6</cp:revision>
  <cp:lastPrinted>2014-06-12T12:55:00Z</cp:lastPrinted>
  <dcterms:created xsi:type="dcterms:W3CDTF">2020-10-01T13:01:00Z</dcterms:created>
  <dcterms:modified xsi:type="dcterms:W3CDTF">2020-11-03T11:16:00Z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gFAAXJDLFUo5N7unGP9kUBbqvhLQIJscQnjJY4xD+dGpziffwBYUZ621pbLrBPs/WcwN0tcAGQtHvCFM_x000d_
3T/x091d1AWUwMNDdE/Av0CQqYk2Hg/F4Nh6coUUsSD+Tsg4a5ZJenvs72R3+1eLh12dR8xbcXWv_x000d_
K5+xf2hCyazLXhs9NmyqwQNZRDQ2BALi6j02xnsO2ZBYnEuDLhVHmhIl+CEZ9Mda6DOmAr5HhIA0_x000d_
YnlSqt8jOWdj4Tyg8</vt:lpwstr>
  </property>
  <property fmtid="{D5CDD505-2E9C-101B-9397-08002B2CF9AE}" pid="3" name="MAIL_MSG_ID2">
    <vt:lpwstr>WJ8XpAoQxKdbXxCn1bR9Z6fxKZW95BRMdMhhT7m/8Ejv14Oa89m9ZgLkNVM_x000d_
Ussb5/SdsbiPhKK0JA2MqwXAHnFG/VSBfRjOzA==</vt:lpwstr>
  </property>
  <property fmtid="{D5CDD505-2E9C-101B-9397-08002B2CF9AE}" pid="4" name="RESPONSE_SENDER_NAME">
    <vt:lpwstr>sAAA4E8dREqJqIqQ8043TmSfpK2Y3z+Vu+xReiKSeWwV8v0=</vt:lpwstr>
  </property>
  <property fmtid="{D5CDD505-2E9C-101B-9397-08002B2CF9AE}" pid="5" name="EMAIL_OWNER_ADDRESS">
    <vt:lpwstr>4AAAyjQjm0EOGgLdpxEAuTOStZAPJflHB1hBCjK4hju38YpqEB5SAx5tcA==</vt:lpwstr>
  </property>
  <property fmtid="{D5CDD505-2E9C-101B-9397-08002B2CF9AE}" pid="6" name="_NewReviewCycle">
    <vt:lpwstr/>
  </property>
</Properties>
</file>