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6C717E14" w:rsidR="00C36E0D" w:rsidRPr="003071DF" w:rsidRDefault="00946569" w:rsidP="003071DF">
      <w:pPr>
        <w:pStyle w:val="Pagedecouverture"/>
      </w:pPr>
      <w:bookmarkStart w:id="0" w:name="_GoBack"/>
      <w:bookmarkEnd w:id="0"/>
      <w:r>
        <w:pict w14:anchorId="7FFB4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2ECB1AC-87C9-430B-96F0-EB32F9BC910B" style="width:451.1pt;height:409pt">
            <v:imagedata r:id="rId8" o:title=""/>
          </v:shape>
        </w:pict>
      </w:r>
    </w:p>
    <w:p w14:paraId="703F7C0E" w14:textId="77777777" w:rsidR="0004170D" w:rsidRPr="003071DF" w:rsidRDefault="0004170D">
      <w:pPr>
        <w:sectPr w:rsidR="0004170D" w:rsidRPr="003071DF" w:rsidSect="00912BDD">
          <w:footerReference w:type="default" r:id="rId9"/>
          <w:pgSz w:w="11907" w:h="16839"/>
          <w:pgMar w:top="1134" w:right="1417" w:bottom="1134" w:left="1417" w:header="709" w:footer="709" w:gutter="0"/>
          <w:pgNumType w:start="0"/>
          <w:cols w:space="720"/>
          <w:docGrid w:linePitch="360"/>
        </w:sectPr>
      </w:pPr>
    </w:p>
    <w:p w14:paraId="4E87218B" w14:textId="52F6F0C8" w:rsidR="0004170D" w:rsidRPr="003071DF" w:rsidRDefault="003071DF" w:rsidP="003071DF">
      <w:pPr>
        <w:pStyle w:val="Typedudocument"/>
      </w:pPr>
      <w:r w:rsidRPr="003071DF">
        <w:lastRenderedPageBreak/>
        <w:t>KOMISIJOS ĮGYVENDINIMO REGLAMENTAS (ES) …/...</w:t>
      </w:r>
    </w:p>
    <w:p w14:paraId="311EA019" w14:textId="19734702" w:rsidR="0004170D" w:rsidRPr="003071DF" w:rsidRDefault="003071DF" w:rsidP="003071DF">
      <w:pPr>
        <w:pStyle w:val="Datedadoption"/>
      </w:pPr>
      <w:r w:rsidRPr="003071DF">
        <w:rPr>
          <w:rStyle w:val="Marker2"/>
        </w:rPr>
        <w:t>XXX</w:t>
      </w:r>
    </w:p>
    <w:p w14:paraId="7EF0A74F" w14:textId="28A8395B" w:rsidR="0004170D" w:rsidRPr="003071DF" w:rsidRDefault="003071DF" w:rsidP="003071DF">
      <w:pPr>
        <w:pStyle w:val="Titreobjet"/>
      </w:pPr>
      <w:r w:rsidRPr="003071DF">
        <w:t xml:space="preserve">kuriuo nustatomi Europos Parlamento ir Tarybos reglamento (ES) Nr. 575/2013 taikymo įstaigų priežiūros ataskaitų teikimo srityje techniniai įgyvendinimo standartai ir panaikinamas Įgyvendinimo reglamentas (ES) Nr. 680/2014 </w:t>
      </w:r>
      <w:r w:rsidRPr="003071DF">
        <w:br/>
      </w:r>
    </w:p>
    <w:p w14:paraId="714F85CC" w14:textId="74F5A2D5" w:rsidR="0004170D" w:rsidRPr="003071DF" w:rsidRDefault="003071DF" w:rsidP="003071DF">
      <w:pPr>
        <w:pStyle w:val="IntrtEEE"/>
      </w:pPr>
      <w:r w:rsidRPr="003071DF">
        <w:t>(Tekstas svarbus EEE)</w:t>
      </w:r>
    </w:p>
    <w:p w14:paraId="12CCC5F1" w14:textId="77777777" w:rsidR="0004170D" w:rsidRPr="003071DF" w:rsidRDefault="0004170D" w:rsidP="009675DD">
      <w:pPr>
        <w:pStyle w:val="Institutionquiagit"/>
      </w:pPr>
      <w:r w:rsidRPr="003071DF">
        <w:t>EUROPOS KOMISIJA,</w:t>
      </w:r>
    </w:p>
    <w:p w14:paraId="54D27881" w14:textId="77777777" w:rsidR="0004170D" w:rsidRPr="003071DF" w:rsidRDefault="0004170D" w:rsidP="009675DD">
      <w:r w:rsidRPr="003071DF">
        <w:t>atsižvelgdama į Sutartį dėl Europos Sąjungos veikimo,</w:t>
      </w:r>
    </w:p>
    <w:p w14:paraId="2965D16B" w14:textId="4EFD17A3" w:rsidR="0004170D" w:rsidRPr="003071DF" w:rsidRDefault="00AD21AA" w:rsidP="009675DD">
      <w:pPr>
        <w:rPr>
          <w:rFonts w:eastAsia="Times New Roman"/>
          <w:noProof/>
          <w:color w:val="000000"/>
        </w:rPr>
      </w:pPr>
      <w:r w:rsidRPr="003071DF">
        <w:t>atsižvelgdama į 2013 m. birželio 26 d. Europos Parlamento ir Tarybos reglamentą (ES) Nr. 575/2013 dėl prudencinių reikalavimų kredito įstaigoms ir investicinėms įmonėms ir kuriuo iš dalies keičiamas Reglamentas (ES) Nr. 648/2012</w:t>
      </w:r>
      <w:r w:rsidRPr="003071DF">
        <w:rPr>
          <w:rStyle w:val="FootnoteReference"/>
        </w:rPr>
        <w:footnoteReference w:id="1"/>
      </w:r>
      <w:r w:rsidRPr="003071DF">
        <w:t>, ypač į jo 415 straipsnio 3 dalies pirmą pastraipą, 415 straipsnio 3a dalies pirmą pastraipą, 430 straipsnio 7 dalies pirmą pastraipą ir 430 straipsnio 9 dalies antrą pastraipą,</w:t>
      </w:r>
    </w:p>
    <w:p w14:paraId="421FC692" w14:textId="77777777" w:rsidR="0004170D" w:rsidRPr="003071DF" w:rsidRDefault="0004170D" w:rsidP="009675DD">
      <w:r w:rsidRPr="003071DF">
        <w:t>kadangi:</w:t>
      </w:r>
    </w:p>
    <w:p w14:paraId="0A7D0586" w14:textId="77777777" w:rsidR="00AD21AA" w:rsidRPr="003071DF" w:rsidRDefault="00AD21AA" w:rsidP="0047317A">
      <w:pPr>
        <w:pStyle w:val="Considrant"/>
        <w:numPr>
          <w:ilvl w:val="0"/>
          <w:numId w:val="11"/>
        </w:numPr>
      </w:pPr>
      <w:r w:rsidRPr="003071DF">
        <w:t>nedarant poveikio kompetentingų institucijų įgaliojimams pagal Europos Parlamento ir Tarybos direktyvos 2013/36/ES</w:t>
      </w:r>
      <w:r w:rsidRPr="003071DF">
        <w:rPr>
          <w:rStyle w:val="FootnoteReference"/>
        </w:rPr>
        <w:footnoteReference w:id="2"/>
      </w:r>
      <w:r w:rsidRPr="003071DF">
        <w:t xml:space="preserve"> 104 straipsnio 1 dalies j punktą, Komisijos įgyvendinimo reglamentu (ES) Nr. 680/2014</w:t>
      </w:r>
      <w:r w:rsidRPr="003071DF">
        <w:rPr>
          <w:rStyle w:val="FootnoteReference"/>
        </w:rPr>
        <w:footnoteReference w:id="3"/>
      </w:r>
      <w:r w:rsidRPr="003071DF">
        <w:t>, remiantis Reglamento (ES) Nr. 575/2013 430 straipsniu, nustatoma nuosekli ataskaitų teikimo sistema. Įgyvendinimo reglamentas (ES) Nr. 680/2014 buvo keletą kartų iš dalies pakeistas po to, kai siekiant nustatyti, toliau plėtoti ar pritaikyti rizikos ribojimo elementus buvo priimti Reglamento (ES) Nr. 575/2013 pakeitimai;</w:t>
      </w:r>
    </w:p>
    <w:p w14:paraId="7949AA03" w14:textId="77777777" w:rsidR="00AD21AA" w:rsidRPr="003071DF" w:rsidRDefault="00AD21AA" w:rsidP="0047317A">
      <w:pPr>
        <w:pStyle w:val="Considrant"/>
        <w:numPr>
          <w:ilvl w:val="0"/>
          <w:numId w:val="11"/>
        </w:numPr>
      </w:pPr>
      <w:r w:rsidRPr="003071DF">
        <w:t>šio reglamento nuostatos yra glaudžiai susijusios, nes jose nustatyti įstaigų ataskaitų teikimo reikalavimai. Siekiant užtikrinti šių nuostatų, kurios turėtų įsigalioti vienu metu, suderinamumą ir sudaryti sąlygas visapusiškai jas apžvelgti ir su jomis susipažinti vienoje vietoje asmenims, kuriems taikomos tos prievolės, pageidautina visus susijusius techninius įgyvendinimo standartus, kurių reikalaujama pagal Reglamentą (ES) Nr. 575/2013, pateikti viename reglamente;</w:t>
      </w:r>
    </w:p>
    <w:p w14:paraId="1A0C281B" w14:textId="77777777" w:rsidR="00AD21AA" w:rsidRPr="003071DF" w:rsidRDefault="00AD21AA" w:rsidP="00AD21AA">
      <w:pPr>
        <w:pStyle w:val="Considrant"/>
      </w:pPr>
      <w:r w:rsidRPr="003071DF">
        <w:t>atsižvelgiant į Bazelio bankų priežiūros komiteto tarptautinius standartus, Europos Parlamento ir Tarybos Reglamentu (ES) 2019/876</w:t>
      </w:r>
      <w:r w:rsidRPr="003071DF">
        <w:rPr>
          <w:rStyle w:val="FootnoteReference"/>
        </w:rPr>
        <w:footnoteReference w:id="4"/>
      </w:r>
      <w:r w:rsidRPr="003071DF">
        <w:t xml:space="preserve"> iš dalies keliais aspektais pakeistas </w:t>
      </w:r>
      <w:r w:rsidRPr="003071DF">
        <w:lastRenderedPageBreak/>
        <w:t>Reglamentas (ES) Nr. 575/2013, pavyzdžiui, pakeistos nuostatos, susijusios su sverto koeficientu, grynojo pastovaus finansavimo reikalavimu, nuosavų lėšų ir tinkamų įsipareigojimų reikalavimais, sandorio šalies kredito rizika, rinkos rizika, pagrindinių sandorio šalių pozicijomis, kolektyvinio investavimo subjektų pozicijomis, didelėmis pozicijomis, ataskaitų teikimo ir informacijos atskleidimo reikalavimais. Todėl Įgyvendinimo reglamente (ES) Nr. 680/2014 nustatyta ataskaitų teikimo sistema turėtų būti peržiūrėta, o informacijos rinkimo priežiūros ataskaitų teikimo tikslais šablonų rinkinys turėtų būti atnaujintas;</w:t>
      </w:r>
    </w:p>
    <w:p w14:paraId="5F6B66C1" w14:textId="77777777" w:rsidR="00AD21AA" w:rsidRPr="003071DF" w:rsidRDefault="00AD21AA" w:rsidP="00AD21AA">
      <w:pPr>
        <w:pStyle w:val="Considrant"/>
      </w:pPr>
      <w:r w:rsidRPr="003071DF">
        <w:t>Reglamentu (ES) 2019/876 Reglamente (ES) Nr. 575/2013 nustatytas 3 % 1 lygio kapitalo sverto koeficiento reikalavimas, įvairūs sverto koeficiento pozicijos apskaičiavimo koregavimai ir sverto koeficiento rezervo reikalavimas įstaigoms, kurios pagal Direktyvą 2013/36/ES laikomos pasaulinės sisteminės svarbos įstaigomis (G-SII). Todėl sverto koeficiento ataskaitų teikimas turėtų būti atnaujintas, kad apskaičiuojant pozicijas būtų atsižvelgta į tuos reikalavimus ir koregavimus;</w:t>
      </w:r>
    </w:p>
    <w:p w14:paraId="3651D6E0" w14:textId="77777777" w:rsidR="00AD21AA" w:rsidRPr="003071DF" w:rsidRDefault="00AD21AA" w:rsidP="00AD21AA">
      <w:pPr>
        <w:pStyle w:val="Considrant"/>
      </w:pPr>
      <w:r w:rsidRPr="003071DF">
        <w:t>Reglamentu (ES) 2019/876 į Reglamentą (ES) Nr. 575/2013 įtraukti grynojo pastovaus finansavimo rodiklio (NSFR) ataskaitų teikimo reikalavimai, įskaitant supaprastintus reikalavimus. Todėl būtina nustatyti naują ataskaitų teikimo formų ir nurodymų rinkinį;</w:t>
      </w:r>
    </w:p>
    <w:p w14:paraId="7CAD2444" w14:textId="77777777" w:rsidR="00AD21AA" w:rsidRPr="003071DF" w:rsidRDefault="00AD21AA" w:rsidP="00AD21AA">
      <w:pPr>
        <w:pStyle w:val="Considrant"/>
      </w:pPr>
      <w:r w:rsidRPr="003071DF">
        <w:t>Reglamentu (ES) 2019/876 į Reglamentą (ES) Nr. 575/2013 įtrauktas naujas rėmimo koeficientas, taikytinas infrastruktūros projektų pozicijoms, ir atnaujinti pagal riziką įvertintų kolektyvinio investavimo subjektų pozicijų sumų apskaičiavimo metodai. Todėl būtina nustatyti, taip pat pagal informacijos atskleidimo sistemą, naujas informacijos apie kredito riziką teikimo formas ir nurodymus ir atnaujinti dabartinius nurodymus;</w:t>
      </w:r>
    </w:p>
    <w:p w14:paraId="19553D31" w14:textId="77777777" w:rsidR="00AD21AA" w:rsidRPr="003071DF" w:rsidRDefault="00AD21AA" w:rsidP="00AD21AA">
      <w:pPr>
        <w:pStyle w:val="Considrant"/>
      </w:pPr>
      <w:r w:rsidRPr="003071DF">
        <w:t>Reglamentu (ES) 2019/876 standartizuotas metodas, nurodytas Reglamente (ES) Nr. 575/2013, pakeistas labiau rizikai jautriu standartizuotu sandorio šalies kredito rizikos vertinimo metodu (SA-CCR) ir supaprastinta versija (supaprastintu SA-CCR), taikoma iš anksto nustatytus tinkamumo kriterijus atitinkančioms įstaigoms. Pradinės pozicijos metodas, nors ir persvarstytas, ir toliau gali būti įstaigų, atitinkančių iš anksto nustatytus kriterijus, naudojamas. Todėl būtina pridėti naujas informacijos apie sandorio šalies kredito riziką teikimo formas ir nurodymus ir atnaujinti dabartinius nurodymus;</w:t>
      </w:r>
    </w:p>
    <w:p w14:paraId="76193745" w14:textId="77777777" w:rsidR="00AD21AA" w:rsidRPr="003071DF" w:rsidRDefault="00AD21AA" w:rsidP="00AD21AA">
      <w:pPr>
        <w:pStyle w:val="Considrant"/>
      </w:pPr>
      <w:r w:rsidRPr="003071DF">
        <w:t>Reglamentu (ES) 2019/876 nuorodos Reglamente (ES) Nr. 575/2013 į reikalavimus atitinkantį kapitalą skaičiuojant dideles pozicijas pakeistos nuorodomis į 1 lygio kapitalą, be to, nustatyta dar viena ribinė vertė, kurią pasiekus teikiamos konsoliduotos didelių pozicijų ataskaitos. Todėl didelių pozicijų ataskaitų teikimo tvarka turėtų būti atnaujinta;</w:t>
      </w:r>
    </w:p>
    <w:p w14:paraId="406A544B" w14:textId="77777777" w:rsidR="00AD21AA" w:rsidRPr="003071DF" w:rsidRDefault="00AD21AA" w:rsidP="00AD21AA">
      <w:pPr>
        <w:pStyle w:val="Considrant"/>
      </w:pPr>
      <w:r w:rsidRPr="003071DF">
        <w:t>Europos Parlamento ir Tarybos Reglamentu (ES) 2019/630</w:t>
      </w:r>
      <w:r w:rsidRPr="003071DF">
        <w:rPr>
          <w:rStyle w:val="FootnoteReference"/>
        </w:rPr>
        <w:footnoteReference w:id="5"/>
      </w:r>
      <w:r w:rsidRPr="003071DF">
        <w:t xml:space="preserve"> Reglamente (ES) Nr. 575/2013 nustatyta prudencinė neveiksnių pozicijų (toliau – neveiksnios pozicijos) finansinio stabilumo stiprinimo priemonė, kuria remiantis taikomas atskaitymas iš įstaigų nuosavų lėšų, kai atidėjiniais arba kitais koregavimais neveiksnios pozicijos padengiamos ne visiškai, laikantis iš anksto nustatyto tvarkaraščio, pagal kurį pasiekiamas visiškas padengimas. Ta prudencinė finansinio stabilumo stiprinimo </w:t>
      </w:r>
      <w:r w:rsidRPr="003071DF">
        <w:lastRenderedPageBreak/>
        <w:t>priemonė grindžiama Įgyvendinimo reglamente (ES) Nr. 680/2014 nustatytomis neveiksnios pozicijos ir restruktūrizavimo priemonių apibrėžtimis. Todėl būtina iš dalies pakeisti formas ir nurodymus siekiant užtikrinti, kad ataskaitų teikimo ir prudencinės finansinio stabilumo stiprinimo priemonės tikslais būtų nustatyta viena neveiksnios pozicijos ir restruktūrizavimo priemonių apibrėžtis. Taip pat reikia naujų formų, kad būtų galima rinkti finansinio stabilumo stiprinimo priemonės apskaičiavimui reikalingą informaciją;</w:t>
      </w:r>
    </w:p>
    <w:p w14:paraId="4A308F65" w14:textId="77777777" w:rsidR="00AD21AA" w:rsidRPr="003071DF" w:rsidRDefault="00AD21AA" w:rsidP="00AD21AA">
      <w:pPr>
        <w:pStyle w:val="Considrant"/>
      </w:pPr>
      <w:r w:rsidRPr="003071DF">
        <w:t>Europos Parlamento ir Tarybos reglamentu (ES) 2019/2033</w:t>
      </w:r>
      <w:r w:rsidRPr="003071DF">
        <w:rPr>
          <w:rStyle w:val="FootnoteReference"/>
        </w:rPr>
        <w:footnoteReference w:id="6"/>
      </w:r>
      <w:r w:rsidRPr="003071DF">
        <w:t xml:space="preserve"> nuo 2026 m. birželio 26 d. panaikinamas Reglamento (ES) Nr. 575/2013 trečios dalies I antraštinės dalies 1 skyriaus 2 skirsnis (95–98 straipsniai). Dėl šios priežasties individualių arba konsoliduotų ataskaitų teikimo nuostatos, skirtos grupėms, kurias sudaro tik investicinės įmonės, kurioms taikomi Reglamento (ES) Nr. 575/2013 95 ir 96 straipsniai, turėtų nustoti galioti 2026 m. birželio 26 d.;</w:t>
      </w:r>
    </w:p>
    <w:p w14:paraId="43FA00D7" w14:textId="77777777" w:rsidR="00AD21AA" w:rsidRPr="003071DF" w:rsidRDefault="00AD21AA" w:rsidP="00AD21AA">
      <w:pPr>
        <w:pStyle w:val="Considrant"/>
      </w:pPr>
      <w:r w:rsidRPr="003071DF">
        <w:t>atsižvelgiant į tų pakeitimų taikymo sritį ir siekiant aiškumo, tikslinga panaikinti Įgyvendinimo reglamentą (ES) Nr. 680/2014 ir jį pakeisti šiuo reglamentu;</w:t>
      </w:r>
    </w:p>
    <w:p w14:paraId="68FF0834" w14:textId="77777777" w:rsidR="00AD21AA" w:rsidRPr="003071DF" w:rsidRDefault="00AD21AA" w:rsidP="00AD21AA">
      <w:pPr>
        <w:pStyle w:val="Considrant"/>
      </w:pPr>
      <w:r w:rsidRPr="003071DF">
        <w:t>Europos Parlamento ir Tarybos Reglamentas (ES) Nr. 2020/873</w:t>
      </w:r>
      <w:r w:rsidRPr="003071DF">
        <w:rPr>
          <w:rStyle w:val="FootnoteReference"/>
        </w:rPr>
        <w:footnoteReference w:id="7"/>
      </w:r>
      <w:r w:rsidRPr="003071DF">
        <w:t xml:space="preserve"> yra viena iš priemonių, kuriomis siekiama sumažinti COVID-19 pandemijos poveikį visos Sąjungos įstaigoms. Tuo reglamentu padaryti tam tikri reglamentų (ES) Nr. 575/2013 ir (ES) 2019/876 pakeitimai, kurie daro poveikį priežiūros ataskaitų teikimui. Todėl į šiuos pakeitimus turėtų būti atsižvelgta ataskaitų teikimo sistemoje; </w:t>
      </w:r>
    </w:p>
    <w:p w14:paraId="1AEA9367" w14:textId="77777777" w:rsidR="00AD21AA" w:rsidRPr="003071DF" w:rsidRDefault="00AD21AA" w:rsidP="00AD21AA">
      <w:pPr>
        <w:pStyle w:val="Considrant"/>
      </w:pPr>
      <w:r w:rsidRPr="003071DF">
        <w:t>įstaigos turėtų pradėti teikti priežiūros ataskaitas 2021 m. antrojo ketvirčio pabaigoje. Tačiau sverto koeficiento rezervo ataskaitas reikėtų pradėti teikti nuo 2023 m. sausio mėn., nes sverto rezervo reikalavimų taikymas Reglamentu (ES) 2020/873 atidėtas iki 2023 m. sausio mėn.;</w:t>
      </w:r>
    </w:p>
    <w:p w14:paraId="34258819" w14:textId="77777777" w:rsidR="00AD21AA" w:rsidRPr="003071DF" w:rsidRDefault="00AD21AA" w:rsidP="00AD21AA">
      <w:pPr>
        <w:pStyle w:val="Considrant"/>
      </w:pPr>
      <w:r w:rsidRPr="003071DF">
        <w:t>šis reglamentas grindžiamas techninių įgyvendinimo standartų projektais, kuriuos Komisijai pateikė Europos bankininkystės institucija (EBI);</w:t>
      </w:r>
    </w:p>
    <w:p w14:paraId="1EE2EAF8" w14:textId="77777777" w:rsidR="00AD21AA" w:rsidRPr="003071DF" w:rsidRDefault="00AD21AA" w:rsidP="00AD21AA">
      <w:pPr>
        <w:pStyle w:val="Considrant"/>
        <w:rPr>
          <w:noProof/>
        </w:rPr>
      </w:pPr>
      <w:r w:rsidRPr="003071DF">
        <w:t>EBI dėl techninių įgyvendinimo standartų projektų, kuriais pagrįstas šis reglamentas, išskyrus nuostatas, atitinkančias Reglamento (ES) Nr. 575/2013 pakeitimus, padarytus Reglamentu (ES) 2020/873, surengė atviras viešas konsultacijas, išnagrinėjo galimas susijusias sąnaudas ir naudą ir paprašė Bankininkystės suinteresuotųjų subjektų grupės, įsteigtos pagal Europos Parlamento ir Tarybos reglamento (ES) Nr. 1093/2010</w:t>
      </w:r>
      <w:r w:rsidRPr="003071DF">
        <w:rPr>
          <w:rStyle w:val="FootnoteReference"/>
        </w:rPr>
        <w:footnoteReference w:id="8"/>
      </w:r>
      <w:r w:rsidRPr="003071DF">
        <w:t xml:space="preserve"> 37 straipsnį, konsultacijos. EBI nusprendė, kad būtų buvę labai neproporcinga rengti viešas konsultacijas dėl tų nuostatų arba atlikti jų sąnaudų ir naudos analizę, nes jos susijusios tik su keliomis mokumo ir finansinio sverto ataskaitų teikimo formų eilutėmis ir greičiausiai neturės reikšmingo poveikio ataskaitų teikimo sąnaudoms. Be to, tokios viešos konsultacijos arba sąnaudų ir naudos analizė trukdytų priežiūros institucijoms laiku, nuosekliai ir reguliariai rinkti atitinkamus duomenis;</w:t>
      </w:r>
    </w:p>
    <w:p w14:paraId="38285338" w14:textId="5E242B95" w:rsidR="0004170D" w:rsidRPr="003071DF" w:rsidRDefault="00AD21AA" w:rsidP="00AD21AA">
      <w:pPr>
        <w:pStyle w:val="Considrant"/>
        <w:rPr>
          <w:noProof/>
        </w:rPr>
      </w:pPr>
      <w:r w:rsidRPr="003071DF">
        <w:lastRenderedPageBreak/>
        <w:t xml:space="preserve">siekiant suteikti įstaigoms pakankamai laiko pasirengti teikti ataskaitas pagal šį reglamentą, jis turėtų įsigalioti kitą dieną po jo paskelbimo </w:t>
      </w:r>
      <w:r w:rsidRPr="003071DF">
        <w:rPr>
          <w:i/>
        </w:rPr>
        <w:t>Europos Sąjungos oficialiajame leidinyje</w:t>
      </w:r>
      <w:r w:rsidRPr="003071DF">
        <w:t xml:space="preserve">, </w:t>
      </w:r>
    </w:p>
    <w:p w14:paraId="7E0D596A" w14:textId="77777777" w:rsidR="0004170D" w:rsidRPr="003071DF" w:rsidRDefault="0004170D" w:rsidP="009675DD">
      <w:pPr>
        <w:pStyle w:val="Formuledadoption"/>
      </w:pPr>
      <w:r w:rsidRPr="003071DF">
        <w:t>PRIĖMĖ ŠĮ REGLAMENTĄ:</w:t>
      </w:r>
    </w:p>
    <w:p w14:paraId="576F9D8E" w14:textId="77777777" w:rsidR="0004170D" w:rsidRPr="003071DF" w:rsidRDefault="0004170D" w:rsidP="009675DD">
      <w:pPr>
        <w:pStyle w:val="Titrearticle"/>
      </w:pPr>
      <w:r w:rsidRPr="003071DF">
        <w:t>1 straipsnis</w:t>
      </w:r>
    </w:p>
    <w:p w14:paraId="288B3999" w14:textId="77777777" w:rsidR="006B61AF" w:rsidRPr="003071DF" w:rsidRDefault="006B61AF" w:rsidP="006B61AF">
      <w:pPr>
        <w:pStyle w:val="Titrearticle"/>
        <w:spacing w:before="120"/>
        <w:rPr>
          <w:b/>
          <w:i w:val="0"/>
        </w:rPr>
      </w:pPr>
      <w:r w:rsidRPr="003071DF">
        <w:rPr>
          <w:b/>
          <w:i w:val="0"/>
        </w:rPr>
        <w:t>Dalykas ir taikymo sritis</w:t>
      </w:r>
    </w:p>
    <w:p w14:paraId="37986D69" w14:textId="774022E5" w:rsidR="0004170D" w:rsidRPr="003071DF" w:rsidRDefault="006B61AF" w:rsidP="00BC75BD">
      <w:r w:rsidRPr="003071DF">
        <w:t xml:space="preserve">Šiuo reglamentu nustatomi vienodi ataskaitų teikimo formatai ir formos, tų formų naudojimo nurodymai ir metodika, ataskaitų teikimo dažnumas ir datos, apibrėžtys ir IT sprendimai, taikomi įstaigoms teikiant ataskaitas jų kompetentingoms institucijoms pagal Reglamento (ES) Nr. 575/2013 415 straipsnio 3 ir 3a dalis ir to reglamento 430 straipsnio 1–4, 7 ir 9 dalis. </w:t>
      </w:r>
    </w:p>
    <w:p w14:paraId="46D6B4CF" w14:textId="77777777" w:rsidR="00FF364B" w:rsidRPr="003071DF" w:rsidRDefault="003007E3" w:rsidP="00FF364B">
      <w:pPr>
        <w:pStyle w:val="Titrearticle"/>
      </w:pPr>
      <w:r>
        <w:fldChar w:fldCharType="begin"/>
      </w:r>
      <w:r>
        <w:instrText xml:space="preserve"> seq article </w:instrText>
      </w:r>
      <w:r>
        <w:fldChar w:fldCharType="separate"/>
      </w:r>
      <w:r w:rsidR="00FF364B" w:rsidRPr="003071DF">
        <w:t>2</w:t>
      </w:r>
      <w:r>
        <w:fldChar w:fldCharType="end"/>
      </w:r>
      <w:r w:rsidR="00FF364B" w:rsidRPr="003071DF">
        <w:t xml:space="preserve"> straipsnis</w:t>
      </w:r>
    </w:p>
    <w:p w14:paraId="35E34B0E" w14:textId="1A25917F" w:rsidR="00FF364B" w:rsidRPr="003071DF" w:rsidRDefault="006B61AF" w:rsidP="00FF364B">
      <w:pPr>
        <w:pStyle w:val="Titrearticle"/>
        <w:spacing w:before="120"/>
        <w:rPr>
          <w:b/>
          <w:i w:val="0"/>
        </w:rPr>
      </w:pPr>
      <w:r w:rsidRPr="003071DF">
        <w:rPr>
          <w:b/>
          <w:i w:val="0"/>
        </w:rPr>
        <w:t>Ataskaitinės datos</w:t>
      </w:r>
    </w:p>
    <w:p w14:paraId="10AD0363" w14:textId="77777777" w:rsidR="006B61AF" w:rsidRPr="003071DF" w:rsidRDefault="006B61AF" w:rsidP="006B61AF">
      <w:pPr>
        <w:pStyle w:val="NumPar1"/>
        <w:numPr>
          <w:ilvl w:val="0"/>
          <w:numId w:val="10"/>
        </w:numPr>
      </w:pPr>
      <w:r w:rsidRPr="003071DF">
        <w:t>Įstaigos kompetentingoms institucijoms teikia informaciją, kurios ataskaitinės datos yra šios:</w:t>
      </w:r>
    </w:p>
    <w:p w14:paraId="7FC44D08" w14:textId="2BC9CD43" w:rsidR="006B61AF" w:rsidRPr="003071DF" w:rsidRDefault="00D9176D" w:rsidP="006B61AF">
      <w:pPr>
        <w:pStyle w:val="Point1"/>
      </w:pPr>
      <w:r w:rsidRPr="003071DF">
        <w:t>a)</w:t>
      </w:r>
      <w:r w:rsidRPr="003071DF">
        <w:tab/>
        <w:t>mėnesio ataskaitos: paskutinė kiekvieno mėnesio diena;</w:t>
      </w:r>
    </w:p>
    <w:p w14:paraId="28CC3121" w14:textId="77777777" w:rsidR="006B61AF" w:rsidRPr="003071DF" w:rsidRDefault="006B61AF" w:rsidP="006B61AF">
      <w:pPr>
        <w:pStyle w:val="Point1"/>
      </w:pPr>
      <w:r w:rsidRPr="003071DF">
        <w:t>b)</w:t>
      </w:r>
      <w:r w:rsidRPr="003071DF">
        <w:tab/>
        <w:t>ketvirčio ataskaitos: kovo 31 d., birželio 30 d., rugsėjo 30 d. ir gruodžio 31 d.;</w:t>
      </w:r>
    </w:p>
    <w:p w14:paraId="3C859754" w14:textId="77777777" w:rsidR="006B61AF" w:rsidRPr="003071DF" w:rsidRDefault="006B61AF" w:rsidP="006B61AF">
      <w:pPr>
        <w:pStyle w:val="Point1"/>
      </w:pPr>
      <w:r w:rsidRPr="003071DF">
        <w:t>c)</w:t>
      </w:r>
      <w:r w:rsidRPr="003071DF">
        <w:tab/>
        <w:t>pusmečio ataskaitos: birželio 30 d. ir gruodžio 31 d.;</w:t>
      </w:r>
    </w:p>
    <w:p w14:paraId="03865441" w14:textId="5E46B259" w:rsidR="00FF364B" w:rsidRPr="003071DF" w:rsidRDefault="006B61AF" w:rsidP="006B61AF">
      <w:pPr>
        <w:pStyle w:val="Point1"/>
      </w:pPr>
      <w:r w:rsidRPr="003071DF">
        <w:t>d)</w:t>
      </w:r>
      <w:r w:rsidRPr="003071DF">
        <w:tab/>
        <w:t>metinės ataskaitos: gruodžio 31 d.</w:t>
      </w:r>
    </w:p>
    <w:p w14:paraId="40A4E6AA" w14:textId="77777777" w:rsidR="006B61AF" w:rsidRPr="003071DF" w:rsidRDefault="006B61AF" w:rsidP="006B61AF">
      <w:pPr>
        <w:pStyle w:val="NumPar1"/>
      </w:pPr>
      <w:r w:rsidRPr="003071DF">
        <w:t>Tam tikro laikotarpio informacija, teikiama pagal III ir IV prieduose nustatytas formas laikantis V priedo nurodymų, pateikiama kumuliatyviai nuo pirmos finansinių metų dienos iki ataskaitinės datos.</w:t>
      </w:r>
    </w:p>
    <w:p w14:paraId="65D209FF" w14:textId="1131E63F" w:rsidR="00FF364B" w:rsidRPr="003071DF" w:rsidRDefault="006B61AF" w:rsidP="006B61AF">
      <w:pPr>
        <w:pStyle w:val="NumPar1"/>
      </w:pPr>
      <w:r w:rsidRPr="003071DF">
        <w:t>Jeigu pagal nacionalinę teisę įstaigoms leidžiama finansinę informaciją teikti atsižvelgiant į jų finansinių metų, kurie nesutampa su kalendoriniais metais, pabaigą, ataskaitinės datos gali būti atitinkamai pakoreguotos, kad finansinė informacija ir informacija siekiant nustatyti pasaulinės sisteminės svarbos įstaigas (G-SII) ir paskirti G-SII rezervo normas, būtų teikiama atitinkamai kas tris, šešis arba dvylika mėnesių nuo jų finansinių metų pabaigos.</w:t>
      </w:r>
    </w:p>
    <w:p w14:paraId="45D66A15" w14:textId="77777777" w:rsidR="00725875" w:rsidRPr="003071DF" w:rsidRDefault="00725875" w:rsidP="00725875">
      <w:pPr>
        <w:pStyle w:val="Titrearticle"/>
      </w:pPr>
      <w:r w:rsidRPr="003071DF">
        <w:t>3 straipsnis</w:t>
      </w:r>
    </w:p>
    <w:p w14:paraId="19D84E1B" w14:textId="77777777" w:rsidR="0014552F" w:rsidRPr="003071DF" w:rsidRDefault="0014552F" w:rsidP="0014552F">
      <w:pPr>
        <w:pStyle w:val="Titrearticle"/>
        <w:spacing w:before="120"/>
        <w:rPr>
          <w:b/>
          <w:i w:val="0"/>
        </w:rPr>
      </w:pPr>
      <w:r w:rsidRPr="003071DF">
        <w:rPr>
          <w:b/>
          <w:i w:val="0"/>
        </w:rPr>
        <w:t>Informacijos teikimo datos</w:t>
      </w:r>
    </w:p>
    <w:p w14:paraId="1A3916EF" w14:textId="77777777" w:rsidR="0014552F" w:rsidRPr="003071DF" w:rsidRDefault="0014552F" w:rsidP="0047317A">
      <w:pPr>
        <w:pStyle w:val="NumPar1"/>
        <w:numPr>
          <w:ilvl w:val="0"/>
          <w:numId w:val="12"/>
        </w:numPr>
      </w:pPr>
      <w:r w:rsidRPr="003071DF">
        <w:t>Įstaigos kompetentingoms institucijoms informaciją teikia iki darbo dienos pabaigos šiomis informacijos teikimo datomis:</w:t>
      </w:r>
    </w:p>
    <w:p w14:paraId="1B31A059" w14:textId="77777777" w:rsidR="0014552F" w:rsidRPr="003071DF" w:rsidRDefault="0014552F" w:rsidP="0014552F">
      <w:pPr>
        <w:pStyle w:val="Point1"/>
      </w:pPr>
      <w:r w:rsidRPr="003071DF">
        <w:t>a)</w:t>
      </w:r>
      <w:r w:rsidRPr="003071DF">
        <w:tab/>
        <w:t>mėnesio ataskaitos – 15-ta kalendorinė diena po ataskaitinės datos;</w:t>
      </w:r>
    </w:p>
    <w:p w14:paraId="59E141C9" w14:textId="77777777" w:rsidR="0014552F" w:rsidRPr="003071DF" w:rsidRDefault="0014552F" w:rsidP="0014552F">
      <w:pPr>
        <w:pStyle w:val="Point1"/>
      </w:pPr>
      <w:r w:rsidRPr="003071DF">
        <w:t>b)</w:t>
      </w:r>
      <w:r w:rsidRPr="003071DF">
        <w:tab/>
        <w:t>ketvirčio ataskaitos – gegužės 12 d., rugpjūčio 11 d., lapkričio 11 d. ir vasario 11 d.;</w:t>
      </w:r>
    </w:p>
    <w:p w14:paraId="31A5927D" w14:textId="77777777" w:rsidR="0014552F" w:rsidRPr="003071DF" w:rsidRDefault="0014552F" w:rsidP="0014552F">
      <w:pPr>
        <w:pStyle w:val="Point1"/>
      </w:pPr>
      <w:r w:rsidRPr="003071DF">
        <w:t>c)</w:t>
      </w:r>
      <w:r w:rsidRPr="003071DF">
        <w:tab/>
        <w:t>pusmečio ataskaitos – rugpjūčio 11 d. ir vasario 11 d.;</w:t>
      </w:r>
    </w:p>
    <w:p w14:paraId="37F1906A" w14:textId="77777777" w:rsidR="0014552F" w:rsidRPr="003071DF" w:rsidRDefault="0014552F" w:rsidP="0014552F">
      <w:pPr>
        <w:pStyle w:val="Point1"/>
      </w:pPr>
      <w:r w:rsidRPr="003071DF">
        <w:t>d)</w:t>
      </w:r>
      <w:r w:rsidRPr="003071DF">
        <w:tab/>
        <w:t>metinės ataskaitos – vasario 11 d.</w:t>
      </w:r>
    </w:p>
    <w:p w14:paraId="493E0587" w14:textId="77777777" w:rsidR="0014552F" w:rsidRPr="003071DF" w:rsidRDefault="0014552F" w:rsidP="0014552F">
      <w:pPr>
        <w:pStyle w:val="NumPar1"/>
        <w:numPr>
          <w:ilvl w:val="0"/>
          <w:numId w:val="10"/>
        </w:numPr>
      </w:pPr>
      <w:r w:rsidRPr="003071DF">
        <w:t>Jeigu informacijos teikimo data yra švenčių diena kompetentingos institucijos, kuriai turi būti pateikta ataskaita, valstybėje narėje arba šeštadienis ar sekmadienis, duomenys pateikiami kitą darbo dieną.</w:t>
      </w:r>
    </w:p>
    <w:p w14:paraId="6B66EFC5" w14:textId="77777777" w:rsidR="0014552F" w:rsidRPr="003071DF" w:rsidRDefault="0014552F" w:rsidP="0014552F">
      <w:pPr>
        <w:pStyle w:val="NumPar1"/>
        <w:numPr>
          <w:ilvl w:val="0"/>
          <w:numId w:val="10"/>
        </w:numPr>
      </w:pPr>
      <w:r w:rsidRPr="003071DF">
        <w:lastRenderedPageBreak/>
        <w:t>Jeigu įstaigos savo finansinę informaciją arba informaciją G-SII nustatymo ir G-SII rezervo normų paskyrimo tikslais teikia pagal pakoreguotas ataskaitines datas, kurios pagrįstos jų finansinių metų pabaiga, kaip nustatyta 2 straipsnio 3 dalyje, informacijos teikimo datos taip pat gali būti atitinkamai pakoreguotos, kad būtų išlaikytas tas pats informacijos teikimo laikotarpis nuo pakoreguotos ataskaitinės datos.</w:t>
      </w:r>
    </w:p>
    <w:p w14:paraId="67094FB3" w14:textId="77777777" w:rsidR="0014552F" w:rsidRPr="003071DF" w:rsidRDefault="0014552F" w:rsidP="0014552F">
      <w:pPr>
        <w:pStyle w:val="NumPar1"/>
        <w:numPr>
          <w:ilvl w:val="0"/>
          <w:numId w:val="10"/>
        </w:numPr>
      </w:pPr>
      <w:r w:rsidRPr="003071DF">
        <w:t>Įstaigos gali pateikti neaudituotus duomenis. Jeigu audituoti duomenys skiriasi nuo pateiktų neaudituotų duomenų, nepagrįstai nedelsiant pateikiami patikslinti audituoti duomenys. Neaudituoti duomenys – duomenys, dėl kurių negauta išorės auditoriaus nuomonė, o audituoti duomenys – duomenys, kuriuos auditavo ir audito nuomonę pateikė išorės auditorius.</w:t>
      </w:r>
    </w:p>
    <w:p w14:paraId="758E2E74" w14:textId="6B437F09" w:rsidR="00725875" w:rsidRPr="003071DF" w:rsidRDefault="0014552F" w:rsidP="0014552F">
      <w:pPr>
        <w:pStyle w:val="NumPar1"/>
        <w:numPr>
          <w:ilvl w:val="0"/>
          <w:numId w:val="10"/>
        </w:numPr>
      </w:pPr>
      <w:r w:rsidRPr="003071DF">
        <w:t>Kitos pateiktų ataskaitų pataisos kompetentingoms institucijoms taip pat pateikiamos nepagrįstai nedelsiant.</w:t>
      </w:r>
    </w:p>
    <w:p w14:paraId="60D8A63C" w14:textId="77777777" w:rsidR="0014552F" w:rsidRPr="003071DF" w:rsidRDefault="003007E3" w:rsidP="0014552F">
      <w:pPr>
        <w:pStyle w:val="Titrearticle"/>
      </w:pPr>
      <w:r>
        <w:fldChar w:fldCharType="begin"/>
      </w:r>
      <w:r>
        <w:instrText xml:space="preserve"> seq article </w:instrText>
      </w:r>
      <w:r>
        <w:fldChar w:fldCharType="separate"/>
      </w:r>
      <w:r w:rsidR="0014552F" w:rsidRPr="003071DF">
        <w:t>4</w:t>
      </w:r>
      <w:r>
        <w:fldChar w:fldCharType="end"/>
      </w:r>
      <w:r w:rsidR="0014552F" w:rsidRPr="003071DF">
        <w:t xml:space="preserve"> straipsnis</w:t>
      </w:r>
    </w:p>
    <w:p w14:paraId="726E257C" w14:textId="77777777" w:rsidR="0014552F" w:rsidRPr="003071DF" w:rsidRDefault="0014552F" w:rsidP="0014552F">
      <w:pPr>
        <w:pStyle w:val="Titrearticle"/>
        <w:spacing w:before="120"/>
        <w:rPr>
          <w:b/>
          <w:i w:val="0"/>
        </w:rPr>
      </w:pPr>
      <w:r w:rsidRPr="003071DF">
        <w:rPr>
          <w:b/>
          <w:i w:val="0"/>
        </w:rPr>
        <w:t>Informacijos teikimo ribinės vertės. Prievolės taikymo ir netaikymo kriterijai</w:t>
      </w:r>
    </w:p>
    <w:p w14:paraId="06A0F026" w14:textId="77777777" w:rsidR="0014552F" w:rsidRPr="003071DF" w:rsidRDefault="0014552F" w:rsidP="0047317A">
      <w:pPr>
        <w:pStyle w:val="NumPar1"/>
        <w:numPr>
          <w:ilvl w:val="0"/>
          <w:numId w:val="13"/>
        </w:numPr>
      </w:pPr>
      <w:r w:rsidRPr="003071DF">
        <w:t>Reglamento (ES) Nr. 575/2013 4 straipsnio 1 dalies 145 punkte nustatytas sąlygas atitinkančios įstaigos pradeda teikti informaciją kaip mažos ir nesudėtingos įstaigos pirmą ataskaitinę datą po to, kai jos tas sąlygas atitinka. Jeigu įstaigos tų sąlygų nebeatitinka, jos nustoja teikti informaciją pirmą ataskaitinę datą.</w:t>
      </w:r>
    </w:p>
    <w:p w14:paraId="67299D12" w14:textId="77777777" w:rsidR="0014552F" w:rsidRPr="003071DF" w:rsidRDefault="0014552F" w:rsidP="0014552F">
      <w:pPr>
        <w:pStyle w:val="NumPar1"/>
        <w:numPr>
          <w:ilvl w:val="0"/>
          <w:numId w:val="10"/>
        </w:numPr>
      </w:pPr>
      <w:r w:rsidRPr="003071DF">
        <w:t>Reglamento (ES) Nr. 575/2013 4 straipsnio 1 dalies 146 punkte nustatytas sąlygas atitinkančios įstaigos pradeda teikti informaciją kaip didelės įstaigos pirmą ataskaitinę datą po to, kai jos tas sąlygas atitinka. Jeigu įstaigos tų sąlygų nebeatitinka, jos nustoja teikti informaciją pirmą ataskaitinę datą.</w:t>
      </w:r>
    </w:p>
    <w:p w14:paraId="427BAF61" w14:textId="77777777" w:rsidR="0014552F" w:rsidRPr="003071DF" w:rsidRDefault="0014552F" w:rsidP="0014552F">
      <w:pPr>
        <w:pStyle w:val="NumPar1"/>
        <w:numPr>
          <w:ilvl w:val="0"/>
          <w:numId w:val="10"/>
        </w:numPr>
      </w:pPr>
      <w:r w:rsidRPr="003071DF">
        <w:t>Įstaigos pradeda teikti informaciją, kuriai taikomos šiame reglamente nustatytos ribinės vertės, kitą ataskaitinę datą po to, kai tos ribinės vertės buvo viršytos dvi ataskaitines datas iš eilės. Įstaigos gali nustoti teikti informaciją, kuriai taikomos šiame reglamente nustatytos ribinės vertės, kitą ataskaitinę datą, jeigu jos tris ataskaitines datas iš eilės nebesiekia atitinkamų ribinių verčių.</w:t>
      </w:r>
    </w:p>
    <w:p w14:paraId="1E03EF09" w14:textId="77777777" w:rsidR="0014552F" w:rsidRPr="003071DF" w:rsidRDefault="003007E3" w:rsidP="0014552F">
      <w:pPr>
        <w:pStyle w:val="Titrearticle"/>
      </w:pPr>
      <w:r>
        <w:fldChar w:fldCharType="begin"/>
      </w:r>
      <w:r>
        <w:instrText xml:space="preserve"> seq article </w:instrText>
      </w:r>
      <w:r>
        <w:fldChar w:fldCharType="separate"/>
      </w:r>
      <w:r w:rsidR="0014552F" w:rsidRPr="003071DF">
        <w:t>5</w:t>
      </w:r>
      <w:r>
        <w:fldChar w:fldCharType="end"/>
      </w:r>
      <w:r w:rsidR="0014552F" w:rsidRPr="003071DF">
        <w:t xml:space="preserve"> straipsnis</w:t>
      </w:r>
    </w:p>
    <w:p w14:paraId="17F5FB19" w14:textId="77777777" w:rsidR="0014552F" w:rsidRPr="003071DF" w:rsidRDefault="0014552F" w:rsidP="0014552F">
      <w:pPr>
        <w:pStyle w:val="Titrearticle"/>
        <w:spacing w:before="120"/>
        <w:rPr>
          <w:b/>
          <w:i w:val="0"/>
        </w:rPr>
      </w:pPr>
      <w:r w:rsidRPr="003071DF">
        <w:rPr>
          <w:b/>
          <w:i w:val="0"/>
        </w:rPr>
        <w:t xml:space="preserve">Ketvirčio informacijos apie nuosavas lėšas ir nuosavų lėšų reikalavimus teikimas individualiu pagrindu </w:t>
      </w:r>
    </w:p>
    <w:p w14:paraId="52AEA4DB" w14:textId="77777777" w:rsidR="0014552F" w:rsidRPr="003071DF" w:rsidRDefault="0014552F" w:rsidP="0047317A">
      <w:pPr>
        <w:pStyle w:val="NumPar1"/>
        <w:numPr>
          <w:ilvl w:val="0"/>
          <w:numId w:val="14"/>
        </w:numPr>
      </w:pPr>
      <w:r w:rsidRPr="003071DF">
        <w:t>Individualiai teikdamos informaciją apie nuosavas lėšas ir nuosavų lėšų reikalavimus pagal Reglamento (ES) Nr. 575/2013 430 straipsnio 1 dalies a punktą, įstaigos šiame straipsnyje nurodytą informaciją teikia kas ketvirtį.</w:t>
      </w:r>
    </w:p>
    <w:p w14:paraId="10F736EF" w14:textId="77777777" w:rsidR="0014552F" w:rsidRPr="003071DF" w:rsidRDefault="0014552F" w:rsidP="0014552F">
      <w:pPr>
        <w:pStyle w:val="NumPar1"/>
      </w:pPr>
      <w:r w:rsidRPr="003071DF">
        <w:t>Įstaigos teikia informaciją apie nuosavas lėšas ir nuosavų lėšų reikalavimus, kaip nurodyta I priedo 1–5 formose, pagal II priedo II dalies 1 punkto nurodymus.</w:t>
      </w:r>
    </w:p>
    <w:p w14:paraId="77032C56" w14:textId="77777777" w:rsidR="0014552F" w:rsidRPr="003071DF" w:rsidRDefault="0014552F" w:rsidP="0014552F">
      <w:pPr>
        <w:pStyle w:val="NumPar1"/>
      </w:pPr>
      <w:r w:rsidRPr="003071DF">
        <w:t>Įstaigos teikia informaciją apie kredito riziką ir sandorio šalies kredito rizikos pozicijas, kurioms taikomas standartizuotas metodas, kaip nurodyta I priedo 7 formoje, pagal II priedo II dalies 3.2 punkto nurodymus.</w:t>
      </w:r>
    </w:p>
    <w:p w14:paraId="4FC8E450" w14:textId="77777777" w:rsidR="0014552F" w:rsidRPr="003071DF" w:rsidRDefault="0014552F" w:rsidP="0014552F">
      <w:pPr>
        <w:pStyle w:val="NumPar1"/>
      </w:pPr>
      <w:r w:rsidRPr="003071DF">
        <w:t>Įstaigos teikia informaciją apie kredito riziką ir sandorio šalies kredito rizikos pozicijas, kurioms taikomas vidaus reitingais pagrįstas metodas, kaip nurodyta I priedo 8.1 ir 8.2 formose, pagal II priedo II dalies 3.3 punkto nurodymus.</w:t>
      </w:r>
    </w:p>
    <w:p w14:paraId="68EBC1AD" w14:textId="77777777" w:rsidR="0014552F" w:rsidRPr="003071DF" w:rsidRDefault="0014552F" w:rsidP="0014552F">
      <w:pPr>
        <w:pStyle w:val="NumPar1"/>
      </w:pPr>
      <w:r w:rsidRPr="003071DF">
        <w:lastRenderedPageBreak/>
        <w:t xml:space="preserve">Įstaigos teikia informaciją apie geografinį pozicijų suskirstymą pagal šalį, taip pat teikia agreguotų pozicijų duomenis bendru lygmeniu, kaip nurodyta I priedo 9 formoje, pagal II priedo II dalies 3.4 punkto nurodymus. </w:t>
      </w:r>
    </w:p>
    <w:p w14:paraId="37720A47" w14:textId="380C1EA6" w:rsidR="0014552F" w:rsidRPr="003071DF" w:rsidRDefault="0014552F" w:rsidP="006B3AF7">
      <w:pPr>
        <w:pStyle w:val="Text1"/>
      </w:pPr>
      <w:r w:rsidRPr="003071DF">
        <w:t xml:space="preserve">Įstaigos teikia 9.1 ir 9.2 formose nurodytą informaciją, visų pirma informaciją apie geografinį pozicijų suskirstymą pagal šalį, kai ne vidaus pradinės pozicijos visose „ne buveinės“ šalyse visose pozicijų klasėse, kaip nurodyta I priedo 4 formos 0850 eilutėje, sudaro arba viršija 10 % bendros vidaus ir ne vidaus pradinių pozicijų sumos, kaip nurodyta I priedo 4 formos 0860 eilutėje. Pozicijos yra laikomos vidaus pozicijomis, kai yra susijusios su valstybėje narėje, kurioje įsteigta įstaiga, esančiomis sandorio šalimis. </w:t>
      </w:r>
    </w:p>
    <w:p w14:paraId="2D010602" w14:textId="678AF76C" w:rsidR="0014552F" w:rsidRPr="003071DF" w:rsidRDefault="0014552F" w:rsidP="006B3AF7">
      <w:pPr>
        <w:pStyle w:val="Text1"/>
      </w:pPr>
      <w:r w:rsidRPr="003071DF">
        <w:t>Taikomi 4 straipsnyje nurodyti prievolės taikymo ir netaikymo kriterijai.</w:t>
      </w:r>
    </w:p>
    <w:p w14:paraId="1B5047C1" w14:textId="77777777" w:rsidR="0014552F" w:rsidRPr="003071DF" w:rsidRDefault="0014552F" w:rsidP="0014552F">
      <w:pPr>
        <w:pStyle w:val="NumPar1"/>
      </w:pPr>
      <w:r w:rsidRPr="003071DF">
        <w:t>Įstaigos teikia informaciją apie sandorio šalies kredito riziką, kaip nurodyta I priedo 34.01–34.05 ir 34.08–34.10 formose, pagal II priedo II dalies 3.9 punkto nurodymus.</w:t>
      </w:r>
    </w:p>
    <w:p w14:paraId="71DD8676" w14:textId="77777777" w:rsidR="0014552F" w:rsidRPr="003071DF" w:rsidRDefault="0014552F" w:rsidP="0014552F">
      <w:pPr>
        <w:pStyle w:val="NumPar1"/>
      </w:pPr>
      <w:r w:rsidRPr="003071DF">
        <w:t>Įstaigos, taikančios standartizuotą metodą arba vidaus modelio metodą sandorio šalies kredito rizikos pozicijoms apskaičiuoti pagal Reglamento (ES) Nr. 575/2013 trečios dalies II antraštinės dalies 6 skyriaus 3 ir 6 skirsnius, teikia informaciją apie sandorio šalies kredito riziką, kaip nurodyta I priedo 34.06 formoje, pagal II priedo II dalies 3.9.7 punkte pateiktus nurodymus.</w:t>
      </w:r>
    </w:p>
    <w:p w14:paraId="5A7C446B" w14:textId="77777777" w:rsidR="0014552F" w:rsidRPr="003071DF" w:rsidRDefault="0014552F" w:rsidP="0014552F">
      <w:pPr>
        <w:pStyle w:val="NumPar1"/>
      </w:pPr>
      <w:r w:rsidRPr="003071DF">
        <w:t>Įstaigos teikia informaciją apie nuosavybės vertybinių popierių pozicijas, kurioms taikomas vidaus reitingais pagrįstas metodas, kaip nurodyta I priedo 10 formoje, pagal II priedo II dalies 3.5 punkto nurodymus.</w:t>
      </w:r>
    </w:p>
    <w:p w14:paraId="6C5997E8" w14:textId="77777777" w:rsidR="0014552F" w:rsidRPr="003071DF" w:rsidRDefault="0014552F" w:rsidP="0014552F">
      <w:pPr>
        <w:pStyle w:val="NumPar1"/>
      </w:pPr>
      <w:r w:rsidRPr="003071DF">
        <w:t>Įstaigos teikia informaciją apie atsiskaitymo riziką, kaip nurodyta I priedo 11 formoje, pagal II priedo II dalies 3.6 punkto nurodymus.</w:t>
      </w:r>
    </w:p>
    <w:p w14:paraId="442593B8" w14:textId="77777777" w:rsidR="0014552F" w:rsidRPr="003071DF" w:rsidRDefault="0014552F" w:rsidP="0014552F">
      <w:pPr>
        <w:pStyle w:val="NumPar1"/>
      </w:pPr>
      <w:r w:rsidRPr="003071DF">
        <w:t>Įstaigos teikia informaciją apie pakeitimo vertybiniais popieriais pozicijas, kaip nurodyta I priedo 13.01 formoje, pagal II priedo II dalies 3.7 punkto nurodymus.</w:t>
      </w:r>
    </w:p>
    <w:p w14:paraId="70A0DE2C" w14:textId="77777777" w:rsidR="0014552F" w:rsidRPr="003071DF" w:rsidRDefault="0014552F" w:rsidP="0014552F">
      <w:pPr>
        <w:pStyle w:val="NumPar1"/>
      </w:pPr>
      <w:r w:rsidRPr="003071DF">
        <w:t>Įstaigos teikia informaciją apie nuosavų lėšų reikalavimus ir nuostolius, susijusius su operacine rizika, kaip nurodyta I priedo 16 formoje, pagal II priedo II dalies 4.1 punkto nurodymus.</w:t>
      </w:r>
    </w:p>
    <w:p w14:paraId="66782023" w14:textId="77777777" w:rsidR="0014552F" w:rsidRPr="003071DF" w:rsidRDefault="0014552F" w:rsidP="0014552F">
      <w:pPr>
        <w:pStyle w:val="NumPar1"/>
      </w:pPr>
      <w:r w:rsidRPr="003071DF">
        <w:t>Įstaigos teikia informaciją apie nuosavų lėšų reikalavimus, susijusius su rinkos rizika, kaip nurodyta I priedo 18–24 formose, pagal II priedo II dalies 5.1–5.7 punktų nurodymus.</w:t>
      </w:r>
    </w:p>
    <w:p w14:paraId="2975DD1F" w14:textId="77777777" w:rsidR="0014552F" w:rsidRPr="003071DF" w:rsidRDefault="0014552F" w:rsidP="0014552F">
      <w:pPr>
        <w:pStyle w:val="NumPar1"/>
      </w:pPr>
      <w:r w:rsidRPr="003071DF">
        <w:t>Įstaigos teikia informaciją apie nuosavų lėšų reikalavimus, susijusius su kredito vertinimo koregavimo rizika, kaip nurodyta I priedo 25 formoje, pagal II priedo II dalies 5.8 punkto nurodymus.</w:t>
      </w:r>
    </w:p>
    <w:p w14:paraId="29B0B226" w14:textId="5F3CD6D2" w:rsidR="0014552F" w:rsidRPr="003071DF" w:rsidRDefault="0014552F" w:rsidP="0014552F">
      <w:pPr>
        <w:pStyle w:val="NumPar1"/>
      </w:pPr>
      <w:r w:rsidRPr="003071DF">
        <w:t>Įstaigos teikia informaciją apie rizikos ribojimo principais pagrįstą vertinimą, kaip nurodyta I priedo 32 formoje, pagal II priedo II dalies 6 punkto nurodymus taip:</w:t>
      </w:r>
    </w:p>
    <w:p w14:paraId="7AAF2502" w14:textId="77777777" w:rsidR="0014552F" w:rsidRPr="003071DF" w:rsidRDefault="0014552F" w:rsidP="0014552F">
      <w:pPr>
        <w:pStyle w:val="Point1"/>
      </w:pPr>
      <w:r w:rsidRPr="003071DF">
        <w:t>a)</w:t>
      </w:r>
      <w:r w:rsidRPr="003071DF">
        <w:tab/>
        <w:t>visos įstaigos teikia I priedo 32.1 formoje nurodytą informaciją pagal II priedo II dalies 6 punkto nurodymus;</w:t>
      </w:r>
    </w:p>
    <w:p w14:paraId="2C2BA953" w14:textId="77777777" w:rsidR="0014552F" w:rsidRPr="003071DF" w:rsidRDefault="0014552F" w:rsidP="0014552F">
      <w:pPr>
        <w:pStyle w:val="Point1"/>
      </w:pPr>
      <w:r w:rsidRPr="003071DF">
        <w:t>b)</w:t>
      </w:r>
      <w:r w:rsidRPr="003071DF">
        <w:tab/>
        <w:t>įstaigos, kurios taiko pagrindinį metodą pagal Komisijos deleguotąjį reglamentą (ES) 2016/101</w:t>
      </w:r>
      <w:r w:rsidRPr="003071DF">
        <w:rPr>
          <w:rStyle w:val="FootnoteReference"/>
        </w:rPr>
        <w:footnoteReference w:id="9"/>
      </w:r>
      <w:r w:rsidRPr="003071DF">
        <w:t xml:space="preserve">, be šios dalies a punkte nurodytos informacijos, </w:t>
      </w:r>
      <w:r w:rsidRPr="003071DF">
        <w:lastRenderedPageBreak/>
        <w:t>teikia I priedo 32.2 formoje nurodytą informaciją pagal II priedo II dalies 6 punkto nurodymus;</w:t>
      </w:r>
    </w:p>
    <w:p w14:paraId="220BA8B3" w14:textId="77777777" w:rsidR="0014552F" w:rsidRPr="003071DF" w:rsidRDefault="0014552F" w:rsidP="0014552F">
      <w:pPr>
        <w:pStyle w:val="Point1"/>
      </w:pPr>
      <w:r w:rsidRPr="003071DF">
        <w:t>c)</w:t>
      </w:r>
      <w:r w:rsidRPr="003071DF">
        <w:tab/>
        <w:t>įstaigos, kurios taiko pagrindinį metodą pagal Komisijos deleguotąjį reglamentą (ES) 2016/101 ir kurios viršija to reglamento 4 straipsnio 1 dalyje nurodytą ribinę vertę, be šios dalies a ir b punktuose nurodytos informacijos, teikia I priedo 32.3 ir 32.4 formose nurodytą informaciją pagal II priedo II dalies 6 punkto nurodymus.</w:t>
      </w:r>
    </w:p>
    <w:p w14:paraId="3453A2CF" w14:textId="77777777" w:rsidR="0014552F" w:rsidRPr="003071DF" w:rsidRDefault="0014552F" w:rsidP="0014552F">
      <w:pPr>
        <w:pStyle w:val="Text1"/>
      </w:pPr>
      <w:r w:rsidRPr="003071DF">
        <w:t>Taikant šią dalį, 4 straipsnyje nurodyti prievolės taikymo ir netaikymo kriterijai netaikomi.</w:t>
      </w:r>
    </w:p>
    <w:p w14:paraId="3329EA93" w14:textId="0799B97E" w:rsidR="00725875" w:rsidRPr="003071DF" w:rsidRDefault="0014552F" w:rsidP="0014552F">
      <w:pPr>
        <w:pStyle w:val="NumPar1"/>
      </w:pPr>
      <w:r w:rsidRPr="003071DF">
        <w:t>Įstaigos teikia informaciją apie prudencinę neveiksnių pozicijų finansinio stabilumo stiprinimo priemonę, kaip nurodyta I priedo 35.01, 35.02 ir 35.03 formose, pagal II priedo II dalies 8 punkto nurodymus.</w:t>
      </w:r>
    </w:p>
    <w:p w14:paraId="2263BAFA" w14:textId="77777777" w:rsidR="004A4E65" w:rsidRPr="003071DF" w:rsidRDefault="003007E3" w:rsidP="004A4E65">
      <w:pPr>
        <w:pStyle w:val="Titrearticle"/>
      </w:pPr>
      <w:r>
        <w:fldChar w:fldCharType="begin"/>
      </w:r>
      <w:r>
        <w:instrText xml:space="preserve"> seq article </w:instrText>
      </w:r>
      <w:r>
        <w:fldChar w:fldCharType="separate"/>
      </w:r>
      <w:r w:rsidR="004A4E65" w:rsidRPr="003071DF">
        <w:t>6</w:t>
      </w:r>
      <w:r>
        <w:fldChar w:fldCharType="end"/>
      </w:r>
      <w:r w:rsidR="004A4E65" w:rsidRPr="003071DF">
        <w:t xml:space="preserve"> straipsnis </w:t>
      </w:r>
    </w:p>
    <w:p w14:paraId="6708BD45" w14:textId="77777777" w:rsidR="004A4E65" w:rsidRPr="003071DF" w:rsidRDefault="004A4E65" w:rsidP="004A4E65">
      <w:pPr>
        <w:pStyle w:val="Titrearticle"/>
        <w:rPr>
          <w:b/>
          <w:i w:val="0"/>
        </w:rPr>
      </w:pPr>
      <w:r w:rsidRPr="003071DF">
        <w:rPr>
          <w:b/>
          <w:i w:val="0"/>
        </w:rPr>
        <w:t xml:space="preserve">Pusmečio informacijos apie nuosavas lėšas ir nuosavų lėšų reikalavimus teikimas individualiu pagrindu </w:t>
      </w:r>
    </w:p>
    <w:p w14:paraId="5551DF99" w14:textId="77777777" w:rsidR="004A4E65" w:rsidRPr="003071DF" w:rsidRDefault="004A4E65" w:rsidP="005F180D">
      <w:pPr>
        <w:pStyle w:val="NumPar1"/>
        <w:numPr>
          <w:ilvl w:val="0"/>
          <w:numId w:val="15"/>
        </w:numPr>
      </w:pPr>
      <w:r w:rsidRPr="003071DF">
        <w:t xml:space="preserve">Individualiai teikdamos informaciją apie nuosavas lėšas ir nuosavų lėšų reikalavimus pagal Reglamento (ES) Nr. 575/2013 430 straipsnio 1 dalies a punktą, įstaigos šiame straipsnyje nurodytą informaciją teikia kas pusmetį. </w:t>
      </w:r>
    </w:p>
    <w:p w14:paraId="40FBE120" w14:textId="77777777" w:rsidR="004A4E65" w:rsidRPr="003071DF" w:rsidRDefault="004A4E65" w:rsidP="004A4E65">
      <w:pPr>
        <w:pStyle w:val="NumPar1"/>
      </w:pPr>
      <w:r w:rsidRPr="003071DF">
        <w:t>Įstaigos teikia informaciją apie visas pakeitimo vertybiniais popieriais pozicijas, kaip nurodyta I priedo 14 ir 14.01 formose, pagal II priedo II dalies 3.8 punkto nurodymus, išskyrus, atvejus, kai jos priklauso grupei toje pačioje šalyje, kurioje joms taikomi nuosavų lėšų reikalavimai.</w:t>
      </w:r>
    </w:p>
    <w:p w14:paraId="19F85BB9" w14:textId="77777777" w:rsidR="004A4E65" w:rsidRPr="003071DF" w:rsidRDefault="004A4E65" w:rsidP="004A4E65">
      <w:pPr>
        <w:pStyle w:val="NumPar1"/>
      </w:pPr>
      <w:r w:rsidRPr="003071DF">
        <w:t>Informaciją apie valstybės skolos vertybinių popierių pozicijas įstaigos pateikia taip:</w:t>
      </w:r>
    </w:p>
    <w:p w14:paraId="67E38C8A" w14:textId="77777777" w:rsidR="004A4E65" w:rsidRPr="003071DF" w:rsidRDefault="004A4E65" w:rsidP="004A4E65">
      <w:pPr>
        <w:pStyle w:val="Point1"/>
      </w:pPr>
      <w:r w:rsidRPr="003071DF">
        <w:t>a)</w:t>
      </w:r>
      <w:r w:rsidRPr="003071DF">
        <w:tab/>
        <w:t>kai finansinio turto iš sandorio šalies sektoriaus „Valdžios sektoriaus institucijos“ agreguota balansinė vertė yra lygi 1 % „Skolos vertybinių popierių“ ir „Paskolų ir kitų išankstinių mokėjimų“ bendros balansinės vertės sumos arba ją viršija, įstaigos teikia I priedo 33 formoje nurodytą informaciją pagal II priedo II dalies 7 punkto nurodymus ir atitinkamas vertes apskaičiuoja vadovaudamosi V priede pateiktais nurodymais dėl atitinkamai III arba IV priede pateiktos 4 formos;</w:t>
      </w:r>
    </w:p>
    <w:p w14:paraId="1F937D26" w14:textId="77777777" w:rsidR="004A4E65" w:rsidRPr="003071DF" w:rsidRDefault="004A4E65" w:rsidP="004A4E65">
      <w:pPr>
        <w:pStyle w:val="Point1"/>
      </w:pPr>
      <w:r w:rsidRPr="003071DF">
        <w:t>b)</w:t>
      </w:r>
      <w:r w:rsidRPr="003071DF">
        <w:tab/>
        <w:t>kai nurodyta neišvestinio finansinio turto, kaip apibrėžta I priedo 33 formos 0010 eilutės 0010 skiltyje, vidaus pozicijų vertė yra mažesnė nei 90 % nurodytos to paties duomenų vieneto vidaus ir ne vidaus pozicijų vertės, a punkte nurodytą sąlygą atitinkančios įstaigos teikia I priedo 33 formoje nurodytą informaciją pagal II priedo II dalies 7 punkto nurodymus, suskirstydamos visą ją pagal šalis;</w:t>
      </w:r>
    </w:p>
    <w:p w14:paraId="7834EDAC" w14:textId="77777777" w:rsidR="004A4E65" w:rsidRPr="003071DF" w:rsidRDefault="004A4E65" w:rsidP="004A4E65">
      <w:pPr>
        <w:pStyle w:val="Point1"/>
      </w:pPr>
      <w:r w:rsidRPr="003071DF">
        <w:t>c)</w:t>
      </w:r>
      <w:r w:rsidRPr="003071DF">
        <w:tab/>
        <w:t>įstaigos, kurios atitinka a punkte nurodytas sąlygas, bet neatitinka b punkte nurodytos sąlygos, pateikia 33 formoje nurodytą informaciją pagal II priedo II dalies 7 punkto nurodymus, agreguodamos pozicijas:</w:t>
      </w:r>
    </w:p>
    <w:p w14:paraId="218EDBA5" w14:textId="77777777" w:rsidR="004A4E65" w:rsidRPr="003071DF" w:rsidRDefault="004A4E65" w:rsidP="004A4E65">
      <w:pPr>
        <w:pStyle w:val="Point1"/>
        <w:ind w:firstLine="0"/>
      </w:pPr>
      <w:r w:rsidRPr="003071DF">
        <w:t>i) bendru lygmeniu ir</w:t>
      </w:r>
    </w:p>
    <w:p w14:paraId="008CFBAC" w14:textId="77777777" w:rsidR="004A4E65" w:rsidRPr="003071DF" w:rsidRDefault="004A4E65" w:rsidP="004A4E65">
      <w:pPr>
        <w:pStyle w:val="Point1"/>
        <w:ind w:firstLine="0"/>
      </w:pPr>
      <w:r w:rsidRPr="003071DF">
        <w:t>ii) vidaus lygmeniu.</w:t>
      </w:r>
    </w:p>
    <w:p w14:paraId="3B9FA7D6" w14:textId="77777777" w:rsidR="004A4E65" w:rsidRPr="003071DF" w:rsidRDefault="004A4E65" w:rsidP="004A4E65">
      <w:pPr>
        <w:pStyle w:val="Text1"/>
      </w:pPr>
      <w:r w:rsidRPr="003071DF">
        <w:t>Taikomi 4 straipsnio 3 dalies prievolės taikymo ir netaikymo kriterijai.</w:t>
      </w:r>
    </w:p>
    <w:p w14:paraId="76F698FA" w14:textId="77777777" w:rsidR="004A4E65" w:rsidRPr="003071DF" w:rsidRDefault="004A4E65" w:rsidP="004A4E65">
      <w:pPr>
        <w:pStyle w:val="NumPar1"/>
      </w:pPr>
      <w:r w:rsidRPr="003071DF">
        <w:lastRenderedPageBreak/>
        <w:t>Informacija apie su operacine rizika susijusius reikšmingus nuostolius pateikiama taip:</w:t>
      </w:r>
    </w:p>
    <w:p w14:paraId="6D57AB20" w14:textId="77777777" w:rsidR="004A4E65" w:rsidRPr="003071DF" w:rsidRDefault="004A4E65" w:rsidP="004A4E65">
      <w:pPr>
        <w:pStyle w:val="Point1"/>
      </w:pPr>
      <w:r w:rsidRPr="003071DF">
        <w:t>a)</w:t>
      </w:r>
      <w:r w:rsidRPr="003071DF">
        <w:tab/>
        <w:t>įstaigos, kurios apskaičiuoja nuosavų lėšų reikalavimus, susijusius su operacine rizika, pagal Reglamento (ES) Nr. 575/2013 trečios dalies III antraštinės dalies 4 skyrių, tą informaciją pateikia, kaip nurodyta I priedo 17.01 ir 17.02 formose, pagal II priedo II dalies 4.2 punkto nurodymus;</w:t>
      </w:r>
    </w:p>
    <w:p w14:paraId="574CD1A6" w14:textId="77777777" w:rsidR="004A4E65" w:rsidRPr="003071DF" w:rsidRDefault="004A4E65" w:rsidP="004A4E65">
      <w:pPr>
        <w:pStyle w:val="Point1"/>
      </w:pPr>
      <w:r w:rsidRPr="003071DF">
        <w:t>b)</w:t>
      </w:r>
      <w:r w:rsidRPr="003071DF">
        <w:tab/>
        <w:t>didelės įstaigos, kurios apskaičiuoja nuosavų lėšų reikalavimus, susijusius su operacine rizika, pagal Reglamento (ES) Nr. 575/2013 trečios dalies III antraštinės dalies 3 skyrių, tą informaciją pateikia, kaip nurodyta I priedo 17.01 ir 17.02 formose, pagal II priedo II dalies 4.2 punkto nurodymus;</w:t>
      </w:r>
    </w:p>
    <w:p w14:paraId="3913C437" w14:textId="77777777" w:rsidR="004A4E65" w:rsidRPr="003071DF" w:rsidRDefault="004A4E65" w:rsidP="004A4E65">
      <w:pPr>
        <w:pStyle w:val="Point1"/>
      </w:pPr>
      <w:r w:rsidRPr="003071DF">
        <w:t>c)</w:t>
      </w:r>
      <w:r w:rsidRPr="003071DF">
        <w:tab/>
        <w:t>įstaigos, išskyrus dideles įstaigas, kurios apskaičiuoja nuosavų lėšų reikalavimus, susijusius su operacine rizika, pagal Reglamento (ES) Nr. 575/2013 trečios dalies III antraštinės dalies 3 skyrių, pateikia pagal II priedo II dalies 4.2 punkto nurodymus šią informaciją:</w:t>
      </w:r>
    </w:p>
    <w:p w14:paraId="465B55EF" w14:textId="77777777" w:rsidR="004A4E65" w:rsidRPr="003071DF" w:rsidRDefault="004A4E65" w:rsidP="004A4E65">
      <w:pPr>
        <w:pStyle w:val="Point2"/>
      </w:pPr>
      <w:r w:rsidRPr="003071DF">
        <w:t>i)</w:t>
      </w:r>
      <w:r w:rsidRPr="003071DF">
        <w:tab/>
        <w:t>I priedo 17.01 formos 0080 skiltyje nurodytą informaciją šiose eilutėse:</w:t>
      </w:r>
    </w:p>
    <w:p w14:paraId="38FC9781" w14:textId="77777777" w:rsidR="004A4E65" w:rsidRPr="003071DF" w:rsidRDefault="004A4E65" w:rsidP="004A4E65">
      <w:pPr>
        <w:pStyle w:val="Point3"/>
      </w:pPr>
      <w:r w:rsidRPr="003071DF">
        <w:t>-</w:t>
      </w:r>
      <w:r w:rsidRPr="003071DF">
        <w:tab/>
        <w:t>įvykių (naujų įvykių) skaičius (0910 eilutė);</w:t>
      </w:r>
    </w:p>
    <w:p w14:paraId="4D4CF5FF" w14:textId="77777777" w:rsidR="004A4E65" w:rsidRPr="003071DF" w:rsidRDefault="004A4E65" w:rsidP="004A4E65">
      <w:pPr>
        <w:pStyle w:val="Point3"/>
      </w:pPr>
      <w:r w:rsidRPr="003071DF">
        <w:t>-</w:t>
      </w:r>
      <w:r w:rsidRPr="003071DF">
        <w:tab/>
        <w:t>bendrųjų nuostolių suma (nauji įvykiai) (0920 eilutė);</w:t>
      </w:r>
    </w:p>
    <w:p w14:paraId="1C861214" w14:textId="77777777" w:rsidR="004A4E65" w:rsidRPr="003071DF" w:rsidRDefault="004A4E65" w:rsidP="004A4E65">
      <w:pPr>
        <w:pStyle w:val="Point3"/>
      </w:pPr>
      <w:r w:rsidRPr="003071DF">
        <w:t>-</w:t>
      </w:r>
      <w:r w:rsidRPr="003071DF">
        <w:tab/>
        <w:t>įvykių, dėl kurių atliktas nuostolių koregavimas, skaičius (0930 eilutė);</w:t>
      </w:r>
    </w:p>
    <w:p w14:paraId="5E7045F5" w14:textId="77777777" w:rsidR="004A4E65" w:rsidRPr="003071DF" w:rsidRDefault="004A4E65" w:rsidP="004A4E65">
      <w:pPr>
        <w:pStyle w:val="Point3"/>
      </w:pPr>
      <w:r w:rsidRPr="003071DF">
        <w:t>-</w:t>
      </w:r>
      <w:r w:rsidRPr="003071DF">
        <w:tab/>
        <w:t>su ankstesniais ataskaitiniais laikotarpiais susijęs nuostolių koregavimas (0940 eilutė);</w:t>
      </w:r>
    </w:p>
    <w:p w14:paraId="1438A6CB" w14:textId="77777777" w:rsidR="004A4E65" w:rsidRPr="003071DF" w:rsidRDefault="004A4E65" w:rsidP="004A4E65">
      <w:pPr>
        <w:pStyle w:val="Point3"/>
      </w:pPr>
      <w:r w:rsidRPr="003071DF">
        <w:t>-</w:t>
      </w:r>
      <w:r w:rsidRPr="003071DF">
        <w:tab/>
        <w:t xml:space="preserve">didžiausias vieno įvykio nuostolis (0950 eilutė); </w:t>
      </w:r>
    </w:p>
    <w:p w14:paraId="5C63649B" w14:textId="77777777" w:rsidR="004A4E65" w:rsidRPr="003071DF" w:rsidRDefault="004A4E65" w:rsidP="004A4E65">
      <w:pPr>
        <w:pStyle w:val="Point3"/>
      </w:pPr>
      <w:r w:rsidRPr="003071DF">
        <w:t>-</w:t>
      </w:r>
      <w:r w:rsidRPr="003071DF">
        <w:tab/>
        <w:t>penkių didžiausių nuostolių suma (0960 eilutė);</w:t>
      </w:r>
    </w:p>
    <w:p w14:paraId="6C176440" w14:textId="77777777" w:rsidR="004A4E65" w:rsidRPr="003071DF" w:rsidRDefault="004A4E65" w:rsidP="004A4E65">
      <w:pPr>
        <w:pStyle w:val="Point3"/>
      </w:pPr>
      <w:r w:rsidRPr="003071DF">
        <w:t>-</w:t>
      </w:r>
      <w:r w:rsidRPr="003071DF">
        <w:tab/>
        <w:t>bendra tiesiogiai susigrąžinta nuostolių suma (išskyrus pagal draudimo ir kitus rizikos perleidimo mechanizmus) (0970 eilutė);</w:t>
      </w:r>
    </w:p>
    <w:p w14:paraId="586DD233" w14:textId="77777777" w:rsidR="004A4E65" w:rsidRPr="003071DF" w:rsidRDefault="004A4E65" w:rsidP="004A4E65">
      <w:pPr>
        <w:pStyle w:val="Point3"/>
      </w:pPr>
      <w:r w:rsidRPr="003071DF">
        <w:t>-</w:t>
      </w:r>
      <w:r w:rsidRPr="003071DF">
        <w:tab/>
        <w:t xml:space="preserve">bendra suma, susigrąžinta pagal draudimo ir kitus rizikos perleidimo mechanizmus (0980 eilutė); </w:t>
      </w:r>
    </w:p>
    <w:p w14:paraId="0825DE8D" w14:textId="77777777" w:rsidR="004A4E65" w:rsidRPr="003071DF" w:rsidRDefault="004A4E65" w:rsidP="004A4E65">
      <w:pPr>
        <w:pStyle w:val="Point2"/>
      </w:pPr>
      <w:r w:rsidRPr="003071DF">
        <w:t>ii)</w:t>
      </w:r>
      <w:r w:rsidRPr="003071DF">
        <w:tab/>
        <w:t>I priedo 17.02 formoje nurodytą informaciją;</w:t>
      </w:r>
    </w:p>
    <w:p w14:paraId="2FD7698B" w14:textId="77777777" w:rsidR="004A4E65" w:rsidRPr="003071DF" w:rsidRDefault="004A4E65" w:rsidP="004A4E65">
      <w:pPr>
        <w:pStyle w:val="Point1"/>
      </w:pPr>
      <w:r w:rsidRPr="003071DF">
        <w:t>d)</w:t>
      </w:r>
      <w:r w:rsidRPr="003071DF">
        <w:tab/>
        <w:t>c punkte nurodytos įstaigos gali pranešti visą informacijos, nurodytos I priedo 17.01 ir 17.02 formose, rinkinį pagal II priedo II dalies 4.2 punkto nurodymus;</w:t>
      </w:r>
    </w:p>
    <w:p w14:paraId="75F8B450" w14:textId="77777777" w:rsidR="004A4E65" w:rsidRPr="003071DF" w:rsidRDefault="004A4E65" w:rsidP="004A4E65">
      <w:pPr>
        <w:pStyle w:val="Point1"/>
      </w:pPr>
      <w:r w:rsidRPr="003071DF">
        <w:t>e)</w:t>
      </w:r>
      <w:r w:rsidRPr="003071DF">
        <w:tab/>
        <w:t>didelės įstaigos, kurios apskaičiuoja nuosavų lėšų reikalavimus, susijusius su operacine rizika, pagal Reglamento (ES) Nr. 575/2013 trečios dalies III antraštinės dalies 2 skyrių, informaciją pateikia, kaip nurodyta I priedo 17.01 ir 17.02 formose, pagal II priedo II dalies 4.2 punkto nurodymus;</w:t>
      </w:r>
    </w:p>
    <w:p w14:paraId="612A5174" w14:textId="77777777" w:rsidR="004A4E65" w:rsidRPr="003071DF" w:rsidRDefault="004A4E65" w:rsidP="004A4E65">
      <w:pPr>
        <w:pStyle w:val="Point1"/>
      </w:pPr>
      <w:r w:rsidRPr="003071DF">
        <w:t>f)</w:t>
      </w:r>
      <w:r w:rsidRPr="003071DF">
        <w:tab/>
        <w:t>įstaigos, išskyrus dideles įstaigas, kurios apskaičiuoja nuosavų lėšų reikalavimus, susijusius su operacine rizika, pagal Reglamento (ES) Nr. 575/2013 trečios dalies III antraštinės dalies 2 skyrių, gali pateikti informaciją, kaip nurodyta I priedo 17.01 ir 17.02 formose, pagal II priedo II dalies 4.2 punkto nurodymus.</w:t>
      </w:r>
    </w:p>
    <w:p w14:paraId="2F83BAAA" w14:textId="77777777" w:rsidR="004A4E65" w:rsidRPr="003071DF" w:rsidRDefault="004A4E65" w:rsidP="004A4E65">
      <w:pPr>
        <w:pStyle w:val="Text1"/>
      </w:pPr>
      <w:r w:rsidRPr="003071DF">
        <w:t>Taikomi 4 straipsnio 3 dalies prievolės taikymo ir netaikymo kriterijai.</w:t>
      </w:r>
    </w:p>
    <w:p w14:paraId="490166B3" w14:textId="6B9CD855" w:rsidR="00496B08" w:rsidRPr="003071DF" w:rsidRDefault="004A4E65" w:rsidP="004A4E65">
      <w:pPr>
        <w:pStyle w:val="NumPar1"/>
      </w:pPr>
      <w:r w:rsidRPr="003071DF">
        <w:t xml:space="preserve">Įstaigos, taikančios supaprastintą standartizuotą metodą arba pradinės pozicijos metodą sandorio šalies kredito rizikos pozicijoms apskaičiuoti pagal Reglamento (ES) Nr. 575/2013 trečios dalies II antraštinės dalies 6 skyriaus 4 ir 5 skirsnius, teikia </w:t>
      </w:r>
      <w:r w:rsidRPr="003071DF">
        <w:lastRenderedPageBreak/>
        <w:t>informaciją apie sandorio šalies kredito riziką, kaip nurodyta I priedo 34.06 formoje, pagal II priedo II dalies 3.9.7 punkte pateiktus nurodymus.</w:t>
      </w:r>
    </w:p>
    <w:p w14:paraId="6414DB48"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7</w:t>
      </w:r>
      <w:r>
        <w:fldChar w:fldCharType="end"/>
      </w:r>
      <w:r w:rsidR="00FE0C02" w:rsidRPr="003071DF">
        <w:t xml:space="preserve"> straipsnis</w:t>
      </w:r>
    </w:p>
    <w:p w14:paraId="0F2D57CA" w14:textId="77777777" w:rsidR="00FE0C02" w:rsidRPr="003071DF" w:rsidRDefault="00FE0C02" w:rsidP="00FE0C02">
      <w:pPr>
        <w:pStyle w:val="Titrearticle"/>
        <w:spacing w:before="120"/>
        <w:rPr>
          <w:b/>
          <w:i w:val="0"/>
        </w:rPr>
      </w:pPr>
      <w:r w:rsidRPr="003071DF">
        <w:rPr>
          <w:b/>
          <w:i w:val="0"/>
        </w:rPr>
        <w:t>Informacijos apie nuosavas lėšas ir nuosavų lėšų reikalavimus teikimas konsoliduotu pagrindu</w:t>
      </w:r>
    </w:p>
    <w:p w14:paraId="598D92CF" w14:textId="77777777" w:rsidR="00FE0C02" w:rsidRPr="003071DF" w:rsidRDefault="00FE0C02" w:rsidP="00FE0C02">
      <w:pPr>
        <w:widowControl w:val="0"/>
        <w:autoSpaceDE w:val="0"/>
        <w:autoSpaceDN w:val="0"/>
        <w:spacing w:line="228" w:lineRule="auto"/>
      </w:pPr>
      <w:r w:rsidRPr="003071DF">
        <w:t>Konsoliduotai teikdamos informaciją apie nuosavas lėšas ir nuosavų lėšų reikalavimus pagal Reglamento (ES) Nr. 575/2013 430 straipsnio 1 dalies a punktą, įstaigos:</w:t>
      </w:r>
    </w:p>
    <w:p w14:paraId="2745F268" w14:textId="77777777" w:rsidR="00FE0C02" w:rsidRPr="003071DF" w:rsidRDefault="00FE0C02" w:rsidP="00FE0C02">
      <w:pPr>
        <w:pStyle w:val="Point1"/>
      </w:pPr>
      <w:r w:rsidRPr="003071DF">
        <w:t>a)</w:t>
      </w:r>
      <w:r w:rsidRPr="003071DF">
        <w:tab/>
        <w:t>konsoliduotai teikia šio įgyvendinimo reglamento 5 ir 6 straipsniuose nurodytą informaciją tuose straipsniuose nurodytu dažnumu ir</w:t>
      </w:r>
    </w:p>
    <w:p w14:paraId="41714624" w14:textId="77777777" w:rsidR="00FE0C02" w:rsidRPr="003071DF" w:rsidRDefault="00FE0C02" w:rsidP="00FE0C02">
      <w:pPr>
        <w:pStyle w:val="Point1"/>
      </w:pPr>
      <w:r w:rsidRPr="003071DF">
        <w:t>b)</w:t>
      </w:r>
      <w:r w:rsidRPr="003071DF">
        <w:tab/>
        <w:t>kas pusmetį teikia I priedo 6 formoje nurodytą informaciją apie konsoliduojamus subjektus pagal II priedo II dalies 2 punkto nurodymus.</w:t>
      </w:r>
    </w:p>
    <w:p w14:paraId="319C9C0F" w14:textId="77777777" w:rsidR="00FE0C02" w:rsidRPr="003071DF" w:rsidRDefault="00FE0C02" w:rsidP="00FE0C02">
      <w:pPr>
        <w:pStyle w:val="Titrearticle"/>
      </w:pPr>
      <w:r w:rsidRPr="003071DF">
        <w:t>8 straipsnis</w:t>
      </w:r>
    </w:p>
    <w:p w14:paraId="601BC224" w14:textId="77777777" w:rsidR="00FE0C02" w:rsidRPr="003071DF" w:rsidRDefault="00FE0C02" w:rsidP="00FE0C02">
      <w:pPr>
        <w:pStyle w:val="Titrearticle"/>
        <w:rPr>
          <w:b/>
          <w:i w:val="0"/>
        </w:rPr>
      </w:pPr>
      <w:r w:rsidRPr="003071DF">
        <w:rPr>
          <w:b/>
          <w:i w:val="0"/>
        </w:rPr>
        <w:t>Informacijos apie nuosavas lėšas ir nuosavų lėšų reikalavimus teikimas. Papildomi informacijos teikimo individualiu ir konsoliduotu pagrindu reikalavimai</w:t>
      </w:r>
    </w:p>
    <w:p w14:paraId="23F3BEFD" w14:textId="596DDC34" w:rsidR="00FE0C02" w:rsidRPr="003071DF" w:rsidRDefault="00125634" w:rsidP="005F180D">
      <w:pPr>
        <w:pStyle w:val="NumPar1"/>
        <w:numPr>
          <w:ilvl w:val="0"/>
          <w:numId w:val="16"/>
        </w:numPr>
      </w:pPr>
      <w:r w:rsidRPr="003071DF">
        <w:t>Jeigu institucijoms taikomas reikalavimas atskleisti informaciją, nurodytą Reglamento (ES) Nr. 575/2013 438 straipsnio e arba h punktuose arba 452 straipsnio b, g arba h punktuose, ne rečiau kaip nustatyta 433a arba 433c straipsniuose individualiu pagrindu pagal to reglamento 6 straipsnį arba konsoliduotu pagrindu pagal 13 straipsnį, kai taikytina, teikia informaciją apie sandorio šalies kredito riziką, kaip nurodyta šio reglamento I priedo 8.3, 8.4, 8.5, 8.5.1, 8.6, 8.7 ir 34.11 formose, tokiu pačiu dažnumu ir tokiu pačiu pagrindu pagal šio reglamento II priedo II dalies 3.3 ir 3.9.12 punktuose pateiktus nurodymus.</w:t>
      </w:r>
    </w:p>
    <w:p w14:paraId="58F2B691" w14:textId="6662E4F8" w:rsidR="00FE0C02" w:rsidRPr="003071DF" w:rsidRDefault="00977656" w:rsidP="00FE0C02">
      <w:pPr>
        <w:pStyle w:val="NumPar1"/>
      </w:pPr>
      <w:r w:rsidRPr="003071DF">
        <w:t>Jeigu institucijoms taikomas reikalavimas atskleisti informaciją, nurodytą Reglamento (ES) Nr. 575/2013 439 straipsnio 1 punkte, ne rečiau kaip nustatyta 433a arba 433c straipsniuose individualiu pagrindu pagal to reglamento 6 straipsnį arba konsoliduotu pagrindu pagal 13 straipsnį, kai taikytina, teikia informaciją apie sandorio šalies kredito riziką, kaip nurodyta šio reglamento I priedo 34.07 formoje, tokiu pačiu dažnumu ir tokiu pačiu pagrindu pagal šio reglamento II priedo II dalies 3.9.8 punkte pateiktus nurodymus.</w:t>
      </w:r>
    </w:p>
    <w:p w14:paraId="7252BD87"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9</w:t>
      </w:r>
      <w:r>
        <w:fldChar w:fldCharType="end"/>
      </w:r>
      <w:r w:rsidR="00FE0C02" w:rsidRPr="003071DF">
        <w:t xml:space="preserve"> straipsnis</w:t>
      </w:r>
    </w:p>
    <w:p w14:paraId="6B3DD09D" w14:textId="77777777" w:rsidR="00FE0C02" w:rsidRPr="003071DF" w:rsidRDefault="00FE0C02" w:rsidP="00FE0C02">
      <w:pPr>
        <w:pStyle w:val="Titrearticle"/>
        <w:spacing w:before="120"/>
        <w:rPr>
          <w:b/>
          <w:i w:val="0"/>
        </w:rPr>
      </w:pPr>
      <w:r w:rsidRPr="003071DF">
        <w:rPr>
          <w:b/>
          <w:i w:val="0"/>
        </w:rPr>
        <w:t>Investicinių įmonių, kurioms taikomi Reglamento (ES) Nr. 575/2013 95 ir 96 straipsniai, informacijos apie nuosavas lėšas ir nuosavų lėšų reikalavimus, teikimas individualiu pagrindu</w:t>
      </w:r>
    </w:p>
    <w:p w14:paraId="3D78F884" w14:textId="77777777" w:rsidR="00FE0C02" w:rsidRPr="003071DF" w:rsidRDefault="00FE0C02" w:rsidP="005F180D">
      <w:pPr>
        <w:pStyle w:val="NumPar1"/>
        <w:numPr>
          <w:ilvl w:val="0"/>
          <w:numId w:val="17"/>
        </w:numPr>
      </w:pPr>
      <w:r w:rsidRPr="003071DF">
        <w:t>Investicinės įmonės, taikančios Reglamento (ES) 2019/2033 57 straipsnio 3 dalies pereinamojo laikotarpio nuostatas, teikia informaciją, kaip nustatyta šiame straipsnyje.</w:t>
      </w:r>
    </w:p>
    <w:p w14:paraId="64E2C5EE" w14:textId="77777777" w:rsidR="00FE0C02" w:rsidRPr="003071DF" w:rsidRDefault="00FE0C02" w:rsidP="00FE0C02">
      <w:pPr>
        <w:pStyle w:val="NumPar1"/>
      </w:pPr>
      <w:r w:rsidRPr="003071DF">
        <w:t>Individualiai teikdamos informaciją apie nuosavas lėšas ir nuosavų lėšų reikalavimus pagal Reglamento (ES) Nr. 575/2013 430 straipsnio 1 dalies a punktą, išskyrus informaciją apie sverto koeficientą, investicinės įmonės, kurios taiko Reglamento (ES) 2019/2033 57 straipsnio 3 dalį pagal Reglamento (ES) Nr. 575/2013 95 straipsnį, teikia I priedo 1–5 formose nurodytą informaciją pagal II priedo II dalies 1 punkto nurodymus kas ketvirtį.</w:t>
      </w:r>
    </w:p>
    <w:p w14:paraId="6AD01D77" w14:textId="77777777" w:rsidR="00FE0C02" w:rsidRPr="003071DF" w:rsidRDefault="00FE0C02" w:rsidP="00FE0C02">
      <w:pPr>
        <w:pStyle w:val="NumPar1"/>
      </w:pPr>
      <w:r w:rsidRPr="003071DF">
        <w:lastRenderedPageBreak/>
        <w:t>Individualiai teikdamos informaciją apie nuosavas lėšas ir nuosavų lėšų reikalavimus pagal Reglamento (ES) Nr. 575/2013 430 straipsnio 1 dalies a punktą, investicinės įmonės, kurios taiko Reglamento (ES) 2019/2033 57 straipsnio 3 dalį pagal Reglamento (ES) Nr. 575/2013 96 straipsnį, teikia šio reglamento 5 straipsnio 1–5 ir 8–13 dalyse ir 6 straipsnio 2 dalyje nurodytą informaciją tuose straipsniuose nurodytu dažnumu.</w:t>
      </w:r>
    </w:p>
    <w:p w14:paraId="4D074E8C"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10</w:t>
      </w:r>
      <w:r>
        <w:fldChar w:fldCharType="end"/>
      </w:r>
      <w:r w:rsidR="00FE0C02" w:rsidRPr="003071DF">
        <w:t xml:space="preserve"> straipsnis</w:t>
      </w:r>
    </w:p>
    <w:p w14:paraId="2C5D357D" w14:textId="77777777" w:rsidR="00FE0C02" w:rsidRPr="003071DF" w:rsidRDefault="00FE0C02" w:rsidP="00FE0C02">
      <w:pPr>
        <w:pStyle w:val="Titrearticle"/>
        <w:spacing w:before="120"/>
        <w:rPr>
          <w:b/>
          <w:i w:val="0"/>
        </w:rPr>
      </w:pPr>
      <w:r w:rsidRPr="003071DF">
        <w:rPr>
          <w:b/>
          <w:i w:val="0"/>
        </w:rPr>
        <w:t>Grupių, kurias sudaro tik investicinės įmonės, kurioms taikomi Reglamento (ES) Nr. 575/2013 95 ir 96 straipsniai, informacijos apie nuosavas lėšas ir nuosavų lėšų reikalavimus teikimas konsoliduotu pagrindu</w:t>
      </w:r>
    </w:p>
    <w:p w14:paraId="0ED9D414" w14:textId="77777777" w:rsidR="00FE0C02" w:rsidRPr="003071DF" w:rsidRDefault="00FE0C02" w:rsidP="005F180D">
      <w:pPr>
        <w:pStyle w:val="NumPar1"/>
        <w:numPr>
          <w:ilvl w:val="0"/>
          <w:numId w:val="18"/>
        </w:numPr>
      </w:pPr>
      <w:r w:rsidRPr="003071DF">
        <w:t>Investicinės įmonės, taikančios Reglamento (ES) 2019/2033 57 straipsnio 3 dalies pereinamojo laikotarpio nuostatas, teikia informaciją, kaip nustatyta šiame straipsnyje.</w:t>
      </w:r>
    </w:p>
    <w:p w14:paraId="55A9CAAC" w14:textId="77777777" w:rsidR="00FE0C02" w:rsidRPr="003071DF" w:rsidRDefault="00FE0C02" w:rsidP="00FE0C02">
      <w:pPr>
        <w:pStyle w:val="NumPar1"/>
      </w:pPr>
      <w:r w:rsidRPr="003071DF">
        <w:t>Konsoliduotai teikdamos informaciją apie nuosavas lėšas ir nuosavų lėšų reikalavimus pagal Reglamento (ES) Nr. 575/2013 430 straipsnio 1 dalies a punktą, išskyrus informaciją apie sverto koeficientą, investicinės įmonės, priklausančios grupėms, kurias sudaro tik investicinės įmonės, kurios taiko Reglamento (ES) 2019/2033 57 straipsnio 3 dalį pagal Reglamento (ES) Nr. 575/2013 95 straipsnį, konsoliduotai teikia šią informaciją:</w:t>
      </w:r>
    </w:p>
    <w:p w14:paraId="6DD1064B" w14:textId="77777777" w:rsidR="00FE0C02" w:rsidRPr="003071DF" w:rsidRDefault="00FE0C02" w:rsidP="00FE0C02">
      <w:pPr>
        <w:pStyle w:val="Point1"/>
      </w:pPr>
      <w:r w:rsidRPr="003071DF">
        <w:t>a)</w:t>
      </w:r>
      <w:r w:rsidRPr="003071DF">
        <w:tab/>
        <w:t>pagal II priedo II dalies 1 punkto nurodymus kas ketvirtį teikia informaciją apie nuosavas lėšas ir nuosavų lėšų reikalavimus, kaip nurodyta I priedo 1–5 formose;</w:t>
      </w:r>
    </w:p>
    <w:p w14:paraId="06EB54F9" w14:textId="77777777" w:rsidR="00FE0C02" w:rsidRPr="003071DF" w:rsidRDefault="00FE0C02" w:rsidP="00FE0C02">
      <w:pPr>
        <w:pStyle w:val="Point1"/>
      </w:pPr>
      <w:r w:rsidRPr="003071DF">
        <w:t>b)</w:t>
      </w:r>
      <w:r w:rsidRPr="003071DF">
        <w:tab/>
        <w:t>pagal II priedo II dalies 2 punkto nurodymus kas pusmetį teikia informaciją apie nuosavas lėšas ir nuosavų lėšų reikalavimus, susijusius su konsoliduojamais subjektais, kaip nurodyta I priedo 6 formoje.</w:t>
      </w:r>
    </w:p>
    <w:p w14:paraId="0D279353" w14:textId="61576F44" w:rsidR="00FE0C02" w:rsidRPr="003071DF" w:rsidRDefault="00FE0C02" w:rsidP="00FE0C02">
      <w:pPr>
        <w:pStyle w:val="NumPar1"/>
      </w:pPr>
      <w:r w:rsidRPr="003071DF">
        <w:t>Konsoliduotai teikdamos informaciją apie nuosavas lėšas ir nuosavų lėšų reikalavimus pagal Reglamento (ES) Nr. 575/2013 430 straipsnio 1 dalies a punktą, investicinės įmonės, priklausančios grupėms, kurias sudaro tik investicinės įmonės, kurioms taikomas 95 straipsnis, ir investicinės įmonės, kurioms taikomas 96 straipsnis, arba grupės, kurias sudaro tik investicinės įmonės, kurios taiko Reglamento (ES) 2019/2033 57 straipsnio 3 dalį pagal Reglamento (ES) Nr. 575/2013 96 straipsnį, konsoliduotai teikia šią informaciją:</w:t>
      </w:r>
    </w:p>
    <w:p w14:paraId="424B99D7" w14:textId="77777777" w:rsidR="00FE0C02" w:rsidRPr="003071DF" w:rsidRDefault="00FE0C02" w:rsidP="00FE0C02">
      <w:pPr>
        <w:pStyle w:val="Point1"/>
      </w:pPr>
      <w:r w:rsidRPr="003071DF">
        <w:t>a)</w:t>
      </w:r>
      <w:r w:rsidRPr="003071DF">
        <w:tab/>
        <w:t>šio reglamento 5 straipsnio 1–5 ir 8–13 dalyse ir 6 straipsnio 2 dalyje nurodytą informaciją tuose straipsniuose nustatytu dažnumu;</w:t>
      </w:r>
    </w:p>
    <w:p w14:paraId="695999E8" w14:textId="77777777" w:rsidR="00FE0C02" w:rsidRPr="003071DF" w:rsidRDefault="00FE0C02" w:rsidP="00FE0C02">
      <w:pPr>
        <w:pStyle w:val="Point1"/>
      </w:pPr>
      <w:r w:rsidRPr="003071DF">
        <w:t>b)</w:t>
      </w:r>
      <w:r w:rsidRPr="003071DF">
        <w:tab/>
        <w:t>pagal II priedo II dalies 2 punkto nurodymus kas pusmetį teikia informaciją, susijusią su konsoliduojamais subjektais, kaip nurodyta I priedo 6 formoje.</w:t>
      </w:r>
    </w:p>
    <w:p w14:paraId="2D723A17" w14:textId="77777777" w:rsidR="00FE0C02" w:rsidRPr="003071DF" w:rsidRDefault="003007E3" w:rsidP="00FE0C02">
      <w:pPr>
        <w:pStyle w:val="Titrearticle"/>
      </w:pPr>
      <w:r>
        <w:lastRenderedPageBreak/>
        <w:fldChar w:fldCharType="begin"/>
      </w:r>
      <w:r>
        <w:instrText xml:space="preserve"> seq article </w:instrText>
      </w:r>
      <w:r>
        <w:fldChar w:fldCharType="separate"/>
      </w:r>
      <w:r w:rsidR="00FE0C02" w:rsidRPr="003071DF">
        <w:t>11</w:t>
      </w:r>
      <w:r>
        <w:fldChar w:fldCharType="end"/>
      </w:r>
      <w:r w:rsidR="00FE0C02" w:rsidRPr="003071DF">
        <w:t xml:space="preserve"> straipsnis</w:t>
      </w:r>
    </w:p>
    <w:p w14:paraId="122B51E9" w14:textId="77777777" w:rsidR="00FE0C02" w:rsidRPr="003071DF" w:rsidRDefault="00FE0C02" w:rsidP="00FE0C02">
      <w:pPr>
        <w:pStyle w:val="Titrearticle"/>
        <w:spacing w:before="120"/>
        <w:rPr>
          <w:b/>
          <w:i w:val="0"/>
        </w:rPr>
      </w:pPr>
      <w:r w:rsidRPr="003071DF">
        <w:rPr>
          <w:b/>
          <w:i w:val="0"/>
        </w:rPr>
        <w:t>Įstaigų, kurioms taikomas Europos Parlamento ir Tarybos reglamentas (EB) Nr. 1606/2002</w:t>
      </w:r>
      <w:r w:rsidRPr="003071DF">
        <w:rPr>
          <w:rStyle w:val="FootnoteReference"/>
          <w:b/>
          <w:i w:val="0"/>
        </w:rPr>
        <w:footnoteReference w:id="10"/>
      </w:r>
      <w:r w:rsidRPr="003071DF">
        <w:rPr>
          <w:b/>
          <w:i w:val="0"/>
        </w:rPr>
        <w:t xml:space="preserve">, finansinės informacijos teikimas konsoliduotu pagrindu </w:t>
      </w:r>
    </w:p>
    <w:p w14:paraId="22F20B0C" w14:textId="77777777" w:rsidR="00FE0C02" w:rsidRPr="003071DF" w:rsidRDefault="00FE0C02" w:rsidP="005F180D">
      <w:pPr>
        <w:pStyle w:val="NumPar1"/>
        <w:numPr>
          <w:ilvl w:val="0"/>
          <w:numId w:val="19"/>
        </w:numPr>
      </w:pPr>
      <w:r w:rsidRPr="003071DF">
        <w:t xml:space="preserve">Konsoliduotai teikdamos finansinę informaciją pagal Reglamento (ES) Nr. 575/2013 430 straipsnio 3 arba 4 dalį, įstaigos konsoliduotai teikia III priede nurodytą informaciją pagal V priede pateiktus nurodymus. </w:t>
      </w:r>
    </w:p>
    <w:p w14:paraId="3A9E9610" w14:textId="77777777" w:rsidR="00FE0C02" w:rsidRPr="003071DF" w:rsidRDefault="00FE0C02" w:rsidP="00FE0C02">
      <w:pPr>
        <w:pStyle w:val="NumPar1"/>
        <w:numPr>
          <w:ilvl w:val="0"/>
          <w:numId w:val="10"/>
        </w:numPr>
      </w:pPr>
      <w:r w:rsidRPr="003071DF">
        <w:t>1 dalyje nurodyta informacija teikiama taip:</w:t>
      </w:r>
    </w:p>
    <w:p w14:paraId="70EFC152" w14:textId="77777777" w:rsidR="00FE0C02" w:rsidRPr="003071DF" w:rsidRDefault="00FE0C02" w:rsidP="00FE0C02">
      <w:pPr>
        <w:pStyle w:val="Point1"/>
      </w:pPr>
      <w:r w:rsidRPr="003071DF">
        <w:t>a)</w:t>
      </w:r>
      <w:r w:rsidRPr="003071DF">
        <w:tab/>
        <w:t>III priedo 1 dalyje nurodyta informacija – kas ketvirtį;</w:t>
      </w:r>
    </w:p>
    <w:p w14:paraId="38D85B01" w14:textId="77777777" w:rsidR="00FE0C02" w:rsidRPr="003071DF" w:rsidRDefault="00FE0C02" w:rsidP="00FE0C02">
      <w:pPr>
        <w:pStyle w:val="Point1"/>
      </w:pPr>
      <w:r w:rsidRPr="003071DF">
        <w:t>b)</w:t>
      </w:r>
      <w:r w:rsidRPr="003071DF">
        <w:tab/>
        <w:t>III priedo 3 dalyje nurodyta informacija – kas pusmetį;</w:t>
      </w:r>
    </w:p>
    <w:p w14:paraId="5F2804B6" w14:textId="77777777" w:rsidR="00FE0C02" w:rsidRPr="003071DF" w:rsidRDefault="00FE0C02" w:rsidP="00FE0C02">
      <w:pPr>
        <w:pStyle w:val="Point1"/>
      </w:pPr>
      <w:r w:rsidRPr="003071DF">
        <w:t>c)</w:t>
      </w:r>
      <w:r w:rsidRPr="003071DF">
        <w:tab/>
        <w:t>III priedo 4 dalyje nurodyta informacija, išskyrus 47 formoje nurodytą informaciją, – kas metus;</w:t>
      </w:r>
    </w:p>
    <w:p w14:paraId="1D49A1AC" w14:textId="77777777" w:rsidR="00FE0C02" w:rsidRPr="003071DF" w:rsidRDefault="00FE0C02" w:rsidP="00FE0C02">
      <w:pPr>
        <w:pStyle w:val="Point1"/>
      </w:pPr>
      <w:r w:rsidRPr="003071DF">
        <w:t>d)</w:t>
      </w:r>
      <w:r w:rsidRPr="003071DF">
        <w:tab/>
        <w:t>III priedo 2 dalies 20 formoje nurodyta informacija – kas ketvirtį, jei įstaiga viršija 5 straipsnio 5 dalies antroje pastraipoje nustatytą ribinę vertę;</w:t>
      </w:r>
    </w:p>
    <w:p w14:paraId="2CCBF803" w14:textId="77777777" w:rsidR="00FE0C02" w:rsidRPr="003071DF" w:rsidRDefault="00FE0C02" w:rsidP="00FE0C02">
      <w:pPr>
        <w:pStyle w:val="Point1"/>
      </w:pPr>
      <w:r w:rsidRPr="003071DF">
        <w:t>e)</w:t>
      </w:r>
      <w:r w:rsidRPr="003071DF">
        <w:tab/>
        <w:t>III priedo 2 dalies 21 formoje nurodyta informacija – kas ketvirtį, jei materialusis turtas, kuriam taikoma veiklos nuoma, sudaro arba viršija 10 % viso materialiojo turto, kaip nurodyta III priedo 1 dalies 1.1 formoje;</w:t>
      </w:r>
    </w:p>
    <w:p w14:paraId="27F64B3B" w14:textId="77777777" w:rsidR="00FE0C02" w:rsidRPr="003071DF" w:rsidRDefault="00FE0C02" w:rsidP="00FE0C02">
      <w:pPr>
        <w:pStyle w:val="Point1"/>
      </w:pPr>
      <w:r w:rsidRPr="003071DF">
        <w:t>f)</w:t>
      </w:r>
      <w:r w:rsidRPr="003071DF">
        <w:tab/>
        <w:t>III priedo 2 dalies 22 formoje nurodyta informacija – kas ketvirtį, jei grynosios paslaugų ir komisinių pajamos sudaro arba viršija 10 % grynųjų paslaugų ir komisinių pajamų ir grynųjų palūkanų pajamų sumos, kaip nurodyta III priedo 1 dalies 2 formoje;</w:t>
      </w:r>
    </w:p>
    <w:p w14:paraId="2EB0DC7E" w14:textId="77777777" w:rsidR="00FE0C02" w:rsidRPr="003071DF" w:rsidRDefault="00FE0C02" w:rsidP="00FE0C02">
      <w:pPr>
        <w:pStyle w:val="Point1"/>
      </w:pPr>
      <w:r w:rsidRPr="003071DF">
        <w:t>g)</w:t>
      </w:r>
      <w:r w:rsidRPr="003071DF">
        <w:tab/>
        <w:t>III priedo 2 dalies 23–26 formose nurodyta informacija – kas ketvirtį, jei tenkinamos abi šios sąlygos:</w:t>
      </w:r>
    </w:p>
    <w:p w14:paraId="5207A13E" w14:textId="77777777" w:rsidR="00FE0C02" w:rsidRPr="003071DF" w:rsidRDefault="00FE0C02" w:rsidP="00FE0C02">
      <w:pPr>
        <w:pStyle w:val="Point2"/>
      </w:pPr>
      <w:r w:rsidRPr="003071DF">
        <w:t>i)</w:t>
      </w:r>
      <w:r w:rsidRPr="003071DF">
        <w:tab/>
        <w:t>įstaiga nėra maža ir nesudėtinga įstaiga;</w:t>
      </w:r>
    </w:p>
    <w:p w14:paraId="09C1AEB4" w14:textId="33C5BDBB" w:rsidR="00FE0C02" w:rsidRPr="003071DF" w:rsidRDefault="00FE0C02" w:rsidP="00FE0C02">
      <w:pPr>
        <w:pStyle w:val="Point2"/>
      </w:pPr>
      <w:r w:rsidRPr="003071DF">
        <w:t>ii)</w:t>
      </w:r>
      <w:r w:rsidRPr="003071DF">
        <w:tab/>
        <w:t xml:space="preserve">įstaigos paskolų ir išankstinių mokėjimų, kurie patenka į Reglamento (ES) Nr. 575/2013 47a straipsnio 3 dalies taikymo sritį, bendros balansinės vertės ir paskolų ir išankstinių mokėjimų, kurie patenka į to reglamento 47a straipsnio 1 dalies taikymo sritį, visos bendros balansinės vertės santykis yra lygus 5 % arba didesnis; </w:t>
      </w:r>
    </w:p>
    <w:p w14:paraId="6657E76F" w14:textId="77777777" w:rsidR="00FE0C02" w:rsidRPr="003071DF" w:rsidRDefault="00FE0C02" w:rsidP="00FE0C02">
      <w:pPr>
        <w:pStyle w:val="Point1"/>
      </w:pPr>
      <w:r w:rsidRPr="003071DF">
        <w:t xml:space="preserve"> h)</w:t>
      </w:r>
      <w:r w:rsidRPr="003071DF">
        <w:tab/>
        <w:t>III priedo 4 dalies 47 formoje nurodyta informacija – kas metus, jei tenkinamos abi šios dalies g punkte nustatytos sąlygos.</w:t>
      </w:r>
    </w:p>
    <w:p w14:paraId="5556886E" w14:textId="77777777" w:rsidR="00FE0C02" w:rsidRPr="003071DF" w:rsidRDefault="00FE0C02" w:rsidP="00FE0C02">
      <w:pPr>
        <w:pStyle w:val="Point1"/>
      </w:pPr>
      <w:r w:rsidRPr="003071DF">
        <w:t>Taikant g punkto ii papunktį, santykis nei vardiklyje, nei skaitiklyje neapima paskolų ir kitų išankstinių mokėjimų, priskiriamų prie laikomų parduoti, lėšų centriniuose bankuose ir kitų indėlių iki pareikalavimo.</w:t>
      </w:r>
    </w:p>
    <w:p w14:paraId="73BCCE82" w14:textId="77777777" w:rsidR="00FE0C02" w:rsidRPr="003071DF" w:rsidRDefault="00FE0C02" w:rsidP="00FE0C02">
      <w:pPr>
        <w:pStyle w:val="Point1"/>
      </w:pPr>
      <w:r w:rsidRPr="003071DF">
        <w:t xml:space="preserve">Taikant šios dalies d–h punktus, taikomi 4 straipsnio 3 dalyje nurodyti prievolės taikymo ir netaikymo kriterijai. </w:t>
      </w:r>
    </w:p>
    <w:p w14:paraId="2D4B364E" w14:textId="77777777" w:rsidR="00FE0C02" w:rsidRPr="003071DF" w:rsidRDefault="003007E3" w:rsidP="00FE0C02">
      <w:pPr>
        <w:pStyle w:val="Titrearticle"/>
      </w:pPr>
      <w:r>
        <w:lastRenderedPageBreak/>
        <w:fldChar w:fldCharType="begin"/>
      </w:r>
      <w:r>
        <w:instrText xml:space="preserve"> seq article </w:instrText>
      </w:r>
      <w:r>
        <w:fldChar w:fldCharType="separate"/>
      </w:r>
      <w:r w:rsidR="00FE0C02" w:rsidRPr="003071DF">
        <w:t>12</w:t>
      </w:r>
      <w:r>
        <w:fldChar w:fldCharType="end"/>
      </w:r>
      <w:r w:rsidR="00FE0C02" w:rsidRPr="003071DF">
        <w:t xml:space="preserve"> straipsnis</w:t>
      </w:r>
    </w:p>
    <w:p w14:paraId="396F2986" w14:textId="77777777" w:rsidR="00FE0C02" w:rsidRPr="003071DF" w:rsidRDefault="00FE0C02" w:rsidP="00FE0C02">
      <w:pPr>
        <w:pStyle w:val="Titrearticle"/>
        <w:spacing w:before="120"/>
        <w:rPr>
          <w:b/>
          <w:i w:val="0"/>
        </w:rPr>
      </w:pPr>
      <w:r w:rsidRPr="003071DF">
        <w:rPr>
          <w:b/>
          <w:i w:val="0"/>
        </w:rPr>
        <w:t xml:space="preserve">Įstaigų, taikančių nacionalines apskaitos sistemas, finansinės informacijos teikimas konsoliduotu pagrindu </w:t>
      </w:r>
    </w:p>
    <w:p w14:paraId="7898D5B0" w14:textId="77777777" w:rsidR="00FE0C02" w:rsidRPr="003071DF" w:rsidRDefault="00FE0C02" w:rsidP="005F180D">
      <w:pPr>
        <w:pStyle w:val="NumPar1"/>
        <w:numPr>
          <w:ilvl w:val="0"/>
          <w:numId w:val="20"/>
        </w:numPr>
      </w:pPr>
      <w:r w:rsidRPr="003071DF">
        <w:t>Jeigu kompetentinga institucija išplėtė finansinės informacijos teikimo reikalavimų taikymą valstybėje narėje įsisteigusioms įstaigoms pagal Reglamento (ES) Nr. 575/2013 430 straipsnio 9 dalį, įstaigos konsoliduotai teikia šio reglamento IV priede nurodytą informaciją pagal šio reglamento V priede pateiktus nurodymus.</w:t>
      </w:r>
    </w:p>
    <w:p w14:paraId="1A4AC33E" w14:textId="77777777" w:rsidR="00FE0C02" w:rsidRPr="003071DF" w:rsidRDefault="00FE0C02" w:rsidP="00FE0C02">
      <w:pPr>
        <w:pStyle w:val="NumPar1"/>
        <w:numPr>
          <w:ilvl w:val="0"/>
          <w:numId w:val="10"/>
        </w:numPr>
      </w:pPr>
      <w:r w:rsidRPr="003071DF">
        <w:t>1 dalyje nurodyta informacija teikiama taip:</w:t>
      </w:r>
    </w:p>
    <w:p w14:paraId="4130D034" w14:textId="77777777" w:rsidR="00FE0C02" w:rsidRPr="003071DF" w:rsidRDefault="00FE0C02" w:rsidP="00FE0C02">
      <w:pPr>
        <w:pStyle w:val="Point1"/>
      </w:pPr>
      <w:r w:rsidRPr="003071DF">
        <w:t>a)</w:t>
      </w:r>
      <w:r w:rsidRPr="003071DF">
        <w:tab/>
        <w:t>IV priedo 1 dalyje nurodyta informacija – kas ketvirtį;</w:t>
      </w:r>
    </w:p>
    <w:p w14:paraId="08B03AF4" w14:textId="77777777" w:rsidR="00FE0C02" w:rsidRPr="003071DF" w:rsidRDefault="00FE0C02" w:rsidP="00FE0C02">
      <w:pPr>
        <w:pStyle w:val="Point1"/>
      </w:pPr>
      <w:r w:rsidRPr="003071DF">
        <w:t>b)</w:t>
      </w:r>
      <w:r w:rsidRPr="003071DF">
        <w:tab/>
        <w:t>IV priedo 3 dalyje nurodyta informacija – kas pusmetį;</w:t>
      </w:r>
    </w:p>
    <w:p w14:paraId="6BD250DE" w14:textId="77777777" w:rsidR="00FE0C02" w:rsidRPr="003071DF" w:rsidRDefault="00FE0C02" w:rsidP="00FE0C02">
      <w:pPr>
        <w:pStyle w:val="Point1"/>
      </w:pPr>
      <w:r w:rsidRPr="003071DF">
        <w:t>c)</w:t>
      </w:r>
      <w:r w:rsidRPr="003071DF">
        <w:tab/>
        <w:t>IV priedo 4 dalyje nurodyta informacija, išskyrus 47 formoje nurodytą informaciją, – kas metus;</w:t>
      </w:r>
    </w:p>
    <w:p w14:paraId="7E75579F" w14:textId="77777777" w:rsidR="00FE0C02" w:rsidRPr="003071DF" w:rsidRDefault="00FE0C02" w:rsidP="00FE0C02">
      <w:pPr>
        <w:pStyle w:val="Point1"/>
      </w:pPr>
      <w:r w:rsidRPr="003071DF">
        <w:t>d)</w:t>
      </w:r>
      <w:r w:rsidRPr="003071DF">
        <w:tab/>
        <w:t>IV priedo 2 dalies 20 formoje nurodyta informacija – kas ketvirtį, jei įstaiga viršija 5 straipsnio 5 dalies antroje pastraipoje nustatytą ribinę vertę;</w:t>
      </w:r>
    </w:p>
    <w:p w14:paraId="76AF5C14" w14:textId="77777777" w:rsidR="00FE0C02" w:rsidRPr="003071DF" w:rsidRDefault="00FE0C02" w:rsidP="00FE0C02">
      <w:pPr>
        <w:pStyle w:val="Point1"/>
      </w:pPr>
      <w:r w:rsidRPr="003071DF">
        <w:t>e)</w:t>
      </w:r>
      <w:r w:rsidRPr="003071DF">
        <w:tab/>
        <w:t>IV priedo 2 dalies 21 formoje nurodyta informacija – kas ketvirtį, jei materialusis turtas, kuriam taikoma veiklos nuoma, sudaro arba viršija 10 % viso materialiojo turto, kaip nurodyta IV priedo 1 dalies 1.1 formoje;</w:t>
      </w:r>
    </w:p>
    <w:p w14:paraId="406C6C11" w14:textId="77777777" w:rsidR="00FE0C02" w:rsidRPr="003071DF" w:rsidRDefault="00FE0C02" w:rsidP="00FE0C02">
      <w:pPr>
        <w:pStyle w:val="Point1"/>
      </w:pPr>
      <w:r w:rsidRPr="003071DF">
        <w:t>f)</w:t>
      </w:r>
      <w:r w:rsidRPr="003071DF">
        <w:tab/>
        <w:t>IV priedo 2 dalies 22 formoje nurodyta informacija – kas ketvirtį, jei grynosios paslaugų ir komisinių pajamos sudaro arba viršija 10 % grynųjų paslaugų ir komisinių pajamų ir grynųjų palūkanų pajamų sumos, kaip nurodyta IV priedo 1 dalies 2 formoje;</w:t>
      </w:r>
    </w:p>
    <w:p w14:paraId="1A7AAB4F" w14:textId="77777777" w:rsidR="00FE0C02" w:rsidRPr="003071DF" w:rsidRDefault="00FE0C02" w:rsidP="00FE0C02">
      <w:pPr>
        <w:pStyle w:val="Point1"/>
      </w:pPr>
      <w:r w:rsidRPr="003071DF">
        <w:t>g)</w:t>
      </w:r>
      <w:r w:rsidRPr="003071DF">
        <w:tab/>
        <w:t>IV priedo 2 dalies 23–26 formose nurodyta informacija – kas ketvirtį, jei tenkinamos abi šios sąlygos:</w:t>
      </w:r>
    </w:p>
    <w:p w14:paraId="6F0AB516" w14:textId="77777777" w:rsidR="00FE0C02" w:rsidRPr="003071DF" w:rsidRDefault="00FE0C02" w:rsidP="00FE0C02">
      <w:pPr>
        <w:pStyle w:val="Point2"/>
      </w:pPr>
      <w:r w:rsidRPr="003071DF">
        <w:t>i)</w:t>
      </w:r>
      <w:r w:rsidRPr="003071DF">
        <w:tab/>
        <w:t>įstaiga nėra maža ir nesudėtinga;</w:t>
      </w:r>
    </w:p>
    <w:p w14:paraId="08D20076" w14:textId="77777777" w:rsidR="00FE0C02" w:rsidRPr="003071DF" w:rsidRDefault="00FE0C02" w:rsidP="00FE0C02">
      <w:pPr>
        <w:pStyle w:val="Point1"/>
        <w:ind w:firstLine="0"/>
      </w:pPr>
      <w:r w:rsidRPr="003071DF">
        <w:t>ii)</w:t>
      </w:r>
      <w:r w:rsidRPr="003071DF">
        <w:tab/>
        <w:t xml:space="preserve">įstaigos santykis, kaip nurodyta 11 straipsnio 2 dalies g punkto ii papunktyje, yra lygus 5 % arba didesnis;  </w:t>
      </w:r>
    </w:p>
    <w:p w14:paraId="7B685EE5" w14:textId="77777777" w:rsidR="00FE0C02" w:rsidRPr="003071DF" w:rsidRDefault="00FE0C02" w:rsidP="00FE0C02">
      <w:pPr>
        <w:pStyle w:val="Point1"/>
      </w:pPr>
      <w:r w:rsidRPr="003071DF">
        <w:t>h)</w:t>
      </w:r>
      <w:r w:rsidRPr="003071DF">
        <w:tab/>
        <w:t xml:space="preserve">IV priedo 4 dalies 47 formoje nurodyta informacija – kas metus, jei tenkinamos abi šios dalies g punkte nustatytos sąlygos. </w:t>
      </w:r>
    </w:p>
    <w:p w14:paraId="6E0D6196" w14:textId="77777777" w:rsidR="00FE0C02" w:rsidRPr="003071DF" w:rsidRDefault="00FE0C02" w:rsidP="00FE0C02">
      <w:pPr>
        <w:pStyle w:val="Point1"/>
      </w:pPr>
      <w:r w:rsidRPr="003071DF">
        <w:t xml:space="preserve">Taikant šios dalies d–h punktus, taikomi 4 straipsnio 3 dalyje nurodyti prievolės taikymo ir netaikymo kriterijai. </w:t>
      </w:r>
    </w:p>
    <w:p w14:paraId="1265B500"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13</w:t>
      </w:r>
      <w:r>
        <w:fldChar w:fldCharType="end"/>
      </w:r>
      <w:r w:rsidR="00FE0C02" w:rsidRPr="003071DF">
        <w:t xml:space="preserve"> straipsnis</w:t>
      </w:r>
    </w:p>
    <w:p w14:paraId="62DD7E11" w14:textId="77777777" w:rsidR="00FE0C02" w:rsidRPr="003071DF" w:rsidRDefault="00FE0C02" w:rsidP="00FE0C02">
      <w:pPr>
        <w:pStyle w:val="Text1"/>
      </w:pPr>
      <w:r w:rsidRPr="003071DF">
        <w:rPr>
          <w:b/>
        </w:rPr>
        <w:t>Informacijos apie nuostolius dėl skolinimo, užtikrinto nekilnojamuoju turtu, teikimas individualiu ir konsoliduotu pagrindu pagal Reglamento (ES) Nr. 575/2013 430a straipsnio 1 dalį</w:t>
      </w:r>
    </w:p>
    <w:p w14:paraId="663A2D70" w14:textId="77777777" w:rsidR="00FE0C02" w:rsidRPr="003071DF" w:rsidRDefault="00FE0C02" w:rsidP="005F180D">
      <w:pPr>
        <w:pStyle w:val="NumPar1"/>
        <w:numPr>
          <w:ilvl w:val="0"/>
          <w:numId w:val="21"/>
        </w:numPr>
      </w:pPr>
      <w:r w:rsidRPr="003071DF">
        <w:t>Įstaigos kas metus konsoliduotai pateikia VI priede nurodytą informaciją pagal VII priedo nurodymus.</w:t>
      </w:r>
    </w:p>
    <w:p w14:paraId="60EE04AB" w14:textId="77777777" w:rsidR="00FE0C02" w:rsidRPr="003071DF" w:rsidRDefault="00FE0C02" w:rsidP="00FE0C02">
      <w:pPr>
        <w:pStyle w:val="NumPar1"/>
        <w:numPr>
          <w:ilvl w:val="0"/>
          <w:numId w:val="10"/>
        </w:numPr>
      </w:pPr>
      <w:r w:rsidRPr="003071DF">
        <w:t>Įstaigos kas metus individualiai pateikia VI priede nurodytą informaciją pagal VII priedo nurodymus.</w:t>
      </w:r>
    </w:p>
    <w:p w14:paraId="2635EBF0" w14:textId="77777777" w:rsidR="00FE0C02" w:rsidRPr="003071DF" w:rsidRDefault="00FE0C02" w:rsidP="00FE0C02">
      <w:pPr>
        <w:pStyle w:val="NumPar1"/>
        <w:numPr>
          <w:ilvl w:val="0"/>
          <w:numId w:val="10"/>
        </w:numPr>
      </w:pPr>
      <w:r w:rsidRPr="003071DF">
        <w:t>Jeigu įstaiga turi filialą kitoje valstybėje narėje, tas filialas priimančiosios valstybės narės kompetentingai institucijai pagal VII priedo nurodymus kas metus teikia VI priede nurodytą informaciją, susijusią su tuo filialu.</w:t>
      </w:r>
    </w:p>
    <w:p w14:paraId="7DA92B87" w14:textId="77777777" w:rsidR="00FE0C02" w:rsidRPr="003071DF" w:rsidRDefault="00FE0C02" w:rsidP="00FE0C02">
      <w:pPr>
        <w:pStyle w:val="Titrearticle"/>
      </w:pPr>
      <w:r w:rsidRPr="003071DF">
        <w:lastRenderedPageBreak/>
        <w:t>14 straipsnis</w:t>
      </w:r>
    </w:p>
    <w:p w14:paraId="5DF7D5F9" w14:textId="77777777" w:rsidR="00FE0C02" w:rsidRPr="003071DF" w:rsidRDefault="00FE0C02" w:rsidP="00FE0C02">
      <w:pPr>
        <w:pStyle w:val="Titrearticle"/>
        <w:spacing w:before="120"/>
        <w:rPr>
          <w:b/>
          <w:i w:val="0"/>
        </w:rPr>
      </w:pPr>
      <w:r w:rsidRPr="003071DF">
        <w:rPr>
          <w:b/>
          <w:i w:val="0"/>
        </w:rPr>
        <w:t>Informacijos apie dideles pozicijas teikimas individualiu ir konsoliduotu pagrindu</w:t>
      </w:r>
    </w:p>
    <w:p w14:paraId="07D89C15" w14:textId="77777777" w:rsidR="00FE0C02" w:rsidRPr="003071DF" w:rsidRDefault="00FE0C02" w:rsidP="005F180D">
      <w:pPr>
        <w:pStyle w:val="NumPar1"/>
        <w:numPr>
          <w:ilvl w:val="0"/>
          <w:numId w:val="22"/>
        </w:numPr>
      </w:pPr>
      <w:r w:rsidRPr="003071DF">
        <w:t>Pagal Reglamento (ES) Nr. 575/2013 394 straipsnį individualiai ir konsoliduotai teikdamos informaciją apie dideles klientų ir susijusių klientų grupių pozicijas, įstaigos kas ketvirtį pateikia VIII priede nurodytą informaciją pagal IX priedo nurodymus.</w:t>
      </w:r>
    </w:p>
    <w:p w14:paraId="1BE89751" w14:textId="77777777" w:rsidR="00FE0C02" w:rsidRPr="003071DF" w:rsidRDefault="00FE0C02" w:rsidP="00FE0C02">
      <w:pPr>
        <w:pStyle w:val="NumPar1"/>
        <w:numPr>
          <w:ilvl w:val="0"/>
          <w:numId w:val="10"/>
        </w:numPr>
      </w:pPr>
      <w:r w:rsidRPr="003071DF">
        <w:t>Pagal Reglamento (ES) Nr. 575/2013 394 straipsnio 1 dalį konsoliduotai teikdamos informaciją apie 20 didžiausių klientų arba susijusių klientų grupių pozicijų, įstaigos, kurioms taikomas Reglamento (ES) Nr. 575/2013 trečios dalies II antraštinės dalies 3 skyrius, kas ketvirtį pateikia VIII priede nurodytą informaciją pagal IX priedo nurodymus.</w:t>
      </w:r>
    </w:p>
    <w:p w14:paraId="4501AF0E" w14:textId="77777777" w:rsidR="00FE0C02" w:rsidRPr="003071DF" w:rsidRDefault="00FE0C02" w:rsidP="00FE0C02">
      <w:pPr>
        <w:pStyle w:val="NumPar1"/>
        <w:numPr>
          <w:ilvl w:val="0"/>
          <w:numId w:val="10"/>
        </w:numPr>
      </w:pPr>
      <w:r w:rsidRPr="003071DF">
        <w:t>Pagal Reglamento (ES) Nr. 575/2013 394 straipsnio 1 dalį konsoliduotai teikdamos informaciją apie pozicijas, kurių vertė yra lygi 300 mln. EUR arba didesnė, bet mažesnė nei 10 % įstaigos 1 lygio kapitalo, įstaigos kas ketvirtį pateikia VIII priede nurodytą informaciją pagal IX priedo nurodymus.</w:t>
      </w:r>
    </w:p>
    <w:p w14:paraId="6CA58180" w14:textId="77777777" w:rsidR="00FE0C02" w:rsidRPr="003071DF" w:rsidRDefault="00FE0C02" w:rsidP="00FE0C02">
      <w:pPr>
        <w:pStyle w:val="NumPar1"/>
        <w:numPr>
          <w:ilvl w:val="0"/>
          <w:numId w:val="10"/>
        </w:numPr>
      </w:pPr>
      <w:r w:rsidRPr="003071DF">
        <w:t>Pagal Reglamento (ES) Nr. 575/2013 394 straipsnio 2 dalį konsoliduotai teikdamos informaciją apie 10 didžiausių konsoliduotų pozicijų, susidariusių įstaigų atžvilgiu, ir 10 didžiausių konsoliduotų pozicijų, susidariusių šešėlinės bankininkystės subjektų, kurie vykdo į reguliuojamą sistemą nepatenkančią bankininkystės veiklą, atžvilgiu, įstaigos kas ketvirtį pateikia VIII priede nurodytą informaciją pagal IX priedo nurodymus.</w:t>
      </w:r>
    </w:p>
    <w:p w14:paraId="24660E67"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15</w:t>
      </w:r>
      <w:r>
        <w:fldChar w:fldCharType="end"/>
      </w:r>
      <w:r w:rsidR="00FE0C02" w:rsidRPr="003071DF">
        <w:t xml:space="preserve"> straipsnis</w:t>
      </w:r>
    </w:p>
    <w:p w14:paraId="7A43457A" w14:textId="77777777" w:rsidR="00FE0C02" w:rsidRPr="003071DF" w:rsidRDefault="00FE0C02" w:rsidP="00FE0C02">
      <w:pPr>
        <w:pStyle w:val="Titrearticle"/>
        <w:spacing w:before="120"/>
        <w:rPr>
          <w:b/>
          <w:i w:val="0"/>
        </w:rPr>
      </w:pPr>
      <w:r w:rsidRPr="003071DF">
        <w:rPr>
          <w:b/>
          <w:i w:val="0"/>
        </w:rPr>
        <w:t>Informacijos apie sverto koeficientą teikimas individualiu ir konsoliduotu pagrindu</w:t>
      </w:r>
    </w:p>
    <w:p w14:paraId="01CD6524" w14:textId="77777777" w:rsidR="00FE0C02" w:rsidRPr="003071DF" w:rsidRDefault="00FE0C02" w:rsidP="005F180D">
      <w:pPr>
        <w:pStyle w:val="NumPar1"/>
        <w:numPr>
          <w:ilvl w:val="0"/>
          <w:numId w:val="23"/>
        </w:numPr>
      </w:pPr>
      <w:r w:rsidRPr="003071DF">
        <w:t>Pagal Reglamento (ES) Nr. 575/2013 430 straipsnio 1 dalies a punktą individualiai ir konsoliduotai teikdamos informaciją apie sverto koeficientą, įstaigos kas ketvirtį pateikia X priede nurodytą informaciją pagal XI priedo nurodymus. X priedo 48.00 formą teikia tik didelės įstaigos.</w:t>
      </w:r>
    </w:p>
    <w:p w14:paraId="3FADC775" w14:textId="77777777" w:rsidR="00FE0C02" w:rsidRPr="003071DF" w:rsidRDefault="00FE0C02" w:rsidP="00FE0C02">
      <w:pPr>
        <w:pStyle w:val="NumPar1"/>
        <w:numPr>
          <w:ilvl w:val="0"/>
          <w:numId w:val="10"/>
        </w:numPr>
      </w:pPr>
      <w:r w:rsidRPr="003071DF">
        <w:t>X priedo 40.00 formos {r0410;c0010} langelyje nurodytą informaciją teikia tik šios įstaigos:</w:t>
      </w:r>
    </w:p>
    <w:p w14:paraId="08C9A1E3" w14:textId="77777777" w:rsidR="00FE0C02" w:rsidRPr="003071DF" w:rsidRDefault="00FE0C02" w:rsidP="00FE0C02">
      <w:pPr>
        <w:pStyle w:val="Point2"/>
      </w:pPr>
      <w:r w:rsidRPr="003071DF">
        <w:t>a)</w:t>
      </w:r>
      <w:r w:rsidRPr="003071DF">
        <w:tab/>
        <w:t xml:space="preserve">kas pusmetį teikia didelės įstaigos, kurios yra G-SII arba yra išleidusios vertybinių popierių, kuriais leidžiama prekiauti reguliuojamoje rinkoje; </w:t>
      </w:r>
    </w:p>
    <w:p w14:paraId="3A54256E" w14:textId="77777777" w:rsidR="00FE0C02" w:rsidRPr="003071DF" w:rsidRDefault="00FE0C02" w:rsidP="00FE0C02">
      <w:pPr>
        <w:pStyle w:val="Point2"/>
      </w:pPr>
      <w:r w:rsidRPr="003071DF">
        <w:t>b)</w:t>
      </w:r>
      <w:r w:rsidRPr="003071DF">
        <w:tab/>
        <w:t>kas metus teikia didelės įstaigos, išskyrus G-SII, kurios nėra biržinės įstaigos;</w:t>
      </w:r>
    </w:p>
    <w:p w14:paraId="492CCDFE" w14:textId="77777777" w:rsidR="00FE0C02" w:rsidRPr="003071DF" w:rsidRDefault="00FE0C02" w:rsidP="00FE0C02">
      <w:pPr>
        <w:pStyle w:val="Point2"/>
      </w:pPr>
      <w:r w:rsidRPr="003071DF">
        <w:t>c)</w:t>
      </w:r>
      <w:r w:rsidRPr="003071DF">
        <w:tab/>
        <w:t xml:space="preserve">kas metus teikia įstaigos, išskyrus dideles įstaigas ir mažas bei nesudėtingas įstaigas, kurios yra išleidusios vertybinių popierių, kuriais leidžiama prekiauti reguliuojamoje rinkoje. </w:t>
      </w:r>
    </w:p>
    <w:p w14:paraId="56E76BBA" w14:textId="77777777" w:rsidR="00FE0C02" w:rsidRPr="003071DF" w:rsidRDefault="00FE0C02" w:rsidP="00FE0C02">
      <w:pPr>
        <w:pStyle w:val="NumPar1"/>
        <w:numPr>
          <w:ilvl w:val="0"/>
          <w:numId w:val="10"/>
        </w:numPr>
      </w:pPr>
      <w:r w:rsidRPr="003071DF">
        <w:t>Įstaigos apskaičiuoja sverto koeficientą ataskaitinę datą pagal Reglamento (ES) Nr. 575/2013 429 straipsnį.</w:t>
      </w:r>
    </w:p>
    <w:p w14:paraId="071CB257" w14:textId="77777777" w:rsidR="00FE0C02" w:rsidRPr="003071DF" w:rsidRDefault="00FE0C02" w:rsidP="00FE0C02">
      <w:pPr>
        <w:pStyle w:val="NumPar1"/>
        <w:numPr>
          <w:ilvl w:val="0"/>
          <w:numId w:val="10"/>
        </w:numPr>
      </w:pPr>
      <w:r w:rsidRPr="003071DF">
        <w:t>Įstaigos pateikia XI priedo II dalies 13 punkte nurodytą informaciją, jeigu tenkinama bent viena iš šių sąlygų:</w:t>
      </w:r>
    </w:p>
    <w:p w14:paraId="72F25911" w14:textId="77777777" w:rsidR="00FE0C02" w:rsidRPr="003071DF" w:rsidRDefault="00FE0C02" w:rsidP="00FE0C02">
      <w:pPr>
        <w:pStyle w:val="Point1"/>
      </w:pPr>
      <w:r w:rsidRPr="003071DF">
        <w:t>a)</w:t>
      </w:r>
      <w:r w:rsidRPr="003071DF">
        <w:tab/>
        <w:t>XI priedo II dalies 5 punkte nurodyta išvestinių finansinių priemonių dalis yra didesnė nei 1,5 %;</w:t>
      </w:r>
    </w:p>
    <w:p w14:paraId="564FDA7C" w14:textId="77777777" w:rsidR="00FE0C02" w:rsidRPr="003071DF" w:rsidRDefault="00FE0C02" w:rsidP="00FE0C02">
      <w:pPr>
        <w:pStyle w:val="Point1"/>
      </w:pPr>
      <w:r w:rsidRPr="003071DF">
        <w:lastRenderedPageBreak/>
        <w:t>b)</w:t>
      </w:r>
      <w:r w:rsidRPr="003071DF">
        <w:tab/>
        <w:t>XI priedo II dalies 5 punkte nurodyta išvestinių finansinių priemonių dalis viršija 2 %.</w:t>
      </w:r>
    </w:p>
    <w:p w14:paraId="507DA3E2" w14:textId="77777777" w:rsidR="00FE0C02" w:rsidRPr="003071DF" w:rsidRDefault="00FE0C02" w:rsidP="00FE0C02">
      <w:pPr>
        <w:pStyle w:val="Text1"/>
        <w:rPr>
          <w:szCs w:val="24"/>
        </w:rPr>
      </w:pPr>
      <w:r w:rsidRPr="003071DF">
        <w:t xml:space="preserve">Jei įstaiga atitinka tik a punkto sąlygą, taikomi 4 straipsnio 3 dalyje nurodyti prievolės taikymo ir netaikymo kriterijai. </w:t>
      </w:r>
    </w:p>
    <w:p w14:paraId="7F04F0F6" w14:textId="77777777" w:rsidR="00FE0C02" w:rsidRPr="003071DF" w:rsidRDefault="00FE0C02" w:rsidP="00FE0C02">
      <w:pPr>
        <w:pStyle w:val="Text1"/>
      </w:pPr>
      <w:r w:rsidRPr="003071DF">
        <w:t>Jei įstaiga atitinka a ir b punktų sąlygas, ji pradeda teikti tą informaciją ataskaitinę datą, einančią po tos ataskaitinės datos, kurią ji viršijo ribinę vertę.</w:t>
      </w:r>
    </w:p>
    <w:p w14:paraId="7B9D01BA" w14:textId="77777777" w:rsidR="00FE0C02" w:rsidRPr="003071DF" w:rsidRDefault="00FE0C02" w:rsidP="00FE0C02">
      <w:pPr>
        <w:pStyle w:val="NumPar1"/>
        <w:numPr>
          <w:ilvl w:val="0"/>
          <w:numId w:val="10"/>
        </w:numPr>
      </w:pPr>
      <w:r w:rsidRPr="003071DF">
        <w:t>Įstaigos, kurių bendra išvestinių finansinių priemonių tariamoji vertė, apibrėžta XI priedo II dalies 8 punkte, viršija 10 000 mln. EUR, teikia XI priedo II dalies 13 punkte nurodytą informaciją, net jeigu jų išvestinių finansinių priemonių dalis neatitinka šio straipsnio 4 dalyje nurodytų sąlygų.</w:t>
      </w:r>
    </w:p>
    <w:p w14:paraId="51584038" w14:textId="77777777" w:rsidR="00FE0C02" w:rsidRPr="003071DF" w:rsidRDefault="00FE0C02" w:rsidP="00FE0C02">
      <w:pPr>
        <w:pStyle w:val="Text1"/>
      </w:pPr>
      <w:r w:rsidRPr="003071DF">
        <w:t>Taikant šią dalį, 4 straipsnio 3 dalyje nurodyti prievolės taikymo kriterijai netaikomi. Įstaigos pradeda teikti informaciją nuo kitos ataskaitinės datos, jeigu jos vieną ataskaitinę datą viršijo ribinę vertę.</w:t>
      </w:r>
    </w:p>
    <w:p w14:paraId="41A483BA" w14:textId="77777777" w:rsidR="00FE0C02" w:rsidRPr="003071DF" w:rsidRDefault="00FE0C02" w:rsidP="00FE0C02">
      <w:pPr>
        <w:pStyle w:val="NumPar1"/>
        <w:numPr>
          <w:ilvl w:val="0"/>
          <w:numId w:val="10"/>
        </w:numPr>
      </w:pPr>
      <w:r w:rsidRPr="003071DF">
        <w:t>Įstaigos privalo pateikti XI priedo II dalies 14 punkte nurodytą informaciją, jeigu tenkinama bent viena iš šių sąlygų:</w:t>
      </w:r>
    </w:p>
    <w:p w14:paraId="5F5E592D" w14:textId="77777777" w:rsidR="00FE0C02" w:rsidRPr="003071DF" w:rsidRDefault="00FE0C02" w:rsidP="00FE0C02">
      <w:pPr>
        <w:pStyle w:val="Point1"/>
      </w:pPr>
      <w:r w:rsidRPr="003071DF">
        <w:t>a)</w:t>
      </w:r>
      <w:r w:rsidRPr="003071DF">
        <w:tab/>
        <w:t>XI priedo II dalies 9 punkte nurodyta kredito išvestinių finansinių priemonių apimtis yra didesnė nei 300 mln. EUR;</w:t>
      </w:r>
    </w:p>
    <w:p w14:paraId="418FEEAF" w14:textId="77777777" w:rsidR="00FE0C02" w:rsidRPr="003071DF" w:rsidRDefault="00FE0C02" w:rsidP="00FE0C02">
      <w:pPr>
        <w:pStyle w:val="Point1"/>
      </w:pPr>
      <w:r w:rsidRPr="003071DF">
        <w:t>b)</w:t>
      </w:r>
      <w:r w:rsidRPr="003071DF">
        <w:tab/>
        <w:t>XI priedo II dalies 9 punkte nurodyta kredito išvestinių finansinių priemonių apimtis viršija 500 mln. EUR.</w:t>
      </w:r>
    </w:p>
    <w:p w14:paraId="49C49986" w14:textId="77777777" w:rsidR="00FE0C02" w:rsidRPr="003071DF" w:rsidRDefault="00FE0C02" w:rsidP="00FE0C02">
      <w:pPr>
        <w:pStyle w:val="Text1"/>
      </w:pPr>
      <w:r w:rsidRPr="003071DF">
        <w:t>Jei įstaiga atitinka tik a punkto sąlygą, taikomi 4 straipsnio 3 dalyje nurodyti prievolės taikymo ir netaikymo kriterijai. Jei įstaiga atitinka a ir b punktų sąlygas, ji pradeda teikti tą informaciją ataskaitinę datą, einančią po tos ataskaitinės datos, kurią ji viršijo ribinę vertę.</w:t>
      </w:r>
    </w:p>
    <w:p w14:paraId="16427D61"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16</w:t>
      </w:r>
      <w:r>
        <w:fldChar w:fldCharType="end"/>
      </w:r>
      <w:r w:rsidR="00FE0C02" w:rsidRPr="003071DF">
        <w:t xml:space="preserve"> straipsnis</w:t>
      </w:r>
    </w:p>
    <w:p w14:paraId="0FD0A199" w14:textId="77777777" w:rsidR="00FE0C02" w:rsidRPr="003071DF" w:rsidRDefault="00FE0C02" w:rsidP="00FE0C02">
      <w:pPr>
        <w:pStyle w:val="Titrearticle"/>
        <w:spacing w:before="120"/>
        <w:rPr>
          <w:b/>
          <w:i w:val="0"/>
        </w:rPr>
      </w:pPr>
      <w:r w:rsidRPr="003071DF">
        <w:rPr>
          <w:b/>
          <w:i w:val="0"/>
        </w:rPr>
        <w:t>Informacijos apie padengimo likvidžiuoju turtu reikalavimą teikimas individualiu ir konsoliduotu pagrindu</w:t>
      </w:r>
    </w:p>
    <w:p w14:paraId="51D41644" w14:textId="77777777" w:rsidR="00FE0C02" w:rsidRPr="003071DF" w:rsidRDefault="00FE0C02" w:rsidP="005F180D">
      <w:pPr>
        <w:pStyle w:val="NumPar1"/>
        <w:numPr>
          <w:ilvl w:val="0"/>
          <w:numId w:val="24"/>
        </w:numPr>
      </w:pPr>
      <w:r w:rsidRPr="003071DF">
        <w:t>Pagal Reglamento (ES) Nr. 575/2013 430 straipsnio 1 dalies d punktą individualiai ir konsoliduotai teikdamos informaciją apie padengimo likvidžiuoju turtu reikalavimą, įstaigos kas mėnesį pateikia šio reglamento XXIV priede nurodytą informaciją pagal šio reglamento XXV priedo nurodymus.</w:t>
      </w:r>
    </w:p>
    <w:p w14:paraId="50670492" w14:textId="77777777" w:rsidR="00FE0C02" w:rsidRPr="003071DF" w:rsidRDefault="00FE0C02" w:rsidP="00FE0C02">
      <w:pPr>
        <w:pStyle w:val="NumPar1"/>
        <w:numPr>
          <w:ilvl w:val="0"/>
          <w:numId w:val="10"/>
        </w:numPr>
      </w:pPr>
      <w:r w:rsidRPr="003071DF">
        <w:t>XXIV priede nurodytoje informacijoje atsižvelgiama į pateiktą ataskaitinės datos informaciją ir informaciją apie įstaigos pinigų srautus per ateinančias 30 kalendorinių dienų.</w:t>
      </w:r>
    </w:p>
    <w:p w14:paraId="1B273506"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17</w:t>
      </w:r>
      <w:r>
        <w:fldChar w:fldCharType="end"/>
      </w:r>
      <w:r w:rsidR="00FE0C02" w:rsidRPr="003071DF">
        <w:t xml:space="preserve"> straipsnis</w:t>
      </w:r>
    </w:p>
    <w:p w14:paraId="4A29F4CE" w14:textId="77777777" w:rsidR="00FE0C02" w:rsidRPr="003071DF" w:rsidRDefault="00FE0C02" w:rsidP="00FE0C02">
      <w:pPr>
        <w:pStyle w:val="Titrearticle"/>
        <w:spacing w:before="120"/>
        <w:rPr>
          <w:b/>
          <w:i w:val="0"/>
        </w:rPr>
      </w:pPr>
      <w:r w:rsidRPr="003071DF">
        <w:rPr>
          <w:b/>
          <w:i w:val="0"/>
        </w:rPr>
        <w:t>Informacijos apie pastovų finansavimą teikimas individualiu ir konsoliduotu pagrindu</w:t>
      </w:r>
    </w:p>
    <w:p w14:paraId="46A16391" w14:textId="77777777" w:rsidR="00FE0C02" w:rsidRPr="003071DF" w:rsidRDefault="00FE0C02" w:rsidP="00FE0C02">
      <w:r w:rsidRPr="003071DF">
        <w:t>Pagal Reglamento (ES) Nr. 575/2013 430 straipsnio 1 dalies d punktą individualiai ir konsoliduotai teikdamos informaciją apie pastovų finansavimą, įstaigos kas ketvirtį pateikia XII priede nurodytą informaciją pagal XIII priedo nurodymus:</w:t>
      </w:r>
    </w:p>
    <w:p w14:paraId="38759E9F" w14:textId="77777777" w:rsidR="00FE0C02" w:rsidRPr="003071DF" w:rsidRDefault="00FE0C02" w:rsidP="00FE0C02">
      <w:pPr>
        <w:pStyle w:val="Point1"/>
      </w:pPr>
      <w:r w:rsidRPr="003071DF">
        <w:t>a)</w:t>
      </w:r>
      <w:r w:rsidRPr="003071DF">
        <w:tab/>
        <w:t xml:space="preserve">mažos ir nesudėtingos įstaigos, nusprendusios apskaičiuoti savo grynąjį pastovaus finansavimo rodiklį (NSFR) pagal Reglamento (ES) Nr. 575/2013 šeštos dalies IV antraštinės dalies 6 ir 7 skyriuose nustatytą metodiką, gavusios išankstinį savo kompetentingos institucijos leidimą pagal to reglamento 428ai </w:t>
      </w:r>
      <w:r w:rsidRPr="003071DF">
        <w:lastRenderedPageBreak/>
        <w:t>straipsnį, pateikia šio reglamento XII priedo 82 ir 83 formas pagal šio reglamento XIII priede pateiktus nurodymus;</w:t>
      </w:r>
    </w:p>
    <w:p w14:paraId="135317A6" w14:textId="77777777" w:rsidR="00FE0C02" w:rsidRPr="003071DF" w:rsidRDefault="00FE0C02" w:rsidP="00FE0C02">
      <w:pPr>
        <w:pStyle w:val="Point1"/>
      </w:pPr>
      <w:r w:rsidRPr="003071DF">
        <w:t>b)</w:t>
      </w:r>
      <w:r w:rsidRPr="003071DF">
        <w:tab/>
        <w:t xml:space="preserve">įstaigos, išskyrus a punkte nurodytas įstaigas, pateikia XII priedo 80 ir 81 formas pagal XIII priede pateiktus nurodymus; </w:t>
      </w:r>
    </w:p>
    <w:p w14:paraId="75BF05A1" w14:textId="77777777" w:rsidR="00FE0C02" w:rsidRPr="003071DF" w:rsidRDefault="00FE0C02" w:rsidP="00FE0C02">
      <w:pPr>
        <w:pStyle w:val="Point1"/>
      </w:pPr>
      <w:r w:rsidRPr="003071DF">
        <w:t>c)</w:t>
      </w:r>
      <w:r w:rsidRPr="003071DF">
        <w:tab/>
        <w:t>visos įstaigos pateikia XII priedo 84 formą pagal XIII priedo nurodymus.</w:t>
      </w:r>
    </w:p>
    <w:p w14:paraId="3C47F8E2" w14:textId="77777777" w:rsidR="00FE0C02" w:rsidRPr="003071DF" w:rsidRDefault="003007E3" w:rsidP="00FE0C02">
      <w:pPr>
        <w:pStyle w:val="Titrearticle"/>
      </w:pPr>
      <w:r>
        <w:fldChar w:fldCharType="begin"/>
      </w:r>
      <w:r>
        <w:instrText xml:space="preserve"> seq article </w:instrText>
      </w:r>
      <w:r>
        <w:fldChar w:fldCharType="separate"/>
      </w:r>
      <w:r w:rsidR="00FE0C02" w:rsidRPr="003071DF">
        <w:t>18</w:t>
      </w:r>
      <w:r>
        <w:fldChar w:fldCharType="end"/>
      </w:r>
      <w:r w:rsidR="00FE0C02" w:rsidRPr="003071DF">
        <w:t xml:space="preserve"> straipsnis</w:t>
      </w:r>
    </w:p>
    <w:p w14:paraId="3023D8A2" w14:textId="77777777" w:rsidR="00FE0C02" w:rsidRPr="003071DF" w:rsidRDefault="00FE0C02" w:rsidP="00FE0C02">
      <w:pPr>
        <w:pStyle w:val="Titrearticle"/>
        <w:spacing w:before="120"/>
        <w:rPr>
          <w:b/>
          <w:i w:val="0"/>
        </w:rPr>
      </w:pPr>
      <w:r w:rsidRPr="003071DF">
        <w:rPr>
          <w:b/>
          <w:i w:val="0"/>
        </w:rPr>
        <w:t>Informacijos apie papildomus likvidumo stebėsenos parametrus teikimas individualiu ir konsoliduotu pagrindu</w:t>
      </w:r>
    </w:p>
    <w:p w14:paraId="6A3A9338" w14:textId="77777777" w:rsidR="00FE0C02" w:rsidRPr="003071DF" w:rsidRDefault="00FE0C02" w:rsidP="005F180D">
      <w:pPr>
        <w:pStyle w:val="NumPar1"/>
        <w:numPr>
          <w:ilvl w:val="0"/>
          <w:numId w:val="25"/>
        </w:numPr>
      </w:pPr>
      <w:r w:rsidRPr="003071DF">
        <w:t xml:space="preserve">Pagal Reglamento (ES) Nr. 575/2013 430 straipsnio 1 dalies d punktą individualiai ir konsoliduotai teikdamos informaciją apie papildomus likvidumo stebėsenos parametrus, įstaigos kas mėnesį teikia visą šią informaciją: </w:t>
      </w:r>
    </w:p>
    <w:p w14:paraId="642EB969" w14:textId="77777777" w:rsidR="00FE0C02" w:rsidRPr="003071DF" w:rsidRDefault="00FE0C02" w:rsidP="00FE0C02">
      <w:pPr>
        <w:pStyle w:val="Point1"/>
      </w:pPr>
      <w:r w:rsidRPr="003071DF">
        <w:t>a)</w:t>
      </w:r>
      <w:r w:rsidRPr="003071DF">
        <w:tab/>
        <w:t xml:space="preserve">XVIII priede nurodytą informaciją pagal XIX priede pateiktus nurodymus; </w:t>
      </w:r>
    </w:p>
    <w:p w14:paraId="6F8BEAD3" w14:textId="77777777" w:rsidR="00FE0C02" w:rsidRPr="003071DF" w:rsidRDefault="00FE0C02" w:rsidP="00FE0C02">
      <w:pPr>
        <w:pStyle w:val="Point1"/>
      </w:pPr>
      <w:r w:rsidRPr="003071DF">
        <w:t>b)</w:t>
      </w:r>
      <w:r w:rsidRPr="003071DF">
        <w:tab/>
        <w:t xml:space="preserve">XX priede nurodytą informaciją pagal XXI priede pateiktus nurodymus; </w:t>
      </w:r>
    </w:p>
    <w:p w14:paraId="65BCA041" w14:textId="77777777" w:rsidR="00FE0C02" w:rsidRPr="003071DF" w:rsidRDefault="00FE0C02" w:rsidP="00FE0C02">
      <w:pPr>
        <w:pStyle w:val="Point1"/>
      </w:pPr>
      <w:r w:rsidRPr="003071DF">
        <w:t>c)</w:t>
      </w:r>
      <w:r w:rsidRPr="003071DF">
        <w:tab/>
        <w:t xml:space="preserve">XXII priede nurodytą informaciją pagal XXIII priede pateiktus nurodymus. </w:t>
      </w:r>
    </w:p>
    <w:p w14:paraId="105CC458" w14:textId="77777777" w:rsidR="00FE0C02" w:rsidRPr="003071DF" w:rsidRDefault="00FE0C02" w:rsidP="00FE0C02">
      <w:pPr>
        <w:pStyle w:val="NumPar1"/>
        <w:rPr>
          <w:szCs w:val="32"/>
        </w:rPr>
      </w:pPr>
      <w:r w:rsidRPr="003071DF">
        <w:t>Nukrypstant nuo 1 dalies, visas Reglamento (ES) Nr. 575/2013 4 straipsnio 1 dalies 145 punkte nustatytas sąlygas atitinkanti įstaiga informaciją apie papildomus likvidumo stebėsenos parametrus gali teikti kas ketvirtį.</w:t>
      </w:r>
    </w:p>
    <w:p w14:paraId="51E51891" w14:textId="77777777" w:rsidR="00FE0C02" w:rsidRPr="003071DF" w:rsidRDefault="00FE0C02" w:rsidP="00FE0C02">
      <w:pPr>
        <w:pStyle w:val="Titrearticle"/>
      </w:pPr>
      <w:r w:rsidRPr="003071DF">
        <w:t>19 straipsnis</w:t>
      </w:r>
    </w:p>
    <w:p w14:paraId="5CEC6025" w14:textId="77777777" w:rsidR="00FE0C02" w:rsidRPr="003071DF" w:rsidRDefault="00FE0C02" w:rsidP="00FE0C02">
      <w:pPr>
        <w:pStyle w:val="Text1"/>
      </w:pPr>
      <w:r w:rsidRPr="003071DF">
        <w:rPr>
          <w:b/>
        </w:rPr>
        <w:t>Informacijos apie turto suvaržymą teikimas individualiu ir konsoliduotu pagrindu</w:t>
      </w:r>
    </w:p>
    <w:p w14:paraId="733153BD" w14:textId="77777777" w:rsidR="00FE0C02" w:rsidRPr="003071DF" w:rsidRDefault="00FE0C02" w:rsidP="005F180D">
      <w:pPr>
        <w:pStyle w:val="NumPar1"/>
        <w:numPr>
          <w:ilvl w:val="0"/>
          <w:numId w:val="26"/>
        </w:numPr>
      </w:pPr>
      <w:r w:rsidRPr="003071DF">
        <w:t xml:space="preserve">Pagal Reglamento (ES) Nr. 575/2013 430 straipsnio 1 dalies g punktą individualiai ir konsoliduotai teikdamos informaciją apie turto suvaržymą, įstaigos pateikia šio reglamento XVI priede nurodytą informaciją pagal šio reglamento XVII priede pateiktus nurodymus. </w:t>
      </w:r>
    </w:p>
    <w:p w14:paraId="466673DE" w14:textId="77777777" w:rsidR="00FE0C02" w:rsidRPr="003071DF" w:rsidRDefault="00FE0C02" w:rsidP="00FE0C02">
      <w:pPr>
        <w:pStyle w:val="NumPar1"/>
        <w:numPr>
          <w:ilvl w:val="0"/>
          <w:numId w:val="10"/>
        </w:numPr>
      </w:pPr>
      <w:r w:rsidRPr="003071DF">
        <w:t xml:space="preserve">1 dalyje nurodyta informacija teikiama taip: </w:t>
      </w:r>
    </w:p>
    <w:p w14:paraId="6377EF60" w14:textId="77777777" w:rsidR="00FE0C02" w:rsidRPr="003071DF" w:rsidRDefault="00FE0C02" w:rsidP="00FE0C02">
      <w:pPr>
        <w:pStyle w:val="Point1"/>
      </w:pPr>
      <w:r w:rsidRPr="003071DF">
        <w:t>a)</w:t>
      </w:r>
      <w:r w:rsidRPr="003071DF">
        <w:tab/>
        <w:t xml:space="preserve">XVI priedo A, B ir D dalyse nurodyta informacija – kas ketvirtį; </w:t>
      </w:r>
    </w:p>
    <w:p w14:paraId="0B272D04" w14:textId="77777777" w:rsidR="00FE0C02" w:rsidRPr="003071DF" w:rsidRDefault="00FE0C02" w:rsidP="00FE0C02">
      <w:pPr>
        <w:pStyle w:val="Point1"/>
      </w:pPr>
      <w:r w:rsidRPr="003071DF">
        <w:t>b)</w:t>
      </w:r>
      <w:r w:rsidRPr="003071DF">
        <w:tab/>
        <w:t xml:space="preserve">XVI priedo C dalyje nurodyta informacija – kas metus; </w:t>
      </w:r>
    </w:p>
    <w:p w14:paraId="78F69E95" w14:textId="77777777" w:rsidR="00FE0C02" w:rsidRPr="003071DF" w:rsidRDefault="00FE0C02" w:rsidP="00FE0C02">
      <w:pPr>
        <w:pStyle w:val="Point1"/>
      </w:pPr>
      <w:r w:rsidRPr="003071DF">
        <w:t>c)</w:t>
      </w:r>
      <w:r w:rsidRPr="003071DF">
        <w:tab/>
        <w:t xml:space="preserve">XVI priedo E dalyje nurodyta informacija – kas pusmetį. </w:t>
      </w:r>
    </w:p>
    <w:p w14:paraId="282EB9CF" w14:textId="77777777" w:rsidR="00FE0C02" w:rsidRPr="003071DF" w:rsidRDefault="00FE0C02" w:rsidP="00FE0C02">
      <w:pPr>
        <w:pStyle w:val="NumPar1"/>
        <w:numPr>
          <w:ilvl w:val="0"/>
          <w:numId w:val="10"/>
        </w:numPr>
      </w:pPr>
      <w:r w:rsidRPr="003071DF">
        <w:t xml:space="preserve">Įstaigos neprivalo pateikti XVI priedo B, C ir E dalyse nurodytos informacijos, jeigu tenkinamos abi šios sąlygos: </w:t>
      </w:r>
    </w:p>
    <w:p w14:paraId="239B0175" w14:textId="77777777" w:rsidR="00FE0C02" w:rsidRPr="003071DF" w:rsidRDefault="00FE0C02" w:rsidP="00FE0C02">
      <w:pPr>
        <w:pStyle w:val="Point1"/>
      </w:pPr>
      <w:r w:rsidRPr="003071DF">
        <w:t>a)</w:t>
      </w:r>
      <w:r w:rsidRPr="003071DF">
        <w:tab/>
        <w:t>įstaiga nelaikoma didele įstaiga;</w:t>
      </w:r>
    </w:p>
    <w:p w14:paraId="0C93B562" w14:textId="77777777" w:rsidR="00FE0C02" w:rsidRPr="003071DF" w:rsidRDefault="00FE0C02" w:rsidP="00FE0C02">
      <w:pPr>
        <w:pStyle w:val="Point1"/>
      </w:pPr>
      <w:r w:rsidRPr="003071DF">
        <w:t>b)</w:t>
      </w:r>
      <w:r w:rsidRPr="003071DF">
        <w:tab/>
        <w:t>įstaigos turto suvaržymo lygis, apskaičiuotas pagal XVII priedo 1.6 punkto 9 papunktį, yra mažesnis nei 15 %.</w:t>
      </w:r>
    </w:p>
    <w:p w14:paraId="19A215D8" w14:textId="77777777" w:rsidR="00FE0C02" w:rsidRPr="003071DF" w:rsidRDefault="00FE0C02" w:rsidP="00FE0C02">
      <w:pPr>
        <w:pStyle w:val="Text1"/>
      </w:pPr>
      <w:r w:rsidRPr="003071DF">
        <w:t xml:space="preserve">Taikomi 4 straipsnio 3 dalies prievolės taikymo ir netaikymo kriterijai. </w:t>
      </w:r>
    </w:p>
    <w:p w14:paraId="7A2CBD82" w14:textId="77777777" w:rsidR="00FE0C02" w:rsidRPr="003071DF" w:rsidRDefault="00FE0C02" w:rsidP="00FE0C02">
      <w:pPr>
        <w:pStyle w:val="NumPar1"/>
        <w:numPr>
          <w:ilvl w:val="0"/>
          <w:numId w:val="10"/>
        </w:numPr>
      </w:pPr>
      <w:r w:rsidRPr="003071DF">
        <w:lastRenderedPageBreak/>
        <w:t>Įstaigos pateikia XVI priedo D dalyje nurodytą informaciją tik tais atvejais, jei jos išleidžia Europos Parlamento ir Tarybos direktyvos 2009/65/EB</w:t>
      </w:r>
      <w:r w:rsidRPr="003071DF">
        <w:rPr>
          <w:rStyle w:val="FootnoteReference"/>
        </w:rPr>
        <w:footnoteReference w:id="11"/>
      </w:r>
      <w:r w:rsidRPr="003071DF">
        <w:t xml:space="preserve"> 52 straipsnio 4 dalies pirmoje pastraipoje nurodytas obligacijas. </w:t>
      </w:r>
    </w:p>
    <w:p w14:paraId="216F0D5A" w14:textId="77777777" w:rsidR="00FE0C02" w:rsidRPr="003071DF" w:rsidRDefault="00FE0C02" w:rsidP="00FE0C02">
      <w:pPr>
        <w:pStyle w:val="Text1"/>
      </w:pPr>
      <w:r w:rsidRPr="003071DF">
        <w:t>Taikomi 4 straipsnio 3 dalies prievolės taikymo ir netaikymo kriterijai.</w:t>
      </w:r>
    </w:p>
    <w:p w14:paraId="3C60098A" w14:textId="77777777" w:rsidR="00FE0C02" w:rsidRPr="003071DF" w:rsidRDefault="00FE0C02" w:rsidP="00FE0C02">
      <w:pPr>
        <w:pStyle w:val="Titrearticle"/>
      </w:pPr>
      <w:r w:rsidRPr="003071DF">
        <w:t>20 straipsnis</w:t>
      </w:r>
    </w:p>
    <w:p w14:paraId="4B5AD6C9" w14:textId="77777777" w:rsidR="00FE0C02" w:rsidRPr="003071DF" w:rsidRDefault="00FE0C02" w:rsidP="00FE0C02">
      <w:pPr>
        <w:pStyle w:val="Text1"/>
      </w:pPr>
      <w:r w:rsidRPr="003071DF">
        <w:rPr>
          <w:b/>
        </w:rPr>
        <w:t>Papildomas informacijos teikimas konsoliduotu pagrindu G-SII nustatymo ir G-SII rezervo normų paskyrimo tikslais</w:t>
      </w:r>
    </w:p>
    <w:p w14:paraId="76EECD2F" w14:textId="54CEB2D8" w:rsidR="00FE0C02" w:rsidRPr="003071DF" w:rsidRDefault="00FE0C02" w:rsidP="005F180D">
      <w:pPr>
        <w:pStyle w:val="NumPar1"/>
        <w:numPr>
          <w:ilvl w:val="0"/>
          <w:numId w:val="27"/>
        </w:numPr>
      </w:pPr>
      <w:r w:rsidRPr="003071DF">
        <w:t>Pagal Direktyvos 2013/36/ES 131 straipsnį teikdamos papildomą informaciją G-SII nustatymo ir G-SII rezervo normų paskyrimo tikslais, ES patronuojančiosios įstaigos, ES patronuojančiosios finansų kontroliuojančiosios bendrovės ir ES patronuojančiosios mišrią veiklą vykdančios finansų kontroliuojančiosios bendrovės kas ketvirtį konsoliduotai teikia XXVI priede nurodytą informaciją pagal XXVII priedo nurodymus.</w:t>
      </w:r>
    </w:p>
    <w:p w14:paraId="4242810E" w14:textId="5FDC7845" w:rsidR="00FE0C02" w:rsidRPr="003071DF" w:rsidRDefault="00FE0C02" w:rsidP="00FE0C02">
      <w:pPr>
        <w:pStyle w:val="NumPar1"/>
        <w:numPr>
          <w:ilvl w:val="0"/>
          <w:numId w:val="10"/>
        </w:numPr>
      </w:pPr>
      <w:r w:rsidRPr="003071DF">
        <w:t>ES patronuojančiosios įstaigos, ES patronuojančiosios finansų kontroliuojančiosios bendrovės ir ES patronuojančiosios mišrią veiklą vykdančios finansų kontroliuojančiosios bendrovės 1 dalyje nurodytą informaciją teikia tik tuo atveju, jei tenkinamos abi šios sąlygos:</w:t>
      </w:r>
    </w:p>
    <w:p w14:paraId="0C5DCF08" w14:textId="77777777" w:rsidR="00FE0C02" w:rsidRPr="003071DF" w:rsidRDefault="00FE0C02" w:rsidP="00FE0C02">
      <w:pPr>
        <w:pStyle w:val="Point1"/>
      </w:pPr>
      <w:r w:rsidRPr="003071DF">
        <w:t>a)</w:t>
      </w:r>
      <w:r w:rsidRPr="003071DF">
        <w:tab/>
        <w:t>grupės, įskaitant draudimo patronuojamąsias įmones, bendras pozicijų matas yra lygus 125 000 mln. EUR arba didesnis;</w:t>
      </w:r>
    </w:p>
    <w:p w14:paraId="05DC0A53" w14:textId="77777777" w:rsidR="00FE0C02" w:rsidRPr="003071DF" w:rsidRDefault="00FE0C02" w:rsidP="00FE0C02">
      <w:pPr>
        <w:pStyle w:val="Point1"/>
      </w:pPr>
      <w:r w:rsidRPr="003071DF">
        <w:t>b)</w:t>
      </w:r>
      <w:r w:rsidRPr="003071DF">
        <w:tab/>
        <w:t>ES patronuojančioji įmonė arba bet kuri iš jos patronuojamųjų įmonių, arba bet kuris patronuojančiosios įmonės arba patronuojamosios įmonės valdomas filialas yra dalyvaujančioje valstybėje narėje, kaip nurodyta Europos Parlamento ir Tarybos reglamento (ES) Nr. 806/2014</w:t>
      </w:r>
      <w:r w:rsidRPr="003071DF">
        <w:rPr>
          <w:rStyle w:val="FootnoteReference"/>
        </w:rPr>
        <w:footnoteReference w:id="12"/>
      </w:r>
      <w:r w:rsidRPr="003071DF">
        <w:t xml:space="preserve"> 4 straipsnyje.</w:t>
      </w:r>
    </w:p>
    <w:p w14:paraId="6584D044" w14:textId="77777777" w:rsidR="00FE0C02" w:rsidRPr="003071DF" w:rsidRDefault="00FE0C02" w:rsidP="00FE0C02">
      <w:pPr>
        <w:pStyle w:val="NumPar1"/>
        <w:numPr>
          <w:ilvl w:val="0"/>
          <w:numId w:val="10"/>
        </w:numPr>
      </w:pPr>
      <w:r w:rsidRPr="003071DF">
        <w:t>Nukrypstant nuo 3 straipsnio 1 dalies b punkto, šio straipsnio 1 dalyje nurodyta informacija pateikiama iki darbo dienos pabaigos šiomis informacijos teikimo dienomis: liepos 1 d., spalio 1 d., sausio 2 d. ir balandžio 1 d.</w:t>
      </w:r>
    </w:p>
    <w:p w14:paraId="3336B0CC" w14:textId="77777777" w:rsidR="00FE0C02" w:rsidRPr="003071DF" w:rsidRDefault="00FE0C02" w:rsidP="00FE0C02">
      <w:pPr>
        <w:pStyle w:val="NumPar1"/>
        <w:numPr>
          <w:ilvl w:val="0"/>
          <w:numId w:val="10"/>
        </w:numPr>
      </w:pPr>
      <w:r w:rsidRPr="003071DF">
        <w:t>Nukrypstant nuo 4 straipsnio, šio straipsnio 2 dalies a punkte nurodytos ribinės vertės atžvilgiu taikomos šios nuostatos:</w:t>
      </w:r>
    </w:p>
    <w:p w14:paraId="542951C2" w14:textId="0D06C811" w:rsidR="00FE0C02" w:rsidRPr="003071DF" w:rsidRDefault="00FE0C02" w:rsidP="00FE0C02">
      <w:pPr>
        <w:pStyle w:val="Point1"/>
      </w:pPr>
      <w:r w:rsidRPr="003071DF">
        <w:t>a)</w:t>
      </w:r>
      <w:r w:rsidRPr="003071DF">
        <w:tab/>
        <w:t>ES patronuojančioji įstaiga, ES patronuojančioji finansų kontroliuojančioji bendrovė arba ES patronuojančioji mišrią veiklą vykdanti finansų kontroliuojančioji bendrovė nedelsdama pradeda teikti informaciją pagal šį straipsnį, jei finansinių metų pabaigoje jos sverto koeficiento pozicijų matas viršija nustatytą ribinę vertę, ir šią informaciją pateikia ne vėliau kaip ataskaitinių metų pabaigoje ir trimis vėlesnėmis ketvirčio ataskaitinėmis dienomis;</w:t>
      </w:r>
    </w:p>
    <w:p w14:paraId="50325C89" w14:textId="0290171D" w:rsidR="00FE0C02" w:rsidRPr="003071DF" w:rsidRDefault="00FE0C02" w:rsidP="00FE0C02">
      <w:pPr>
        <w:pStyle w:val="Point1"/>
      </w:pPr>
      <w:r w:rsidRPr="003071DF">
        <w:t>b)</w:t>
      </w:r>
      <w:r w:rsidRPr="003071DF">
        <w:tab/>
        <w:t xml:space="preserve">ES patronuojančioji įstaiga, ES patronuojančioji finansų kontroliuojančioji bendrovė arba ES patronuojančioji mišrią veiklą vykdanti finansų kontroliuojančioji bendrovė nedelsdama nustoja teikti informaciją pagal šį </w:t>
      </w:r>
      <w:r w:rsidRPr="003071DF">
        <w:lastRenderedPageBreak/>
        <w:t>straipsnį, jei finansinių metų pabaigoje jos sverto koeficiento pozicijų matas tampa mažesnis už nustatytą ribinę vertę.</w:t>
      </w:r>
    </w:p>
    <w:p w14:paraId="3714E48A" w14:textId="77777777" w:rsidR="00FE0C02" w:rsidRPr="003071DF" w:rsidRDefault="00FE0C02" w:rsidP="00FE0C02">
      <w:pPr>
        <w:pStyle w:val="Titrearticle"/>
      </w:pPr>
      <w:r w:rsidRPr="003071DF">
        <w:t>21 straipsnis</w:t>
      </w:r>
    </w:p>
    <w:p w14:paraId="379043C5" w14:textId="77777777" w:rsidR="00FE0C02" w:rsidRPr="003071DF" w:rsidRDefault="00FE0C02" w:rsidP="00FE0C02">
      <w:pPr>
        <w:pStyle w:val="Titrearticle"/>
        <w:spacing w:before="120"/>
      </w:pPr>
      <w:r w:rsidRPr="003071DF">
        <w:rPr>
          <w:b/>
          <w:i w:val="0"/>
        </w:rPr>
        <w:t>Keitimosi duomenimis formatai ir prie teikiamos informacijos pridedami duomenys</w:t>
      </w:r>
    </w:p>
    <w:p w14:paraId="3484BAE7" w14:textId="77777777" w:rsidR="00FE0C02" w:rsidRPr="003071DF" w:rsidRDefault="00FE0C02" w:rsidP="005F180D">
      <w:pPr>
        <w:pStyle w:val="NumPar1"/>
        <w:numPr>
          <w:ilvl w:val="0"/>
          <w:numId w:val="28"/>
        </w:numPr>
      </w:pPr>
      <w:r w:rsidRPr="003071DF">
        <w:t>Įstaigos pateikia informaciją kompetentingų institucijų nustatytais keitimosi duomenimis formatais ir jų nustatytais informacijos pateikimo būdais, laikydamosi XIV priede nurodyto duomenų vienetų modelio duomenų vienetų apibrėžties ir XV priede nurodytų patvirtinimo formulių, taip pat atsižvelgdamos į šiuos nurodymus:</w:t>
      </w:r>
    </w:p>
    <w:p w14:paraId="6302FDB1" w14:textId="77777777" w:rsidR="00FE0C02" w:rsidRPr="003071DF" w:rsidRDefault="00FE0C02" w:rsidP="00FE0C02">
      <w:pPr>
        <w:pStyle w:val="Point1"/>
      </w:pPr>
      <w:r w:rsidRPr="003071DF">
        <w:t>a)</w:t>
      </w:r>
      <w:r w:rsidRPr="003071DF">
        <w:tab/>
        <w:t>į pateikiamus duomenis nereikalaujama arba netaikoma informacija neįtraukiama;</w:t>
      </w:r>
    </w:p>
    <w:p w14:paraId="04CB5DF9" w14:textId="77777777" w:rsidR="00FE0C02" w:rsidRPr="003071DF" w:rsidRDefault="00FE0C02" w:rsidP="00FE0C02">
      <w:pPr>
        <w:pStyle w:val="Point1"/>
      </w:pPr>
      <w:r w:rsidRPr="003071DF">
        <w:t>b)</w:t>
      </w:r>
      <w:r w:rsidRPr="003071DF">
        <w:tab/>
        <w:t>skaitinės reikšmės pateikiamos taip:</w:t>
      </w:r>
    </w:p>
    <w:p w14:paraId="08E0D7CD" w14:textId="77777777" w:rsidR="00FE0C02" w:rsidRPr="003071DF" w:rsidRDefault="00FE0C02" w:rsidP="00FE0C02">
      <w:pPr>
        <w:pStyle w:val="Point2"/>
      </w:pPr>
      <w:r w:rsidRPr="003071DF">
        <w:t>i)</w:t>
      </w:r>
      <w:r w:rsidRPr="003071DF">
        <w:tab/>
        <w:t>duomenų vienetai, kurių duomenų rūšis yra „piniginė vertė“, nurodomi mažiausiai tūkstančių vienetų tikslumu;</w:t>
      </w:r>
    </w:p>
    <w:p w14:paraId="34C38BBF" w14:textId="77777777" w:rsidR="00FE0C02" w:rsidRPr="003071DF" w:rsidRDefault="00FE0C02" w:rsidP="00FE0C02">
      <w:pPr>
        <w:pStyle w:val="Point2"/>
      </w:pPr>
      <w:r w:rsidRPr="003071DF">
        <w:t>ii)</w:t>
      </w:r>
      <w:r w:rsidRPr="003071DF">
        <w:tab/>
        <w:t>duomenų vienetai, kurių duomenų rūšis yra „procentinė dalis“, nurodomi vienetais mažiausiai dešimttūkstantųjų tikslumu;</w:t>
      </w:r>
    </w:p>
    <w:p w14:paraId="4CD4E1AC" w14:textId="77777777" w:rsidR="00FE0C02" w:rsidRPr="003071DF" w:rsidRDefault="00FE0C02" w:rsidP="00FE0C02">
      <w:pPr>
        <w:pStyle w:val="Point2"/>
      </w:pPr>
      <w:r w:rsidRPr="003071DF">
        <w:t>iii)</w:t>
      </w:r>
      <w:r w:rsidRPr="003071DF">
        <w:tab/>
        <w:t>duomenų vienetai, kurių duomenų rūšis yra „sveikasis skaičius“, nurodomi nenaudojant dešimtainių skaičių, vienetų tikslumu;</w:t>
      </w:r>
    </w:p>
    <w:p w14:paraId="1DE261AC" w14:textId="77777777" w:rsidR="00FE0C02" w:rsidRPr="003071DF" w:rsidRDefault="00FE0C02" w:rsidP="00FE0C02">
      <w:pPr>
        <w:pStyle w:val="Point1"/>
        <w:rPr>
          <w:szCs w:val="24"/>
        </w:rPr>
      </w:pPr>
      <w:r w:rsidRPr="003071DF">
        <w:t>c)</w:t>
      </w:r>
      <w:r w:rsidRPr="003071DF">
        <w:tab/>
        <w:t>įstaigos ir draudimo įmonės identifikuojamos tik pagal jų juridinio asmens identifikatorių (LEI);</w:t>
      </w:r>
    </w:p>
    <w:p w14:paraId="10C9C354" w14:textId="77777777" w:rsidR="00FE0C02" w:rsidRPr="003071DF" w:rsidRDefault="00FE0C02" w:rsidP="00FE0C02">
      <w:pPr>
        <w:pStyle w:val="Point1"/>
      </w:pPr>
      <w:r w:rsidRPr="003071DF">
        <w:t>d) juridiniai asmenys ir sandorio šalys, išskyrus įstaigas ir draudimo įmones, identifikuojami pagal jų LEI, jei toks yra.</w:t>
      </w:r>
    </w:p>
    <w:p w14:paraId="275717B4" w14:textId="77777777" w:rsidR="00FE0C02" w:rsidRPr="003071DF" w:rsidRDefault="00FE0C02" w:rsidP="00FE0C02">
      <w:pPr>
        <w:pStyle w:val="NumPar1"/>
        <w:widowControl w:val="0"/>
        <w:numPr>
          <w:ilvl w:val="0"/>
          <w:numId w:val="10"/>
        </w:numPr>
        <w:autoSpaceDE w:val="0"/>
        <w:autoSpaceDN w:val="0"/>
        <w:spacing w:line="228" w:lineRule="auto"/>
        <w:rPr>
          <w:szCs w:val="24"/>
        </w:rPr>
      </w:pPr>
      <w:r w:rsidRPr="003071DF">
        <w:t>Įstaigos, be pateiktų duomenų, nurodo šią informaciją:</w:t>
      </w:r>
    </w:p>
    <w:p w14:paraId="533511FB" w14:textId="77777777" w:rsidR="00FE0C02" w:rsidRPr="003071DF" w:rsidRDefault="00FE0C02" w:rsidP="00FE0C02">
      <w:pPr>
        <w:pStyle w:val="Point1"/>
      </w:pPr>
      <w:r w:rsidRPr="003071DF">
        <w:t>a)</w:t>
      </w:r>
      <w:r w:rsidRPr="003071DF">
        <w:tab/>
        <w:t>ataskaitinę datą ir ataskaitinį laikotarpį;</w:t>
      </w:r>
    </w:p>
    <w:p w14:paraId="35FFAFDD" w14:textId="77777777" w:rsidR="00FE0C02" w:rsidRPr="003071DF" w:rsidRDefault="00FE0C02" w:rsidP="00FE0C02">
      <w:pPr>
        <w:pStyle w:val="Point1"/>
      </w:pPr>
      <w:r w:rsidRPr="003071DF">
        <w:t>b)</w:t>
      </w:r>
      <w:r w:rsidRPr="003071DF">
        <w:tab/>
        <w:t>ataskaitose nurodomą valiutą;</w:t>
      </w:r>
    </w:p>
    <w:p w14:paraId="2D0A776B" w14:textId="77777777" w:rsidR="00FE0C02" w:rsidRPr="003071DF" w:rsidRDefault="00FE0C02" w:rsidP="00FE0C02">
      <w:pPr>
        <w:pStyle w:val="Point1"/>
      </w:pPr>
      <w:r w:rsidRPr="003071DF">
        <w:t>c)</w:t>
      </w:r>
      <w:r w:rsidRPr="003071DF">
        <w:tab/>
        <w:t>apskaitos standartą;</w:t>
      </w:r>
    </w:p>
    <w:p w14:paraId="05941E50" w14:textId="77777777" w:rsidR="00FE0C02" w:rsidRPr="003071DF" w:rsidRDefault="00FE0C02" w:rsidP="00FE0C02">
      <w:pPr>
        <w:pStyle w:val="Point1"/>
      </w:pPr>
      <w:r w:rsidRPr="003071DF">
        <w:t>d)</w:t>
      </w:r>
      <w:r w:rsidRPr="003071DF">
        <w:tab/>
        <w:t>ataskaitą teikiančios įstaigos juridinio asmens identifikatorių (LEI);</w:t>
      </w:r>
    </w:p>
    <w:p w14:paraId="1E5B9FC2" w14:textId="77777777" w:rsidR="00FE0C02" w:rsidRPr="003071DF" w:rsidRDefault="00FE0C02" w:rsidP="00FE0C02">
      <w:pPr>
        <w:pStyle w:val="Point1"/>
      </w:pPr>
      <w:r w:rsidRPr="003071DF">
        <w:t>e)</w:t>
      </w:r>
      <w:r w:rsidRPr="003071DF">
        <w:tab/>
        <w:t>konsolidavimo apimtį.</w:t>
      </w:r>
    </w:p>
    <w:p w14:paraId="3C0C8DE6" w14:textId="77777777" w:rsidR="00FE0C02" w:rsidRPr="003071DF" w:rsidRDefault="00FE0C02" w:rsidP="00FE0C02">
      <w:pPr>
        <w:pStyle w:val="Titrearticle"/>
        <w:spacing w:before="120"/>
      </w:pPr>
      <w:r w:rsidRPr="003071DF">
        <w:t>22 straipsnis</w:t>
      </w:r>
    </w:p>
    <w:p w14:paraId="48AC81C7" w14:textId="77777777" w:rsidR="00FE0C02" w:rsidRPr="003071DF" w:rsidRDefault="00FE0C02" w:rsidP="006B3AF7">
      <w:pPr>
        <w:pStyle w:val="Titrearticle"/>
      </w:pPr>
      <w:r w:rsidRPr="003071DF">
        <w:t>Įgyvendinimo reglamento (ES) Nr. 680/2014 panaikinimas</w:t>
      </w:r>
    </w:p>
    <w:p w14:paraId="1CFB853D" w14:textId="72EA0D3E" w:rsidR="00FE0C02" w:rsidRPr="003071DF" w:rsidRDefault="00FE0C02" w:rsidP="006B3AF7">
      <w:r w:rsidRPr="003071DF">
        <w:t xml:space="preserve">Įgyvendinimo reglamentas (ES) Nr. 680/2014 panaikinamas. </w:t>
      </w:r>
    </w:p>
    <w:p w14:paraId="783335BF" w14:textId="7744E337" w:rsidR="00FE0C02" w:rsidRPr="003071DF" w:rsidRDefault="00FE0C02" w:rsidP="006B3AF7">
      <w:r w:rsidRPr="003071DF">
        <w:t>Nuorodos į panaikintą reglamentą laikomos nuorodomis į šį reglamentą.</w:t>
      </w:r>
    </w:p>
    <w:p w14:paraId="5FA1D041" w14:textId="77777777" w:rsidR="00FE0C02" w:rsidRPr="003071DF" w:rsidRDefault="00FE0C02" w:rsidP="00FE0C02">
      <w:pPr>
        <w:pStyle w:val="Titrearticle"/>
      </w:pPr>
      <w:r w:rsidRPr="003071DF">
        <w:t>23 straipsnis</w:t>
      </w:r>
    </w:p>
    <w:p w14:paraId="5DBF2ECB" w14:textId="77777777" w:rsidR="00FE0C02" w:rsidRPr="003071DF" w:rsidRDefault="00FE0C02" w:rsidP="00FE0C02">
      <w:pPr>
        <w:pStyle w:val="Titrearticle"/>
        <w:rPr>
          <w:b/>
          <w:i w:val="0"/>
        </w:rPr>
      </w:pPr>
      <w:r w:rsidRPr="003071DF">
        <w:rPr>
          <w:b/>
          <w:i w:val="0"/>
        </w:rPr>
        <w:t>Įsigaliojimas ir taikymas</w:t>
      </w:r>
    </w:p>
    <w:p w14:paraId="0A731224" w14:textId="77777777" w:rsidR="00FE0C02" w:rsidRPr="003071DF" w:rsidRDefault="00FE0C02" w:rsidP="00FE0C02">
      <w:r w:rsidRPr="003071DF">
        <w:t xml:space="preserve">Šis reglamentas įsigalioja kitą dieną po jo paskelbimo </w:t>
      </w:r>
      <w:r w:rsidRPr="003071DF">
        <w:rPr>
          <w:i/>
        </w:rPr>
        <w:t>Europos Sąjungos oficialiajame leidinyje</w:t>
      </w:r>
      <w:r w:rsidRPr="003071DF">
        <w:t>.</w:t>
      </w:r>
    </w:p>
    <w:p w14:paraId="7B8BB43C" w14:textId="77777777" w:rsidR="00FE0C02" w:rsidRPr="003071DF" w:rsidRDefault="00FE0C02" w:rsidP="00FE0C02">
      <w:r w:rsidRPr="003071DF">
        <w:t>Jis taikomas nuo 2021 m. birželio 28 d.</w:t>
      </w:r>
    </w:p>
    <w:p w14:paraId="398E54BD" w14:textId="77777777" w:rsidR="00FE0C02" w:rsidRPr="003071DF" w:rsidRDefault="00FE0C02" w:rsidP="00FE0C02">
      <w:r w:rsidRPr="003071DF">
        <w:lastRenderedPageBreak/>
        <w:t>Nepaisant šio straipsnio antros pastraipos, informacija apie sverto koeficiento rezervo reikalavimą X priedo 47 formoje nurodytoms įstaigoms, kurios priskirtos G-SII, pradedama teikti nuo 2023 m. sausio 1 d.</w:t>
      </w:r>
    </w:p>
    <w:p w14:paraId="077B995C" w14:textId="2455A2B7" w:rsidR="00FF364B" w:rsidRPr="003071DF" w:rsidRDefault="00FE0C02" w:rsidP="00FE0C02">
      <w:r w:rsidRPr="003071DF">
        <w:t>9 ir 10 straipsniai nustoja galioti 2026 m. birželio 26 d.</w:t>
      </w:r>
    </w:p>
    <w:p w14:paraId="2BB71259" w14:textId="77777777" w:rsidR="0004170D" w:rsidRPr="003071DF" w:rsidRDefault="0004170D" w:rsidP="009675DD">
      <w:pPr>
        <w:pStyle w:val="Applicationdirecte"/>
      </w:pPr>
      <w:r w:rsidRPr="003071DF">
        <w:t>Šis reglamentas privalomas visas ir tiesiogiai taikomas visose valstybėse narėse.</w:t>
      </w:r>
    </w:p>
    <w:p w14:paraId="2947B574" w14:textId="4748D364" w:rsidR="0004170D" w:rsidRPr="003071DF" w:rsidRDefault="003071DF" w:rsidP="003071DF">
      <w:pPr>
        <w:pStyle w:val="Fait"/>
      </w:pPr>
      <w:r w:rsidRPr="003071DF">
        <w:t>Priimta Briuselyje</w:t>
      </w:r>
    </w:p>
    <w:p w14:paraId="3F08E3CE" w14:textId="77777777" w:rsidR="0004170D" w:rsidRPr="003071DF" w:rsidRDefault="0004170D" w:rsidP="0004170D">
      <w:pPr>
        <w:pStyle w:val="Institutionquisigne"/>
      </w:pPr>
      <w:r w:rsidRPr="003071DF">
        <w:tab/>
        <w:t>Komisijos vardu</w:t>
      </w:r>
    </w:p>
    <w:p w14:paraId="2100579F" w14:textId="77777777" w:rsidR="00A211D2" w:rsidRPr="003071DF" w:rsidRDefault="0004170D" w:rsidP="0004170D">
      <w:pPr>
        <w:pStyle w:val="Personnequisigne"/>
      </w:pPr>
      <w:r w:rsidRPr="003071DF">
        <w:tab/>
        <w:t>Pirmininkė</w:t>
      </w:r>
    </w:p>
    <w:p w14:paraId="5318264F" w14:textId="632B2009" w:rsidR="0004170D" w:rsidRPr="003071DF" w:rsidRDefault="00A211D2" w:rsidP="0004170D">
      <w:pPr>
        <w:pStyle w:val="Personnequisigne"/>
      </w:pPr>
      <w:r w:rsidRPr="003071DF">
        <w:tab/>
        <w:t xml:space="preserve">Ursula von der Leyen </w:t>
      </w:r>
      <w:r w:rsidRPr="003071DF">
        <w:br/>
      </w:r>
      <w:r w:rsidRPr="003071DF">
        <w:tab/>
        <w:t xml:space="preserve"> </w:t>
      </w:r>
      <w:r w:rsidRPr="003071DF">
        <w:br/>
      </w:r>
      <w:r w:rsidRPr="003071DF">
        <w:tab/>
        <w:t xml:space="preserve"> </w:t>
      </w:r>
      <w:r w:rsidRPr="003071DF">
        <w:br/>
      </w:r>
    </w:p>
    <w:sectPr w:rsidR="0004170D" w:rsidRPr="003071DF" w:rsidSect="00912BD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E40DB" w14:textId="2DB219FC" w:rsidR="003071DF" w:rsidRPr="00912BDD" w:rsidRDefault="00912BDD" w:rsidP="00912BDD">
    <w:pPr>
      <w:pStyle w:val="Footer"/>
      <w:rPr>
        <w:rFonts w:ascii="Arial" w:hAnsi="Arial" w:cs="Arial"/>
        <w:b/>
        <w:sz w:val="48"/>
      </w:rPr>
    </w:pPr>
    <w:r w:rsidRPr="00912BDD">
      <w:rPr>
        <w:rFonts w:ascii="Arial" w:hAnsi="Arial" w:cs="Arial"/>
        <w:b/>
        <w:sz w:val="48"/>
      </w:rPr>
      <w:t>LT</w:t>
    </w:r>
    <w:r w:rsidRPr="00912BDD">
      <w:rPr>
        <w:rFonts w:ascii="Arial" w:hAnsi="Arial" w:cs="Arial"/>
        <w:b/>
        <w:sz w:val="48"/>
      </w:rPr>
      <w:tab/>
    </w:r>
    <w:r w:rsidRPr="00912BDD">
      <w:rPr>
        <w:rFonts w:ascii="Arial" w:hAnsi="Arial" w:cs="Arial"/>
        <w:b/>
        <w:sz w:val="48"/>
      </w:rPr>
      <w:tab/>
    </w:r>
    <w:r w:rsidRPr="00912BDD">
      <w:tab/>
    </w:r>
    <w:r w:rsidRPr="00912BDD">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D9F06" w14:textId="554F449C" w:rsidR="00912BDD" w:rsidRPr="00912BDD" w:rsidRDefault="00912BDD" w:rsidP="00912BDD">
    <w:pPr>
      <w:pStyle w:val="Footer"/>
      <w:rPr>
        <w:rFonts w:ascii="Arial" w:hAnsi="Arial" w:cs="Arial"/>
        <w:b/>
        <w:sz w:val="48"/>
      </w:rPr>
    </w:pPr>
    <w:r w:rsidRPr="00912BDD">
      <w:rPr>
        <w:rFonts w:ascii="Arial" w:hAnsi="Arial" w:cs="Arial"/>
        <w:b/>
        <w:sz w:val="48"/>
      </w:rPr>
      <w:t>LT</w:t>
    </w:r>
    <w:r w:rsidRPr="00912BDD">
      <w:rPr>
        <w:rFonts w:ascii="Arial" w:hAnsi="Arial" w:cs="Arial"/>
        <w:b/>
        <w:sz w:val="48"/>
      </w:rPr>
      <w:tab/>
    </w:r>
    <w:r>
      <w:fldChar w:fldCharType="begin"/>
    </w:r>
    <w:r>
      <w:instrText xml:space="preserve"> PAGE  \* MERGEFORMAT </w:instrText>
    </w:r>
    <w:r>
      <w:fldChar w:fldCharType="separate"/>
    </w:r>
    <w:r w:rsidR="00946569">
      <w:rPr>
        <w:noProof/>
      </w:rPr>
      <w:t>18</w:t>
    </w:r>
    <w:r>
      <w:fldChar w:fldCharType="end"/>
    </w:r>
    <w:r>
      <w:tab/>
    </w:r>
    <w:r w:rsidRPr="00912BDD">
      <w:tab/>
    </w:r>
    <w:r w:rsidRPr="00912BDD">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A2009" w14:textId="77777777" w:rsidR="00912BDD" w:rsidRPr="00912BDD" w:rsidRDefault="00912BDD" w:rsidP="00912B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OL L 176, 2013 6 27, p. 1.</w:t>
      </w:r>
    </w:p>
  </w:footnote>
  <w:footnote w:id="2">
    <w:p w14:paraId="433B5035" w14:textId="77777777" w:rsidR="00AD21AA" w:rsidRPr="00BD2EEC" w:rsidRDefault="00AD21AA" w:rsidP="00AD21AA">
      <w:pPr>
        <w:pStyle w:val="FootnoteText"/>
      </w:pPr>
      <w:r>
        <w:rPr>
          <w:rStyle w:val="FootnoteReference"/>
        </w:rPr>
        <w:footnoteRef/>
      </w:r>
      <w:r>
        <w:tab/>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3">
    <w:p w14:paraId="5580D4CD" w14:textId="77777777" w:rsidR="00AD21AA" w:rsidRPr="00A45B5C" w:rsidRDefault="00AD21AA" w:rsidP="00AD21AA">
      <w:pPr>
        <w:pStyle w:val="FootnoteText"/>
      </w:pPr>
      <w:r>
        <w:rPr>
          <w:rStyle w:val="FootnoteReference"/>
        </w:rPr>
        <w:footnoteRef/>
      </w:r>
      <w:r>
        <w:tab/>
        <w:t>Komisijos įgyvendinimo reglamentas (ES) Nr. 680/2014, kuriuo pagal Reglamentą (ES) Nr. 575/2013 nustatomi įstaigų priežiūros ataskaitų teikimo techniniai įgyvendinimo standartai (OL L 191, 2014 6 28, p. 1).</w:t>
      </w:r>
    </w:p>
  </w:footnote>
  <w:footnote w:id="4">
    <w:p w14:paraId="4A709B42" w14:textId="77777777" w:rsidR="00AD21AA" w:rsidRPr="002E4D2B" w:rsidRDefault="00AD21AA" w:rsidP="00AD21AA">
      <w:pPr>
        <w:pStyle w:val="FootnoteText"/>
      </w:pPr>
      <w:r>
        <w:rPr>
          <w:rStyle w:val="FootnoteReference"/>
        </w:rPr>
        <w:footnoteRef/>
      </w:r>
      <w:r>
        <w:tab/>
        <w:t>2019 m. gegužės 20 d. Europos Parlamento ir Tarybos reglamentas (ES) 2019/876, kuriuo iš dalies keičiamos Reglamento (ES) Nr. 575/2013 nuostatos, susijusios su sverto koeficientu, grynojo pastovaus finansavimo rodikliu, nuosavų lėšų ir tinkamų įsipareigojimų reikalavimais, sandorio šalies kredito rizika, rinkos rizika, pagrindinių sandorio šalių pozicijomis, kolektyvinio investavimo subjektų pozicijomis, didelėmis pozicijomis, ataskaitų teikimo ir informacijos atskleidimo reikalavimais, ir Reglamentas (ES) Nr. 648/2012 (OL L 150, 2019 6 7, p. 1).</w:t>
      </w:r>
    </w:p>
  </w:footnote>
  <w:footnote w:id="5">
    <w:p w14:paraId="5D010433" w14:textId="77777777" w:rsidR="00AD21AA" w:rsidRPr="002E4D2B" w:rsidRDefault="00AD21AA" w:rsidP="00AD21AA">
      <w:pPr>
        <w:pStyle w:val="FootnoteText"/>
      </w:pPr>
      <w:r>
        <w:rPr>
          <w:rStyle w:val="FootnoteReference"/>
        </w:rPr>
        <w:footnoteRef/>
      </w:r>
      <w:r>
        <w:tab/>
        <w:t xml:space="preserve">2019 m. balandžio 17 d. Europos Parlamento ir Tarybos reglamentas (ES) 2019/630, kuriuo dėl neveiksnių pozicijų nuostolių minimalaus padengimo lygio iš dalies keičiamas Reglamentas (ES) Nr. 575/2013 (OL L 111, 2019 4 25, p. 4). </w:t>
      </w:r>
    </w:p>
  </w:footnote>
  <w:footnote w:id="6">
    <w:p w14:paraId="0B0AEE79" w14:textId="77777777" w:rsidR="00AD21AA" w:rsidRPr="008B4A3F" w:rsidRDefault="00AD21AA" w:rsidP="00AD21AA">
      <w:pPr>
        <w:pStyle w:val="FootnoteText"/>
      </w:pPr>
      <w:r>
        <w:rPr>
          <w:rStyle w:val="FootnoteReference"/>
        </w:rPr>
        <w:footnoteRef/>
      </w:r>
      <w:r>
        <w:tab/>
        <w:t>2019 m. lapkričio 27 d. Europos Parlamento ir Tarybos reglamentas (ES) 2019/2033 dėl riziką ribojančių reikalavimų investicinėms įmonėms, kuriuo iš dalies keičiami reglamentai (ES) Nr. 1093/2010, (ES) Nr. 575/2013, (ES) Nr. 600/2014 ir (ES) Nr. 806/2014 (OL L 314, 2019 12 5, p. 1).</w:t>
      </w:r>
    </w:p>
  </w:footnote>
  <w:footnote w:id="7">
    <w:p w14:paraId="3D6B588C" w14:textId="1C69D305" w:rsidR="00AD21AA" w:rsidRPr="0069688A" w:rsidRDefault="00AD21AA" w:rsidP="00AD21AA">
      <w:pPr>
        <w:pStyle w:val="FootnoteText"/>
      </w:pPr>
      <w:r>
        <w:rPr>
          <w:rStyle w:val="FootnoteReference"/>
        </w:rPr>
        <w:footnoteRef/>
      </w:r>
      <w:r>
        <w:tab/>
        <w:t>2020 m. birželio 24 d. Europos Parlamento ir Tarybos reglamentas (ES) 2020/873, kuriuo dėl tam tikrų patikslinimų, padarytų reaguojant į COVID-19 pandemiją, iš dalies keičiami reglamentai (ES) Nr. 575/2013 ir (ES) 2019/876 (OL L 204, 2020 6 26, p. 4).</w:t>
      </w:r>
    </w:p>
  </w:footnote>
  <w:footnote w:id="8">
    <w:p w14:paraId="5A30BC5D" w14:textId="77777777" w:rsidR="00AD21AA" w:rsidRPr="002E4D2B" w:rsidRDefault="00AD21AA" w:rsidP="00AD21AA">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 w:id="9">
    <w:p w14:paraId="2F6DC588" w14:textId="77777777" w:rsidR="0014552F" w:rsidRPr="002E4D2B" w:rsidRDefault="0014552F" w:rsidP="0014552F">
      <w:pPr>
        <w:pStyle w:val="FootnoteText"/>
      </w:pPr>
      <w:r>
        <w:rPr>
          <w:rStyle w:val="FootnoteReference"/>
        </w:rPr>
        <w:footnoteRef/>
      </w:r>
      <w:r>
        <w:tab/>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10">
    <w:p w14:paraId="0D4E857F" w14:textId="659ADEF0" w:rsidR="00FE0C02" w:rsidRPr="003071DF" w:rsidRDefault="00FE0C02" w:rsidP="00FE0C02">
      <w:pPr>
        <w:pStyle w:val="FootnoteText"/>
        <w:rPr>
          <w:lang w:val="fr-BE"/>
        </w:rPr>
      </w:pPr>
      <w:r>
        <w:rPr>
          <w:rStyle w:val="FootnoteReference"/>
        </w:rPr>
        <w:footnoteRef/>
      </w:r>
      <w:r w:rsidRPr="003071DF">
        <w:rPr>
          <w:lang w:val="fr-BE"/>
        </w:rPr>
        <w:tab/>
        <w:t>2002 m. liepos 19 d. Europos Parlamento ir Tarybos reglamentas (EB) Nr. 1606/2002 dėl tarptautinių apskaitos standartų taikymo (OL L 243, 2002 9 11, p. 1).</w:t>
      </w:r>
    </w:p>
  </w:footnote>
  <w:footnote w:id="11">
    <w:p w14:paraId="186408CB" w14:textId="77777777" w:rsidR="00FE0C02" w:rsidRPr="003071DF" w:rsidRDefault="00FE0C02" w:rsidP="00FE0C02">
      <w:pPr>
        <w:pStyle w:val="FootnoteText"/>
        <w:rPr>
          <w:lang w:val="fr-BE"/>
        </w:rPr>
      </w:pPr>
      <w:r>
        <w:rPr>
          <w:rStyle w:val="FootnoteReference"/>
        </w:rPr>
        <w:footnoteRef/>
      </w:r>
      <w:r w:rsidRPr="003071DF">
        <w:rPr>
          <w:lang w:val="fr-BE"/>
        </w:rPr>
        <w:tab/>
        <w:t>2009 m. liepos 13 d. Europos Parlamento ir Tarybos direktyva 2009/65/EB dėl įstatymų ir kitų teisės aktų, susijusių su kolektyvinio investavimo į perleidžiamus vertybinius popierius subjektais (KIPVPS), derinimo (OL L 302, 2009 11 17, p. 32).</w:t>
      </w:r>
    </w:p>
  </w:footnote>
  <w:footnote w:id="12">
    <w:p w14:paraId="50B21B4D" w14:textId="77777777" w:rsidR="00FE0C02" w:rsidRPr="003071DF" w:rsidRDefault="00FE0C02" w:rsidP="00FE0C02">
      <w:pPr>
        <w:pStyle w:val="FootnoteText"/>
        <w:rPr>
          <w:lang w:val="fr-BE"/>
        </w:rPr>
      </w:pPr>
      <w:r>
        <w:rPr>
          <w:rStyle w:val="FootnoteReference"/>
        </w:rPr>
        <w:footnoteRef/>
      </w:r>
      <w:r w:rsidRPr="003071DF">
        <w:rPr>
          <w:lang w:val="fr-BE"/>
        </w:rPr>
        <w:tab/>
        <w:t>2014 m. liepos 15 d. Europos Parlamento ir Tarybos reglamentas (ES) Nr. 806/2014, kuriuo nustatomos kredito įstaigų ir tam tikrų investicinių įmonių pertvarkymo vienodos taisyklės ir vienoda procedūra, kiek tai susiję su bendru pertvarkymo mechanizmu ir Bendru pertvarkymo fondu, ir iš dalies keičiamas Reglamentas (ES) Nr. 1093/2010 (OL L 225, 2014 7 30,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0 17:22:2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22ECB1AC-87C9-430B-96F0-EB32F9BC910B"/>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lt;EMPTY&gt;"/>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nustatomi Europos Parlamento ir Tarybos reglamento (ES) Nr. 575/2013 taikymo \u303?staig\u371? prie\u382?i\u363?ros ataskait\u371? teikimo srityje techniniai \u303?gyvendinimo standartai ir panaikinamas \u302?gyvendinimo reglamentas (ES) Nr. 680/2014 _x000b_"/>
    <w:docVar w:name="LW_TYPE.DOC.CP" w:val="KOMISIJOS \u302?GYVENDINIMO REGLAMENTAS (ES) \u823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007E3"/>
    <w:rsid w:val="003071DF"/>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B5ACA"/>
    <w:rsid w:val="005C3834"/>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164B"/>
    <w:rsid w:val="008B78EA"/>
    <w:rsid w:val="008D699F"/>
    <w:rsid w:val="008E7112"/>
    <w:rsid w:val="008F7BAF"/>
    <w:rsid w:val="009074CD"/>
    <w:rsid w:val="00912BDD"/>
    <w:rsid w:val="009224FE"/>
    <w:rsid w:val="00946569"/>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lt-LT"/>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lt-LT"/>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lt-LT"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30B27-8B01-42B2-956A-A48238D00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19</Pages>
  <Words>5901</Words>
  <Characters>38125</Characters>
  <Application>Microsoft Office Word</Application>
  <DocSecurity>0</DocSecurity>
  <Lines>680</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2020-12-18T16:46:00Z</dcterms:created>
  <dcterms:modified xsi:type="dcterms:W3CDTF">2020-12-18T16:46:00Z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