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60C1D" w14:textId="1B78311E" w:rsidR="002648B0" w:rsidRPr="00EC067D"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ZAŁĄCZNIK XXVII</w:t>
      </w:r>
    </w:p>
    <w:p w14:paraId="644BA8AC" w14:textId="243A90EC" w:rsidR="002648B0" w:rsidRPr="00EC067D" w:rsidRDefault="002648B0" w:rsidP="00C87CEE">
      <w:pPr>
        <w:jc w:val="center"/>
        <w:rPr>
          <w:rFonts w:ascii="Times New Roman" w:hAnsi="Times New Roman"/>
          <w:b/>
          <w:sz w:val="24"/>
        </w:rPr>
      </w:pPr>
      <w:r>
        <w:rPr>
          <w:rFonts w:ascii="Times New Roman" w:hAnsi="Times New Roman"/>
          <w:b/>
          <w:sz w:val="24"/>
        </w:rPr>
        <w:t>INSTRUKCJE DOTYCZĄCE SPRAWOZDAWCZOŚCI DO CELÓW IDENTYFIKACJI I PRZYPISYWANIA WSKAŹNIKÓW BUFORA GLOBALNYCH INSTYTUCJI O ZNACZENIU SYSTEMOWYM (G-</w:t>
      </w:r>
      <w:proofErr w:type="spellStart"/>
      <w:r>
        <w:rPr>
          <w:rFonts w:ascii="Times New Roman" w:hAnsi="Times New Roman"/>
          <w:b/>
          <w:sz w:val="24"/>
        </w:rPr>
        <w:t>SII</w:t>
      </w:r>
      <w:proofErr w:type="spellEnd"/>
      <w:r>
        <w:rPr>
          <w:rFonts w:ascii="Times New Roman" w:hAnsi="Times New Roman"/>
          <w:b/>
          <w:sz w:val="24"/>
        </w:rPr>
        <w:t xml:space="preserve">) </w:t>
      </w:r>
    </w:p>
    <w:p w14:paraId="4592BD27" w14:textId="77777777" w:rsidR="00436204" w:rsidRPr="00EC067D" w:rsidRDefault="00436204" w:rsidP="00C87CEE">
      <w:pPr>
        <w:jc w:val="center"/>
        <w:rPr>
          <w:rFonts w:ascii="Times New Roman" w:hAnsi="Times New Roman"/>
          <w:b/>
          <w:sz w:val="24"/>
          <w:lang w:eastAsia="de-DE"/>
        </w:rPr>
      </w:pPr>
    </w:p>
    <w:p w14:paraId="296F65E0" w14:textId="77777777" w:rsidR="00783881" w:rsidRPr="00EC067D" w:rsidRDefault="002648B0" w:rsidP="00004542">
      <w:pPr>
        <w:pStyle w:val="InstructionsText"/>
      </w:pPr>
      <w:r>
        <w:t>Spis treści</w:t>
      </w:r>
    </w:p>
    <w:p w14:paraId="0D8263F2" w14:textId="60DE5429" w:rsidR="009656E4"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489066" w:history="1">
        <w:r w:rsidR="009656E4" w:rsidRPr="0029096C">
          <w:rPr>
            <w:rStyle w:val="Hyperlink"/>
          </w:rPr>
          <w:t>CZĘŚĆ I: INSTRUKCJE OGÓLNE</w:t>
        </w:r>
        <w:r w:rsidR="009656E4">
          <w:rPr>
            <w:webHidden/>
          </w:rPr>
          <w:tab/>
        </w:r>
        <w:r w:rsidR="009656E4">
          <w:rPr>
            <w:webHidden/>
          </w:rPr>
          <w:fldChar w:fldCharType="begin"/>
        </w:r>
        <w:r w:rsidR="009656E4">
          <w:rPr>
            <w:webHidden/>
          </w:rPr>
          <w:instrText xml:space="preserve"> PAGEREF _Toc58489066 \h </w:instrText>
        </w:r>
        <w:r w:rsidR="009656E4">
          <w:rPr>
            <w:webHidden/>
          </w:rPr>
        </w:r>
        <w:r w:rsidR="009656E4">
          <w:rPr>
            <w:webHidden/>
          </w:rPr>
          <w:fldChar w:fldCharType="separate"/>
        </w:r>
        <w:r w:rsidR="00FC52A4">
          <w:rPr>
            <w:webHidden/>
          </w:rPr>
          <w:t>2</w:t>
        </w:r>
        <w:r w:rsidR="009656E4">
          <w:rPr>
            <w:webHidden/>
          </w:rPr>
          <w:fldChar w:fldCharType="end"/>
        </w:r>
      </w:hyperlink>
    </w:p>
    <w:p w14:paraId="5E40E4B9" w14:textId="512CD5B9" w:rsidR="009656E4" w:rsidRDefault="00FC52A4">
      <w:pPr>
        <w:pStyle w:val="TOC2"/>
        <w:rPr>
          <w:rFonts w:asciiTheme="minorHAnsi" w:eastAsiaTheme="minorEastAsia" w:hAnsiTheme="minorHAnsi" w:cstheme="minorBidi"/>
          <w:b w:val="0"/>
          <w:smallCaps w:val="0"/>
          <w:sz w:val="22"/>
          <w:lang w:val="en-US"/>
        </w:rPr>
      </w:pPr>
      <w:hyperlink w:anchor="_Toc58489067" w:history="1">
        <w:r w:rsidR="009656E4" w:rsidRPr="0029096C">
          <w:rPr>
            <w:rStyle w:val="Hyperlink"/>
          </w:rPr>
          <w:t>1.1</w:t>
        </w:r>
        <w:r w:rsidR="009656E4">
          <w:rPr>
            <w:rFonts w:asciiTheme="minorHAnsi" w:eastAsiaTheme="minorEastAsia" w:hAnsiTheme="minorHAnsi" w:cstheme="minorBidi"/>
            <w:b w:val="0"/>
            <w:smallCaps w:val="0"/>
            <w:sz w:val="22"/>
            <w:lang w:val="en-US"/>
          </w:rPr>
          <w:tab/>
        </w:r>
        <w:r w:rsidR="009656E4" w:rsidRPr="0029096C">
          <w:rPr>
            <w:rStyle w:val="Hyperlink"/>
          </w:rPr>
          <w:t>1. Struktura i konwencje</w:t>
        </w:r>
        <w:r w:rsidR="009656E4">
          <w:rPr>
            <w:webHidden/>
          </w:rPr>
          <w:tab/>
        </w:r>
        <w:r w:rsidR="009656E4">
          <w:rPr>
            <w:webHidden/>
          </w:rPr>
          <w:fldChar w:fldCharType="begin"/>
        </w:r>
        <w:r w:rsidR="009656E4">
          <w:rPr>
            <w:webHidden/>
          </w:rPr>
          <w:instrText xml:space="preserve"> PAGEREF _Toc58489067 \h </w:instrText>
        </w:r>
        <w:r w:rsidR="009656E4">
          <w:rPr>
            <w:webHidden/>
          </w:rPr>
        </w:r>
        <w:r w:rsidR="009656E4">
          <w:rPr>
            <w:webHidden/>
          </w:rPr>
          <w:fldChar w:fldCharType="separate"/>
        </w:r>
        <w:r>
          <w:rPr>
            <w:webHidden/>
          </w:rPr>
          <w:t>2</w:t>
        </w:r>
        <w:r w:rsidR="009656E4">
          <w:rPr>
            <w:webHidden/>
          </w:rPr>
          <w:fldChar w:fldCharType="end"/>
        </w:r>
      </w:hyperlink>
    </w:p>
    <w:p w14:paraId="7A9374AE" w14:textId="2CAF556C" w:rsidR="009656E4" w:rsidRDefault="00FC52A4">
      <w:pPr>
        <w:pStyle w:val="TOC2"/>
        <w:rPr>
          <w:rFonts w:asciiTheme="minorHAnsi" w:eastAsiaTheme="minorEastAsia" w:hAnsiTheme="minorHAnsi" w:cstheme="minorBidi"/>
          <w:b w:val="0"/>
          <w:smallCaps w:val="0"/>
          <w:sz w:val="22"/>
          <w:lang w:val="en-US"/>
        </w:rPr>
      </w:pPr>
      <w:hyperlink w:anchor="_Toc58489068" w:history="1">
        <w:r w:rsidR="009656E4" w:rsidRPr="0029096C">
          <w:rPr>
            <w:rStyle w:val="Hyperlink"/>
          </w:rPr>
          <w:t>2.1</w:t>
        </w:r>
        <w:r w:rsidR="009656E4">
          <w:rPr>
            <w:rFonts w:asciiTheme="minorHAnsi" w:eastAsiaTheme="minorEastAsia" w:hAnsiTheme="minorHAnsi" w:cstheme="minorBidi"/>
            <w:b w:val="0"/>
            <w:smallCaps w:val="0"/>
            <w:sz w:val="22"/>
            <w:lang w:val="en-US"/>
          </w:rPr>
          <w:tab/>
        </w:r>
        <w:r w:rsidR="009656E4" w:rsidRPr="0029096C">
          <w:rPr>
            <w:rStyle w:val="Hyperlink"/>
          </w:rPr>
          <w:t>1.1. Struktura</w:t>
        </w:r>
        <w:r w:rsidR="009656E4">
          <w:rPr>
            <w:webHidden/>
          </w:rPr>
          <w:tab/>
        </w:r>
        <w:r w:rsidR="009656E4">
          <w:rPr>
            <w:webHidden/>
          </w:rPr>
          <w:fldChar w:fldCharType="begin"/>
        </w:r>
        <w:r w:rsidR="009656E4">
          <w:rPr>
            <w:webHidden/>
          </w:rPr>
          <w:instrText xml:space="preserve"> PAGEREF _Toc58489068 \h </w:instrText>
        </w:r>
        <w:r w:rsidR="009656E4">
          <w:rPr>
            <w:webHidden/>
          </w:rPr>
        </w:r>
        <w:r w:rsidR="009656E4">
          <w:rPr>
            <w:webHidden/>
          </w:rPr>
          <w:fldChar w:fldCharType="separate"/>
        </w:r>
        <w:r>
          <w:rPr>
            <w:webHidden/>
          </w:rPr>
          <w:t>2</w:t>
        </w:r>
        <w:r w:rsidR="009656E4">
          <w:rPr>
            <w:webHidden/>
          </w:rPr>
          <w:fldChar w:fldCharType="end"/>
        </w:r>
      </w:hyperlink>
    </w:p>
    <w:p w14:paraId="05F0317F" w14:textId="12B3CB5E" w:rsidR="009656E4" w:rsidRDefault="00FC52A4">
      <w:pPr>
        <w:pStyle w:val="TOC2"/>
        <w:rPr>
          <w:rFonts w:asciiTheme="minorHAnsi" w:eastAsiaTheme="minorEastAsia" w:hAnsiTheme="minorHAnsi" w:cstheme="minorBidi"/>
          <w:b w:val="0"/>
          <w:smallCaps w:val="0"/>
          <w:sz w:val="22"/>
          <w:lang w:val="en-US"/>
        </w:rPr>
      </w:pPr>
      <w:hyperlink w:anchor="_Toc58489069" w:history="1">
        <w:r w:rsidR="009656E4" w:rsidRPr="0029096C">
          <w:rPr>
            <w:rStyle w:val="Hyperlink"/>
          </w:rPr>
          <w:t>3.1</w:t>
        </w:r>
        <w:r w:rsidR="009656E4">
          <w:rPr>
            <w:rFonts w:asciiTheme="minorHAnsi" w:eastAsiaTheme="minorEastAsia" w:hAnsiTheme="minorHAnsi" w:cstheme="minorBidi"/>
            <w:b w:val="0"/>
            <w:smallCaps w:val="0"/>
            <w:sz w:val="22"/>
            <w:lang w:val="en-US"/>
          </w:rPr>
          <w:tab/>
        </w:r>
        <w:r w:rsidR="009656E4" w:rsidRPr="0029096C">
          <w:rPr>
            <w:rStyle w:val="Hyperlink"/>
          </w:rPr>
          <w:t>1.2. Konwencja numerowania</w:t>
        </w:r>
        <w:r w:rsidR="009656E4">
          <w:rPr>
            <w:webHidden/>
          </w:rPr>
          <w:tab/>
        </w:r>
        <w:r w:rsidR="009656E4">
          <w:rPr>
            <w:webHidden/>
          </w:rPr>
          <w:fldChar w:fldCharType="begin"/>
        </w:r>
        <w:r w:rsidR="009656E4">
          <w:rPr>
            <w:webHidden/>
          </w:rPr>
          <w:instrText xml:space="preserve"> PAGEREF _Toc58489069 \h </w:instrText>
        </w:r>
        <w:r w:rsidR="009656E4">
          <w:rPr>
            <w:webHidden/>
          </w:rPr>
        </w:r>
        <w:r w:rsidR="009656E4">
          <w:rPr>
            <w:webHidden/>
          </w:rPr>
          <w:fldChar w:fldCharType="separate"/>
        </w:r>
        <w:r>
          <w:rPr>
            <w:webHidden/>
          </w:rPr>
          <w:t>2</w:t>
        </w:r>
        <w:r w:rsidR="009656E4">
          <w:rPr>
            <w:webHidden/>
          </w:rPr>
          <w:fldChar w:fldCharType="end"/>
        </w:r>
      </w:hyperlink>
    </w:p>
    <w:p w14:paraId="6AA79965" w14:textId="3D108E5B" w:rsidR="009656E4" w:rsidRDefault="00FC52A4">
      <w:pPr>
        <w:pStyle w:val="TOC2"/>
        <w:rPr>
          <w:rFonts w:asciiTheme="minorHAnsi" w:eastAsiaTheme="minorEastAsia" w:hAnsiTheme="minorHAnsi" w:cstheme="minorBidi"/>
          <w:b w:val="0"/>
          <w:smallCaps w:val="0"/>
          <w:sz w:val="22"/>
          <w:lang w:val="en-US"/>
        </w:rPr>
      </w:pPr>
      <w:hyperlink w:anchor="_Toc58489070" w:history="1">
        <w:r w:rsidR="009656E4" w:rsidRPr="0029096C">
          <w:rPr>
            <w:rStyle w:val="Hyperlink"/>
          </w:rPr>
          <w:t>4.1</w:t>
        </w:r>
        <w:r w:rsidR="009656E4">
          <w:rPr>
            <w:rFonts w:asciiTheme="minorHAnsi" w:eastAsiaTheme="minorEastAsia" w:hAnsiTheme="minorHAnsi" w:cstheme="minorBidi"/>
            <w:b w:val="0"/>
            <w:smallCaps w:val="0"/>
            <w:sz w:val="22"/>
            <w:lang w:val="en-US"/>
          </w:rPr>
          <w:tab/>
        </w:r>
        <w:r w:rsidR="009656E4" w:rsidRPr="0029096C">
          <w:rPr>
            <w:rStyle w:val="Hyperlink"/>
          </w:rPr>
          <w:t>1.3. Konwencja znaku</w:t>
        </w:r>
        <w:r w:rsidR="009656E4">
          <w:rPr>
            <w:webHidden/>
          </w:rPr>
          <w:tab/>
        </w:r>
        <w:r w:rsidR="009656E4">
          <w:rPr>
            <w:webHidden/>
          </w:rPr>
          <w:fldChar w:fldCharType="begin"/>
        </w:r>
        <w:r w:rsidR="009656E4">
          <w:rPr>
            <w:webHidden/>
          </w:rPr>
          <w:instrText xml:space="preserve"> PAGEREF _Toc58489070 \h </w:instrText>
        </w:r>
        <w:r w:rsidR="009656E4">
          <w:rPr>
            <w:webHidden/>
          </w:rPr>
        </w:r>
        <w:r w:rsidR="009656E4">
          <w:rPr>
            <w:webHidden/>
          </w:rPr>
          <w:fldChar w:fldCharType="separate"/>
        </w:r>
        <w:r>
          <w:rPr>
            <w:webHidden/>
          </w:rPr>
          <w:t>2</w:t>
        </w:r>
        <w:r w:rsidR="009656E4">
          <w:rPr>
            <w:webHidden/>
          </w:rPr>
          <w:fldChar w:fldCharType="end"/>
        </w:r>
      </w:hyperlink>
    </w:p>
    <w:p w14:paraId="3AB4A3BD" w14:textId="50E9C79F" w:rsidR="009656E4" w:rsidRDefault="00FC52A4">
      <w:pPr>
        <w:pStyle w:val="TOC2"/>
        <w:rPr>
          <w:rFonts w:asciiTheme="minorHAnsi" w:eastAsiaTheme="minorEastAsia" w:hAnsiTheme="minorHAnsi" w:cstheme="minorBidi"/>
          <w:b w:val="0"/>
          <w:smallCaps w:val="0"/>
          <w:sz w:val="22"/>
          <w:lang w:val="en-US"/>
        </w:rPr>
      </w:pPr>
      <w:hyperlink w:anchor="_Toc58489071" w:history="1">
        <w:r w:rsidR="009656E4" w:rsidRPr="0029096C">
          <w:rPr>
            <w:rStyle w:val="Hyperlink"/>
          </w:rPr>
          <w:t>5.1</w:t>
        </w:r>
        <w:r w:rsidR="009656E4">
          <w:rPr>
            <w:rFonts w:asciiTheme="minorHAnsi" w:eastAsiaTheme="minorEastAsia" w:hAnsiTheme="minorHAnsi" w:cstheme="minorBidi"/>
            <w:b w:val="0"/>
            <w:smallCaps w:val="0"/>
            <w:sz w:val="22"/>
            <w:lang w:val="en-US"/>
          </w:rPr>
          <w:tab/>
        </w:r>
        <w:r w:rsidR="009656E4" w:rsidRPr="0029096C">
          <w:rPr>
            <w:rStyle w:val="Hyperlink"/>
          </w:rPr>
          <w:t>1.4. Skróty</w:t>
        </w:r>
        <w:r w:rsidR="009656E4">
          <w:rPr>
            <w:webHidden/>
          </w:rPr>
          <w:tab/>
        </w:r>
        <w:r w:rsidR="009656E4">
          <w:rPr>
            <w:webHidden/>
          </w:rPr>
          <w:fldChar w:fldCharType="begin"/>
        </w:r>
        <w:r w:rsidR="009656E4">
          <w:rPr>
            <w:webHidden/>
          </w:rPr>
          <w:instrText xml:space="preserve"> PAGEREF _Toc58489071 \h </w:instrText>
        </w:r>
        <w:r w:rsidR="009656E4">
          <w:rPr>
            <w:webHidden/>
          </w:rPr>
        </w:r>
        <w:r w:rsidR="009656E4">
          <w:rPr>
            <w:webHidden/>
          </w:rPr>
          <w:fldChar w:fldCharType="separate"/>
        </w:r>
        <w:r>
          <w:rPr>
            <w:webHidden/>
          </w:rPr>
          <w:t>2</w:t>
        </w:r>
        <w:r w:rsidR="009656E4">
          <w:rPr>
            <w:webHidden/>
          </w:rPr>
          <w:fldChar w:fldCharType="end"/>
        </w:r>
      </w:hyperlink>
    </w:p>
    <w:p w14:paraId="3EFA60A7" w14:textId="62A4999C" w:rsidR="009656E4" w:rsidRDefault="00FC52A4">
      <w:pPr>
        <w:pStyle w:val="TOC2"/>
        <w:rPr>
          <w:rFonts w:asciiTheme="minorHAnsi" w:eastAsiaTheme="minorEastAsia" w:hAnsiTheme="minorHAnsi" w:cstheme="minorBidi"/>
          <w:b w:val="0"/>
          <w:smallCaps w:val="0"/>
          <w:sz w:val="22"/>
          <w:lang w:val="en-US"/>
        </w:rPr>
      </w:pPr>
      <w:hyperlink w:anchor="_Toc58489072" w:history="1">
        <w:r w:rsidR="009656E4" w:rsidRPr="0029096C">
          <w:rPr>
            <w:rStyle w:val="Hyperlink"/>
          </w:rPr>
          <w:t>CZĘŚĆ II INSTRUKCJE DOTYCZĄCE WZORÓW</w:t>
        </w:r>
        <w:r w:rsidR="009656E4">
          <w:rPr>
            <w:webHidden/>
          </w:rPr>
          <w:tab/>
        </w:r>
        <w:r w:rsidR="009656E4">
          <w:rPr>
            <w:webHidden/>
          </w:rPr>
          <w:fldChar w:fldCharType="begin"/>
        </w:r>
        <w:r w:rsidR="009656E4">
          <w:rPr>
            <w:webHidden/>
          </w:rPr>
          <w:instrText xml:space="preserve"> PAGEREF _Toc58489072 \h </w:instrText>
        </w:r>
        <w:r w:rsidR="009656E4">
          <w:rPr>
            <w:webHidden/>
          </w:rPr>
        </w:r>
        <w:r w:rsidR="009656E4">
          <w:rPr>
            <w:webHidden/>
          </w:rPr>
          <w:fldChar w:fldCharType="separate"/>
        </w:r>
        <w:r>
          <w:rPr>
            <w:webHidden/>
          </w:rPr>
          <w:t>3</w:t>
        </w:r>
        <w:r w:rsidR="009656E4">
          <w:rPr>
            <w:webHidden/>
          </w:rPr>
          <w:fldChar w:fldCharType="end"/>
        </w:r>
      </w:hyperlink>
    </w:p>
    <w:p w14:paraId="265ABC17" w14:textId="503E55C0" w:rsidR="009656E4" w:rsidRDefault="00FC52A4">
      <w:pPr>
        <w:pStyle w:val="TOC2"/>
        <w:rPr>
          <w:rFonts w:asciiTheme="minorHAnsi" w:eastAsiaTheme="minorEastAsia" w:hAnsiTheme="minorHAnsi" w:cstheme="minorBidi"/>
          <w:b w:val="0"/>
          <w:smallCaps w:val="0"/>
          <w:sz w:val="22"/>
          <w:lang w:val="en-US"/>
        </w:rPr>
      </w:pPr>
      <w:hyperlink w:anchor="_Toc58489073" w:history="1">
        <w:r w:rsidR="009656E4" w:rsidRPr="0029096C">
          <w:rPr>
            <w:rStyle w:val="Hyperlink"/>
          </w:rPr>
          <w:t>6.1</w:t>
        </w:r>
        <w:r w:rsidR="009656E4">
          <w:rPr>
            <w:rFonts w:asciiTheme="minorHAnsi" w:eastAsiaTheme="minorEastAsia" w:hAnsiTheme="minorHAnsi" w:cstheme="minorBidi"/>
            <w:b w:val="0"/>
            <w:smallCaps w:val="0"/>
            <w:sz w:val="22"/>
            <w:lang w:val="en-US"/>
          </w:rPr>
          <w:tab/>
        </w:r>
        <w:r w:rsidR="009656E4" w:rsidRPr="0029096C">
          <w:rPr>
            <w:rStyle w:val="Hyperlink"/>
          </w:rPr>
          <w:t>1. Uwagi ogólne</w:t>
        </w:r>
        <w:r w:rsidR="009656E4">
          <w:rPr>
            <w:webHidden/>
          </w:rPr>
          <w:tab/>
        </w:r>
        <w:r w:rsidR="009656E4">
          <w:rPr>
            <w:webHidden/>
          </w:rPr>
          <w:fldChar w:fldCharType="begin"/>
        </w:r>
        <w:r w:rsidR="009656E4">
          <w:rPr>
            <w:webHidden/>
          </w:rPr>
          <w:instrText xml:space="preserve"> PAGEREF _Toc58489073 \h </w:instrText>
        </w:r>
        <w:r w:rsidR="009656E4">
          <w:rPr>
            <w:webHidden/>
          </w:rPr>
        </w:r>
        <w:r w:rsidR="009656E4">
          <w:rPr>
            <w:webHidden/>
          </w:rPr>
          <w:fldChar w:fldCharType="separate"/>
        </w:r>
        <w:r>
          <w:rPr>
            <w:webHidden/>
          </w:rPr>
          <w:t>3</w:t>
        </w:r>
        <w:r w:rsidR="009656E4">
          <w:rPr>
            <w:webHidden/>
          </w:rPr>
          <w:fldChar w:fldCharType="end"/>
        </w:r>
      </w:hyperlink>
    </w:p>
    <w:p w14:paraId="01EE7488" w14:textId="3122A143" w:rsidR="009656E4" w:rsidRDefault="00FC52A4">
      <w:pPr>
        <w:pStyle w:val="TOC2"/>
        <w:rPr>
          <w:rFonts w:asciiTheme="minorHAnsi" w:eastAsiaTheme="minorEastAsia" w:hAnsiTheme="minorHAnsi" w:cstheme="minorBidi"/>
          <w:b w:val="0"/>
          <w:smallCaps w:val="0"/>
          <w:sz w:val="22"/>
          <w:lang w:val="en-US"/>
        </w:rPr>
      </w:pPr>
      <w:hyperlink w:anchor="_Toc58489074" w:history="1">
        <w:r w:rsidR="009656E4" w:rsidRPr="0029096C">
          <w:rPr>
            <w:rStyle w:val="Hyperlink"/>
          </w:rPr>
          <w:t>7.1</w:t>
        </w:r>
        <w:r w:rsidR="009656E4">
          <w:rPr>
            <w:rFonts w:asciiTheme="minorHAnsi" w:eastAsiaTheme="minorEastAsia" w:hAnsiTheme="minorHAnsi" w:cstheme="minorBidi"/>
            <w:b w:val="0"/>
            <w:smallCaps w:val="0"/>
            <w:sz w:val="22"/>
            <w:lang w:val="en-US"/>
          </w:rPr>
          <w:tab/>
        </w:r>
        <w:r w:rsidR="009656E4" w:rsidRPr="0029096C">
          <w:rPr>
            <w:rStyle w:val="Hyperlink"/>
          </w:rPr>
          <w:t>2. Instrukcje dotyczące poszczególnych pozycji</w:t>
        </w:r>
        <w:r w:rsidR="009656E4">
          <w:rPr>
            <w:webHidden/>
          </w:rPr>
          <w:tab/>
        </w:r>
        <w:r w:rsidR="009656E4">
          <w:rPr>
            <w:webHidden/>
          </w:rPr>
          <w:fldChar w:fldCharType="begin"/>
        </w:r>
        <w:r w:rsidR="009656E4">
          <w:rPr>
            <w:webHidden/>
          </w:rPr>
          <w:instrText xml:space="preserve"> PAGEREF _Toc58489074 \h </w:instrText>
        </w:r>
        <w:r w:rsidR="009656E4">
          <w:rPr>
            <w:webHidden/>
          </w:rPr>
        </w:r>
        <w:r w:rsidR="009656E4">
          <w:rPr>
            <w:webHidden/>
          </w:rPr>
          <w:fldChar w:fldCharType="separate"/>
        </w:r>
        <w:r>
          <w:rPr>
            <w:webHidden/>
          </w:rPr>
          <w:t>3</w:t>
        </w:r>
        <w:r w:rsidR="009656E4">
          <w:rPr>
            <w:webHidden/>
          </w:rPr>
          <w:fldChar w:fldCharType="end"/>
        </w:r>
      </w:hyperlink>
    </w:p>
    <w:p w14:paraId="7AC7042C" w14:textId="1248CA37" w:rsidR="002648B0" w:rsidRPr="00EC067D" w:rsidRDefault="00745369" w:rsidP="00005FFC">
      <w:pPr>
        <w:rPr>
          <w:rFonts w:ascii="Times New Roman" w:hAnsi="Times New Roman"/>
          <w:sz w:val="24"/>
        </w:rPr>
        <w:sectPr w:rsidR="002648B0" w:rsidRPr="00EC067D"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EC067D" w:rsidRDefault="002648B0" w:rsidP="00EC067D">
      <w:pPr>
        <w:pStyle w:val="Heading2"/>
      </w:pPr>
      <w:bookmarkStart w:id="2" w:name="_Toc264038394"/>
      <w:bookmarkStart w:id="3" w:name="_Toc360188317"/>
      <w:bookmarkStart w:id="4" w:name="_Toc473560865"/>
      <w:bookmarkStart w:id="5" w:name="_Toc58489066"/>
      <w:r>
        <w:lastRenderedPageBreak/>
        <w:t>CZĘŚĆ I:</w:t>
      </w:r>
      <w:bookmarkEnd w:id="2"/>
      <w:r>
        <w:t xml:space="preserve"> INSTRUKCJE OGÓLNE</w:t>
      </w:r>
      <w:bookmarkEnd w:id="3"/>
      <w:bookmarkEnd w:id="4"/>
      <w:bookmarkEnd w:id="5"/>
    </w:p>
    <w:p w14:paraId="134C985E" w14:textId="77777777" w:rsidR="002648B0" w:rsidRPr="00EC067D" w:rsidRDefault="00125707" w:rsidP="00EC067D">
      <w:pPr>
        <w:pStyle w:val="Instructionsberschrift2"/>
        <w:rPr>
          <w:rFonts w:cs="Times New Roman"/>
          <w:sz w:val="24"/>
        </w:rPr>
      </w:pPr>
      <w:bookmarkStart w:id="6" w:name="_Toc360188318"/>
      <w:bookmarkStart w:id="7" w:name="_Toc473560866"/>
      <w:bookmarkStart w:id="8" w:name="_Toc58489067"/>
      <w:r>
        <w:rPr>
          <w:sz w:val="24"/>
        </w:rPr>
        <w:t>1.</w:t>
      </w:r>
      <w:r>
        <w:tab/>
      </w:r>
      <w:r>
        <w:rPr>
          <w:sz w:val="24"/>
        </w:rPr>
        <w:t>Struktura i konwencje</w:t>
      </w:r>
      <w:bookmarkEnd w:id="6"/>
      <w:bookmarkEnd w:id="7"/>
      <w:bookmarkEnd w:id="8"/>
    </w:p>
    <w:p w14:paraId="7C7E012C" w14:textId="77777777" w:rsidR="002648B0" w:rsidRPr="00EC067D" w:rsidRDefault="00125707" w:rsidP="00EC067D">
      <w:pPr>
        <w:pStyle w:val="Instructionsberschrift2"/>
        <w:rPr>
          <w:rFonts w:cs="Times New Roman"/>
          <w:sz w:val="24"/>
        </w:rPr>
      </w:pPr>
      <w:bookmarkStart w:id="9" w:name="_Toc360188319"/>
      <w:bookmarkStart w:id="10" w:name="_Toc473560867"/>
      <w:bookmarkStart w:id="11" w:name="_Toc58489068"/>
      <w:bookmarkStart w:id="12" w:name="_Toc264038399"/>
      <w:bookmarkStart w:id="13" w:name="_Toc294018834"/>
      <w:r>
        <w:rPr>
          <w:sz w:val="24"/>
        </w:rPr>
        <w:t>1.1.</w:t>
      </w:r>
      <w:r>
        <w:tab/>
      </w:r>
      <w:r>
        <w:rPr>
          <w:sz w:val="24"/>
        </w:rPr>
        <w:t>Struktura</w:t>
      </w:r>
      <w:bookmarkEnd w:id="9"/>
      <w:bookmarkEnd w:id="10"/>
      <w:bookmarkEnd w:id="11"/>
    </w:p>
    <w:p w14:paraId="6C67B776" w14:textId="5BE94C55" w:rsidR="005643EA" w:rsidRPr="00EC067D" w:rsidRDefault="00125707" w:rsidP="00004542">
      <w:pPr>
        <w:pStyle w:val="InstructionsText2"/>
        <w:numPr>
          <w:ilvl w:val="0"/>
          <w:numId w:val="0"/>
        </w:numPr>
        <w:ind w:left="993"/>
      </w:pPr>
      <w:r>
        <w:t>1.</w:t>
      </w:r>
      <w:r>
        <w:tab/>
        <w:t>Niniejsze ramy składają się z jednego wzoru zawierającego informacje na temat wskaźników globalnego znaczenia systemowego oraz poszczególnych pozycji potrzebnych do stosowania unijnej metodyki identyfikacji globalnych instytucji o znaczeniu systemowym (G-</w:t>
      </w:r>
      <w:proofErr w:type="spellStart"/>
      <w:r>
        <w:t>SII</w:t>
      </w:r>
      <w:proofErr w:type="spellEnd"/>
      <w:r>
        <w:t>) oraz przypisywania odpowiednich wskaźników bufora G-</w:t>
      </w:r>
      <w:proofErr w:type="spellStart"/>
      <w:r>
        <w:t>SII</w:t>
      </w:r>
      <w:proofErr w:type="spellEnd"/>
      <w:r>
        <w:t>.</w:t>
      </w:r>
    </w:p>
    <w:p w14:paraId="61F62C51" w14:textId="77777777" w:rsidR="002648B0" w:rsidRPr="00EC067D" w:rsidRDefault="00125707" w:rsidP="00EC067D">
      <w:pPr>
        <w:pStyle w:val="Instructionsberschrift2"/>
        <w:rPr>
          <w:rFonts w:cs="Times New Roman"/>
          <w:sz w:val="24"/>
        </w:rPr>
      </w:pPr>
      <w:bookmarkStart w:id="14" w:name="_Toc360188320"/>
      <w:bookmarkStart w:id="15" w:name="_Toc473560868"/>
      <w:bookmarkStart w:id="16" w:name="_Toc58489069"/>
      <w:r>
        <w:rPr>
          <w:sz w:val="24"/>
        </w:rPr>
        <w:t>1.2.</w:t>
      </w:r>
      <w:r>
        <w:tab/>
      </w:r>
      <w:r>
        <w:rPr>
          <w:sz w:val="24"/>
        </w:rPr>
        <w:t>Konwencja numerowania</w:t>
      </w:r>
      <w:bookmarkEnd w:id="14"/>
      <w:bookmarkEnd w:id="15"/>
      <w:bookmarkEnd w:id="16"/>
    </w:p>
    <w:p w14:paraId="3C0F0268" w14:textId="5212C39C" w:rsidR="002648B0" w:rsidRPr="00EC067D" w:rsidRDefault="006137FD" w:rsidP="00004542">
      <w:pPr>
        <w:pStyle w:val="InstructionsText2"/>
        <w:numPr>
          <w:ilvl w:val="0"/>
          <w:numId w:val="0"/>
        </w:numPr>
        <w:ind w:left="993"/>
      </w:pPr>
      <w:r>
        <w:t>2.</w:t>
      </w:r>
      <w:r>
        <w:tab/>
        <w:t>W przypadku odniesień do kolumn, wierszy i komórek poszczególnych wzorów w dokumencie przestrzega się konwencji oznaczania przedstawionej w pkt 3–5. Przedmiotowe kody numeryczne znajdują szerokie zastosowanie w regułach walidacyjnych.</w:t>
      </w:r>
    </w:p>
    <w:p w14:paraId="26DC2799" w14:textId="2C43513E" w:rsidR="005643EA" w:rsidRPr="00EC067D" w:rsidRDefault="006137FD" w:rsidP="00004542">
      <w:pPr>
        <w:pStyle w:val="InstructionsText2"/>
        <w:numPr>
          <w:ilvl w:val="0"/>
          <w:numId w:val="0"/>
        </w:numPr>
        <w:ind w:left="993"/>
      </w:pPr>
      <w:r>
        <w:t>3.</w:t>
      </w:r>
      <w:r>
        <w:tab/>
        <w:t>W instrukcjach stosowany jest następujący ogólny zapis: {wzór; wiersz; kolumna}.</w:t>
      </w:r>
    </w:p>
    <w:p w14:paraId="6A9F72AA" w14:textId="1B191E59" w:rsidR="005643EA" w:rsidRPr="00EC067D" w:rsidRDefault="006137FD" w:rsidP="00004542">
      <w:pPr>
        <w:pStyle w:val="InstructionsText2"/>
        <w:numPr>
          <w:ilvl w:val="0"/>
          <w:numId w:val="0"/>
        </w:numPr>
        <w:ind w:left="993"/>
      </w:pPr>
      <w:r>
        <w:t>4.</w:t>
      </w:r>
      <w:r>
        <w:tab/>
        <w:t>W przypadku odniesień w obrębie wzoru, w którym wykorzystuje się wyłącznie punkty danych tego wzoru, zapisy nie odwołują się do wzoru: {wiersz; kolumna}. W przypadku wzorów zawierających tylko jedną kolumnę zapis odwołuje się tylko do wierszy: {wzór; wiersz}.</w:t>
      </w:r>
    </w:p>
    <w:p w14:paraId="01FECE3C" w14:textId="482B71E1" w:rsidR="002648B0" w:rsidRPr="00EC067D" w:rsidRDefault="006137FD" w:rsidP="00004542">
      <w:pPr>
        <w:pStyle w:val="InstructionsText2"/>
        <w:numPr>
          <w:ilvl w:val="0"/>
          <w:numId w:val="0"/>
        </w:numPr>
        <w:ind w:left="993"/>
      </w:pPr>
      <w:r>
        <w:t>5.</w:t>
      </w:r>
      <w:r>
        <w:tab/>
        <w:t>Znaku gwiazdki używa się do wskazania, że odniesienie obejmuje wcześniej określone wiersze lub kolumny.</w:t>
      </w:r>
    </w:p>
    <w:p w14:paraId="273A8B8C" w14:textId="6B3DAE3F" w:rsidR="002648B0" w:rsidRPr="00EC067D" w:rsidRDefault="00125707" w:rsidP="00EC067D">
      <w:pPr>
        <w:pStyle w:val="Instructionsberschrift2"/>
        <w:rPr>
          <w:rFonts w:cs="Times New Roman"/>
          <w:sz w:val="24"/>
        </w:rPr>
      </w:pPr>
      <w:bookmarkStart w:id="17" w:name="_Toc360188321"/>
      <w:bookmarkStart w:id="18" w:name="_Toc473560869"/>
      <w:bookmarkStart w:id="19" w:name="_Toc58489070"/>
      <w:r>
        <w:rPr>
          <w:sz w:val="24"/>
        </w:rPr>
        <w:t>1.3.</w:t>
      </w:r>
      <w:r>
        <w:tab/>
      </w:r>
      <w:r>
        <w:rPr>
          <w:sz w:val="24"/>
        </w:rPr>
        <w:t>Konwencja znaku</w:t>
      </w:r>
      <w:bookmarkEnd w:id="12"/>
      <w:bookmarkEnd w:id="13"/>
      <w:bookmarkEnd w:id="17"/>
      <w:bookmarkEnd w:id="18"/>
      <w:bookmarkEnd w:id="19"/>
    </w:p>
    <w:p w14:paraId="0C0832BC" w14:textId="4A4E8717" w:rsidR="002648B0" w:rsidRPr="00EC067D" w:rsidRDefault="006137FD" w:rsidP="00004542">
      <w:pPr>
        <w:pStyle w:val="InstructionsText2"/>
        <w:numPr>
          <w:ilvl w:val="0"/>
          <w:numId w:val="0"/>
        </w:numPr>
        <w:ind w:left="993"/>
      </w:pPr>
      <w:r>
        <w:t>6.</w:t>
      </w:r>
      <w:r>
        <w:tab/>
        <w:t>Każdą kwotę, która zwiększa wartość wskaźnika, aktywów, zobowiązań lub ekspozycji, zgłasza się jako wartość dodatnią. Każdą kwotę, która zmniejsza wartość wskaźnika, aktywów, zobowiązań lub ekspozycji, zgłasza się jako wartość ujemną. Jeżeli przed oznaczeniem pozycji znajduje się znak ujemny (-), dla tej pozycji nie oczekuje się zgłoszenia wartości dodatniej.</w:t>
      </w:r>
    </w:p>
    <w:p w14:paraId="318F1B9B" w14:textId="19EFDD0F" w:rsidR="00304CA5" w:rsidRPr="00EC067D" w:rsidRDefault="00304CA5" w:rsidP="00EC067D">
      <w:pPr>
        <w:pStyle w:val="Instructionsberschrift2"/>
        <w:rPr>
          <w:rFonts w:cs="Times New Roman"/>
          <w:sz w:val="24"/>
        </w:rPr>
      </w:pPr>
      <w:bookmarkStart w:id="20" w:name="_Toc58489071"/>
      <w:r>
        <w:rPr>
          <w:sz w:val="24"/>
        </w:rPr>
        <w:t>1.4.</w:t>
      </w:r>
      <w:r>
        <w:tab/>
      </w:r>
      <w:r>
        <w:rPr>
          <w:sz w:val="24"/>
        </w:rPr>
        <w:t>Skróty</w:t>
      </w:r>
      <w:bookmarkEnd w:id="20"/>
    </w:p>
    <w:p w14:paraId="078AD951" w14:textId="7CC3168D" w:rsidR="00304CA5" w:rsidRPr="00EC067D" w:rsidRDefault="006137FD" w:rsidP="00004542">
      <w:pPr>
        <w:pStyle w:val="InstructionsText2"/>
        <w:numPr>
          <w:ilvl w:val="0"/>
          <w:numId w:val="0"/>
        </w:numPr>
        <w:ind w:left="993"/>
      </w:pPr>
      <w:r>
        <w:t>7. Do celów niniejszego załącznika rozporządzenie Parlamentu Europejskiego i Rady (UE) nr 575/2013</w:t>
      </w:r>
      <w:r>
        <w:rPr>
          <w:rStyle w:val="FootnoteReference"/>
          <w:rFonts w:ascii="Times New Roman" w:hAnsi="Times New Roman"/>
          <w:sz w:val="24"/>
          <w:szCs w:val="24"/>
          <w:vertAlign w:val="superscript"/>
        </w:rPr>
        <w:footnoteReference w:id="2"/>
      </w:r>
      <w:r>
        <w:t xml:space="preserve"> zwane jest „</w:t>
      </w:r>
      <w:proofErr w:type="spellStart"/>
      <w:r>
        <w:t>CRR</w:t>
      </w:r>
      <w:proofErr w:type="spellEnd"/>
      <w:r>
        <w:t>”, a dyrektywa Parlamentu Europejskiego i Rady 2013/36/UE</w:t>
      </w:r>
      <w:r>
        <w:rPr>
          <w:rStyle w:val="FootnoteReference"/>
          <w:rFonts w:ascii="Times New Roman" w:hAnsi="Times New Roman"/>
          <w:sz w:val="24"/>
          <w:szCs w:val="24"/>
          <w:vertAlign w:val="superscript"/>
        </w:rPr>
        <w:footnoteReference w:id="3"/>
      </w:r>
      <w:r>
        <w:t xml:space="preserve"> – „</w:t>
      </w:r>
      <w:proofErr w:type="spellStart"/>
      <w:r>
        <w:t>CRD</w:t>
      </w:r>
      <w:proofErr w:type="spellEnd"/>
      <w:r>
        <w:t>”.</w:t>
      </w:r>
    </w:p>
    <w:p w14:paraId="74BFACB9" w14:textId="77777777" w:rsidR="002648B0" w:rsidRPr="00EC067D" w:rsidRDefault="002648B0" w:rsidP="00004542">
      <w:pPr>
        <w:pStyle w:val="InstructionsText2"/>
        <w:sectPr w:rsidR="002648B0" w:rsidRPr="00EC067D"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039B9D1F" w14:textId="69049F38" w:rsidR="002648B0" w:rsidRPr="00EC067D" w:rsidRDefault="002648B0" w:rsidP="00EC067D">
      <w:pPr>
        <w:pStyle w:val="Heading2"/>
      </w:pPr>
      <w:bookmarkStart w:id="22" w:name="_Toc360188322"/>
      <w:bookmarkStart w:id="23" w:name="_Toc473560870"/>
      <w:bookmarkStart w:id="24" w:name="_Toc58489072"/>
      <w:r>
        <w:lastRenderedPageBreak/>
        <w:t>CZĘŚĆ II INSTRUKCJE DOTYCZĄCE WZORÓW</w:t>
      </w:r>
      <w:bookmarkEnd w:id="22"/>
      <w:bookmarkEnd w:id="23"/>
      <w:bookmarkEnd w:id="24"/>
    </w:p>
    <w:p w14:paraId="5E8C221B" w14:textId="6A60103B" w:rsidR="002648B0" w:rsidRPr="00EC067D" w:rsidRDefault="00125707" w:rsidP="00EC067D">
      <w:pPr>
        <w:pStyle w:val="Instructionsberschrift2"/>
        <w:rPr>
          <w:rFonts w:cs="Times New Roman"/>
          <w:sz w:val="24"/>
        </w:rPr>
      </w:pPr>
      <w:bookmarkStart w:id="25" w:name="_Toc360188323"/>
      <w:bookmarkStart w:id="26" w:name="_Toc473560871"/>
      <w:bookmarkStart w:id="27" w:name="_Toc58489073"/>
      <w:r>
        <w:rPr>
          <w:sz w:val="24"/>
        </w:rPr>
        <w:t>1.</w:t>
      </w:r>
      <w:r>
        <w:tab/>
      </w:r>
      <w:bookmarkStart w:id="28" w:name="_Toc308175819"/>
      <w:bookmarkStart w:id="29" w:name="_Toc360188324"/>
      <w:bookmarkStart w:id="30" w:name="_Toc473560872"/>
      <w:bookmarkEnd w:id="25"/>
      <w:bookmarkEnd w:id="26"/>
      <w:r>
        <w:rPr>
          <w:sz w:val="24"/>
        </w:rPr>
        <w:t>Uwagi ogólne</w:t>
      </w:r>
      <w:bookmarkEnd w:id="28"/>
      <w:bookmarkEnd w:id="29"/>
      <w:bookmarkEnd w:id="30"/>
      <w:bookmarkEnd w:id="27"/>
    </w:p>
    <w:p w14:paraId="410557ED" w14:textId="2C0E81CE" w:rsidR="006137FD" w:rsidRPr="00EC067D" w:rsidRDefault="00004542" w:rsidP="00004542">
      <w:pPr>
        <w:pStyle w:val="InstructionsText2"/>
        <w:numPr>
          <w:ilvl w:val="0"/>
          <w:numId w:val="0"/>
        </w:numPr>
        <w:ind w:left="993"/>
      </w:pPr>
      <w:r>
        <w:t>8.</w:t>
      </w:r>
      <w:r>
        <w:tab/>
        <w:t>Wzór jest podzielony na dwie sekcje. Górna sekcja dotycząca wskaźników G-</w:t>
      </w:r>
      <w:proofErr w:type="spellStart"/>
      <w:r>
        <w:t>SII</w:t>
      </w:r>
      <w:proofErr w:type="spellEnd"/>
      <w:r>
        <w:t xml:space="preserve"> obejmuje wskaźniki służące do identyfikacji globalnych instytucji o znaczeniu systemowym określone w metodyce opracowanej przez Bazylejski Komitet Nadzoru Bankowego. Dolna sekcja zawiera szereg pozycji niezbędnych do obliczenia odpowiednich wskaźników zgodnie z metodyką określoną na podstawie art. 131 ust. 18 </w:t>
      </w:r>
      <w:proofErr w:type="spellStart"/>
      <w:r>
        <w:t>CRD</w:t>
      </w:r>
      <w:proofErr w:type="spellEnd"/>
      <w:r>
        <w:t xml:space="preserve">. </w:t>
      </w:r>
    </w:p>
    <w:p w14:paraId="285BFC5F" w14:textId="50F4BAE2" w:rsidR="005643EA" w:rsidRPr="00EC067D" w:rsidRDefault="00004542" w:rsidP="00004542">
      <w:pPr>
        <w:pStyle w:val="InstructionsText2"/>
        <w:numPr>
          <w:ilvl w:val="0"/>
          <w:numId w:val="0"/>
        </w:numPr>
        <w:ind w:left="993"/>
      </w:pPr>
      <w:r>
        <w:t>9.</w:t>
      </w:r>
      <w:r>
        <w:tab/>
        <w:t>W stosownych przypadkach informacje podane w tym wzorze muszą być spójne z informacjami przekazanymi odpowiednim organom do celów gromadzenia wartości wskaźników przez odpowiednie organy, jak określono w art. 3 ust. 2 rozporządzenia delegowanego Komisji (UE) nr 1222/2014.</w:t>
      </w:r>
    </w:p>
    <w:p w14:paraId="1640AAF5" w14:textId="0F89A136" w:rsidR="002648B0" w:rsidRPr="00EC067D" w:rsidRDefault="00125707" w:rsidP="00EC067D">
      <w:pPr>
        <w:pStyle w:val="Instructionsberschrift2"/>
        <w:rPr>
          <w:rFonts w:cs="Times New Roman"/>
          <w:sz w:val="24"/>
        </w:rPr>
      </w:pPr>
      <w:bookmarkStart w:id="31" w:name="_Toc310414968"/>
      <w:bookmarkStart w:id="32" w:name="_Toc360188326"/>
      <w:bookmarkStart w:id="33" w:name="_Toc473560874"/>
      <w:bookmarkStart w:id="34" w:name="_Toc58489074"/>
      <w:r>
        <w:rPr>
          <w:sz w:val="24"/>
        </w:rPr>
        <w:t>2.</w:t>
      </w:r>
      <w:r>
        <w:tab/>
      </w:r>
      <w:bookmarkStart w:id="35" w:name="_Toc308175821"/>
      <w:r>
        <w:rPr>
          <w:sz w:val="24"/>
        </w:rPr>
        <w:t xml:space="preserve">Instrukcje dotyczące poszczególnych </w:t>
      </w:r>
      <w:bookmarkEnd w:id="35"/>
      <w:bookmarkEnd w:id="31"/>
      <w:r>
        <w:rPr>
          <w:sz w:val="24"/>
        </w:rPr>
        <w:t>pozycji</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C067D" w14:paraId="5D5CC09A" w14:textId="77777777" w:rsidTr="00D731E3">
        <w:tc>
          <w:tcPr>
            <w:tcW w:w="1129" w:type="dxa"/>
            <w:shd w:val="clear" w:color="auto" w:fill="D9D9D9"/>
          </w:tcPr>
          <w:p w14:paraId="5EE5330B"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Wiersz</w:t>
            </w:r>
          </w:p>
        </w:tc>
        <w:tc>
          <w:tcPr>
            <w:tcW w:w="7620" w:type="dxa"/>
            <w:shd w:val="clear" w:color="auto" w:fill="D9D9D9"/>
          </w:tcPr>
          <w:p w14:paraId="19E41094"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Odniesienia prawne i instrukcje</w:t>
            </w:r>
          </w:p>
        </w:tc>
      </w:tr>
      <w:tr w:rsidR="002648B0" w:rsidRPr="00EC067D" w14:paraId="0E5D273A" w14:textId="77777777" w:rsidTr="00D731E3">
        <w:tc>
          <w:tcPr>
            <w:tcW w:w="1129" w:type="dxa"/>
          </w:tcPr>
          <w:p w14:paraId="4A55AEAF" w14:textId="3DC4B1B9" w:rsidR="002648B0" w:rsidRPr="00EC067D" w:rsidRDefault="00004542" w:rsidP="0000454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0120</w:t>
            </w:r>
          </w:p>
        </w:tc>
        <w:tc>
          <w:tcPr>
            <w:tcW w:w="7620" w:type="dxa"/>
          </w:tcPr>
          <w:p w14:paraId="541B4823" w14:textId="0EF9A745" w:rsidR="00D7242F" w:rsidRPr="00EC067D" w:rsidRDefault="00004542" w:rsidP="00004542">
            <w:pPr>
              <w:pStyle w:val="InstructionsText"/>
              <w:rPr>
                <w:rStyle w:val="InstructionsTabelleberschrift"/>
                <w:rFonts w:ascii="Times New Roman" w:hAnsi="Times New Roman"/>
                <w:sz w:val="24"/>
              </w:rPr>
            </w:pPr>
            <w:r>
              <w:rPr>
                <w:rStyle w:val="InstructionsTabelleberschrift"/>
                <w:rFonts w:ascii="Times New Roman" w:hAnsi="Times New Roman"/>
                <w:sz w:val="24"/>
              </w:rPr>
              <w:t>Wskaźniki G-</w:t>
            </w:r>
            <w:proofErr w:type="spellStart"/>
            <w:r>
              <w:rPr>
                <w:rStyle w:val="InstructionsTabelleberschrift"/>
                <w:rFonts w:ascii="Times New Roman" w:hAnsi="Times New Roman"/>
                <w:sz w:val="24"/>
              </w:rPr>
              <w:t>SII</w:t>
            </w:r>
            <w:proofErr w:type="spellEnd"/>
          </w:p>
          <w:p w14:paraId="71B4C248" w14:textId="77777777" w:rsidR="005643EA" w:rsidRPr="00EC067D" w:rsidRDefault="00004542" w:rsidP="00EF0DDB">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Definicja wskaźników jest taka sama jak definicja stosowana do celów ustalania informacji wymienionych w załączniku do rozporządzenia delegowanego Komisji (UE) nr 1222/2014.</w:t>
            </w:r>
          </w:p>
          <w:p w14:paraId="77AC76F2" w14:textId="77777777" w:rsidR="00EF0DDB" w:rsidRPr="00EC067D" w:rsidRDefault="00087903" w:rsidP="00087903">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W przypadku zmian metodyki do celów zgłaszania informacji na koniec pierwszego, drugiego i trzeciego kwartału tego samego roku obrachunkowego stosuje się tę samą metodykę mającą zastosowanie do ustalania wartości wskaźników na koniec roku obrachunkowego.</w:t>
            </w:r>
          </w:p>
          <w:p w14:paraId="09DD6AF6" w14:textId="46653849" w:rsidR="00805C7A" w:rsidRPr="00EC067D" w:rsidRDefault="00805C7A" w:rsidP="00087903">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Wskaźniki będące miarami przepływu zgłasza się narastająco od początku roku kalendarzowego lub obrachunkowego, stosownie do przypadku.</w:t>
            </w:r>
          </w:p>
        </w:tc>
      </w:tr>
      <w:tr w:rsidR="000359E7" w:rsidRPr="00EC067D" w14:paraId="3C8BC05D" w14:textId="77777777" w:rsidTr="00D731E3">
        <w:tc>
          <w:tcPr>
            <w:tcW w:w="1129" w:type="dxa"/>
          </w:tcPr>
          <w:p w14:paraId="2DB15F09" w14:textId="10FDDDE8"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089D7C13"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Należności transgraniczne</w:t>
            </w:r>
          </w:p>
        </w:tc>
      </w:tr>
      <w:tr w:rsidR="000359E7" w:rsidRPr="00EC067D" w14:paraId="6D4F9F35" w14:textId="77777777" w:rsidTr="00D731E3">
        <w:tc>
          <w:tcPr>
            <w:tcW w:w="1129" w:type="dxa"/>
          </w:tcPr>
          <w:p w14:paraId="744137FA" w14:textId="7636C4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1CAD947C"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Zobowiązania transgraniczne</w:t>
            </w:r>
          </w:p>
        </w:tc>
      </w:tr>
      <w:tr w:rsidR="000359E7" w:rsidRPr="00EC067D" w14:paraId="6DDE62D2" w14:textId="77777777" w:rsidTr="00D731E3">
        <w:tc>
          <w:tcPr>
            <w:tcW w:w="1129" w:type="dxa"/>
          </w:tcPr>
          <w:p w14:paraId="119F2029" w14:textId="2E0C1E7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4A27EE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Ekspozycje całkowite (wskaźnik dźwigni)</w:t>
            </w:r>
          </w:p>
        </w:tc>
      </w:tr>
      <w:tr w:rsidR="000359E7" w:rsidRPr="00EC067D" w14:paraId="1E32E0D4" w14:textId="77777777" w:rsidTr="00D731E3">
        <w:tc>
          <w:tcPr>
            <w:tcW w:w="1129" w:type="dxa"/>
          </w:tcPr>
          <w:p w14:paraId="62806938" w14:textId="21F9528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6F16137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Aktywa w obrębie systemu finansowego</w:t>
            </w:r>
          </w:p>
        </w:tc>
      </w:tr>
      <w:tr w:rsidR="000359E7" w:rsidRPr="00EC067D" w14:paraId="168CAFD1" w14:textId="77777777" w:rsidTr="00D731E3">
        <w:tc>
          <w:tcPr>
            <w:tcW w:w="1129" w:type="dxa"/>
          </w:tcPr>
          <w:p w14:paraId="20E7E202" w14:textId="74E018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3CF53B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Zobowiązania w obrębie systemu finansowego</w:t>
            </w:r>
          </w:p>
        </w:tc>
      </w:tr>
      <w:tr w:rsidR="000359E7" w:rsidRPr="00EC067D" w14:paraId="7D83D84B" w14:textId="77777777" w:rsidTr="00D731E3">
        <w:tc>
          <w:tcPr>
            <w:tcW w:w="1129" w:type="dxa"/>
          </w:tcPr>
          <w:p w14:paraId="2E41976E" w14:textId="5407931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2708FDC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Papiery wartościowe znajdujące się w obrocie</w:t>
            </w:r>
          </w:p>
        </w:tc>
      </w:tr>
      <w:tr w:rsidR="000359E7" w:rsidRPr="00EC067D" w14:paraId="40C175C7" w14:textId="77777777" w:rsidTr="00D731E3">
        <w:tc>
          <w:tcPr>
            <w:tcW w:w="1129" w:type="dxa"/>
          </w:tcPr>
          <w:p w14:paraId="05CF3D3D" w14:textId="4A19EAF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0CE7909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Przechowywane aktywa</w:t>
            </w:r>
          </w:p>
        </w:tc>
      </w:tr>
      <w:tr w:rsidR="000359E7" w:rsidRPr="00EC067D" w14:paraId="3D94B46C" w14:textId="77777777" w:rsidTr="00D731E3">
        <w:tc>
          <w:tcPr>
            <w:tcW w:w="1129" w:type="dxa"/>
          </w:tcPr>
          <w:p w14:paraId="73F13C12" w14:textId="5F573BA0"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2518A593" w14:textId="6F08F20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Działalność płatnicza</w:t>
            </w:r>
          </w:p>
        </w:tc>
      </w:tr>
      <w:tr w:rsidR="000359E7" w:rsidRPr="00EC067D" w14:paraId="77AC2598" w14:textId="77777777" w:rsidTr="00D731E3">
        <w:tc>
          <w:tcPr>
            <w:tcW w:w="1129" w:type="dxa"/>
          </w:tcPr>
          <w:p w14:paraId="2EA7B719" w14:textId="61AD4AA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501507B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Transakcje subemisji na rynkach papierów dłużnych i akcji</w:t>
            </w:r>
          </w:p>
        </w:tc>
      </w:tr>
      <w:tr w:rsidR="000359E7" w:rsidRPr="00EC067D" w14:paraId="68CA6CE8" w14:textId="77777777" w:rsidTr="00D731E3">
        <w:tc>
          <w:tcPr>
            <w:tcW w:w="1129" w:type="dxa"/>
          </w:tcPr>
          <w:p w14:paraId="6BF1E474" w14:textId="0CCD0D8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1E740B39"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Wolumen obrotu</w:t>
            </w:r>
          </w:p>
        </w:tc>
      </w:tr>
      <w:tr w:rsidR="000359E7" w:rsidRPr="00EC067D" w14:paraId="43F77E74" w14:textId="77777777" w:rsidTr="00D731E3">
        <w:tc>
          <w:tcPr>
            <w:tcW w:w="1129" w:type="dxa"/>
          </w:tcPr>
          <w:p w14:paraId="222B2025" w14:textId="318C8EA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4C122C0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Kwota referencyjna instrumentów pochodnych będących przedmiotem obrotu poza rynkiem regulowanym</w:t>
            </w:r>
          </w:p>
        </w:tc>
      </w:tr>
      <w:tr w:rsidR="000359E7" w:rsidRPr="00EC067D" w14:paraId="20E3E2F0" w14:textId="77777777" w:rsidTr="00D731E3">
        <w:tc>
          <w:tcPr>
            <w:tcW w:w="1129" w:type="dxa"/>
          </w:tcPr>
          <w:p w14:paraId="4C62BBAD" w14:textId="784915EC"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53BB706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Aktywa klasyfikowane na poziomie 3</w:t>
            </w:r>
          </w:p>
        </w:tc>
      </w:tr>
      <w:tr w:rsidR="000359E7" w:rsidRPr="00EC067D" w14:paraId="00DCCD96" w14:textId="77777777" w:rsidTr="00D731E3">
        <w:tc>
          <w:tcPr>
            <w:tcW w:w="1129" w:type="dxa"/>
          </w:tcPr>
          <w:p w14:paraId="6185C376" w14:textId="0A67EB11"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0130</w:t>
            </w:r>
          </w:p>
        </w:tc>
        <w:tc>
          <w:tcPr>
            <w:tcW w:w="7620" w:type="dxa"/>
          </w:tcPr>
          <w:p w14:paraId="1AC7DFAE" w14:textId="387365F4" w:rsidR="000359E7" w:rsidRPr="00EC067D" w:rsidRDefault="009964E1"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Papiery wartościowe przeznaczone do obrotu i dostępne do sprzedaży</w:t>
            </w:r>
          </w:p>
        </w:tc>
      </w:tr>
      <w:tr w:rsidR="000359E7" w:rsidRPr="00EC067D" w14:paraId="1692F927" w14:textId="77777777" w:rsidTr="00D731E3">
        <w:tc>
          <w:tcPr>
            <w:tcW w:w="1129" w:type="dxa"/>
          </w:tcPr>
          <w:p w14:paraId="0B33EE2F" w14:textId="32A65C1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0170</w:t>
            </w:r>
          </w:p>
        </w:tc>
        <w:tc>
          <w:tcPr>
            <w:tcW w:w="7620" w:type="dxa"/>
          </w:tcPr>
          <w:p w14:paraId="37D5CB7B" w14:textId="785C02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Pozycje, w ramach których europejską unię bankową uznaje się za jedną jurysdykcję</w:t>
            </w:r>
          </w:p>
          <w:p w14:paraId="5DB1FD22" w14:textId="50C1AAEF" w:rsidR="000359E7" w:rsidRPr="00EC067D" w:rsidRDefault="000359E7" w:rsidP="000359E7">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Do celów ustalania pozycji określonych poniżej oraz w przypadku braku specyfikacji w poniższych instrukcjach stosowane definicje i pojęcia muszą być w możliwie największym stopniu dostosowane do definicji i pojęć zdefiniowanych w wytycznych dotyczących sprawozdawczości w ramach międzynarodowej statystyki bankowej BIS.</w:t>
            </w:r>
          </w:p>
          <w:p w14:paraId="624545C8" w14:textId="30C77E46" w:rsidR="000359E7" w:rsidRPr="00EC067D" w:rsidRDefault="000359E7" w:rsidP="000359E7">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Na zasadzie odstępstwa od powyższego wyłącza się działania podmiotów sprawozdawczych w uczestniczących państwach członkowskich, o których mowa w art. 4 rozporządzenia Parlamentu Europejskiego i Rady (UE) nr 806/2014</w:t>
            </w:r>
            <w:r>
              <w:rPr>
                <w:rStyle w:val="FootnoteReference"/>
                <w:rFonts w:ascii="Times New Roman" w:hAnsi="Times New Roman"/>
                <w:bCs/>
                <w:sz w:val="24"/>
                <w:szCs w:val="24"/>
              </w:rPr>
              <w:footnoteReference w:id="4"/>
            </w:r>
            <w:r>
              <w:rPr>
                <w:rStyle w:val="FormatvorlageInstructionsTabelleText"/>
                <w:rFonts w:ascii="Times New Roman" w:hAnsi="Times New Roman"/>
                <w:sz w:val="24"/>
              </w:rPr>
              <w:t>, tj. uczestniczące państwa członkowskie uznaje się za jedną jurysdykcję.</w:t>
            </w:r>
          </w:p>
        </w:tc>
      </w:tr>
      <w:tr w:rsidR="000359E7" w:rsidRPr="00EC067D" w14:paraId="61796B97" w14:textId="77777777" w:rsidTr="00D731E3">
        <w:tc>
          <w:tcPr>
            <w:tcW w:w="1129" w:type="dxa"/>
          </w:tcPr>
          <w:p w14:paraId="03539F89" w14:textId="7044090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Łączne należności zagraniczne na podstawie ostatecznego ryzyka</w:t>
            </w:r>
          </w:p>
          <w:p w14:paraId="3ECF379D" w14:textId="77D3E07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Łączne należności zagraniczne stanowią sumę należności transgranicznych </w:t>
            </w:r>
            <w:proofErr w:type="gramStart"/>
            <w:r>
              <w:rPr>
                <w:rStyle w:val="FormatvorlageInstructionsTabelleText"/>
                <w:rFonts w:ascii="Times New Roman" w:hAnsi="Times New Roman"/>
                <w:sz w:val="24"/>
              </w:rPr>
              <w:t>i  lokalnych</w:t>
            </w:r>
            <w:proofErr w:type="gramEnd"/>
            <w:r>
              <w:rPr>
                <w:rStyle w:val="FormatvorlageInstructionsTabelleText"/>
                <w:rFonts w:ascii="Times New Roman" w:hAnsi="Times New Roman"/>
                <w:sz w:val="24"/>
              </w:rPr>
              <w:t xml:space="preserve"> należności zagranicznych podmiotów zależnych w walucie lokalnej lub obcej. Wyłącza się należności z tytułu pozycji w kontraktach na instrumenty pochodne. „Należności”, „należności transgraniczne”, „lokalne należności zagranicznych podmiotów zależnych w walucie lokalnej lub obcej” mają takie samo znaczenie jak w wytycznych dotyczących sprawozdawczości w ramach międzynarodowej statystyki bankowej BIS. </w:t>
            </w:r>
          </w:p>
          <w:p w14:paraId="3A1C0F08" w14:textId="52022B5A"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podstawie ostatecznego ryzyka” oznacza, że do celów ustalenia, czy dana należność jest należnością transgraniczną czy lokalną, pozycję tę przypisuje się stronie trzeciej (jeżeli taka istnieje), która zobowiązała się do przejęcia długów lub zobowiązań głównego kontrahenta, jeżeli nie wykona on swoich zobowiązań. Tego przypisania dokonuje się zgodnie z przepisami dotyczącymi przenoszenia ryzyka zawartymi w wytycznych dotyczących sprawozdawczości w ramach międzynarodowej statystyki bankowej BIS.</w:t>
            </w:r>
          </w:p>
        </w:tc>
      </w:tr>
      <w:tr w:rsidR="000359E7" w:rsidRPr="00EC067D" w14:paraId="66BA7DC6" w14:textId="77777777" w:rsidTr="00D731E3">
        <w:tc>
          <w:tcPr>
            <w:tcW w:w="1129" w:type="dxa"/>
          </w:tcPr>
          <w:p w14:paraId="310D6463" w14:textId="2622CA9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Należności z tytułu zagranicznych instrumentów pochodnych na podstawie ostatecznego ryzyka</w:t>
            </w:r>
          </w:p>
          <w:p w14:paraId="0B6542C2" w14:textId="19ABBE5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Dodatnia wartość godziwa wszystkich należności z tytułu instrumentów pochodnych będących należnościami transgranicznymi lub lokalnymi należnościami zagranicznych podmiotów zależnych w walucie lokalnej lub obcej. </w:t>
            </w:r>
          </w:p>
          <w:p w14:paraId="3184A088"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Instrumenty pochodne obejmują kontrakty terminowe typu </w:t>
            </w:r>
            <w:proofErr w:type="spellStart"/>
            <w:r>
              <w:rPr>
                <w:rStyle w:val="FormatvorlageInstructionsTabelleText"/>
                <w:rFonts w:ascii="Times New Roman" w:hAnsi="Times New Roman"/>
                <w:sz w:val="24"/>
              </w:rPr>
              <w:t>forward</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swapy</w:t>
            </w:r>
            <w:proofErr w:type="spellEnd"/>
            <w:r>
              <w:rPr>
                <w:rStyle w:val="FormatvorlageInstructionsTabelleText"/>
                <w:rFonts w:ascii="Times New Roman" w:hAnsi="Times New Roman"/>
                <w:sz w:val="24"/>
              </w:rPr>
              <w:t xml:space="preserve"> i opcje związane z walutami, stopami procentowymi, akcjami, towarami i instrumentami kredytowymi. Znajdują się wśród nich także nabyte kredytowe instrumenty pochodne, które zabezpieczają lub kompensują ochronę kredytową sprzedaną lub są przeznaczone do obrotu.</w:t>
            </w:r>
          </w:p>
          <w:p w14:paraId="1C0B5693" w14:textId="134EDA3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W przypadku takich nabytych kredytowych instrumentów pochodnych ich wartość nie może być ograniczona do wartości bezpośredniej należności, którą instrumenty te mają gwarantować. </w:t>
            </w:r>
          </w:p>
          <w:p w14:paraId="1BF6CB23"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Dodatnie wartości godziwe kontraktów na instrumenty pochodne mogą być kompensowane ujemnymi wartościami godziwymi tylko wtedy, gdy pozycje zostały zawarte z tym samym kontrahentem na mocy prawnie egzekwowalnej umowy o kompensowaniu zobowiązań. Niniejsza pozycja obejmuje wyłącznie pakiety kompensowania o wartości dodatniej. </w:t>
            </w:r>
          </w:p>
          <w:p w14:paraId="1D1D95FC" w14:textId="16E54AF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Należności z tytułu instrumentów pochodnych zgłasza się przed odliczeniem wszelkich zabezpieczeń gotówkowych. </w:t>
            </w:r>
          </w:p>
          <w:p w14:paraId="57A0BD55"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 celów zgłaszania informacji na podstawie ostatecznego ryzyka stosuje się następujące zasady:</w:t>
            </w:r>
          </w:p>
          <w:p w14:paraId="11BDA188" w14:textId="218D72C7" w:rsidR="000359E7" w:rsidRPr="00EC067D" w:rsidRDefault="000359E7" w:rsidP="000359E7">
            <w:pPr>
              <w:pStyle w:val="InstructionsText"/>
              <w:numPr>
                <w:ilvl w:val="0"/>
                <w:numId w:val="20"/>
              </w:numPr>
              <w:rPr>
                <w:rStyle w:val="FormatvorlageInstructionsTabelleText"/>
                <w:rFonts w:ascii="Times New Roman" w:hAnsi="Times New Roman"/>
                <w:sz w:val="24"/>
              </w:rPr>
            </w:pPr>
            <w:proofErr w:type="gramStart"/>
            <w:r>
              <w:rPr>
                <w:rStyle w:val="FormatvorlageInstructionsTabelleText"/>
                <w:rFonts w:ascii="Times New Roman" w:hAnsi="Times New Roman"/>
                <w:sz w:val="24"/>
              </w:rPr>
              <w:t>jeżeli</w:t>
            </w:r>
            <w:proofErr w:type="gramEnd"/>
            <w:r>
              <w:rPr>
                <w:rStyle w:val="FormatvorlageInstructionsTabelleText"/>
                <w:rFonts w:ascii="Times New Roman" w:hAnsi="Times New Roman"/>
                <w:sz w:val="24"/>
              </w:rPr>
              <w:t xml:space="preserve"> ostateczne ryzyko leży po stronie kontrahenta, instrument pochodny uznaje się za zagraniczny, jeżeli kontrahent nie ma siedziby w państwie, w którym ma siedzibę jednostka sprawozdawcza; </w:t>
            </w:r>
          </w:p>
          <w:p w14:paraId="4EE29D54" w14:textId="079BBA53" w:rsidR="000359E7" w:rsidRPr="00EC067D" w:rsidRDefault="000359E7" w:rsidP="000359E7">
            <w:pPr>
              <w:pStyle w:val="InstructionsText"/>
              <w:numPr>
                <w:ilvl w:val="0"/>
                <w:numId w:val="20"/>
              </w:numPr>
              <w:rPr>
                <w:rStyle w:val="FormatvorlageInstructionsTabelleText"/>
                <w:rFonts w:ascii="Times New Roman" w:hAnsi="Times New Roman"/>
                <w:sz w:val="24"/>
              </w:rPr>
            </w:pPr>
            <w:proofErr w:type="gramStart"/>
            <w:r>
              <w:rPr>
                <w:rStyle w:val="FormatvorlageInstructionsTabelleText"/>
                <w:rFonts w:ascii="Times New Roman" w:hAnsi="Times New Roman"/>
                <w:sz w:val="24"/>
              </w:rPr>
              <w:t>jeżeli</w:t>
            </w:r>
            <w:proofErr w:type="gramEnd"/>
            <w:r>
              <w:rPr>
                <w:rStyle w:val="FormatvorlageInstructionsTabelleText"/>
                <w:rFonts w:ascii="Times New Roman" w:hAnsi="Times New Roman"/>
                <w:sz w:val="24"/>
              </w:rPr>
              <w:t xml:space="preserve"> ostateczne ryzyko leży po stronie gwaranta, instrument pochodny uznaje się za zagraniczny, jeżeli gwarant nie ma siedziby w państwie, w którym ma siedzibę jednostka sprawozdawcza.</w:t>
            </w:r>
          </w:p>
        </w:tc>
      </w:tr>
      <w:tr w:rsidR="000359E7" w:rsidRPr="00EC067D" w14:paraId="24B21B52" w14:textId="77777777" w:rsidTr="00D731E3">
        <w:tc>
          <w:tcPr>
            <w:tcW w:w="1129" w:type="dxa"/>
          </w:tcPr>
          <w:p w14:paraId="1B78021A" w14:textId="7536B14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4AFA7D61"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Zobowiązania zagraniczne na podstawie bezpośredniego ryzyka, w tym instrumenty pochodne</w:t>
            </w:r>
          </w:p>
          <w:p w14:paraId="2232ACAE" w14:textId="70B62A74"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Zobowiązania zagraniczne, w tym instrumenty pochodne, stanowią sumę zobowiązań zagranicznych i zobowiązań zagranicznych z tytułu instrumentów pochodnych. Z niniejszej pozycji wyłączone są zobowiązania z tytułu papierów wartościowych będące zbywalnymi aktywami finansowymi wyemitowanymi przez instytucję sprawozdającą.</w:t>
            </w:r>
          </w:p>
          <w:p w14:paraId="253FB5E8" w14:textId="0968641F"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Definicja instrumentów pochodnych jest taka sama jak w przypadku wiersza 0140.</w:t>
            </w:r>
          </w:p>
          <w:p w14:paraId="3AF86A8E" w14:textId="7C54EB9B"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Ujemne wartości godziwe kontraktów na instrumenty pochodne mogą być kompensowane dodatnimi wartościa</w:t>
            </w:r>
            <w:bookmarkStart w:id="36" w:name="_GoBack"/>
            <w:bookmarkEnd w:id="36"/>
            <w:r>
              <w:rPr>
                <w:rStyle w:val="FormatvorlageInstructionsTabelleText"/>
                <w:rFonts w:ascii="Times New Roman" w:hAnsi="Times New Roman"/>
                <w:sz w:val="24"/>
              </w:rPr>
              <w:t xml:space="preserve">mi godziwymi tylko wtedy, gdy pozycje zostały wykonane/zawarte z tym samym kontrahentem na mocy prawnie egzekwowalnej umowy o kompensowaniu zobowiązań. Zobowiązania z tytułu instrumentów pochodnych zgłasza się przed odliczeniem wszelkich zabezpieczeń (gotówkowych i niegotówkowych). </w:t>
            </w:r>
          </w:p>
          <w:p w14:paraId="2F888DBB" w14:textId="1705453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„Na podstawie bezpośredniego ryzyka” oznacza, że do celów ustalenia, czy należność jest należnością transgraniczną czy lokalną, pozycję przypisuje się bezpośredniemu kontrahentowi będącemu stroną kontraktu. </w:t>
            </w:r>
          </w:p>
        </w:tc>
      </w:tr>
      <w:tr w:rsidR="000359E7" w:rsidRPr="00EC067D" w14:paraId="5A972F21" w14:textId="77777777" w:rsidTr="00D731E3">
        <w:tc>
          <w:tcPr>
            <w:tcW w:w="1129" w:type="dxa"/>
          </w:tcPr>
          <w:p w14:paraId="5FCEF134" w14:textId="5E849A8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E471746" w14:textId="77777777" w:rsidR="000359E7" w:rsidRPr="00EC067D" w:rsidRDefault="000359E7" w:rsidP="000359E7">
            <w:pPr>
              <w:pStyle w:val="InstructionsText"/>
              <w:rPr>
                <w:rStyle w:val="InstructionsTabelleberschrift"/>
                <w:rFonts w:ascii="Times New Roman" w:hAnsi="Times New Roman"/>
                <w:sz w:val="24"/>
              </w:rPr>
            </w:pPr>
            <w:proofErr w:type="gramStart"/>
            <w:r>
              <w:rPr>
                <w:rStyle w:val="InstructionsTabelleberschrift"/>
                <w:rFonts w:ascii="Times New Roman" w:hAnsi="Times New Roman"/>
                <w:sz w:val="24"/>
              </w:rPr>
              <w:t>w</w:t>
            </w:r>
            <w:proofErr w:type="gramEnd"/>
            <w:r>
              <w:rPr>
                <w:rStyle w:val="InstructionsTabelleberschrift"/>
                <w:rFonts w:ascii="Times New Roman" w:hAnsi="Times New Roman"/>
                <w:sz w:val="24"/>
              </w:rPr>
              <w:t xml:space="preserve"> tym: zobowiązania z tytułu zagranicznych instrumentów pochodnych na podstawie bezpośredniego ryzyka</w:t>
            </w:r>
          </w:p>
          <w:p w14:paraId="2ACECCE5" w14:textId="202A351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Podzbiór wiersza 0160 – zobowiązania z tytułu instrumentów pochodnych</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5D9042BF" w:rsidR="005E1B10" w:rsidRPr="00ED1956" w:rsidRDefault="005E1B10">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FC52A4">
      <w:rPr>
        <w:rFonts w:ascii="Times New Roman" w:hAnsi="Times New Roman"/>
        <w:noProof/>
        <w:sz w:val="22"/>
        <w:szCs w:val="22"/>
      </w:rPr>
      <w:t>2</w:t>
    </w:r>
    <w:r>
      <w:rPr>
        <w:rFonts w:ascii="Times New Roman" w:hAnsi="Times New Roman"/>
        <w:sz w:val="22"/>
        <w:szCs w:val="22"/>
      </w:rPr>
      <w:fldChar w:fldCharType="end"/>
    </w:r>
  </w:p>
  <w:p w14:paraId="14BC9F62"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38C47617" w:rsidR="005E1B10" w:rsidRPr="00E85358" w:rsidRDefault="005E1B10">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FC52A4">
      <w:rPr>
        <w:noProof/>
        <w:sz w:val="22"/>
        <w:szCs w:val="22"/>
      </w:rPr>
      <w:t>1</w:t>
    </w:r>
    <w:r>
      <w:rPr>
        <w:sz w:val="22"/>
        <w:szCs w:val="22"/>
      </w:rPr>
      <w:fldChar w:fldCharType="end"/>
    </w:r>
  </w:p>
  <w:p w14:paraId="4E07410F"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381A715D" w:rsidR="005E1B10" w:rsidRPr="00ED1956" w:rsidRDefault="005E1B10">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FC52A4">
      <w:rPr>
        <w:rFonts w:ascii="Times New Roman" w:hAnsi="Times New Roman"/>
        <w:noProof/>
        <w:sz w:val="20"/>
        <w:szCs w:val="20"/>
      </w:rPr>
      <w:t>5</w:t>
    </w:r>
    <w:r>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0A122620"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Fonts w:ascii="Times New Roman" w:hAnsi="Times New Roman"/>
          <w:color w:val="444444"/>
          <w:sz w:val="20"/>
          <w:szCs w:val="20"/>
        </w:rPr>
        <w:t>Rozporządzenie Parlamentu Europejskiego i Rady (UE) nr 575/2013 z dnia 26 czerwca 2013 r. w sprawie wymogów ostrożnościowych dla instytucji kredytowych i firm inwestycyjnych, zmieniające rozporządzenie (UE) nr 648/2012 (</w:t>
      </w:r>
      <w:r>
        <w:rPr>
          <w:rFonts w:ascii="Times New Roman" w:hAnsi="Times New Roman"/>
          <w:iCs/>
          <w:color w:val="444444"/>
          <w:sz w:val="20"/>
          <w:szCs w:val="20"/>
        </w:rPr>
        <w:t xml:space="preserve">Dz.U. L 176 z 27.6.2013, </w:t>
      </w:r>
      <w:proofErr w:type="gramStart"/>
      <w:r>
        <w:rPr>
          <w:rFonts w:ascii="Times New Roman" w:hAnsi="Times New Roman"/>
          <w:iCs/>
          <w:color w:val="444444"/>
          <w:sz w:val="20"/>
          <w:szCs w:val="20"/>
        </w:rPr>
        <w:t>s</w:t>
      </w:r>
      <w:proofErr w:type="gramEnd"/>
      <w:r>
        <w:rPr>
          <w:rFonts w:ascii="Times New Roman" w:hAnsi="Times New Roman"/>
          <w:iCs/>
          <w:color w:val="444444"/>
          <w:sz w:val="20"/>
          <w:szCs w:val="20"/>
        </w:rPr>
        <w:t>. 1).</w:t>
      </w:r>
    </w:p>
  </w:footnote>
  <w:footnote w:id="3">
    <w:p w14:paraId="754D5245"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szCs w:val="20"/>
        </w:rPr>
        <w:t xml:space="preserve">Dyrektywa Parlamentu Europejskiego i Rady 2013/36/UE z dnia 26 czerwca 2013 r. w sprawie warunków dopuszczenia instytucji kredytowych do działalności oraz nadzoru ostrożnościowego nad instytucjami kredytowymi i firmami inwestycyjnymi, zmieniająca dyrektywę 2002/87/WE i uchylająca dyrektywy 2006/48/WE oraz 2006/49/WE (Dz.U. L 176 z 27.6.2013, </w:t>
      </w:r>
      <w:proofErr w:type="gramStart"/>
      <w:r>
        <w:rPr>
          <w:rFonts w:ascii="Times New Roman" w:hAnsi="Times New Roman"/>
          <w:color w:val="444444"/>
          <w:sz w:val="20"/>
          <w:szCs w:val="20"/>
        </w:rPr>
        <w:t>s</w:t>
      </w:r>
      <w:proofErr w:type="gramEnd"/>
      <w:r>
        <w:rPr>
          <w:rFonts w:ascii="Times New Roman" w:hAnsi="Times New Roman"/>
          <w:color w:val="444444"/>
          <w:sz w:val="20"/>
          <w:szCs w:val="20"/>
        </w:rPr>
        <w:t>. 338).</w:t>
      </w:r>
    </w:p>
  </w:footnote>
  <w:footnote w:id="4">
    <w:p w14:paraId="7E81C75F" w14:textId="7AFAACB8" w:rsidR="000359E7" w:rsidRPr="00EF0DDB" w:rsidRDefault="000359E7">
      <w:pPr>
        <w:pStyle w:val="FootnoteText"/>
      </w:pPr>
      <w:r>
        <w:rPr>
          <w:rStyle w:val="FootnoteReference"/>
        </w:rPr>
        <w:footnoteRef/>
      </w:r>
      <w:r>
        <w:t xml:space="preserve"> Rozporządzenie Parlamentu Europejskiego i Rady (UE) nr 806/2014 z dnia 15 lipca 2014 r. ustanawiające jednolite zasady i jednolitą procedurę restrukturyzacji i uporządkowanej likwidacji instytucji kredytowych i niektórych firm inwestycyjnych w ramach jednolitego mechanizmu restrukturyzacji i uporządkowanej likwidacji oraz jednolitego funduszu restrukturyzacji i uporządkowanej likwidacji oraz zmieniające rozporządzenie (UE) nr 1093/2010 (Dz.U. L 225 z 30.7.2014, </w:t>
      </w:r>
      <w:proofErr w:type="gramStart"/>
      <w:r>
        <w:t>s</w:t>
      </w:r>
      <w:proofErr w:type="gramEnd"/>
      <w:r>
        <w:t>.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716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6E4"/>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2A4"/>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pl-PL"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pl-PL"/>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pl-P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l-P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l-P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l-P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l-P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l-P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l-P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l-P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l-P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l-P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3830D5-A069-40A0-9658-FE1709B51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1139</Words>
  <Characters>8363</Characters>
  <Application>Microsoft Office Word</Application>
  <DocSecurity>0</DocSecurity>
  <Lines>199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9393</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PIASKOWY Dariusz (DGT)</cp:lastModifiedBy>
  <cp:revision>5</cp:revision>
  <dcterms:created xsi:type="dcterms:W3CDTF">2020-12-02T17:25:00Z</dcterms:created>
  <dcterms:modified xsi:type="dcterms:W3CDTF">2020-12-11T15:24:00Z</dcterms:modified>
</cp:coreProperties>
</file>