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Príloha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Pravidlá validácie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Údajové položky stanovené v prílohách k tomuto nariadeniu musia podliehať pravidlám validácie, aby sa zabezpečila kvalita a konzistentnosť údajov.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Pravidlá validácie musia spĺňať tieto kritériá: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musia v nich byť vymedzené logické vzťahy medzi príslušnými údajovými bodmi;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musia obsahovať filtre a predpoklady, na základe ktorých je definovaný súbor údajov, na ktorý sa pravidlo validácie vzťahuje;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musí sa nimi kontrolovať konzistentnosť vykazovaných údajov;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musí sa nimi kontrolovať </w:t>
      </w:r>
      <w:r>
        <w:rPr>
          <w:sz w:val="24"/>
          <w:szCs w:val="24"/>
          <w:rFonts w:ascii="Times New Roman" w:hAnsi="Times New Roman"/>
        </w:rPr>
        <w:t xml:space="preserve">správnosť</w:t>
      </w:r>
      <w:r>
        <w:rPr>
          <w:sz w:val="24"/>
          <w:szCs w:val="24"/>
          <w:rFonts w:ascii="Times New Roman" w:hAnsi="Times New Roman"/>
        </w:rPr>
        <w:t xml:space="preserve"> vykazovaných údajov;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musia v nich byť stanovené prednastavené hodnoty, ktoré sa použijú vtedy, keď príslušné informácie neboli vykázané.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