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PRILOGA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NAVODILA ZA POROČANJE O STABILNEM FINANCIRANJU</w:t>
      </w:r>
    </w:p>
    <w:p w14:paraId="7DDB4E33" w14:textId="77777777" w:rsidR="00B46B08" w:rsidRPr="00A0098D" w:rsidRDefault="00B46B08" w:rsidP="00A0098D">
      <w:pPr>
        <w:spacing w:after="240"/>
        <w:jc w:val="both"/>
        <w:rPr>
          <w:rFonts w:ascii="Times New Roman" w:hAnsi="Times New Roman"/>
          <w:sz w:val="24"/>
          <w:szCs w:val="24"/>
          <w:lang w:val="en-US"/>
        </w:rPr>
      </w:pPr>
    </w:p>
    <w:p w14:paraId="78DDF808" w14:textId="72A5A3CA" w:rsidR="00E25EA5" w:rsidRPr="00E25EA5" w:rsidRDefault="00391EF9" w:rsidP="00E25EA5">
      <w:pPr>
        <w:pStyle w:val="TOC1"/>
        <w:spacing w:after="240"/>
        <w:ind w:right="2835"/>
        <w:jc w:val="both"/>
        <w:rPr>
          <w:rFonts w:ascii="Times New Roman" w:eastAsiaTheme="minorEastAsia" w:hAnsi="Times New Roman"/>
          <w:color w:val="auto"/>
          <w:sz w:val="24"/>
          <w:szCs w:val="24"/>
          <w:lang w:eastAsia="sl-SI"/>
        </w:rPr>
      </w:pPr>
      <w:r w:rsidRPr="00E25EA5">
        <w:rPr>
          <w:rFonts w:ascii="Times New Roman" w:hAnsi="Times New Roman"/>
          <w:b/>
          <w:sz w:val="24"/>
          <w:szCs w:val="24"/>
        </w:rPr>
        <w:fldChar w:fldCharType="begin"/>
      </w:r>
      <w:r w:rsidRPr="00E25EA5">
        <w:rPr>
          <w:rFonts w:ascii="Times New Roman" w:hAnsi="Times New Roman"/>
          <w:b/>
          <w:sz w:val="24"/>
          <w:szCs w:val="24"/>
        </w:rPr>
        <w:instrText xml:space="preserve"> TOC \o "1-3" \h \z \u </w:instrText>
      </w:r>
      <w:r w:rsidRPr="00E25EA5">
        <w:rPr>
          <w:rFonts w:ascii="Times New Roman" w:hAnsi="Times New Roman"/>
          <w:b/>
          <w:sz w:val="24"/>
          <w:szCs w:val="24"/>
        </w:rPr>
        <w:fldChar w:fldCharType="separate"/>
      </w:r>
      <w:hyperlink w:anchor="_Toc58583223" w:history="1">
        <w:r w:rsidR="00E25EA5" w:rsidRPr="00E25EA5">
          <w:rPr>
            <w:rStyle w:val="Hyperlink"/>
            <w:rFonts w:ascii="Times New Roman" w:hAnsi="Times New Roman"/>
            <w:b/>
            <w:sz w:val="24"/>
            <w:szCs w:val="24"/>
          </w:rPr>
          <w:t>DEL I: SPLOŠNA NAVODILA</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_Toc58583223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2</w:t>
        </w:r>
        <w:r w:rsidR="00E25EA5" w:rsidRPr="00E25EA5">
          <w:rPr>
            <w:rFonts w:ascii="Times New Roman" w:hAnsi="Times New Roman"/>
            <w:webHidden/>
            <w:sz w:val="24"/>
            <w:szCs w:val="24"/>
          </w:rPr>
          <w:fldChar w:fldCharType="end"/>
        </w:r>
      </w:hyperlink>
    </w:p>
    <w:p w14:paraId="76813381" w14:textId="509E089A"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24" w:history="1">
        <w:r w:rsidR="00E25EA5" w:rsidRPr="00E25EA5">
          <w:rPr>
            <w:rStyle w:val="Hyperlink"/>
            <w:rFonts w:ascii="Times New Roman" w:hAnsi="Times New Roman"/>
            <w:b/>
            <w:sz w:val="24"/>
            <w:szCs w:val="24"/>
          </w:rPr>
          <w:t>DEL II: POTREBNO STABILNO FINANCIRANJE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_Toc58583224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4</w:t>
        </w:r>
        <w:r w:rsidR="00E25EA5" w:rsidRPr="00E25EA5">
          <w:rPr>
            <w:rFonts w:ascii="Times New Roman" w:hAnsi="Times New Roman"/>
            <w:webHidden/>
            <w:sz w:val="24"/>
            <w:szCs w:val="24"/>
          </w:rPr>
          <w:fldChar w:fldCharType="end"/>
        </w:r>
      </w:hyperlink>
    </w:p>
    <w:p w14:paraId="55A1CB95" w14:textId="3D302CB3"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25" w:history="1">
        <w:r w:rsidR="00E25EA5" w:rsidRPr="00E25EA5">
          <w:rPr>
            <w:rStyle w:val="Hyperlink"/>
            <w:rFonts w:ascii="Times New Roman" w:hAnsi="Times New Roman"/>
            <w:b/>
            <w:sz w:val="24"/>
            <w:szCs w:val="24"/>
          </w:rPr>
          <w:t>1.</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Posebne opombe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_Toc58583225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4</w:t>
        </w:r>
        <w:r w:rsidR="00E25EA5" w:rsidRPr="00E25EA5">
          <w:rPr>
            <w:rFonts w:ascii="Times New Roman" w:hAnsi="Times New Roman"/>
            <w:webHidden/>
            <w:sz w:val="24"/>
            <w:szCs w:val="24"/>
          </w:rPr>
          <w:fldChar w:fldCharType="end"/>
        </w:r>
      </w:hyperlink>
    </w:p>
    <w:p w14:paraId="3B0BE660" w14:textId="068F8295"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26" w:history="1">
        <w:r w:rsidR="00E25EA5" w:rsidRPr="00E25EA5">
          <w:rPr>
            <w:rStyle w:val="Hyperlink"/>
            <w:rFonts w:ascii="Times New Roman" w:hAnsi="Times New Roman"/>
            <w:b/>
            <w:sz w:val="24"/>
            <w:szCs w:val="24"/>
          </w:rPr>
          <w:t>2.</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stolpce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_Toc58583226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7</w:t>
        </w:r>
        <w:r w:rsidR="00E25EA5" w:rsidRPr="00E25EA5">
          <w:rPr>
            <w:rFonts w:ascii="Times New Roman" w:hAnsi="Times New Roman"/>
            <w:webHidden/>
            <w:sz w:val="24"/>
            <w:szCs w:val="24"/>
          </w:rPr>
          <w:fldChar w:fldCharType="end"/>
        </w:r>
      </w:hyperlink>
    </w:p>
    <w:p w14:paraId="5291C325" w14:textId="666C1E54"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27" w:history="1">
        <w:r w:rsidR="00E25EA5" w:rsidRPr="00E25EA5">
          <w:rPr>
            <w:rStyle w:val="Hyperlink"/>
            <w:rFonts w:ascii="Times New Roman" w:hAnsi="Times New Roman"/>
            <w:b/>
            <w:sz w:val="24"/>
            <w:szCs w:val="24"/>
          </w:rPr>
          <w:t>3.</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vrstice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_Toc58583227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8</w:t>
        </w:r>
        <w:r w:rsidR="00E25EA5" w:rsidRPr="00E25EA5">
          <w:rPr>
            <w:rFonts w:ascii="Times New Roman" w:hAnsi="Times New Roman"/>
            <w:webHidden/>
            <w:sz w:val="24"/>
            <w:szCs w:val="24"/>
          </w:rPr>
          <w:fldChar w:fldCharType="end"/>
        </w:r>
      </w:hyperlink>
    </w:p>
    <w:p w14:paraId="3CF84D37" w14:textId="33BC58C9"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28" w:history="1">
        <w:r w:rsidR="00E25EA5" w:rsidRPr="00E25EA5">
          <w:rPr>
            <w:rStyle w:val="Hyperlink"/>
            <w:rFonts w:ascii="Times New Roman" w:hAnsi="Times New Roman"/>
            <w:b/>
            <w:sz w:val="24"/>
            <w:szCs w:val="24"/>
          </w:rPr>
          <w:t>DEL III: RAZPOLOŽLJIVO STABILNO FINANCIRANJE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_Toc58583228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24</w:t>
        </w:r>
        <w:r w:rsidR="00E25EA5" w:rsidRPr="00E25EA5">
          <w:rPr>
            <w:rFonts w:ascii="Times New Roman" w:hAnsi="Times New Roman"/>
            <w:webHidden/>
            <w:sz w:val="24"/>
            <w:szCs w:val="24"/>
          </w:rPr>
          <w:fldChar w:fldCharType="end"/>
        </w:r>
      </w:hyperlink>
    </w:p>
    <w:p w14:paraId="1CB70A9A" w14:textId="1A125E21"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29" w:history="1">
        <w:r w:rsidR="00E25EA5" w:rsidRPr="00E25EA5">
          <w:rPr>
            <w:rStyle w:val="Hyperlink"/>
            <w:rFonts w:ascii="Times New Roman" w:hAnsi="Times New Roman"/>
            <w:b/>
            <w:sz w:val="24"/>
            <w:szCs w:val="24"/>
          </w:rPr>
          <w:t>1.</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Posebne opombe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_Toc58583229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24</w:t>
        </w:r>
        <w:r w:rsidR="00E25EA5" w:rsidRPr="00E25EA5">
          <w:rPr>
            <w:rFonts w:ascii="Times New Roman" w:hAnsi="Times New Roman"/>
            <w:webHidden/>
            <w:sz w:val="24"/>
            <w:szCs w:val="24"/>
          </w:rPr>
          <w:fldChar w:fldCharType="end"/>
        </w:r>
      </w:hyperlink>
    </w:p>
    <w:p w14:paraId="351E84B2" w14:textId="2CE24C59"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0" w:history="1">
        <w:r w:rsidR="00E25EA5" w:rsidRPr="00E25EA5">
          <w:rPr>
            <w:rStyle w:val="Hyperlink"/>
            <w:rFonts w:ascii="Times New Roman" w:hAnsi="Times New Roman"/>
            <w:b/>
            <w:sz w:val="24"/>
            <w:szCs w:val="24"/>
          </w:rPr>
          <w:t>2.</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stolpce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_Toc58583230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26</w:t>
        </w:r>
        <w:r w:rsidR="00E25EA5" w:rsidRPr="00E25EA5">
          <w:rPr>
            <w:rFonts w:ascii="Times New Roman" w:hAnsi="Times New Roman"/>
            <w:webHidden/>
            <w:sz w:val="24"/>
            <w:szCs w:val="24"/>
          </w:rPr>
          <w:fldChar w:fldCharType="end"/>
        </w:r>
      </w:hyperlink>
    </w:p>
    <w:p w14:paraId="6ED576D4" w14:textId="26735920"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1" w:history="1">
        <w:r w:rsidR="00E25EA5" w:rsidRPr="00E25EA5">
          <w:rPr>
            <w:rStyle w:val="Hyperlink"/>
            <w:rFonts w:ascii="Times New Roman" w:hAnsi="Times New Roman"/>
            <w:b/>
            <w:sz w:val="24"/>
            <w:szCs w:val="24"/>
          </w:rPr>
          <w:t>3.</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vrstice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_Toc58583231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27</w:t>
        </w:r>
        <w:r w:rsidR="00E25EA5" w:rsidRPr="00E25EA5">
          <w:rPr>
            <w:rFonts w:ascii="Times New Roman" w:hAnsi="Times New Roman"/>
            <w:webHidden/>
            <w:sz w:val="24"/>
            <w:szCs w:val="24"/>
          </w:rPr>
          <w:fldChar w:fldCharType="end"/>
        </w:r>
      </w:hyperlink>
    </w:p>
    <w:p w14:paraId="0E3C9EE0" w14:textId="097ADE4B"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2" w:history="1">
        <w:r w:rsidR="00E25EA5" w:rsidRPr="00E25EA5">
          <w:rPr>
            <w:rStyle w:val="Hyperlink"/>
            <w:rFonts w:ascii="Times New Roman" w:hAnsi="Times New Roman"/>
            <w:b/>
            <w:sz w:val="24"/>
            <w:szCs w:val="24"/>
          </w:rPr>
          <w:t>DEL IV: POTREBNO STABILNO FINANCIRANJE, POENOSTAVLJENO</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_Toc58583232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34</w:t>
        </w:r>
        <w:r w:rsidR="00E25EA5" w:rsidRPr="00E25EA5">
          <w:rPr>
            <w:rFonts w:ascii="Times New Roman" w:hAnsi="Times New Roman"/>
            <w:webHidden/>
            <w:sz w:val="24"/>
            <w:szCs w:val="24"/>
          </w:rPr>
          <w:fldChar w:fldCharType="end"/>
        </w:r>
      </w:hyperlink>
    </w:p>
    <w:p w14:paraId="46A7B497" w14:textId="38479E5C"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3" w:history="1">
        <w:r w:rsidR="00E25EA5" w:rsidRPr="00E25EA5">
          <w:rPr>
            <w:rStyle w:val="Hyperlink"/>
            <w:rFonts w:ascii="Times New Roman" w:hAnsi="Times New Roman"/>
            <w:b/>
            <w:sz w:val="24"/>
            <w:szCs w:val="24"/>
          </w:rPr>
          <w:t>1.</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Posebne opombe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_Toc58583233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34</w:t>
        </w:r>
        <w:r w:rsidR="00E25EA5" w:rsidRPr="00E25EA5">
          <w:rPr>
            <w:rFonts w:ascii="Times New Roman" w:hAnsi="Times New Roman"/>
            <w:webHidden/>
            <w:sz w:val="24"/>
            <w:szCs w:val="24"/>
          </w:rPr>
          <w:fldChar w:fldCharType="end"/>
        </w:r>
      </w:hyperlink>
    </w:p>
    <w:p w14:paraId="2AC7EE0E" w14:textId="27D21078"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4" w:history="1">
        <w:r w:rsidR="00E25EA5" w:rsidRPr="00E25EA5">
          <w:rPr>
            <w:rStyle w:val="Hyperlink"/>
            <w:rFonts w:ascii="Times New Roman" w:hAnsi="Times New Roman"/>
            <w:b/>
            <w:sz w:val="24"/>
            <w:szCs w:val="24"/>
          </w:rPr>
          <w:t>2.</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stolpce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_Toc58583234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37</w:t>
        </w:r>
        <w:r w:rsidR="00E25EA5" w:rsidRPr="00E25EA5">
          <w:rPr>
            <w:rFonts w:ascii="Times New Roman" w:hAnsi="Times New Roman"/>
            <w:webHidden/>
            <w:sz w:val="24"/>
            <w:szCs w:val="24"/>
          </w:rPr>
          <w:fldChar w:fldCharType="end"/>
        </w:r>
      </w:hyperlink>
    </w:p>
    <w:p w14:paraId="530469D3" w14:textId="304C98A7"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5" w:history="1">
        <w:r w:rsidR="00E25EA5" w:rsidRPr="00E25EA5">
          <w:rPr>
            <w:rStyle w:val="Hyperlink"/>
            <w:rFonts w:ascii="Times New Roman" w:hAnsi="Times New Roman"/>
            <w:b/>
            <w:sz w:val="24"/>
            <w:szCs w:val="24"/>
          </w:rPr>
          <w:t>3.</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vrstice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_Toc58583235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38</w:t>
        </w:r>
        <w:r w:rsidR="00E25EA5" w:rsidRPr="00E25EA5">
          <w:rPr>
            <w:rFonts w:ascii="Times New Roman" w:hAnsi="Times New Roman"/>
            <w:webHidden/>
            <w:sz w:val="24"/>
            <w:szCs w:val="24"/>
          </w:rPr>
          <w:fldChar w:fldCharType="end"/>
        </w:r>
      </w:hyperlink>
    </w:p>
    <w:p w14:paraId="6B5C9C37" w14:textId="61A3CC38"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6" w:history="1">
        <w:r w:rsidR="00E25EA5" w:rsidRPr="00E25EA5">
          <w:rPr>
            <w:rStyle w:val="Hyperlink"/>
            <w:rFonts w:ascii="Times New Roman" w:hAnsi="Times New Roman"/>
            <w:b/>
            <w:sz w:val="24"/>
            <w:szCs w:val="24"/>
          </w:rPr>
          <w:t>DEL V: RAZPOLOŽLJIVO STABILNO FINANCIRANJE, POENOSTAVLJENO</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_Toc58583236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44</w:t>
        </w:r>
        <w:r w:rsidR="00E25EA5" w:rsidRPr="00E25EA5">
          <w:rPr>
            <w:rFonts w:ascii="Times New Roman" w:hAnsi="Times New Roman"/>
            <w:webHidden/>
            <w:sz w:val="24"/>
            <w:szCs w:val="24"/>
          </w:rPr>
          <w:fldChar w:fldCharType="end"/>
        </w:r>
      </w:hyperlink>
    </w:p>
    <w:p w14:paraId="5AE1DEA4" w14:textId="59772257"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7" w:history="1">
        <w:r w:rsidR="00E25EA5" w:rsidRPr="00E25EA5">
          <w:rPr>
            <w:rStyle w:val="Hyperlink"/>
            <w:rFonts w:ascii="Times New Roman" w:hAnsi="Times New Roman"/>
            <w:b/>
            <w:sz w:val="24"/>
            <w:szCs w:val="24"/>
          </w:rPr>
          <w:t>1.</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Posebne opombe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_Toc58583237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44</w:t>
        </w:r>
        <w:r w:rsidR="00E25EA5" w:rsidRPr="00E25EA5">
          <w:rPr>
            <w:rFonts w:ascii="Times New Roman" w:hAnsi="Times New Roman"/>
            <w:webHidden/>
            <w:sz w:val="24"/>
            <w:szCs w:val="24"/>
          </w:rPr>
          <w:fldChar w:fldCharType="end"/>
        </w:r>
      </w:hyperlink>
    </w:p>
    <w:p w14:paraId="262732BD" w14:textId="48C74E8B"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8" w:history="1">
        <w:r w:rsidR="00E25EA5" w:rsidRPr="00E25EA5">
          <w:rPr>
            <w:rStyle w:val="Hyperlink"/>
            <w:rFonts w:ascii="Times New Roman" w:hAnsi="Times New Roman"/>
            <w:b/>
            <w:sz w:val="24"/>
            <w:szCs w:val="24"/>
          </w:rPr>
          <w:t>2.</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Navodila za posamezne stolpce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_Toc58583238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46</w:t>
        </w:r>
        <w:r w:rsidR="00E25EA5" w:rsidRPr="00E25EA5">
          <w:rPr>
            <w:rFonts w:ascii="Times New Roman" w:hAnsi="Times New Roman"/>
            <w:webHidden/>
            <w:sz w:val="24"/>
            <w:szCs w:val="24"/>
          </w:rPr>
          <w:fldChar w:fldCharType="end"/>
        </w:r>
      </w:hyperlink>
    </w:p>
    <w:p w14:paraId="48D24B7C" w14:textId="7CE2ED52"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39" w:history="1">
        <w:r w:rsidR="00E25EA5" w:rsidRPr="00E25EA5">
          <w:rPr>
            <w:rStyle w:val="Hyperlink"/>
            <w:rFonts w:ascii="Times New Roman" w:hAnsi="Times New Roman"/>
            <w:b/>
            <w:sz w:val="24"/>
            <w:szCs w:val="24"/>
          </w:rPr>
          <w:t>3. Navodila za posamezne vrstice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_Toc58583239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47</w:t>
        </w:r>
        <w:r w:rsidR="00E25EA5" w:rsidRPr="00E25EA5">
          <w:rPr>
            <w:rFonts w:ascii="Times New Roman" w:hAnsi="Times New Roman"/>
            <w:webHidden/>
            <w:sz w:val="24"/>
            <w:szCs w:val="24"/>
          </w:rPr>
          <w:fldChar w:fldCharType="end"/>
        </w:r>
      </w:hyperlink>
    </w:p>
    <w:p w14:paraId="46A6B12F" w14:textId="6BA0BB43"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40" w:history="1">
        <w:r w:rsidR="00E25EA5" w:rsidRPr="00E25EA5">
          <w:rPr>
            <w:rStyle w:val="Hyperlink"/>
            <w:rFonts w:ascii="Times New Roman" w:hAnsi="Times New Roman"/>
            <w:b/>
            <w:sz w:val="24"/>
            <w:szCs w:val="24"/>
          </w:rPr>
          <w:t>DEL VI: POVZETEK ZA NSFR</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_Toc58583240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52</w:t>
        </w:r>
        <w:r w:rsidR="00E25EA5" w:rsidRPr="00E25EA5">
          <w:rPr>
            <w:rFonts w:ascii="Times New Roman" w:hAnsi="Times New Roman"/>
            <w:webHidden/>
            <w:sz w:val="24"/>
            <w:szCs w:val="24"/>
          </w:rPr>
          <w:fldChar w:fldCharType="end"/>
        </w:r>
      </w:hyperlink>
    </w:p>
    <w:p w14:paraId="03E82973" w14:textId="3BB27D6B"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41" w:history="1">
        <w:r w:rsidR="00E25EA5" w:rsidRPr="00E25EA5">
          <w:rPr>
            <w:rStyle w:val="Hyperlink"/>
            <w:rFonts w:ascii="Times New Roman" w:hAnsi="Times New Roman"/>
            <w:b/>
            <w:sz w:val="24"/>
            <w:szCs w:val="24"/>
          </w:rPr>
          <w:t>1.</w:t>
        </w:r>
        <w:r w:rsidR="00E25EA5" w:rsidRPr="00E25EA5">
          <w:rPr>
            <w:rFonts w:ascii="Times New Roman" w:eastAsiaTheme="minorEastAsia" w:hAnsi="Times New Roman"/>
            <w:color w:val="auto"/>
            <w:sz w:val="24"/>
            <w:szCs w:val="24"/>
            <w:lang w:eastAsia="sl-SI"/>
          </w:rPr>
          <w:tab/>
        </w:r>
        <w:r w:rsidR="00E25EA5" w:rsidRPr="00E25EA5">
          <w:rPr>
            <w:rStyle w:val="Hyperlink"/>
            <w:rFonts w:ascii="Times New Roman" w:hAnsi="Times New Roman"/>
            <w:b/>
            <w:sz w:val="24"/>
            <w:szCs w:val="24"/>
          </w:rPr>
          <w:t>Posebne opombe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_Toc58583241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52</w:t>
        </w:r>
        <w:r w:rsidR="00E25EA5" w:rsidRPr="00E25EA5">
          <w:rPr>
            <w:rFonts w:ascii="Times New Roman" w:hAnsi="Times New Roman"/>
            <w:webHidden/>
            <w:sz w:val="24"/>
            <w:szCs w:val="24"/>
          </w:rPr>
          <w:fldChar w:fldCharType="end"/>
        </w:r>
      </w:hyperlink>
    </w:p>
    <w:p w14:paraId="7C8ADE4A" w14:textId="2D6DF596"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42" w:history="1">
        <w:r w:rsidR="00E25EA5" w:rsidRPr="00E25EA5">
          <w:rPr>
            <w:rStyle w:val="Hyperlink"/>
            <w:rFonts w:ascii="Times New Roman" w:hAnsi="Times New Roman"/>
            <w:b/>
            <w:sz w:val="24"/>
            <w:szCs w:val="24"/>
          </w:rPr>
          <w:t>2. Navodila za posamezne stolpce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_Toc58583242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52</w:t>
        </w:r>
        <w:r w:rsidR="00E25EA5" w:rsidRPr="00E25EA5">
          <w:rPr>
            <w:rFonts w:ascii="Times New Roman" w:hAnsi="Times New Roman"/>
            <w:webHidden/>
            <w:sz w:val="24"/>
            <w:szCs w:val="24"/>
          </w:rPr>
          <w:fldChar w:fldCharType="end"/>
        </w:r>
      </w:hyperlink>
    </w:p>
    <w:p w14:paraId="767EC1F4" w14:textId="67B627CF" w:rsidR="00E25EA5" w:rsidRPr="00E25EA5" w:rsidRDefault="00420651" w:rsidP="00E25EA5">
      <w:pPr>
        <w:pStyle w:val="TOC1"/>
        <w:spacing w:after="240"/>
        <w:ind w:right="2835"/>
        <w:jc w:val="both"/>
        <w:rPr>
          <w:rFonts w:ascii="Times New Roman" w:eastAsiaTheme="minorEastAsia" w:hAnsi="Times New Roman"/>
          <w:color w:val="auto"/>
          <w:sz w:val="24"/>
          <w:szCs w:val="24"/>
          <w:lang w:eastAsia="sl-SI"/>
        </w:rPr>
      </w:pPr>
      <w:hyperlink w:anchor="_Toc58583243" w:history="1">
        <w:r w:rsidR="00E25EA5" w:rsidRPr="00E25EA5">
          <w:rPr>
            <w:rStyle w:val="Hyperlink"/>
            <w:rFonts w:ascii="Times New Roman" w:hAnsi="Times New Roman"/>
            <w:b/>
            <w:sz w:val="24"/>
            <w:szCs w:val="24"/>
          </w:rPr>
          <w:t>3. Navodila za posamezne vrstice</w:t>
        </w:r>
        <w:r w:rsidR="00E25EA5" w:rsidRPr="00E25EA5">
          <w:rPr>
            <w:rFonts w:ascii="Times New Roman" w:hAnsi="Times New Roman"/>
            <w:webHidden/>
            <w:sz w:val="24"/>
            <w:szCs w:val="24"/>
          </w:rPr>
          <w:tab/>
        </w:r>
        <w:r w:rsidR="00E25EA5" w:rsidRPr="00E25EA5">
          <w:rPr>
            <w:rFonts w:ascii="Times New Roman" w:hAnsi="Times New Roman"/>
            <w:webHidden/>
            <w:sz w:val="24"/>
            <w:szCs w:val="24"/>
          </w:rPr>
          <w:fldChar w:fldCharType="begin"/>
        </w:r>
        <w:r w:rsidR="00E25EA5" w:rsidRPr="00E25EA5">
          <w:rPr>
            <w:rFonts w:ascii="Times New Roman" w:hAnsi="Times New Roman"/>
            <w:webHidden/>
            <w:sz w:val="24"/>
            <w:szCs w:val="24"/>
          </w:rPr>
          <w:instrText xml:space="preserve"> PAGEREF _Toc58583243 \h </w:instrText>
        </w:r>
        <w:r w:rsidR="00E25EA5" w:rsidRPr="00E25EA5">
          <w:rPr>
            <w:rFonts w:ascii="Times New Roman" w:hAnsi="Times New Roman"/>
            <w:webHidden/>
            <w:sz w:val="24"/>
            <w:szCs w:val="24"/>
          </w:rPr>
        </w:r>
        <w:r w:rsidR="00E25EA5" w:rsidRPr="00E25EA5">
          <w:rPr>
            <w:rFonts w:ascii="Times New Roman" w:hAnsi="Times New Roman"/>
            <w:webHidden/>
            <w:sz w:val="24"/>
            <w:szCs w:val="24"/>
          </w:rPr>
          <w:fldChar w:fldCharType="separate"/>
        </w:r>
        <w:r w:rsidR="00E25EA5" w:rsidRPr="00E25EA5">
          <w:rPr>
            <w:rFonts w:ascii="Times New Roman" w:hAnsi="Times New Roman"/>
            <w:webHidden/>
            <w:sz w:val="24"/>
            <w:szCs w:val="24"/>
          </w:rPr>
          <w:t>52</w:t>
        </w:r>
        <w:r w:rsidR="00E25EA5" w:rsidRPr="00E25EA5">
          <w:rPr>
            <w:rFonts w:ascii="Times New Roman" w:hAnsi="Times New Roman"/>
            <w:webHidden/>
            <w:sz w:val="24"/>
            <w:szCs w:val="24"/>
          </w:rPr>
          <w:fldChar w:fldCharType="end"/>
        </w:r>
      </w:hyperlink>
    </w:p>
    <w:p w14:paraId="3A611665" w14:textId="44652F8C" w:rsidR="000D338D" w:rsidRPr="00A0098D" w:rsidRDefault="00391EF9" w:rsidP="00E25EA5">
      <w:pPr>
        <w:pStyle w:val="BodyText1"/>
        <w:spacing w:after="240" w:line="240" w:lineRule="auto"/>
        <w:ind w:right="2835" w:hanging="567"/>
        <w:rPr>
          <w:rFonts w:ascii="Times New Roman" w:hAnsi="Times New Roman"/>
          <w:sz w:val="24"/>
          <w:szCs w:val="24"/>
        </w:rPr>
      </w:pPr>
      <w:r w:rsidRPr="00E25EA5">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583223"/>
      <w:r>
        <w:rPr>
          <w:rFonts w:ascii="Times New Roman" w:hAnsi="Times New Roman"/>
          <w:b/>
          <w:sz w:val="24"/>
          <w:szCs w:val="24"/>
        </w:rPr>
        <w:lastRenderedPageBreak/>
        <w:t>DEL I:</w:t>
      </w:r>
      <w:bookmarkEnd w:id="0"/>
      <w:r>
        <w:rPr>
          <w:rFonts w:ascii="Times New Roman" w:hAnsi="Times New Roman"/>
          <w:b/>
          <w:sz w:val="24"/>
          <w:szCs w:val="24"/>
        </w:rPr>
        <w:t xml:space="preserve"> SPLOŠNA NAVODILA</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Ta priloga vsebuje navodila za predloge o količniku neto stabilnega financiranja (NSFR), ki vsebujejo informacije o postavkah potrebnega in razpoložljivega stabilnega financiranja za namene poročanja o NSFR, kot je določeno v naslovu IV dela 6 Uredbe (EU) št. 575/2013 (CRR). Postavke, ki jih institucijam ni treba izpolniti, so obarvane sivo.</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Institucije v skladu s členom 415(1) CRR predlogo izpolnijo v valuti poročanja ne glede na valuto, v kateri so dejansko izražena sredstva, obveznosti in </w:t>
      </w:r>
      <w:proofErr w:type="spellStart"/>
      <w:r>
        <w:rPr>
          <w:rFonts w:ascii="Times New Roman" w:hAnsi="Times New Roman"/>
          <w:sz w:val="24"/>
        </w:rPr>
        <w:t>zunajbilančne</w:t>
      </w:r>
      <w:proofErr w:type="spellEnd"/>
      <w:r>
        <w:rPr>
          <w:rFonts w:ascii="Times New Roman" w:hAnsi="Times New Roman"/>
          <w:sz w:val="24"/>
        </w:rPr>
        <w:t xml:space="preserve"> postavke. Institucije izpolnijo predlogo ločeno v ustreznih valutah v skladu s členom 415(2)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Kar zadeva izračun NSFR, se CRR sklicuje na faktorje stabilnega financiranja. Beseda „faktor“ v teh navodilih se nanaša na število med 0 in 1, ki se pomnoži z zneskom, s čimer se pridobi tehtani znesek, tj. vrednost iz člena 428c(2)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Da se prepreči dvojno štetje, institucije ne poročajo sredstev ali obveznosti, ki so povezane z zavarovanjem s premoženjem, danim ali prejetim kot gibljivo kritje v skladu s členom 428k(4) CRR in členom 428ah(2) CRR, začetno kritje in prispevek v jamstveni sklad CNS v skladu s členom 428ag(a) in (b)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Postavke, ki jih zagotovijo člani skupine ali institucionalne sheme za zaščito vlog in ki se tem dajo, za katere je pristojni organ dovolil uporabo ugodnejše obravnave iz člena 428h CRR, se poročajo v ločeni kategoriji Vloge, vzdrževane v okviru institucionalne sheme za zaščito vlog ali zadružne mreže, ki se štejejo za likvidna sredstva, se poročajo kot likvidna sredstva v skladu s členom 428g CRR. Druge postavke znotraj skupine ali institucionalne sheme za zaščito vlog se poročajo v ustreznih kategorijah.</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Za namene poročanja se v stolpcih „znesek“ vedno poroča knjigovodska vrednost, razen v primeru pogodb o izvedenih finančnih instrumentih, pri katerih se institucije sklicujejo na pošteno vrednost, kot je določena v členu 428d(2)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Za namene poročanja po valutah, ki se izvaja ločeno, kot je predvideno v členu 415(2) CRR, v zvezi z izvedenimi finančnimi instrumenti, kot je predvideno v členu 428d(4) CRR, institucije izračunajo pošteno vrednost za vsak niz pobotov v valuti poravnave. Za vse nize pobotov z isto valuto poravnave se izračuna čisti znesek v skladu s členoma 428k(4) in 428ah(2) CRR, ki se poroča v ustrezni valuti, ki se poroča ločeno. V tem okviru valuta poravnave pomeni valuto, ki je bila dogovorjena za poravnavo niza pobotov. Niz pobotov je skupina terjatev in obveznosti, ki izhajajo iz poslov z izvedenimi finančnimi instrumenti z nasprotno stranko, ne glede na to, ali so denominirane v drugačni valuti od valute poravnave. V primeru </w:t>
      </w:r>
      <w:proofErr w:type="spellStart"/>
      <w:r>
        <w:rPr>
          <w:rFonts w:ascii="Times New Roman" w:hAnsi="Times New Roman"/>
          <w:sz w:val="24"/>
        </w:rPr>
        <w:t>opcionalnosti</w:t>
      </w:r>
      <w:proofErr w:type="spellEnd"/>
      <w:r>
        <w:rPr>
          <w:rFonts w:ascii="Times New Roman" w:hAnsi="Times New Roman"/>
          <w:sz w:val="24"/>
        </w:rPr>
        <w:t>, ki vključuje več valut, kreditna institucija oceni, v kateri valuti je mogoče pričakovati poravnavo, in poroča samo v tej ločeni valuti.</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Znesek sredstev in obveznosti, ki izhajajo iz poslov financiranja z vrednostnimi papirji (SFT) z eno samo nasprotno stranko in isto vrsto osnovnega zavarovanja s premoženjem (likvidna sredstva stopnje 1 ali likvidna sredstva, ki niso stopnje 1) v skladu z delegiranim aktom iz člena 460(1) CRR, se poroča na neto osnovi, kadar se uporablja člen 428e CRR. V primeru SFT z osnovnimi košaricami zavarovanj s premoženjem se šteje, da je najmanj likvidno zavarovanje s premoženjem v teh skupinah zavarovanj s premoženjem tisto, ki je prvo zastavljeno. </w:t>
      </w:r>
    </w:p>
    <w:p w14:paraId="3B281E9B" w14:textId="2A650BEF" w:rsidR="00857C68" w:rsidRPr="00E25EA5" w:rsidRDefault="00A467EE" w:rsidP="00E25EA5">
      <w:pPr>
        <w:pStyle w:val="ListParagraph"/>
        <w:numPr>
          <w:ilvl w:val="0"/>
          <w:numId w:val="24"/>
        </w:numPr>
        <w:rPr>
          <w:rFonts w:ascii="Times New Roman" w:hAnsi="Times New Roman"/>
          <w:sz w:val="24"/>
        </w:rPr>
      </w:pPr>
      <w:r w:rsidRPr="00E25EA5">
        <w:rPr>
          <w:rFonts w:ascii="Times New Roman" w:hAnsi="Times New Roman"/>
          <w:sz w:val="24"/>
        </w:rPr>
        <w:t xml:space="preserve">V skladu s členom 428ai CRR se lahko majhne in </w:t>
      </w:r>
      <w:proofErr w:type="spellStart"/>
      <w:r w:rsidRPr="00E25EA5">
        <w:rPr>
          <w:rFonts w:ascii="Times New Roman" w:hAnsi="Times New Roman"/>
          <w:sz w:val="24"/>
        </w:rPr>
        <w:t>nekompleksne</w:t>
      </w:r>
      <w:proofErr w:type="spellEnd"/>
      <w:r w:rsidRPr="00E25EA5">
        <w:rPr>
          <w:rFonts w:ascii="Times New Roman" w:hAnsi="Times New Roman"/>
          <w:sz w:val="24"/>
        </w:rPr>
        <w:t xml:space="preserve"> institucije ob predhodnem dovoljenju njihovega pristojnega organa odločijo, da bodo svoj NSFR izračunale v skladu s poenostavljeno metodologijo iz poglavij 6–7 naslova IV dela 6 CRR. Institucije, ki za izračun količnika neto stabilnega financiranja uporabljajo poenostavljeno metodologijo, uporabljajo predlogi za poročanje C 82.00 in C 83.00. Vse druge institucije uporabljajo predlogi za poročanje C 80.00 in C 81.00. Vse institucije izpolnijo predlogo za poročanje C 84.00.</w:t>
      </w:r>
      <w:bookmarkStart w:id="8" w:name="_Toc359414277"/>
      <w:bookmarkStart w:id="9" w:name="_Toc322687869"/>
      <w:bookmarkEnd w:id="6"/>
      <w:bookmarkEnd w:id="7"/>
      <w:bookmarkEnd w:id="8"/>
      <w:r w:rsidRPr="00E25EA5">
        <w:rPr>
          <w:rFonts w:ascii="Times New Roman" w:hAnsi="Times New Roman"/>
          <w:sz w:val="24"/>
        </w:rP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2" w:name="_Toc58583224"/>
      <w:r>
        <w:rPr>
          <w:rFonts w:ascii="Times New Roman" w:hAnsi="Times New Roman"/>
          <w:b/>
          <w:sz w:val="24"/>
          <w:szCs w:val="24"/>
        </w:rPr>
        <w:t>DEL II: POTREBNO STABILNO FINANCIRANJE</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58583225"/>
      <w:r>
        <w:rPr>
          <w:rFonts w:ascii="Times New Roman" w:hAnsi="Times New Roman"/>
          <w:b/>
          <w:sz w:val="24"/>
          <w:szCs w:val="24"/>
        </w:rPr>
        <w:t>Posebne opombe</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v ustrezni kategoriji poročajo vsa sredstva, ki jih obdržijo v dejanski lasti, tudi če niso obračunana v njihovi bilanci stanja. Sredstva, ki jih institucije ne obdržijo v dejanski lasti, se ne poročajo, tudi če so ta sredstva obračunana v njihovi bilanci stanja. V primeru poslov začasnega odkupa, pri katerih se izposojena sredstva ne obračunajo v bilanci stanja, vendar jih ima banka, ki jih je prejela, v dejanski lasti, se poroča samo denarna stran oziroma, če se uporablja višji faktor RSF, stran z zavarovanjem s premoženjem.</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V skladu s členom 428p CRR se, razen če je v poglavju 4 naslova IV dela 6 CRR drugače določeno, znesek potrebnega stabilnega financiranja (RSF) izračuna tako, da se znesek sredstev in </w:t>
      </w:r>
      <w:proofErr w:type="spellStart"/>
      <w:r>
        <w:rPr>
          <w:rFonts w:ascii="Times New Roman" w:hAnsi="Times New Roman"/>
          <w:sz w:val="24"/>
        </w:rPr>
        <w:t>zunajbilančnih</w:t>
      </w:r>
      <w:proofErr w:type="spellEnd"/>
      <w:r>
        <w:rPr>
          <w:rFonts w:ascii="Times New Roman" w:hAnsi="Times New Roman"/>
          <w:sz w:val="24"/>
        </w:rPr>
        <w:t xml:space="preserve"> postavk pomnoži s faktorji potrebnega stabilnega financiranja.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Sredstva, ki izpolnjujejo pogoje za likvidna sredstva (HQLA) v skladu z Delegirano uredbo (EU) 2015/61, se poročajo kot taka ne glede na to, ali izpolnjujejo operativne zahteve iz člena 8 navedene delegirane uredbe. Ta sredstva se poročajo v za to namenjenih stolpcih ne glede na njihovo preostalo zapadlost.</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Vsa sredstva in </w:t>
      </w:r>
      <w:proofErr w:type="spellStart"/>
      <w:r>
        <w:rPr>
          <w:rFonts w:ascii="Times New Roman" w:hAnsi="Times New Roman"/>
          <w:sz w:val="24"/>
        </w:rPr>
        <w:t>zunajbilančne</w:t>
      </w:r>
      <w:proofErr w:type="spellEnd"/>
      <w:r>
        <w:rPr>
          <w:rFonts w:ascii="Times New Roman" w:hAnsi="Times New Roman"/>
          <w:sz w:val="24"/>
        </w:rPr>
        <w:t xml:space="preserve"> postavke, ki ne izpolnjujejo pogojev za HQLA (ne-HQLA), se poročajo razčlenjeno glede na njihovo preostalo zapadlost v skladu s členom 428q CRR. Žepki zapadlosti za zneske, standardne faktorje in veljavne faktorje so naslednji:</w:t>
      </w:r>
    </w:p>
    <w:p w14:paraId="2D0B8398" w14:textId="77777777" w:rsidR="00DF08E7" w:rsidRPr="00A0098D" w:rsidRDefault="00DF08E7" w:rsidP="00A0098D">
      <w:pPr>
        <w:pStyle w:val="InstructionsText2"/>
        <w:numPr>
          <w:ilvl w:val="2"/>
          <w:numId w:val="24"/>
        </w:numPr>
        <w:rPr>
          <w:sz w:val="24"/>
        </w:rPr>
      </w:pPr>
      <w:r>
        <w:rPr>
          <w:sz w:val="24"/>
        </w:rPr>
        <w:t>preostala zapadlost manj kot šest mesecev ali ni navedena;</w:t>
      </w:r>
    </w:p>
    <w:p w14:paraId="2DC4313E" w14:textId="77777777" w:rsidR="00DF08E7" w:rsidRPr="00A0098D" w:rsidRDefault="00DF08E7" w:rsidP="00A0098D">
      <w:pPr>
        <w:pStyle w:val="InstructionsText2"/>
        <w:numPr>
          <w:ilvl w:val="2"/>
          <w:numId w:val="24"/>
        </w:numPr>
        <w:rPr>
          <w:sz w:val="24"/>
        </w:rPr>
      </w:pPr>
      <w:r>
        <w:rPr>
          <w:sz w:val="24"/>
        </w:rPr>
        <w:t>preostala zapadlost vsaj šest mesecev in manj kot eno leto;</w:t>
      </w:r>
    </w:p>
    <w:p w14:paraId="5AA1D4E3" w14:textId="77777777" w:rsidR="00DF08E7" w:rsidRPr="00A0098D" w:rsidRDefault="00DF08E7" w:rsidP="00A0098D">
      <w:pPr>
        <w:pStyle w:val="InstructionsText2"/>
        <w:numPr>
          <w:ilvl w:val="2"/>
          <w:numId w:val="24"/>
        </w:numPr>
        <w:rPr>
          <w:sz w:val="24"/>
        </w:rPr>
      </w:pPr>
      <w:r>
        <w:rPr>
          <w:sz w:val="24"/>
        </w:rPr>
        <w:t>preostala zapadlost eno leto ali več.</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 skladu s členom 428q(3) CRR institucije pri izračunu preostale zapadlosti ne-HQLA sredstev in </w:t>
      </w:r>
      <w:proofErr w:type="spellStart"/>
      <w:r>
        <w:rPr>
          <w:rFonts w:ascii="Times New Roman" w:hAnsi="Times New Roman"/>
          <w:sz w:val="24"/>
        </w:rPr>
        <w:t>zunajbilančnih</w:t>
      </w:r>
      <w:proofErr w:type="spellEnd"/>
      <w:r>
        <w:rPr>
          <w:rFonts w:ascii="Times New Roman" w:hAnsi="Times New Roman"/>
          <w:sz w:val="24"/>
        </w:rPr>
        <w:t xml:space="preserve"> postavk upoštevajo opcije, in sicer ob predpostavki, da bo izdajatelj ali nasprotna stranka izkoristila vsako opcijo za podaljšanje zapadlosti zadevnega sredstva. Pri opcijah, ki se lahko izkoristijo po lastni presoji institucije, institucija in pristojni organ upoštevata faktorje ugleda, ki bi lahko omejili možnost institucije, da ne izkoristi opcije, zlasti ob upoštevanju pričakovanj trga in strank, da bi morala institucija na datum zapadlosti podaljšati zapadlost nekaterih sredstev.</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nekatere postavke poročajo sredstva glede na status in/ali zapadlost obremenitve zadevnega sredstva v skladu s členom 428p(4), (5) in (6)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Drevo odločanja za predlogo za poročanje C 80.00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vmesni seštevki in postavke „od tega“, vendar to ne pomeni, da jih ni treba poročati.</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Kot je določeno v členu 428p(5) CRR, se, če institucija ponovno uporabi ali ponovno zastavi sredstvo, ki je bilo izposojeno, vključno v okviru poslov financiranja z vrednostnimi papirji, in ki se obračuna za </w:t>
      </w:r>
      <w:proofErr w:type="spellStart"/>
      <w:r>
        <w:rPr>
          <w:rFonts w:ascii="Times New Roman" w:hAnsi="Times New Roman"/>
          <w:sz w:val="24"/>
        </w:rPr>
        <w:t>zunajbilančne</w:t>
      </w:r>
      <w:proofErr w:type="spellEnd"/>
      <w:r>
        <w:rPr>
          <w:rFonts w:ascii="Times New Roman" w:hAnsi="Times New Roman"/>
          <w:sz w:val="24"/>
        </w:rPr>
        <w:t xml:space="preserve"> postavke, posel, na podlagi katerega je bilo to sredstvo izposojeno, obravnava kot obremenjen, kolikor ta posel ne more zapasti, če institucija ne vrne izposojenega sredstva. Preostala zapadlost te obremenitve je daljša izmed naslednjih: i) preostale zapadlosti posla, v okviru katerega so bila sredstva izposojena, ali (ii) preostale zapadlosti posla, v okviru katerega so bila sredstva ponovna zastavljena.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Št.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Postavka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Odločitev</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Dejanje</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Nizi pobotov pogodb o izvedenih finančnih instrumentih z negativno pošteno vrednostjo ob upoštevanju danih zavarovanj s premoženjem ali plačil in prejemkov iz poravnav, povezanih s spremembami tržne vrednosti takih pogodb?</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Ne </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Sredstvo ali </w:t>
            </w:r>
            <w:proofErr w:type="spellStart"/>
            <w:r>
              <w:rPr>
                <w:rFonts w:ascii="Times New Roman" w:hAnsi="Times New Roman"/>
                <w:sz w:val="24"/>
                <w:szCs w:val="24"/>
              </w:rPr>
              <w:t>zunajbilančna</w:t>
            </w:r>
            <w:proofErr w:type="spellEnd"/>
            <w:r>
              <w:rPr>
                <w:rFonts w:ascii="Times New Roman" w:hAnsi="Times New Roman"/>
                <w:sz w:val="24"/>
                <w:szCs w:val="24"/>
              </w:rPr>
              <w:t xml:space="preserve"> postavka dana kot začetno kritje za izvedene finančne instrumente?</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Sredstvo ali </w:t>
            </w:r>
            <w:proofErr w:type="spellStart"/>
            <w:r>
              <w:rPr>
                <w:rFonts w:ascii="Times New Roman" w:hAnsi="Times New Roman"/>
                <w:sz w:val="24"/>
                <w:szCs w:val="24"/>
              </w:rPr>
              <w:t>zunajbilančna</w:t>
            </w:r>
            <w:proofErr w:type="spellEnd"/>
            <w:r>
              <w:rPr>
                <w:rFonts w:ascii="Times New Roman" w:hAnsi="Times New Roman"/>
                <w:sz w:val="24"/>
                <w:szCs w:val="24"/>
              </w:rPr>
              <w:t xml:space="preserve"> postavka dana kot prispevek v jamstveni sklad CNS?</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Postavka, ki jo institucija obdrži v dejanski lasti?</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Sredstvo, povezano z zavarovanjem s premoženjem, danim kot gibljivo kritje za izvedene finančne instrumente?</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Nedonosna sredstva ali vrednostni papirji, pri katerih je prišlo do neplačila?</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št.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Terjatve, ki zapadejo na dan sklenitve posla?</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št.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Soodvisna sredstva?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1.5.</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Sredstva znotraj skupine ali institucionalne sheme za zaščito vlog, za katera je pristojni organ dovolil ugodnejšo obravnavo?</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Sredstva centralne banke?</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1.1.</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Likvidna sredstva?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Likvidna sredstva, obremenjena za preostalo zapadlost enega leta ali več, v kritnem premoženju?</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1.2.1 do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5BA7C251" w:rsidR="00B037DD" w:rsidRPr="00A0098D" w:rsidRDefault="00420651" w:rsidP="00A0098D">
            <w:pPr>
              <w:spacing w:after="240"/>
              <w:jc w:val="both"/>
              <w:rPr>
                <w:rFonts w:ascii="Times New Roman" w:eastAsia="Calibri" w:hAnsi="Times New Roman"/>
                <w:sz w:val="24"/>
                <w:szCs w:val="24"/>
              </w:rPr>
            </w:pPr>
            <w:r w:rsidRPr="00420651">
              <w:rPr>
                <w:rFonts w:ascii="Times New Roman" w:hAnsi="Times New Roman"/>
                <w:sz w:val="24"/>
                <w:szCs w:val="24"/>
              </w:rPr>
              <w:t>Vrednostni papirji, ki niso likvidna sredstva</w:t>
            </w:r>
            <w:r w:rsidR="00B037DD">
              <w:rPr>
                <w:rFonts w:ascii="Times New Roman" w:hAnsi="Times New Roman"/>
                <w:sz w:val="24"/>
                <w:szCs w:val="24"/>
              </w:rPr>
              <w:t>?</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1.3.</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Bilančni produkti, povezani s trgovinskim financiranjem?</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 glede na sredstva iz naslova izvedenih finančnih instrumentov?</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Krediti?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Krediti, obremenjeni za preostalo zapadlost enega leta ali več, v kritnem premoženju?</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Krediti, razvrščeni kot vloge za operativne namene?</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Posli financiranja z vrednostnimi papirji s finančnimi strankami?</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1.4.2.</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Drugi krediti in druga finančna sredstva finančnim strankam?</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1.4.5 ali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Blago, s katerim se fizično trguje?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Razvrstite v eno od ustreznih postavk pod id. št. 1.9.1.</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Katero koli drugo sredstvo, ki ni obravnavano v zgornjih kategorijah?</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szCs w:val="24"/>
              </w:rPr>
              <w:t>Zunajbilančna</w:t>
            </w:r>
            <w:proofErr w:type="spellEnd"/>
            <w:r>
              <w:rPr>
                <w:rFonts w:ascii="Times New Roman" w:hAnsi="Times New Roman"/>
                <w:sz w:val="24"/>
                <w:szCs w:val="24"/>
              </w:rPr>
              <w:t xml:space="preserve"> izpostavljenost?</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Nedonosna izpostavljenost?</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Odobreni okvirni krediti?</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Odobreni okvirni krediti, za katere je pristojni organ dovolil ugodnejšo obravnavo?</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szCs w:val="24"/>
              </w:rPr>
              <w:t>Zunajbilančna</w:t>
            </w:r>
            <w:proofErr w:type="spellEnd"/>
            <w:r>
              <w:rPr>
                <w:rFonts w:ascii="Times New Roman" w:hAnsi="Times New Roman"/>
                <w:sz w:val="24"/>
                <w:szCs w:val="24"/>
              </w:rPr>
              <w:t xml:space="preserve"> postavka, povezana s trgovinskim financiranjem?</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Druga </w:t>
            </w:r>
            <w:proofErr w:type="spellStart"/>
            <w:r>
              <w:rPr>
                <w:rFonts w:ascii="Times New Roman" w:hAnsi="Times New Roman"/>
                <w:sz w:val="24"/>
                <w:szCs w:val="24"/>
              </w:rPr>
              <w:t>zunajbilančna</w:t>
            </w:r>
            <w:proofErr w:type="spellEnd"/>
            <w:r>
              <w:rPr>
                <w:rFonts w:ascii="Times New Roman" w:hAnsi="Times New Roman"/>
                <w:sz w:val="24"/>
                <w:szCs w:val="24"/>
              </w:rPr>
              <w:t xml:space="preserve"> izpostavljenost, za katero je pristojni organ določil faktor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Se ne poroča.</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58583226"/>
      <w:r>
        <w:rPr>
          <w:rFonts w:ascii="Times New Roman" w:hAnsi="Times New Roman"/>
          <w:b/>
          <w:sz w:val="24"/>
          <w:szCs w:val="24"/>
        </w:rPr>
        <w:t>Navodila za posamezne stolpce</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Znesek ne-HQLA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Institucije v stolpcih 0010–0030 poročajo znesek, razen če je v poglavju 4 naslova IV dela 6 CRR določeno drugače, sredstev in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iz oddelka 2 poglavja 4 naslova IV dela 6 CRR za vsak žepek zapadlosti.</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Znesek se poroča v stolpcih 0010–0030, kadar ustrezna postavka ne izpolnjuje pogojev za likvidno sredstvo v skladu z Delegirano uredbo (EU) 2015/61, ne glede na to, ali izpolnjuje operativne zahteve iz člena 8 navedene delegirane uredbe.</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Znesek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Glej navodila v stolpcih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Znesek se poroča v stolpcu 0040, kadar ustrezna postavka izpolnjuje pogoje za visokokakovostno likvidno sredstvo v skladu z Delegirano uredbo (EU) 2015/61, ne glede na to, ali izpolnjuje operativne zahteve iz člena 8 navedene delegirane uredbe.</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Standardni faktor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Oddelek 2 poglavja 4 naslova IV dela 6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Standardni faktorji v stolpcih 0050–0080 so privzeti faktorji iz poglavja 4 naslova IV dela 6 CRR, ki bi določili del zneska sredstev in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ki je potrebno stabilno financiranje. Navedeni so zgolj za informacijo, institucije pa jih ne izpolnijo.</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Veljavni faktor RSF</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Oddelek 2 poglavja 4 naslova IV dela 6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Institucije v stolpcih 0090–0120 poročajo veljavni faktor, ki se uporablja za postavke iz poglavja 4 naslova IV dela 6 CRR. Veljavni faktorji so lahko podlaga za vrednosti tehtanega povprečja in se poročajo z decimalkami (tj. 1,00 za utež v višini 100 odstotkov ali 0,50 za utež v višini 50 odstotkov). Veljavni faktorji lahko odražajo za podjetje specifične in nacionalne preudarke, vendar niso omejeni nanje.</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Potrebno stabilno financiranje</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v stolpcu 0130 poročajo potrebno stabilno financiranje v skladu s poglavjem 4 naslova IV dela 6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To se izračuna z naslednjo formulo:</w:t>
            </w:r>
            <w:r>
              <w:t xml:space="preserve"> </w:t>
            </w:r>
            <w:r>
              <w:br/>
            </w:r>
            <w:r>
              <w:rPr>
                <w:rFonts w:ascii="Times New Roman" w:hAnsi="Times New Roman"/>
                <w:sz w:val="24"/>
                <w:szCs w:val="24"/>
              </w:rPr>
              <w:t>s0130 = VSOTA {(s0010 * s0090), (s0020 * s0100), (s0030 * s0110), (s0040 * s0120)}.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583227"/>
      <w:r>
        <w:rPr>
          <w:rFonts w:ascii="Times New Roman" w:hAnsi="Times New Roman"/>
          <w:b/>
          <w:sz w:val="24"/>
          <w:szCs w:val="24"/>
        </w:rPr>
        <w:t>Navodila za posamezne vrstice</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Pr>
                <w:rFonts w:ascii="Times New Roman" w:hAnsi="Times New Roman"/>
                <w:sz w:val="24"/>
                <w:szCs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POTREBNO STABILNO FINANCIRANJE</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Poglavje 4 naslova IV dela 6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tukaj poročajo postavke, ki so predmet potrebnega stabilnega financiranja v skladu s poglavjem 4 naslova IV dela 6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iz sredstev centralnih bank</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428r(1)(c) in (d) ter člen 428ad(d)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sredstva centralne banke.</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 skladu s členom 428p(7) CRR se lahko uporablja zmanjšan faktor RSF.</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Denarna sredstva, rezerve in izpostavljenosti do centralnih bank, ki so HQLA</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tukaj poročajo denarna sredstva in rezerve pri centralnih bankah, vključno s presežnimi rezervami. Institucije tukaj poročajo tudi vse druge izpostavljenosti do centralnih bank, ki se štejejo za likvidna sredstva na podlagi Delegirane uredbe (EU) 2015/61, ne glede na to, ali izpolnjuje operativne zahteve iz člena 8 navedene delegirane uredbe.</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Obvezne rezerve, ki se ne štejejo za likvidna sredstva na podlagi Delegirane uredbe (EU) 2015/61, se poročajo v zadevnem stolpcu za ne-HQLA.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Neobremenjeno ali obremenjeno za preostalo zapadlost manj kot šestih mesecev</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Znesek, ki se poroča pod 1.1.1, povezan s sredstvi, ki so neobremenjena ali obremenjena za preostalo zapadlost manj kot šestih mesecev.</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Obremenjeno za preostalo zapadlost vsaj šestih mesecev in manj kot enega leta</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Znesek, ki se poroča pod 1.1.1, povezan s sredstvi, ki so obremenjena za preostalo zapadlost vsaj šestih mesecev in manj kot enega leta.</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Obremenjeno za preostalo zapadlost enega leta ali več</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Znesek, ki se poroča pod 1.1.1, povezan s sredstvi, ki so obremenjena za preostalo zapadlost enega leta ali več.</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Druge izpostavljenosti do centralnih bank, ki niso HQLA</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vse druge terjatve do centralnih bank razen tistih, ki se poročajo pod postavko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iz likvidnih sredstev</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Člen 428r(1)(a) in (b) do člena 428ae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tukaj poročajo likvidna sredstva v skladu z Delegirano uredbo (EU) 2015/61, ne glede na to, ali izpolnjujejo operativne zahteve iz člena 8 navedene delegirane uredbe.</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Sredstva stopnje 1, upravičena do 0 % odbitka pri LCR</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sredstva, primerna za likvidna sredstva stopnje 1, in delnice ali enote v KNP, ki so upravičeni do odbitka v višini 0 % na podlagi Delegirane uredbe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Neobremenjeno ali obremenjeno za preostalo zapadlost manj kot šestih mesecev</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1.2.1, povezan s sredstvi, ki so neobremenjena ali obremenjena za preostalo zapadlost manj kot šestih mesecev.</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Obremenjeno za preostalo zapadlost vsaj šestih mesecev in manj kot enega leta</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1.2.1, povezan s sredstvi, ki so obremenjena za preostalo zapadlost vsaj šestih mesecev in manj kot enega leta.</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Obremenjeno za preostalo zapadlost enega leta ali več</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1.2.1, povezan s sredstvi, ki so obremenjena za preostalo zapadlost enega leta ali več.</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Sredstva stopnje 1, upravičena do 5 % odbitka pri LCR</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delnice ali enote v KNP, ki so upravičene do odbitka v višini 5 % na podlagi Delegirane uredbe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Neobremenjeno ali obremenjeno za preostalo zapadlost manj kot šestih mesecev</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1.2.2, povezan s sredstvi, ki so neobremenjena ali obremenjena za preostalo zapadlost manj kot šestih mesecev.</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Obremenjeno za preostalo zapadlost vsaj šestih mesecev in manj kot enega leta</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1.2.2, povezan s sredstvi, ki so obremenjena za preostalo zapadlost vsaj šestih mesecev in manj kot enega leta.</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Obremenjeno za preostalo zapadlost enega leta ali več</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1.2.2, povezan s sredstvi, ki so obremenjena za preostalo zapadlost enega leta ali več.</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Sredstva stopnje 1, upravičena do 7 % odbitka pri LCR</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sredstva, ki so primerna za izjemno visokokakovostne krite obveznice stopnje 1 na podlagi Delegirane uredbe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Neobremenjeno ali obremenjeno za preostalo zapadlost manj kot šestih mesecev</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1.2.3, povezan s sredstvi, ki so neobremenjena ali obremenjena za preostalo zapadlost manj kot šestih mesecev.</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Obremenjeno za preostalo zapadlost vsaj šestih mesecev in manj kot enega leta</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1.2.3, povezan s sredstvi, ki so obremenjena za preostalo zapadlost vsaj šestih mesecev in manj kot enega leta.</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Obremenjeno za preostalo zapadlost enega leta ali več</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1.2.3, povezan s sredstvi, ki so obremenjena za preostalo zapadlost enega leta ali več.</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Sredstva stopnje 1, upravičena do 12 % odbitka pri LCR</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delnice ali enote v KNP, ki so upravičene do odbitka v višini 12 % na podlagi Delegirane uredbe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Neobremenjeno ali obremenjeno za preostalo zapadlost manj kot šestih mesecev</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1.2.4, povezan s sredstvi, ki so neobremenjena ali obremenjena za preostalo zapadlost manj kot šestih mesecev.</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Obremenjeno za preostalo zapadlost vsaj šestih mesecev in manj kot enega leta</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1.2.4, povezan s sredstvi, ki so obremenjena za preostalo zapadlost vsaj šestih mesecev in manj kot enega leta.</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Obremenjeno za preostalo zapadlost enega leta ali več</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1.2.4, ki je obremenjen za preostalo zapadlost enega leta ali več.</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Sredstva stopnje 2A, upravičena do 15 % odbitka pri LCR</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sredstva, ki so primerna za sredstva stopnje 2A na podlagi Delegirane uredbe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Neobremenjeno ali obremenjeno za preostalo zapadlost manj kot šestih mesecev</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1.2.5, povezan s sredstvi, ki so neobremenjena ali obremenjena za preostalo zapadlost manj kot šestih mesecev.</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Obremenjeno za preostalo zapadlost vsaj šestih mesecev in manj kot enega leta</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1.2.5, ki je obremenjen za preostalo zapadlost vsaj šestih mesecev in manj kot enega leta.</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Obremenjeno za preostalo zapadlost enega leta ali več</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1.2.5, povezan s sredstvi, ki so obremenjena za preostalo zapadlost enega leta ali več.</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Sredstva stopnje 2A, upravičena do 20 % odbitka pri LCR</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delnice ali enote v KNP, ki so upravičene do odbitka v višini 20 % na podlagi Delegirane uredbe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Neobremenjeno ali obremenjeno za preostalo zapadlost manj kot šestih mesecev</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Znesek, ki se poroča pod 1.2.6, povezan s sredstvi, ki so neobremenjena ali obremenjena za preostalo zapadlost manj kot šestih mesecev.</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Obremenjeno za preostalo zapadlost vsaj šestih mesecev in manj kot enega leta</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1.2.6, povezan s sredstvi, ki so obremenjena za preostalo zapadlost vsaj šestih mesecev in manj kot enega leta.</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Obremenjeno za preostalo zapadlost enega leta ali več</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1.2.6, povezan s sredstvi, ki so obremenjena za preostalo zapadlost enega leta ali več.</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Listinjenja stopnje 2B, upravičena do 25 % odbitka pri LCR</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listinjenja stopnje 2B, ki so upravičena do odbitka v višini 25 % na podlagi Delegirane uredbe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Neobremenjeno ali obremenjeno za preostalo zapadlost manj kot šestih mesecev</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1.2.7, povezan s sredstvi, ki so neobremenjena ali obremenjena za preostalo zapadlost manj kot šestih mesecev.</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Obremenjeno za preostalo zapadlost vsaj šestih mesecev in manj kot enega leta</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1.2.7, povezan s sredstvi, ki so obremenjena za preostalo zapadlost vsaj šestih mesecev in manj kot enega leta.</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Obremenjeno za preostalo zapadlost enega leta ali več</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1.2.7, povezan s sredstvi, ki so obremenjena za preostalo zapadlost enega leta ali več.</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Sredstva stopnje 2B, upravičena do 30 % odbitka pri LCR</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visokokakovostne krite obveznice in delnice ali enote v KNP, ki so upravičene do odbitka v višini 30 % na podlagi Delegirane uredbe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Neobremenjeno ali obremenjeno za preostalo zapadlost manj kot šestih mesecev</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Znesek, ki se poroča pod 1.2.8, povezan s sredstvi, ki so neobremenjena ali obremenjena za preostalo zapadlost manj kot šestih mesecev.</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Obremenjeno za preostalo zapadlost vsaj šestih mesecev in manj kot enega leta</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1.2.8, povezan s sredstvi, ki so obremenjena za preostalo zapadlost vsaj šestih mesecev in manj kot enega leta.</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Obremenjeno za preostalo zapadlost enega leta ali več</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1.2.8, povezan s sredstvi, ki so obremenjena za preostalo zapadlost enega leta ali več.</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Sredstva stopnje 2B, upravičena do 35 % odbitka pri LCR</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listinjenja stopnje 2B in delnice ali enote v KNP, ki so upravičeni do odbitka v višini 35 % na podlagi Delegirane uredbe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Neobremenjeno ali obremenjeno za preostalo zapadlost manj kot šestih mesecev</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1.2.9, povezan s sredstvi, ki so neobremenjena ali obremenjena za preostalo zapadlost manj kot šestih mesecev.</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Obremenjeno za preostalo zapadlost vsaj šestih mesecev in manj kot enega leta</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1.2.9, povezan s sredstvi, ki so obremenjena za preostalo zapadlost vsaj šestih mesecev in manj kot enega leta.</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Obremenjeno za preostalo zapadlost enega leta ali več</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1.2.9, povezan s sredstvi, ki so obremenjena za preostalo zapadlost enega leta ali več.</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Sredstva stopnje 2B, upravičena do 40 % odbitka pri LCR</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delnice ali enote v KNP, ki so upravičene do odbitka v višini 40 % na podlagi Delegirane uredbe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Neobremenjeno ali obremenjeno za preostalo zapadlost manj kot šestih mesecev</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1.2.10, povezan s sredstvi, ki so neobremenjena ali obremenjena za preostalo zapadlost manj kot šestih mesecev.</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Obremenjeno za preostalo zapadlost vsaj šestih mesecev in manj kot enega leta</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1.2.10, povezan s sredstvi, ki so obremenjena za preostalo zapadlost vsaj šestih mesecev in manj kot enega leta.</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Obremenjeno za preostalo zapadlost enega leta ali več</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1.2.10, povezan s sredstvi, ki so obremenjena za preostalo zapadlost enega leta ali več.</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Sredstva stopnje 2B, upravičena do 50 % odbitka pri LCR</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sredstva stopnje 2B na podlagi Delegirane uredbe (EU) 2015/61 razen listinjenj in visokokakovostnih kritih obveznic stopnje 2B.</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Neobremenjeno ali obremenjeno za preostalo zapadlost manj kot enega leta</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1.2.11, povezan s sredstvi, ki so neobremenjena ali obremenjena za preostalo zapadlost manj kot enega leta.</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Obremenjeno za preostalo zapadlost enega leta ali več</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1.2.11, povezan s sredstvi, ki so obremenjena za preostalo zapadlost enega leta ali več.</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Sredstva stopnje 2B, upravičena do 55 % odbitka pri LCR</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delnice ali enote v KNP, ki so upravičene do odbitka v višini 55 % na podlagi Delegirane uredbe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Sredstva, obremenjena za preostalo zapadlost enega leta ali več, v kritnem premoženju, financiranem s kritimi obveznicami iz člena 52(4) Direktive 2009/65/ES ali s kritimi obveznicami, ki izpolnjujejo zahteve glede upravičenosti do obravnave iz člena 129(4) ali (5) CRR, se ne poročajo tukaj, ampak pod postavko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Neobremenjeno ali obremenjeno za preostalo zapadlost manj kot enega leta</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Znesek, ki se poroča pod 1.2.12, povezan s sredstvi, ki so neobremenjena ali obremenjena za preostalo zapadlost manj kot enega leta.</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Obremenjeno za preostalo zapadlost enega leta ali več</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Znesek, ki se poroča pod 1.2.12, povezan s sredstvi, ki so obremenjena za preostalo zapadlost enega leta ali več.</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HQLA, obremenjena za preostalo zapadlost enega leta ali več, v kritnem premoženju</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428ag(h) CRR; znesek, ki se poroča pod 1.2, povezan s sredstvi, ki so obremenjena za preostalo zapadlost enega leta ali več, v kritnem premoženju, financiranem s kritimi obveznicami iz člena 52(4) Direktive 2009/65/ES ali s kritimi obveznicami, ki izpolnjujejo zahteve glede upravičenosti do obravnave iz člena 129(4) ali (5)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iz vrednostnih papirjev, ki niso likvidna sredstva</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428ag(e) in (f)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vrednostne papirje, pri katerih ni prišlo do neplačila v skladu s členom 178 CRR in ki niso likvidna sredstva na podlagi Delegirane uredbe (EU) 2015/61, ne glede na to, ali izpolnjujejo operativne zahteve iz navedene delegirane uredbe.</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Vrednostni papirji in lastniški instrumenti, s katerimi se trguje na borzi, ki niso HQLA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428ag(e) in (f) ter člen 428ah(1)(b)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poročan pod 1.3, ki je povezan z vrednostnimi papirji, ki niso HQLA, razen lastniških instrumentov, s katerimi se ne trguje na borzi, brez vrednostnih papirjev, poročanih pod postavko 1.3.3. Lastniški instrumenti, s katerimi se trguje na borzi, se poročajo v časovnem intervalu enega ali več kot enega leta.</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Neobremenjeno ali obremenjeno za preostalo zapadlost manj kot enega leta</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1.3.1, povezan s sredstvi, ki so neobremenjena ali obremenjena za preostalo zapadlost manj kot enega leta.</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Obremenjeno za preostalo zapadlost enega leta ali več</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Znesek, ki se poroča pod 1.3.1, povezan s sredstvi, ki so obremenjena za preostalo zapadlost enega leta ali več.</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Lastniški instrumenti, s katerimi se ne trguje na borzi, ki niso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428ah(1)(b) CRR; znesek, poročan pod 1.3, ki je povezan z lastniškimi instrumenti, s katerimi se ne trguje na borzi, brez vrednostnih papirjev, poročanih pod postavko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Vrednostni papirji, ki niso HQLA, obremenjeni za preostalo zapadlost enega leta ali več, v kritnem premoženju</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Člen 428ag(h) CRR; znesek, poročan pod 1.3, ki je povezan s sredstvi, ki so obremenjena za preostalo zapadlost enega leta ali več, v kritnem premoženju, financiranem s kritimi obveznicami iz člena 52(4) Direktive 2009/65/ES ali s kritimi obveznicami, ki izpolnjujejo zahteve glede upravičenosti do obravnave iz člena 129(4) ali (5)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iz kreditov</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zapadla denarna sredstva iz naslova kreditov, pri katerih ni prišlo do neplačila v skladu s členom 178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Kot je določeno v členu 428q(4) CRR, se za amortizacijo kreditov s preostalo pogodbeno zapadlostjo enega leta ali več kateri koli del, ki zapade v manj kot šestih mesecih, in kateri koli del, ki zapade v obdobju od šestih mesecev do enega leta, obravnavata, kot da imata preostalo zapadlost manj kot šestih mesecev oziroma od šestih mesecev do enega leta.</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Vloge za operativne namene</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428ad(b) in člen 428ah(1)(b) CRR; znesek, ki se poroča pod 1.4, povezan z vlogami, ki se obravnavajo kot vloge za operativne namene na podlagi Delegirane uredbe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Posli financiranja z vrednostnimi papirji s finančnimi strankami</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428e, člen 428r(1)(g) in člen 428s(1)(b) CRR; znesek, ki se poroča pod 1.4, povezan z zapadlimi denarnimi sredstvi iz naslova poslov financiranja z vrednostnimi papirji s finančnimi strankami.</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Zavarovano s sredstvi stopnje 1, upravičenimi do 0 % odbitka pri LCR</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428r(1)(g), člen 428ad(d) in člen 428ah(1)(b) CRR; znesek, ki se poroča pod 1.4.2, povezan s posli, zavarovanimi s sredstvi stopnje 1, upravičenimi do 0 % odbitka na podlagi Delegirane uredbe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Neobremenjeno ali obremenjeno za preostalo zapadlost manj kot šestih mesecev</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1.4.2.1, povezan s sredstvi, ki so neobremenjena ali obremenjena za preostalo zapadlost manj kot šestih mesecev.</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Obremenjeno za preostalo zapadlost vsaj šestih mesecev in manj kot enega leta</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1.4.2.1, povezan s sredstvi, ki so obremenjena za preostalo zapadlost vsaj šestih mesecev in manj kot enega leta.</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Obremenjeno za preostalo zapadlost enega leta ali več</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1.4.2.1, povezan s sredstvi, ki so obremenjena za preostalo zapadlost enega leta ali več.</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Zavarovano z drugimi sredstvi</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428s(1)(b), člen 428ad(d) in člen 428ah(1)(b) CRR; znesek, ki se poroča pod 1.4.2, povezan s posli, zavarovanimi s sredstvi, ki niso sredstva stopnje 1, upravičena do 0 % odbitka na podlagi Delegirane uredbe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Neobremenjeno ali obremenjeno za preostalo zapadlost manj kot šestih mesecev</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1.4.2.2, povezan s sredstvi, ki so neobremenjena ali obremenjena za preostalo zapadlost manj kot šestih mesecev.</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Obremenjeno za preostalo zapadlost vsaj šestih mesecev in manj kot enega leta</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Znesek, ki se poroča pod 1.4.2.2, povezan s sredstvi, ki so obremenjena za preostalo zapadlost vsaj šestih mesecev in manj kot enega leta.</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Obremenjeno za preostalo zapadlost enega leta ali več</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Znesek, ki se poroča pod 1.4.2.2, povezan s sredstvi, ki so obremenjena za preostalo zapadlost enega leta ali več.</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Drugi krediti in druga finančna sredstva finančnim strankam</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428v(a) in člen 428ad(d)(iii) CRR; znesek, poročan pod 1.4, ki izhaja iz drugih kreditov in drugih finančnih sredstev finančnim strankam, ki niso poročani pod 1.4.1 in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Sredstva, obremenjena za preostalo zapadlost enega leta ali več, v kritnem premoženju</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428ag(h) CRR; znesek, poročan pod 1.4, ki je povezan s sredstvi, ki so obremenjena za preostalo zapadlost enega leta ali več, v kritnem premoženju, financiranem s kritimi obveznicami iz člena 52(4) Direktive 2009/65/ES ali s kritimi obveznicami, ki izpolnjujejo zahteve glede upravičenosti do obravnave iz člena 129(4) ali (5)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Krediti nefinančnim strankam razen centralnih bank, če imajo ti krediti dodeljeno utež tveganja 35 % ali manj</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428ad(c) in člen 428af CRR; znesek, ki se poroča pod 1.4, povezan s krediti, zavarovanimi s hipotekami na stanovanjske nepremičnine, ali stanovanjskimi krediti, za katere v celoti jamči primeren dajalec zavarovanja iz člena 129(1)(e) CRR, ali krediti, razen kreditov finančnim strankam in kreditov iz členov 428r do 428ad CRR, ki se jim dodeli utež tveganja 35 % ali manj v skladu s poglavjem 2 naslova II dela 3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Od tega hipoteke na stanovanjske nepremičnine</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Znesek, ki se poroča pod 1.4.5, povezan z izpostavljenostmi, zavarovanimi s hipotekami na stanovanjske nepremičnine.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Neobremenjeno ali obremenjeno za preostalo zapadlost manj kot šestih mesecev</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1.4.5, povezan s sredstvi, ki so neobremenjena ali obremenjena za preostalo zapadlost manj kot šestih mesecev.</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Obremenjeno za preostalo zapadlost vsaj šestih mesecev in manj kot enega leta</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1.4.5, povezan s sredstvi, ki so obremenjena za preostalo zapadlost vsaj šestih mesecev in manj kot enega leta.</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Obremenjeno za preostalo zapadlost enega leta ali več</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1.4.5, povezan s sredstvi, ki so obremenjena za preostalo zapadlost enega leta ali več.</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Drugi krediti nefinančnim strankam razen centralnih bank</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428ad(c) in člen 428ag(c) CRR; znesek, ki se poroča pod 1.4.5, povezan s krediti nefinančnim strankam razen centralnih bank z utežjo tveganja več kot 35 % v skladu s poglavjem 2 naslova II dela 3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Od tega hipoteke na stanovanjske nepremičnine</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1.4.6, povezan z izpostavljenostmi, zavarovanimi s hipotekami na stanovanjske nepremičnine.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Neobremenjeno ali obremenjeno za preostalo zapadlost manj kot enega leta</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1.4.6, povezan s sredstvi, ki so neobremenjena ali obremenjena za preostalo zapadlost manj kot enega leta.</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Obremenjeno za preostalo zapadlost enega leta ali več</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1.4.6, povezan s sredstvi, ki so obremenjena za preostalo zapadlost enega leta ali več.</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Bilančni produkti, povezani s trgovinskim financiranjem</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428v(b), člen 428ad(e) in člen 428ag(d) CRR; znesek, ki je povezan s produkti v bilanci stanja, povezanimi s trgovinskim financiranjem.</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iz soodvisnih sredstev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428f in člen 428r(1)(f)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sredstva, ki so soodvisna z obveznostmi v skladu s členom 428f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Centralizirani regulirani prihranki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428f(2)(a) CRR; znesek, ki se poroča pod 1.5, povezan s centraliziranimi reguliranimi prihranki.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Promocijski krediti ter okvirni krediti in okvirni likvidnostni krediti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428f(2)(b) CRR; znesek, ki se poroča pod 1.5, povezan s promocijskimi krediti ter okvirnimi krediti in okvirnimi likvidnostnimi krediti.</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Krite obveznice, ki izpolnjujejo pogoje</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428f(2)(c) CRR; znesek, ki se poroča pod 1.5, povezan s kritimi obveznicami, ki izpolnjujejo pogoje.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Dejavnosti kliringa izvedenih finančnih instrumentov za stranke</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428f(2)(d) CRR; znesek, ki se poroča pod 1.5, povezan z dejavnostmi kliringa izvedenih finančnih instrumentov za stranke.</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Drugo</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428f(1) CRR; znesek, ki se poroča pod 1.5, povezan s sredstvi, ki niso navedena v postavkah 1.5.1 do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iz sredstev iz skupine ali institucionalne sheme za zaščito vlog, če zanje velja ugodnejša obravnava</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sredstva, za katera so pristojni organi dovolili ugodnejšo obravnavo v skladu s členom 428h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iz izvedenih finančnih instrumentov</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428d, člen 428s(2), člen 428ag(a) in člen 428ah(2)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znesek potrebnega stabilnega financiranja, ki izhaja iz izvedenih finančnih instrumentov.</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Potrebno stabilno financiranje za obveznosti iz izvedenih finančnih instrumentov</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poročan pod 1.7, ki je absolutna poštena vrednost nizov pobotov z negativno pošteno vrednostjo, izračunana v skladu s členom 428s(2)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glede na sredstva iz naslova izvedenih finančnih instrumentov</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428d CRR; znesek, ki se poroča pod 1.7, izračunan kot pozitivna razlika med nizi pobotov, izračunana v skladu s členom 428ah(2)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Dano začetno kritje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428ag(a) CRR; znesek, ki se poroča pod 1.7, povezan z začetnim kritjem za pogodbe o izvedenih finančnih instrumentih.</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iz prispevkov v jamstveni sklad CNS</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428ag(b)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Institucije tukaj poročajo postavke, dane kot prispevek v jamstveni sklad CNS.</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iz drugih sredstev</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vsa sredstva, ki niso navedena pod postavkami 1.1 do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Blago, s katerim se fizično trguje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Člen 428ag(g) CRR; znesek, ki se poroča pod 1.9, povezan z blagom, s katerim se fizično trguje.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Ta postavka ne vključuje izvedenih finančnih instrumentov na blago, ki spadajo pod postavko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Neobremenjeno ali obremenjeno za preostalo zapadlost manj kot enega leta</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1.9.1, povezan s sredstvi, ki so neobremenjena ali obremenjena za preostalo zapadlost manj kot enega leta.</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Obremenjeno za preostalo zapadlost enega leta ali več</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1.9.1, povezan s sredstvi, ki so obremenjena za preostalo zapadlost enega leta ali več.</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Terjatve, ki zapadejo na dan sklenitve posla</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428r(1)(e) CRR; znesek, ki se poroča pod 1.9, povezan s terjatvami, ki zapadejo na dan sklenitve posla.</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Nedonosna sredstva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428ah(1)(b) CRR; znesek, ki se poroča pod 1.9, povezan z nedonosnimi sredstvi.</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Druga sredstva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428ah(1)(b) CRR; znesek, ki se poroča pod 1.9, povezan s sredstvi, ki niso navedena v postavkah 1.9.1 do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RSF iz </w:t>
            </w:r>
            <w:proofErr w:type="spellStart"/>
            <w:r>
              <w:rPr>
                <w:rFonts w:ascii="Times New Roman" w:hAnsi="Times New Roman"/>
                <w:b/>
                <w:sz w:val="24"/>
                <w:szCs w:val="24"/>
                <w:u w:val="thick" w:color="000000"/>
              </w:rPr>
              <w:t>zunajbilančnih</w:t>
            </w:r>
            <w:proofErr w:type="spellEnd"/>
            <w:r>
              <w:rPr>
                <w:rFonts w:ascii="Times New Roman" w:hAnsi="Times New Roman"/>
                <w:b/>
                <w:sz w:val="24"/>
                <w:szCs w:val="24"/>
                <w:u w:val="thick" w:color="000000"/>
              </w:rPr>
              <w:t xml:space="preserve"> postavk</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Institucije tukaj poročajo znesek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ki niso navedene pod postavkami 1.1 do 1.9, ki so predmet zahtev glede potrebnega stabilnega financiranja.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Odobreni okvirni krediti v okviru skupine ali institucionalne sheme za zaščito vlog, če zanje velja ugodnejša obravnava</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1.10, povezan z odobrenimi okvirnimi krediti, za katere so pristojni organi dovolili ugodnejšo obravnavo v skladu s členom 428h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Odobreni okvirni krediti</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428s(1)(c) CRR; znesek, ki se poroča pod 1.10, povezan z odobrenimi okvirnimi krediti v skladu z Delegirano uredbo (EU) 2015/61, ki niso poročani pod postavko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1.10.3 </w:t>
            </w:r>
            <w:proofErr w:type="spellStart"/>
            <w:r>
              <w:rPr>
                <w:rFonts w:ascii="Times New Roman" w:hAnsi="Times New Roman"/>
                <w:b/>
                <w:sz w:val="24"/>
                <w:szCs w:val="24"/>
                <w:u w:val="thick" w:color="000000"/>
              </w:rPr>
              <w:t>Zunajbilančne</w:t>
            </w:r>
            <w:proofErr w:type="spellEnd"/>
            <w:r>
              <w:rPr>
                <w:rFonts w:ascii="Times New Roman" w:hAnsi="Times New Roman"/>
                <w:b/>
                <w:sz w:val="24"/>
                <w:szCs w:val="24"/>
                <w:u w:val="thick" w:color="000000"/>
              </w:rPr>
              <w:t xml:space="preserve"> postavke, povezane s trgovinskim financiranjem</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Člen 428s(1)(d), člen 428u in člen 428v(c) CRR; znesek, ki se poroča pod 1.10, povezan z </w:t>
            </w:r>
            <w:proofErr w:type="spellStart"/>
            <w:r>
              <w:rPr>
                <w:rFonts w:ascii="Times New Roman" w:hAnsi="Times New Roman"/>
                <w:sz w:val="24"/>
                <w:szCs w:val="24"/>
              </w:rPr>
              <w:t>zunajbilančnimi</w:t>
            </w:r>
            <w:proofErr w:type="spellEnd"/>
            <w:r>
              <w:rPr>
                <w:rFonts w:ascii="Times New Roman" w:hAnsi="Times New Roman"/>
                <w:sz w:val="24"/>
                <w:szCs w:val="24"/>
              </w:rPr>
              <w:t xml:space="preserve"> postavkami iz naslova trgovinskega financiranja iz Priloge I k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1.10.4 Nedonosne </w:t>
            </w:r>
            <w:proofErr w:type="spellStart"/>
            <w:r>
              <w:rPr>
                <w:rFonts w:ascii="Times New Roman" w:hAnsi="Times New Roman"/>
                <w:b/>
                <w:sz w:val="24"/>
                <w:szCs w:val="24"/>
                <w:u w:val="thick" w:color="000000"/>
              </w:rPr>
              <w:t>zunajbilančne</w:t>
            </w:r>
            <w:proofErr w:type="spellEnd"/>
            <w:r>
              <w:rPr>
                <w:rFonts w:ascii="Times New Roman" w:hAnsi="Times New Roman"/>
                <w:b/>
                <w:sz w:val="24"/>
                <w:szCs w:val="24"/>
                <w:u w:val="thick" w:color="000000"/>
              </w:rPr>
              <w:t xml:space="preserve"> postavke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Člen 428ah(1)(b) CRR; znesek, ki se poroča pod 1.10, povezan z nedonosnimi </w:t>
            </w:r>
            <w:proofErr w:type="spellStart"/>
            <w:r>
              <w:rPr>
                <w:rFonts w:ascii="Times New Roman" w:hAnsi="Times New Roman"/>
                <w:sz w:val="24"/>
                <w:szCs w:val="24"/>
              </w:rPr>
              <w:t>zunajbilančnimi</w:t>
            </w:r>
            <w:proofErr w:type="spellEnd"/>
            <w:r>
              <w:rPr>
                <w:rFonts w:ascii="Times New Roman" w:hAnsi="Times New Roman"/>
                <w:sz w:val="24"/>
                <w:szCs w:val="24"/>
              </w:rPr>
              <w:t xml:space="preserve"> izpostavljenostmi.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1.10.5 Druge </w:t>
            </w:r>
            <w:proofErr w:type="spellStart"/>
            <w:r>
              <w:rPr>
                <w:rFonts w:ascii="Times New Roman" w:hAnsi="Times New Roman"/>
                <w:b/>
                <w:sz w:val="24"/>
                <w:szCs w:val="24"/>
                <w:u w:val="thick" w:color="000000"/>
              </w:rPr>
              <w:t>zunajbilančne</w:t>
            </w:r>
            <w:proofErr w:type="spellEnd"/>
            <w:r>
              <w:rPr>
                <w:rFonts w:ascii="Times New Roman" w:hAnsi="Times New Roman"/>
                <w:b/>
                <w:sz w:val="24"/>
                <w:szCs w:val="24"/>
                <w:u w:val="thick" w:color="000000"/>
              </w:rPr>
              <w:t xml:space="preserve"> izpostavljenosti, za katere je pristojni organ določil faktorje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Znesek, ki se poroča pod 1.10, ki predstavlja </w:t>
            </w:r>
            <w:proofErr w:type="spellStart"/>
            <w:r>
              <w:rPr>
                <w:rFonts w:ascii="Times New Roman" w:hAnsi="Times New Roman"/>
                <w:sz w:val="24"/>
                <w:szCs w:val="24"/>
              </w:rPr>
              <w:t>zunajbilančne</w:t>
            </w:r>
            <w:proofErr w:type="spellEnd"/>
            <w:r>
              <w:rPr>
                <w:rFonts w:ascii="Times New Roman" w:hAnsi="Times New Roman"/>
                <w:sz w:val="24"/>
                <w:szCs w:val="24"/>
              </w:rPr>
              <w:t xml:space="preserve"> izpostavljenosti, za katere je pristojni organ določil faktorje RSF v skladu s členom 428p(10) CRR.</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8" w:name="_Toc58583228"/>
      <w:r>
        <w:rPr>
          <w:rFonts w:ascii="Times New Roman" w:hAnsi="Times New Roman"/>
          <w:b/>
          <w:sz w:val="24"/>
          <w:szCs w:val="24"/>
        </w:rPr>
        <w:t>DEL III: RAZPOLOŽLJIVO STABILNO FINANCIRANJE</w:t>
      </w:r>
      <w:bookmarkEnd w:id="18"/>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58583229"/>
      <w:r>
        <w:rPr>
          <w:rFonts w:ascii="Times New Roman" w:hAnsi="Times New Roman"/>
          <w:b/>
          <w:sz w:val="24"/>
          <w:szCs w:val="24"/>
        </w:rPr>
        <w:t>Posebne opombe</w:t>
      </w:r>
      <w:bookmarkEnd w:id="19"/>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Vse obveznosti in kapital se poročajo razčlenjeno glede na njihovo preostalo zapadlost v skladu s členom 428j CRR. Žepki zapadlosti za zneske, standardne faktorje razpoložljivega stabilnega financiranja (ASF) in veljavne faktorje ASF so naslednji:</w:t>
      </w:r>
    </w:p>
    <w:p w14:paraId="1F3E313C" w14:textId="77777777" w:rsidR="000D128D" w:rsidRPr="00A0098D" w:rsidRDefault="000D128D" w:rsidP="00A0098D">
      <w:pPr>
        <w:pStyle w:val="InstructionsText2"/>
        <w:numPr>
          <w:ilvl w:val="2"/>
          <w:numId w:val="24"/>
        </w:numPr>
        <w:rPr>
          <w:sz w:val="24"/>
        </w:rPr>
      </w:pPr>
      <w:r>
        <w:rPr>
          <w:sz w:val="24"/>
        </w:rPr>
        <w:t>preostala zapadlost manj kot šest mesecev ali ni navedena;</w:t>
      </w:r>
    </w:p>
    <w:p w14:paraId="2FF39CD8" w14:textId="77777777" w:rsidR="000D128D" w:rsidRPr="00A0098D" w:rsidRDefault="000D128D" w:rsidP="00A0098D">
      <w:pPr>
        <w:pStyle w:val="InstructionsText2"/>
        <w:numPr>
          <w:ilvl w:val="2"/>
          <w:numId w:val="24"/>
        </w:numPr>
        <w:rPr>
          <w:sz w:val="24"/>
        </w:rPr>
      </w:pPr>
      <w:r>
        <w:rPr>
          <w:sz w:val="24"/>
        </w:rPr>
        <w:t>preostala zapadlost vsaj šest mesecev in manj kot eno leto;</w:t>
      </w:r>
    </w:p>
    <w:p w14:paraId="2FD4E056" w14:textId="77777777" w:rsidR="000D128D" w:rsidRPr="00A0098D" w:rsidRDefault="000D128D" w:rsidP="00A0098D">
      <w:pPr>
        <w:pStyle w:val="InstructionsText2"/>
        <w:numPr>
          <w:ilvl w:val="2"/>
          <w:numId w:val="24"/>
        </w:numPr>
        <w:rPr>
          <w:sz w:val="24"/>
        </w:rPr>
      </w:pPr>
      <w:r>
        <w:rPr>
          <w:sz w:val="24"/>
        </w:rPr>
        <w:t xml:space="preserve">preostala zapadlost eno leto ali več.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Za vse obveznosti s preostalo zapadlostjo enega leta ali več se uporablja faktor ASF v višini 100 %, razen če je drugače določeno v členih 428k do 428n CRR, v skladu s členom 428o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Pr>
          <w:rFonts w:ascii="Times New Roman" w:hAnsi="Times New Roman"/>
          <w:sz w:val="24"/>
        </w:rPr>
        <w:t>Vse vpogledne vloge se poročajo v žepku, ki se nanaša na obveznosti s preostalo zapadlostjo manj kot šestih mesecev.</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428j(2) CRR institucije pri določanju preostale zapadlosti obveznosti ali kapitala upoštevajo obstoječe opcije. To storijo ob predpostavki, da bo nasprotna stranka nakupne opcije izkoristila na najzgodnejši možni datum. Pri opcijah, ki se lahko izvršijo po lastni presoji institucije, institucija in pristojni organi upoštevajo dejavnike ugleda, ki bi lahko omejili možnost institucije, da ne izvrši opcije, zlasti tržna pričakovanja, da bi morale institucije nekatere obveznosti izpolniti pred njihovo zapadlostjo.</w:t>
      </w:r>
      <w:bookmarkEnd w:id="20"/>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Poleg tega se, kot je določeno v členu 428o CRR, postavkam dodatnega temeljnega kapitala, postavkam dodatnega kapitala in vsem drugim kapitalskim instrumentom z izrecnimi ali vgrajenimi opcijami, ki bi, če bi jih izvršili (tudi če na referenčni datum poročanja še niso izvršene), skrajšale dejansko preostalo zapadlost na referenčni datum poročanja na manj kot eno leto, ne dodeli faktor ASF v višini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428j(3) CRR institucije obravnavajo vloge z določenim odpovednim rokom v skladu z njihovim odpovednim rokom, vezane vloge pa v skladu z njihovo preostalo zapadlostjo. Z odstopanjem od odstavka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institucije pri določanju preostale zapadlosti vezanih vlog na drobno ne upoštevajo opcij za predčasne dvige, pri katerih mora vlagatelj za predčasne dvige, ki jih opravi v manj kot enem letu, plačati pomembno kazen, kot je določena v členu 25(4) Delegirane uredbe (EU)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Drevo odločanja za predlogo za poročanje C 81.00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vmesni seštevki in postavke „od tega“, vendar to ne pomeni, da jih ni treba poročati.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Št.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Postavka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Odločitev</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Dejanje</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Navadni lastniški temeljni 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Dodatni temeljni kapital?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Dodatni 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Drugi kapitalski instrumenti?</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Obveznost, povezana z zavarovanjem s premoženjem, prejetim kot gibljivo kritje za izvedene finančne instrumente?</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Obveznosti, ki zapadejo na dan sklenitve posla?</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št.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Soodvisna obveznost?</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2.8.</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Obveznosti in odobreni okvirni krediti znotraj skupine ali institucionalne sheme za zaščito vlog, za katere je pristojni organ dovolil ugodnejšo obravnavo?</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 glede na obveznosti iz naslova izvedenih finančnih instrumentov?</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Odložene obveznosti za davek?</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Manjšinski deleži?</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Stabilne vloge na drobno?</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Druge vloge na drobno?</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Obveznosti, pri katerih ni mogoče določiti nasprotne stranke?</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Obveznosti, ki jih zagotovijo centralne banke?</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pod id. št. 2.5.1 ali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Obveznosti, ki jih zagotovijo finančne stranke?</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eno od ustreznih postavk pod id. št. 2.5.3.</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Obveznosti nefinančnih strank razen centralnih bank?</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Razvrstite v ustrezno postavko pod id. št.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Katere koli druge obveznosti, ki niso obravnavane v zgornjih kategorijah?</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ne poroča.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58583230"/>
      <w:r>
        <w:rPr>
          <w:rFonts w:ascii="Times New Roman" w:hAnsi="Times New Roman"/>
          <w:b/>
          <w:sz w:val="24"/>
          <w:szCs w:val="24"/>
        </w:rPr>
        <w:t>Navodila za posamezne stolpce</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Znesek</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Institucije v stolpcih 0010–0030 poročajo znesek obveznosti in kapitala, dodeljen v ustrezni žepek preostale zapadlosti.</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Standardni faktor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Standardni faktorji v stolpcih 0040–0060 so privzeti faktorji iz poglavja 3 naslova IV dela 6 CRR, ki bi določili del zneska obveznosti in kapitala, ki sestavlja razpoložljivo stabilno financiranje. Navedeni so zgolj za informacijo, institucije pa jih ne izpolnijo.</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Veljavni faktor ASF</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Poglavje 2 in 3 naslova IV dela 6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Institucije v stolpcih 0070–0090 poročajo veljavne faktorje ASF iz poglavja 3 naslova IV dela 6 CRR kot uteži, ki bi, pomnožene z zneskom obveznosti ali kapitala, določile znesek ustreznega razpoložljivega stabilnega financiranja. Veljavni faktorji so lahko podlaga za vrednosti tehtanega povprečja in se poročajo z decimalkami (tj. 1,00 za utež v višini 100 odstotkov ali 0,50 za utež v višini 50 odstotkov). Veljavni faktorji lahko odražajo za podjetje specifične in nacionalne preudarke, vendar niso omejeni nanje.</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Razpoložljivo stabilno financiranje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Institucije v stolpcu 0100 poročajo vrednost razpoložljivega stabilnega financiranja v skladu z opredelitvijo iz člena 428i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To se izračuna z naslednjo formulo:</w:t>
            </w:r>
            <w:r>
              <w:t xml:space="preserve"> </w:t>
            </w:r>
            <w:r>
              <w:br/>
            </w:r>
            <w:r>
              <w:rPr>
                <w:rFonts w:ascii="Times New Roman" w:hAnsi="Times New Roman"/>
                <w:sz w:val="24"/>
                <w:szCs w:val="24"/>
              </w:rPr>
              <w:t>s0100 = VSOTA {(s0010 * s0070), (s0020 * s0080), (s0030 * s0090)}.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583231"/>
      <w:r>
        <w:rPr>
          <w:rFonts w:ascii="Times New Roman" w:hAnsi="Times New Roman"/>
          <w:b/>
          <w:sz w:val="24"/>
          <w:szCs w:val="24"/>
        </w:rPr>
        <w:t>Navodila za posamezne vrstice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RAZPOLOŽLJIVO STABILNO FINANCIRANJE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Poglavje 3 naslova IV dela 6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iz kapitalskih postavk in instrumentov</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tukaj poročajo vsoto postavk, poročanih pod 2.1.1 do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Navadni lastniški temeljni 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428o(a) CRR; Postavke navadnega lastniškega temeljnega kapitala pred uporabo bonitetnih filtrov, odbitkov ter izvzetij ali drugih možnosti iz členov 32 do 36, 48, 49 in 79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Dodatni temeljni kapital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428o(b) in člen 428k(3)(d) CRR; postavke dodatnega temeljnega kapitala pred uporabo odbitkov ter izvzetij iz členov 56 in 79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Dodatni 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428o(c) in člen 428k(3)(d) CRR; postavke dodatnega kapitala pred uporabo odbitkov ter izvzetij iz členov 66 in 79 CRR ter s preostalo zapadlostjo enega leta ali več na referenčni datum poročanja.</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Drugi kapitalski instrumenti</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428o(d) in člen 428k(3)(d) CRR; drugi kapitalski instrumenti s preostalo zapadlostjo enega leta ali več na referenčni datum poročanja.</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iz vlog na drobno</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tukaj poročajo vsoto postavk, poročanih pod 2.2.1 in 2.2.2. Ta postavka vključuje tako nezavarovane kot zavarovane obveznosti.</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Od tega obveznice za male vlagatelje</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tukaj poročajo obveznice in druge izdane dolžniške vrednostne papirje, ki se prodajajo izključno na trgu za male vlagatelje ter so na računu za male vlagatelje. Te obveznice za male vlagatelje se poročajo tudi v ustrezni kategoriji vlog na drobno kot „stabilne vloge na drobno“ ali „druge vloge na drobno“ pod postavko 2.2.1 oziroma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Stabilne vloge na drobno</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Komisije (EU) 2015/61, pri čemer:</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te vloge ne izpolnjujejo meril za višjo stopnjo odliva v skladu s členom 25(2), (3) ali (5) Delegirane uredbe Komisije (EU) 2015/61, ker bi se v tem primeru poročale kot „druge vloge na drobno“, ali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te vloge niso v tretjih državah, kjer se uporablja višji odliv v skladu s členom 25(5) Delegirane uredbe (EU) 2015/61, ker bi se v tem primeru poročale kot „druge vloge na drobno“.</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Od tega s pomembno kaznijo za predčasni dvig</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428j(3)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Stabilne vloge na drobno, ki se lahko predčasno dvignejo v manj kot enem letu ob plačilu kazni, ki je bila ocenjena kot pomembna v skladu s členom 25(4) Delegirane uredbe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Druge vloge na drobno</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428m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poročajo znesek drugih vlog na drobno, ki niso zajete v „stabilnih vlogah na drobno“ pod postavko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Od tega s pomembno kaznijo za predčasni dvig</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„Druge vloge na drobno“, ki se lahko predčasno dvignejo v manj kot enem letu ob plačilu kazni, ki je bila ocenjena kot pomembna v skladu s členom 25(4) Delegirane uredbe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od drugih nefinančnih strank (razen centralnih bank)</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428l CRR; obveznosti, ki jih zagotovijo velike institucionalne nefinančne stranke (razen centralnih bank).</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tukaj poročajo vsoto postavk 2.3.1 do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Od tega posli financiranja z vrednostnimi papirji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428e, člen 428r(1)(g) in člen 428s(1)(b) CRR; znesek, ki se poroča pod 2.3, povezan z zapadlimi denarnimi sredstvi iz naslova poslov financiranja z vrednostnimi papirji z nefinančnimi strankami.</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Od tega vloge za operativne namene</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Znesek, poročan pod 2.3, ki se zagotovi v obliki vlog za operativne namene in je potreben za opravljanje operativnih storitev iz člena 27 Delegirane uredbe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Obveznosti, ki jih zagotovi enota centralne ravni države članice ali tretje države</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Člen 428l(b)(i) CRR; znesek, poročan pod 2.3, ki ga zagotovi enota centralne ravni države članice ali tretje države.</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Obveznosti, ki jih zagotovijo enote regionalne ali lokalne ravni države članice ali tretje države</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Člen 428l(b)(ii) CRR; znesek, poročan pod 2.3, ki ga zagotovijo enote regionalne ali lokalne ravni države članice ali tretje države.</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Obveznosti, ki jih zagotovijo subjekti javnega sektorja države članice ali tretje države</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Člen 428l(b)(iii) CRR; znesek, poročan pod 2.3, ki ga zagotovijo subjekti javnega sektorja države članice ali tretje države.</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Obveznosti, ki jih zagotovijo multilateralne razvojne banke in mednarodne organizacije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Člen 428l(b)(iv) CRR; znesek, poročan pod 2.3, ki ga zagotovijo multilateralne razvojne banke in mednarodne organizacije.</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Obveznosti, ki jih zagotovijo nefinančne podjetniške stranke</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Člen 428l(b)(v) CRR; znesek, poročan pod 2.3, ki ga zagotovijo nefinančne podjetniške stranke.</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Obveznosti, ki jih zagotovijo kreditne zadruge, osebna investicijska podjetja in stranke, ki so posredniki pri vlogah</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Člen 428l(b)(vi) CRR; znesek, poročan pod 2.3, ki ga zagotovijo kreditne zadruge, osebna investicijska podjetja in stranke, ki so posredniki pri vlogah.</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ASF iz obveznosti in odobrenih okvirnih kreditov v okviru skupine ali institucionalne sheme za zaščito vlog, če zanje velja ugodnejša obravnava</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428h CRR. Institucije tukaj poročajo obveznosti in odobrene okvirne kredite, za katere je pristojni organ dovolil ugodnejšo obravnavo iz člena 428h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od finančnih strank in centralnih bank</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vsoto postavk, poročanih pod 2.5.1 do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Od tega vpogledne vloge, ki jih član mreže zagotovi centralni instituciji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428g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Centralne institucije v institucionalni shemi za zaščito vlog ali v zadružni mreži poročajo vpogledne vloge, prejete s strani institucij, ki pripadajo tej institucionalni shemi za zaščito vlog ali zadružni mreži, ki jih institucija vlagateljica obravnava kot likvidna sredstva v skladu s členom 16 Delegirane uredbe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Obveznosti, ki jih zagotovi ECB ali centralna banka države članice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428k(3)(c)(i) in člen 428l(c)(i) CRR; obveznosti, ki jih zagotovi ECB ali centralna banka države članice, ne glede na to, ali so povezane s posli financiranja z vrednostnimi papirji.</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Obveznosti, ki jih zagotovi centralna banka tretje države</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428k(3)(c)(ii) in člen 428l(c)(ii) CRR; obveznosti, ki jih zagotovi centralna banka tretje države, ne glede na to, ali so povezane s posli financiranja z vrednostnimi papirji.</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Obveznosti, ki jih zagotovijo finančne stranke</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Člen 428k(3)(c)(iii) in člen 428l(c)(iii) CRR; obveznosti, ki jih zagotovijo finančne stranke, ne glede na to, ali so povezane s posli financiranja z vrednostnimi papirji.</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Vloge za operativne namene</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428l(a)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Institucije tukaj poročajo del vlog za operativne namene od finančnih strank v skladu s členom 27 Delegirane uredbe (EU) 2015/61, ki je potreben za zagotavljanje operativnih storitev. Vloge, ki izhajajo iz korespondenčnega bančništva ali zagotavljanja posredniških storitev, se štejejo za vloge za </w:t>
            </w:r>
            <w:proofErr w:type="spellStart"/>
            <w:r>
              <w:rPr>
                <w:rFonts w:ascii="Times New Roman" w:hAnsi="Times New Roman"/>
                <w:sz w:val="24"/>
                <w:szCs w:val="24"/>
              </w:rPr>
              <w:t>neoperativne</w:t>
            </w:r>
            <w:proofErr w:type="spellEnd"/>
            <w:r>
              <w:rPr>
                <w:rFonts w:ascii="Times New Roman" w:hAnsi="Times New Roman"/>
                <w:sz w:val="24"/>
                <w:szCs w:val="24"/>
              </w:rPr>
              <w:t xml:space="preserve"> namene v skladu s členom 27(5) Delegirane uredbe (EU) 2015/61 in se poročajo pod postavko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Vloge za operativne namene v skladu s členom 27(1)(c) Delegirane uredbe Komisije (EU) 2015/61 se ne poročajo tukaj ampak pod postavko 2.3. „ASF od drugih nefinančnih strank (razen centralnih bank)“.</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Del vlog za operativne namene, ki presegajo znesek, potreben za zagotavljanje operativnih storitev, se ne poroča tukaj, ampak pod postavko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Presežne vloge za operativne namene</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tukaj poročajo del vlog za operativne namene od finančnih strank, ki presegajo tiste, ki so potrebne za zagotavljanje operativnih storitev.</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Vloge za operativne namene v skladu s členom 27(1)(c) Delegirane uredbe Komisije (EU) 2015/61 se ne poročajo tukaj ampak pod postavko 2.3. „ASF od drugih nefinančnih strank (razen centralnih bank)“.</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Druge obveznosti</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obveznosti, ki jih zagotovi finančna stranka, ki niso operativne vloge, pri katerih je mogoče identificirati nasprotno stranko.</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Del vlog za operativne namene, ki presegajo tiste, potrebne za zagotavljanje operativnih storitev, se ne poroča tukaj, ampak pod postavko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iz zagotovljenih obveznosti, pri katerih ni mogoče določiti nasprotne stranke</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428k(3)(d) ter člen 428l(d)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tukaj poročajo obveznosti, pri katerih se ne more določiti nasprotne stranke, vključno z izdanimi vrednostnimi papirji, pri katerih ni mogoče identificirati imetnika.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iz neto obveznosti iz izvedenih finančnih instrumentov</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Negativna razlika med nizi pobotov, izračunana v skladu s členom 428k(4)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iz soodvisnih obveznosti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obveznosti, ki so soodvisne s sredstvi v skladu s členom 428f CRR. Institucije tukaj poročajo vsoto postavk 2.8.1 do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Centralizirani regulirani prihranki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Obveznosti, povezane s centraliziranimi reguliranimi prihranki, ki se morajo obravnavati kot soodvisne s sredstvi v skladu s členom 428f(2)(a)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Promocijski krediti ter ustrezni okvirni krediti in okvirni likvidnostni krediti</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Obveznosti, povezane s promocijskimi krediti ter okvirnimi krediti in okvirnimi likvidnostnimi krediti, ki so soodvisne s sredstvi v skladu s členom 428f(2)(b)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Krite obveznice, ki izpolnjujejo pogoje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Obveznosti, povezane s kritimi obveznicami, ki se morajo obravnavati kot soodvisne s sredstvi v skladu s členom 428f(2)(c)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Dejavnosti kliringa izvedenih finančnih instrumentov za stranke</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Obveznosti, povezane z dejavnostmi kliringa izvedenih finančnih instrumentov za stranke, ki se morajo obravnavati kot soodvisne s sredstvi v skladu s členom 428f(2)(d)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Drugo</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Obveznosti, ki izpolnjujejo vse pogoje iz člena 428f(1) CRR in ki se morajo obravnavati kot soodvisne s sredstvi v skladu s členom 428f(1)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iz drugih obveznosti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vsoto postavk, poročanih pod 2.9.1 do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Obveznosti, ki zapadejo na dan sklenitve posla</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428k(3)(a)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tukaj poročajo obveznosti iz nakupa finančnih instrumentov, tujih valut in blaga, ki zapadejo na dan sklenitve posla in za katere se pričakuje, da bodo poravnane v standardnem obdobju poravnave ali v obdobju, ki je običajno za zadevno izmenjavo ali vrsto poslov, ali ki še niso poravnane, vendar se še vedno pričakuje, da bodo.</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Odložene obveznosti za davek</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428k(1)(a)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odložene obveznosti za davek in kot preostalo zapadlost upoštevajo prvi možen datum, na katerega se lahko realizira njihov znesek.</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Manjšinski deleži</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428k(1)(b)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manjšinske deleže in kot preostalo zapadlost štejejo trajanje instrumenta.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Druge obveznosti</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428k(1) in člen 428k(3)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druge obveznosti, vključno s kratkimi pozicijami in pozicijami z neopredeljeno zapadlostjo.</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3" w:name="_Toc58583232"/>
      <w:r>
        <w:rPr>
          <w:rFonts w:ascii="Times New Roman" w:hAnsi="Times New Roman"/>
          <w:b/>
          <w:sz w:val="24"/>
          <w:szCs w:val="24"/>
        </w:rPr>
        <w:t>DEL IV: POTREBNO STABILNO FINANCIRANJE, POENOSTAVLJENO</w:t>
      </w:r>
      <w:bookmarkEnd w:id="23"/>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58583233"/>
      <w:r>
        <w:rPr>
          <w:rFonts w:ascii="Times New Roman" w:hAnsi="Times New Roman"/>
          <w:b/>
          <w:sz w:val="24"/>
          <w:szCs w:val="24"/>
        </w:rPr>
        <w:t>Posebne opombe</w:t>
      </w:r>
      <w:bookmarkEnd w:id="24"/>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v ustrezni kategoriji poročajo vsa sredstva, ki jih obdržijo v dejanski lasti, tudi če niso obračunana v njihovi bilanci stanja. Sredstva, ki jih institucije ne obdržijo v dejanski lasti, se ne poročajo, tudi če so ta sredstva obračunana v njihovi bilanci stanja.</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V skladu s členom 428aq CRR se, razen če je v poglavju 7 naslova IV dela 6 CRR drugače določeno, znesek potrebnega stabilnega financiranja (RSF) izračuna tako, da se znesek sredstev in </w:t>
      </w:r>
      <w:proofErr w:type="spellStart"/>
      <w:r>
        <w:rPr>
          <w:rFonts w:ascii="Times New Roman" w:hAnsi="Times New Roman"/>
          <w:sz w:val="24"/>
        </w:rPr>
        <w:t>zunajbilančnih</w:t>
      </w:r>
      <w:proofErr w:type="spellEnd"/>
      <w:r>
        <w:rPr>
          <w:rFonts w:ascii="Times New Roman" w:hAnsi="Times New Roman"/>
          <w:sz w:val="24"/>
        </w:rPr>
        <w:t xml:space="preserve"> postavk pomnoži s faktorji potrebnega stabilnega financiranja.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Sredstva, ki izpolnjujejo pogoje za likvidna sredstva (HQLA) v skladu z Delegirano uredbo (EU) 2015/61, se poročajo kot taka ne glede na to, ali izpolnjujejo operativne zahteve iz člena 8 navedene delegirane uredbe. Ta sredstva se poročajo v za to namenjenih stolpcih ne glede na njihovo preostalo zapadlost.</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Vsa sredstva in </w:t>
      </w:r>
      <w:proofErr w:type="spellStart"/>
      <w:r>
        <w:rPr>
          <w:rFonts w:ascii="Times New Roman" w:hAnsi="Times New Roman"/>
          <w:sz w:val="24"/>
        </w:rPr>
        <w:t>zunajbilančne</w:t>
      </w:r>
      <w:proofErr w:type="spellEnd"/>
      <w:r>
        <w:rPr>
          <w:rFonts w:ascii="Times New Roman" w:hAnsi="Times New Roman"/>
          <w:sz w:val="24"/>
        </w:rPr>
        <w:t xml:space="preserve"> postavke, ki ne izpolnjujejo pogojev za HQLA (ne-HQLA), se poročajo razčlenjeno glede na njihovo preostalo zapadlost v skladu s členom 428ar CRR. Žepki zapadlosti za zneske, standardne faktorje in veljavne faktorje so naslednji:</w:t>
      </w:r>
    </w:p>
    <w:p w14:paraId="7E776733" w14:textId="77777777" w:rsidR="00A66401" w:rsidRPr="00A0098D" w:rsidRDefault="00A66401" w:rsidP="00A0098D">
      <w:pPr>
        <w:pStyle w:val="InstructionsText2"/>
        <w:numPr>
          <w:ilvl w:val="2"/>
          <w:numId w:val="24"/>
        </w:numPr>
        <w:rPr>
          <w:sz w:val="24"/>
        </w:rPr>
      </w:pPr>
      <w:r>
        <w:rPr>
          <w:sz w:val="24"/>
        </w:rPr>
        <w:t>preostala zapadlost manj kot eno leto ali ni navedena;</w:t>
      </w:r>
    </w:p>
    <w:p w14:paraId="45BEFB0D" w14:textId="77777777" w:rsidR="00A66401" w:rsidRPr="00A0098D" w:rsidRDefault="00A66401" w:rsidP="00A0098D">
      <w:pPr>
        <w:pStyle w:val="InstructionsText2"/>
        <w:numPr>
          <w:ilvl w:val="2"/>
          <w:numId w:val="24"/>
        </w:numPr>
        <w:rPr>
          <w:sz w:val="24"/>
        </w:rPr>
      </w:pPr>
      <w:r>
        <w:rPr>
          <w:sz w:val="24"/>
        </w:rPr>
        <w:t>preostala zapadlost eno leto ali več.</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Institucije pri izračunu preostale zapadlosti ne-HQLA sredstev in </w:t>
      </w:r>
      <w:proofErr w:type="spellStart"/>
      <w:r>
        <w:rPr>
          <w:rFonts w:ascii="Times New Roman" w:hAnsi="Times New Roman"/>
          <w:sz w:val="24"/>
        </w:rPr>
        <w:t>zunajbilančnih</w:t>
      </w:r>
      <w:proofErr w:type="spellEnd"/>
      <w:r>
        <w:rPr>
          <w:rFonts w:ascii="Times New Roman" w:hAnsi="Times New Roman"/>
          <w:sz w:val="24"/>
        </w:rPr>
        <w:t xml:space="preserve"> postavk upoštevajo opcije, in sicer ob predpostavki, da bo izdajatelj ali nasprotna stranka izkoristila vsako opcijo za podaljšanje zapadlosti zadevnega sredstva. Pri opcijah, ki se lahko izkoristijo po lastni presoji institucije, institucija in pristojni organ upoštevata faktorje ugleda, ki bi lahko omejili možnost institucije, da ne izkoristi opcije, zlasti ob upoštevanju pričakovanj trga in strank, da bi morala institucija na datum zapadlosti podaljšati zapadlost nekaterih sredstev.</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nekatere postavke poročajo sredstva glede na status in/ali zapadlost obremenitve zadevnega sredstva v skladu s členom 428aq(4), (5) in (6)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Drevo odločanja za predlogo za poročanje C 82.00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in vmesni seštevki, vendar to ne pomeni, da jih ni treba poročati.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Kot je določeno v členu 428aq(5) CRR, se, če institucija ponovno uporabi ali ponovno zastavi sredstvo, ki je bilo izposojeno, vključno v okviru poslov financiranja z vrednostnimi papirji, in ki se obračuna za </w:t>
      </w:r>
      <w:proofErr w:type="spellStart"/>
      <w:r>
        <w:rPr>
          <w:rFonts w:ascii="Times New Roman" w:hAnsi="Times New Roman"/>
          <w:sz w:val="24"/>
        </w:rPr>
        <w:t>zunajbilančne</w:t>
      </w:r>
      <w:proofErr w:type="spellEnd"/>
      <w:r>
        <w:rPr>
          <w:rFonts w:ascii="Times New Roman" w:hAnsi="Times New Roman"/>
          <w:sz w:val="24"/>
        </w:rPr>
        <w:t xml:space="preserve"> postavke, posel, na podlagi katerega je bilo to sredstvo izposojeno, obravnava kot obremenjen, kolikor ta posel ne more zapasti, če institucija ne vrne izposojenega sredstva.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Št.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Postavka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Odločitev</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Dejanje</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Nizi pobotov pogodb o izvedenih finančnih instrumentih z negativno pošteno vrednostjo ob upoštevanju danih zavarovanj s premoženjem ali plačil in prejemkov iz poravnav, povezanih s spremembami tržne vrednosti takih pogodb?</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št.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Št.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Sredstvo ali </w:t>
            </w:r>
            <w:proofErr w:type="spellStart"/>
            <w:r>
              <w:rPr>
                <w:rFonts w:ascii="Times New Roman" w:hAnsi="Times New Roman"/>
                <w:sz w:val="24"/>
                <w:szCs w:val="24"/>
              </w:rPr>
              <w:t>zunajbilančna</w:t>
            </w:r>
            <w:proofErr w:type="spellEnd"/>
            <w:r>
              <w:rPr>
                <w:rFonts w:ascii="Times New Roman" w:hAnsi="Times New Roman"/>
                <w:sz w:val="24"/>
                <w:szCs w:val="24"/>
              </w:rPr>
              <w:t xml:space="preserve"> postavka dana kot začetno kritje za izvedene finančne instrumente?</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št.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Št.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Sredstvo ali </w:t>
            </w:r>
            <w:proofErr w:type="spellStart"/>
            <w:r>
              <w:rPr>
                <w:rFonts w:ascii="Times New Roman" w:hAnsi="Times New Roman"/>
                <w:sz w:val="24"/>
                <w:szCs w:val="24"/>
              </w:rPr>
              <w:t>zunajbilančna</w:t>
            </w:r>
            <w:proofErr w:type="spellEnd"/>
            <w:r>
              <w:rPr>
                <w:rFonts w:ascii="Times New Roman" w:hAnsi="Times New Roman"/>
                <w:sz w:val="24"/>
                <w:szCs w:val="24"/>
              </w:rPr>
              <w:t xml:space="preserve"> postavka dana kot prispevek v jamstveni sklad CNS?</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št.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Št.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Postavka, ki jo institucija obdrži v dejanski lasti?</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Št.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Št.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Sredstvo, povezano z zavarovanjem s premoženjem, danim kot začetno ali gibljivo kritje za izvedene finančne instrumente ali kot prispevek v jamstveni sklad CNS?</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Se ne poroča.</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Št.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Nedonosna sredstva ali vrednostni papirji, pri katerih je prišlo do neplačila?</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št.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Terjatve, ki zapadejo na dan sklenitve posla?</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št.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Št.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Soodvisna sredstva?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Razvrstite v eno od ustreznih postavk pod id. št. 1.5.</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Št.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Sredstva znotraj skupine ali institucionalne sheme za zaščito vlog, za katera je pristojni organ dovolil ugodnejšo obravnavo?</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Sredstva centralne banke?</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Razvrstite v eno od ustreznih postavk pod id. št. 1.1.</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Likvidna sredstva?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Razvrstite v eno od ustreznih postavk pod id. št. 1.2.1 do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40108152" w:rsidR="00A66401" w:rsidRPr="00A0098D" w:rsidRDefault="00420651" w:rsidP="00A0098D">
            <w:pPr>
              <w:spacing w:after="240"/>
              <w:jc w:val="both"/>
              <w:rPr>
                <w:rFonts w:ascii="Times New Roman" w:eastAsia="Calibri" w:hAnsi="Times New Roman"/>
                <w:sz w:val="24"/>
                <w:szCs w:val="24"/>
              </w:rPr>
            </w:pPr>
            <w:r w:rsidRPr="00420651">
              <w:rPr>
                <w:rFonts w:ascii="Times New Roman" w:hAnsi="Times New Roman"/>
                <w:sz w:val="24"/>
                <w:szCs w:val="24"/>
              </w:rPr>
              <w:t>Vrednostni papirji, ki niso likvidna sredstva</w:t>
            </w:r>
            <w:bookmarkStart w:id="25" w:name="_GoBack"/>
            <w:bookmarkEnd w:id="25"/>
            <w:r w:rsidR="00A66401">
              <w:rPr>
                <w:rFonts w:ascii="Times New Roman" w:hAnsi="Times New Roman"/>
                <w:sz w:val="24"/>
                <w:szCs w:val="24"/>
              </w:rPr>
              <w:t>?</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Bilančni produkti, povezani s trgovinskim financiranjem?</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 glede na sredstva iz naslova izvedenih finančnih instrumentov?</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Krediti?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Krediti nefinančnim strankam?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Krediti finančnim strankam?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Katero koli drugo sredstvo, ki ni obravnavano v zgornjih kategorijah?</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št.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proofErr w:type="spellStart"/>
            <w:r>
              <w:rPr>
                <w:rFonts w:ascii="Times New Roman" w:hAnsi="Times New Roman"/>
                <w:sz w:val="24"/>
                <w:szCs w:val="24"/>
              </w:rPr>
              <w:t>Zunajbilančna</w:t>
            </w:r>
            <w:proofErr w:type="spellEnd"/>
            <w:r>
              <w:rPr>
                <w:rFonts w:ascii="Times New Roman" w:hAnsi="Times New Roman"/>
                <w:sz w:val="24"/>
                <w:szCs w:val="24"/>
              </w:rPr>
              <w:t xml:space="preserve"> izpostavljenost?</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Nedonosna izpostavljenost?</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Odobreni okvirni krediti?</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Odobreni okvirni krediti, za katere je pristojni organ dovolil ugodnejšo obravnavo?</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proofErr w:type="spellStart"/>
            <w:r>
              <w:rPr>
                <w:rFonts w:ascii="Times New Roman" w:hAnsi="Times New Roman"/>
                <w:sz w:val="24"/>
                <w:szCs w:val="24"/>
              </w:rPr>
              <w:t>Zunajbilančna</w:t>
            </w:r>
            <w:proofErr w:type="spellEnd"/>
            <w:r>
              <w:rPr>
                <w:rFonts w:ascii="Times New Roman" w:hAnsi="Times New Roman"/>
                <w:sz w:val="24"/>
                <w:szCs w:val="24"/>
              </w:rPr>
              <w:t xml:space="preserve"> postavka, povezana s trgovinskim financiranjem?</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Št.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 xml:space="preserve">Druga </w:t>
            </w:r>
            <w:proofErr w:type="spellStart"/>
            <w:r>
              <w:rPr>
                <w:rFonts w:ascii="Times New Roman" w:hAnsi="Times New Roman"/>
                <w:sz w:val="24"/>
                <w:szCs w:val="24"/>
              </w:rPr>
              <w:t>zunajbilančna</w:t>
            </w:r>
            <w:proofErr w:type="spellEnd"/>
            <w:r>
              <w:rPr>
                <w:rFonts w:ascii="Times New Roman" w:hAnsi="Times New Roman"/>
                <w:sz w:val="24"/>
                <w:szCs w:val="24"/>
              </w:rPr>
              <w:t xml:space="preserve"> izpostavljenost, za katero je pristojni organ določil faktor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št.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Se ne poroča.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58583234"/>
      <w:r>
        <w:rPr>
          <w:rFonts w:ascii="Times New Roman" w:hAnsi="Times New Roman"/>
          <w:b/>
          <w:sz w:val="24"/>
          <w:szCs w:val="24"/>
        </w:rPr>
        <w:t>Navodila za posamezne stolpce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Znesek ne-HQLA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Institucije v stolpcih 0010–0020 poročajo znesek, razen če je v poglavju 7 naslova IV dela 6 CRR določeno drugače, sredstev in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iz oddelka 2 poglavja 7 naslova IV dela 6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Znesek se poroča v stolpcih 0010–0020, kadar ustrezna postavka ne izpolnjuje pogojev za likvidno sredstvo v skladu z Delegirano uredbo (EU) 2015/61, ne glede na to, ali izpolnjuje operativne zahteve iz člena 8 navedene delegirane uredbe.</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Znesek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Glej navodila v stolpcih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Znesek se poroča v stolpcu 0030, kadar ustrezna postavka izpolnjuje pogoje za likvidno sredstvo v skladu z Delegirano uredbo (EU) 2015/61, ne glede na to, ali izpolnjuje operativne zahteve iz člena 8 navedene delegirane uredbe.</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Standardni faktor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Oddelek 2 poglavja 7 naslova IV dela 6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Standardni faktorji v stolpcih 0040–0060 so privzeti faktorji iz poglavja 7 naslova IV dela 6 CRR, ki bi določili del zneska sredstev in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ki je potrebno stabilno financiranje. Navedeni so zgolj za informacijo, institucije pa jih ne izpolnijo.</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Veljavni faktor RSF</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Poglavji 2 in 7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Institucije v stolpcih 0070–0900 poročajo veljavni faktor, ki se uporablja za postavke iz poglavja 7 naslova IV dela 6 CRR. Veljavni faktorji so lahko podlaga za vrednosti tehtanega povprečja in se poročajo z decimalkami (tj. 1,00 za utež v višini 100 odstotkov ali 0,50 za utež v višini 50 odstotkov). Veljavni faktorji lahko odražajo za podjetje specifične in nacionalne preudarke, vendar niso omejeni nanje.</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Potrebno stabilno financiranje</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Institucije v stolpcu 0100 poročajo potrebno stabilno financiranje v skladu s poglavjem 7 naslova IV dela 6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To se izračuna z naslednjo formulo:</w:t>
            </w:r>
            <w:r>
              <w:t xml:space="preserve"> </w:t>
            </w:r>
            <w:r>
              <w:br/>
            </w:r>
            <w:r>
              <w:rPr>
                <w:rFonts w:ascii="Times New Roman" w:hAnsi="Times New Roman"/>
                <w:sz w:val="24"/>
                <w:szCs w:val="24"/>
              </w:rPr>
              <w:t>s0100 = VSOTA {(s0010 * s0070), (s0020 * s0080), (s0030 * s0090)}.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583235"/>
      <w:r>
        <w:rPr>
          <w:rFonts w:ascii="Times New Roman" w:hAnsi="Times New Roman"/>
          <w:b/>
          <w:sz w:val="24"/>
          <w:szCs w:val="24"/>
        </w:rPr>
        <w:t>Navodila za posamezne vrstice</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POTREBNO STABILNO FINANCIRANJE</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tukaj poročajo postavke, ki so predmet potrebnega stabilnega financiranja v skladu s poglavjem 7 naslova IV dela 6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iz sredstev centralnih bank</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428as(1)(b) in (c) ter člen 428ad(d)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sredstva centralne banke.</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 skladu s členom 428aq(7) CRR se lahko uporablja zmanjšan faktor RSF.</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Denarna sredstva, rezerve in izpostavljenosti do centralnih bank, ki so HQLA</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tukaj poročajo denarna sredstva in rezerve pri centralnih bankah, vključno s presežnimi rezervami. Institucije tukaj poročajo tudi vse druge izpostavljenosti do centralnih bank, ki se štejejo za likvidna sredstva na podlagi Delegirane uredbe (EU) 2015/61, ne glede na to, ali izpolnjuje operativne zahteve iz člena 8 navedene delegirane uredbe.</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Obvezne rezerve, ki se ne štejejo za likvidna sredstva na podlagi Delegirane uredbe (EU) 2015/61, se poročajo v zadevnem stolpcu za ne-HQLA.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Druge izpostavljenosti do centralnih bank, ki niso HQLA</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tukaj poročajo vse druge terjatve do centralnih bank razen tistih, ki se poročajo pod postavko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iz likvidnih sredstev</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Členi 428ar do 428av in člen 428ax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tukaj poročajo likvidna sredstva v skladu z Delegirano uredbo (EU) 2015/61 ne glede na to, ali izpolnjujejo operativne zahteve iz člena 8 navedene delegirane uredbe.</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Sredstva stopnje 1, upravičena do 0 % odbitka pri LCR</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tukaj poročajo sredstva, ki so primerna za likvidna sredstva stopnje 1 na podlagi člena 10 Delegirane uredbe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Neobremenjeno ali obremenjeno za preostalo zapadlost manj kot šestih mesecev</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1.2.1, povezan s sredstvi, ki so neobremenjena ali obremenjena za preostalo zapadlost manj kot šestih mesecev.</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Obremenjeno za preostalo zapadlost vsaj šestih mesecev in manj kot enega leta</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1.2.1, povezan s sredstvi, ki so obremenjena za preostalo zapadlost vsaj šestih mesecev in manj kot enega leta.</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Obremenjeno za preostalo zapadlost enega leta ali več</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1.2.1, povezan s sredstvi, ki so obremenjena za preostalo zapadlost enega leta ali več.</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Sredstva stopnje 1, upravičena do 7 % odbitka pri LCR</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sredstva stopnje 1, ki so upravičena do odbitka v višini 7 % na podlagi Delegirane uredbe (EU) 2015/61, in delnice ali enote v KNP, ki so upravičene do odbitka v višini 5 % na podlagi Delegirane uredbe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Neobremenjeno ali obremenjeno za preostalo zapadlost manj kot šestih mesecev</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1.2.2, povezan s sredstvi, ki so neobremenjena ali obremenjena za preostalo zapadlost manj kot šestih mesecev.</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Obremenjeno za preostalo zapadlost vsaj šestih mesecev in manj kot enega leta</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1.2.2, povezan s sredstvi, ki so obremenjena za preostalo zapadlost vsaj šestih mesecev in manj kot enega leta.</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Obremenjeno za preostalo zapadlost enega leta ali več</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1.2.2, povezan s sredstvi, ki so obremenjena za preostalo zapadlost enega leta ali več.</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Sredstva stopnje 2A, upravičena do 15 % odbitka pri LCR, ter delnice ali enote v KNP, upravičene do 0–20 % odbitka pri LCR</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tukaj poročajo sredstva, ki so primerna za sredstva stopnje 2A na podlagi Delegirane uredbe (EU) 2015/61, in delnice ali enote v KNP, ki so upravičene do odbitkov pri LCR v višini 0–20 % na podlagi Delegirane uredbe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Neobremenjeno ali obremenjeno za preostalo zapadlost manj kot šestih mesecev</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Znesek, ki se poroča pod 1.2.5, povezan s sredstvi, ki so neobremenjena ali obremenjena za preostalo zapadlost manj kot šestih mesecev.</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Obremenjeno za preostalo zapadlost vsaj šestih mesecev in manj kot enega leta</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1.2.5, povezan s sredstvi, ki so obremenjena za preostalo zapadlost vsaj šestih mesecev in manj kot enega leta.</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Obremenjeno za preostalo zapadlost enega leta ali več</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1.2.5, povezan s sredstvi, ki so obremenjena za preostalo zapadlost enega leta ali več.</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Sredstva stopnje 2B, upravičena do 25 % odbitka pri LCR, ter delnice ali enote v KNP, upravičene do 30–55 % odbitka</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Institucije tukaj poročajo sredstva stopnje 2B, ki so upravičena do odbitka v višini 25 % na podlagi Delegirane uredbe (EU) 2015/61, in delnice ali enote v KNP, ki so upravičene do odbitkov v višini 30–55 % na podlagi Delegirane uredbe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Neobremenjeno ali obremenjeno za preostalo zapadlost manj kot enega leta</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1.2.4, povezan s sredstvi, ki so neobremenjena ali obremenjena za preostalo zapadlost manj kot enega leta.</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Obremenjeno za preostalo zapadlost enega leta ali več</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1.2.4, povezan s sredstvi, ki so obremenjena za preostalo zapadlost enega leta ali več.</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iz vrednostnih papirjev, ki niso likvidna sredstva</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428aw(b), člen 428ay(d) in člen 428az(1)(b)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vrednostne papirje, pri katerih ni prišlo do neplačila v skladu s členom 178 CRR in ki niso likvidna sredstva na podlagi Delegirane uredbe (EU) 2015/61, ne glede na to, ali izpolnjujejo operativne zahteve iz navedene delegirane uredbe.</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Neobremenjeno ali obremenjeno za preostalo zapadlost manj kot enega leta</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1.3, povezan s sredstvi, ki so neobremenjena ali obremenjena za preostalo zapadlost manj kot enega leta.</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Obremenjeno za preostalo zapadlost enega leta ali več</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1.3, povezan s sredstvi, ki so obremenjena za preostalo zapadlost enega leta ali več.</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iz kreditov</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zapadla denarna sredstva iz naslova kreditov, pri katerih ni prišlo do neplačila v skladu s členom 178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Kot je določeno v členu 428ar(4) CRR, se za amortizacijo kreditov s preostalo pogodbeno zapadlostjo enega leta ali več kateri koli del, ki zapade v manj kot šestih mesecih, in kateri koli del, ki zapade v obdobju od šestih mesecev do enega leta, obravnavata, kot da imata preostalo zapadlost manj kot šestih mesecev oziroma od šestih mesecev do enega leta.</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Krediti nefinančnim strankam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Znesek, ki se poroča pod 1.4, povezan s krediti nefinančnim strankam.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1.4.1.1 Neobremenjeno ali obremenjeno za preostalo zapadlost manj kot enega leta</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428aw(a) in člen 428ay(b) CRR; znesek, ki se poroča pod 1.4.1, povezan s sredstvi, ki so neobremenjena ali obremenjena za preostalo zapadlost manj kot enega leta.</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Obremenjeno za preostalo zapadlost enega leta ali več</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428az(1)(b) CRR; znesek, ki se poroča pod 1.4.1, povezan s sredstvi, ki so obremenjena za preostalo zapadlost enega leta ali več.</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Krediti finančnim strankam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1.4, povezan s krediti finančnim strankam.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Neobremenjeno ali obremenjeno za preostalo zapadlost manj kot enega leta</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Člen 428aw(a) in člen 428az(1)(b) CRR; znesek, ki se poroča pod 1.4.2, povezan s sredstvi, ki so neobremenjena ali obremenjena za preostalo zapadlost manj kot enega leta.</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Obremenjeno za preostalo zapadlost enega leta ali več</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Člen 428az(1)(b) CRR; znesek, ki se poroča pod 1.4.2, povezan s sredstvi, ki so obremenjena za preostalo zapadlost enega leta ali več.</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Bilančni produkti, povezani s trgovinskim financiranjem</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428aw(b) in člen 428ay(c) CRR; znesek, ki se poroča pod 1.4, ki izhaja iz produktov v bilanci stanja, povezanih s trgovinskim financiranjem.</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iz soodvisnih sredstev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428f in člen 428r(1)(f) CRR; institucije tukaj poročajo sredstva, ki so soodvisna z obveznostmi v skladu s členom 428f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iz sredstev iz skupine ali institucionalne sheme za zaščito vlog, če zanje velja ugodnejša obravnava</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sredstva, za katera je pristojni organ dovolil ugodnejšo obravnavo iz člena 428h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iz izvedenih finančnih instrumentov</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428d, člen 428at(2), člen 428ay(a) in člen 428az(2)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znesek potrebnega stabilnega financiranja, ki izhaja iz izvedenih finančnih instrumentov.</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Potrebno stabilno financiranje za obveznosti iz izvedenih finančnih instrumentov</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428at(2) CRR; znesek, poročan pod 1.7, ki je absolutna poštena vrednost nizov pobotov z negativno pošteno vrednostjo, izračunana v skladu s členom 428at(2)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glede na sredstva iz naslova izvedenih finančnih instrumentov</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428d; znesek, poročan pod 1.7, ki je pozitivna razlika med nizi pobotov, izračunana v skladu s členom 428az(2)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Dano začetno kritje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428ay(a) CRR; znesek, ki se poroča pod 1.7, povezan z začetnim kritjem za pogodbe o izvedenih finančnih instrumentih.</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iz prispevkov v jamstveni sklad CNS</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Člen 428ay(a)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Institucije tukaj poročajo postavke, dane kot prispevek v jamstveni sklad CNS.</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iz drugih sredstev</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tukaj poročajo vsa sredstva, ki niso navedena pod postavkami 1.1 do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RSF iz </w:t>
            </w:r>
            <w:proofErr w:type="spellStart"/>
            <w:r>
              <w:rPr>
                <w:rFonts w:ascii="Times New Roman" w:hAnsi="Times New Roman"/>
                <w:b/>
                <w:sz w:val="24"/>
                <w:szCs w:val="24"/>
                <w:u w:val="thick" w:color="000000"/>
              </w:rPr>
              <w:t>zunajbilančnih</w:t>
            </w:r>
            <w:proofErr w:type="spellEnd"/>
            <w:r>
              <w:rPr>
                <w:rFonts w:ascii="Times New Roman" w:hAnsi="Times New Roman"/>
                <w:b/>
                <w:sz w:val="24"/>
                <w:szCs w:val="24"/>
                <w:u w:val="thick" w:color="000000"/>
              </w:rPr>
              <w:t xml:space="preserve"> postavk</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Institucije tukaj poročajo znesek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ki niso navedene pod postavkami 1.1 do 1.8, ki so predmet zahtev glede potrebnega stabilnega financiranja.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Odobreni okvirni krediti v okviru skupine ali institucionalne sheme za zaščito vlog, če zanje velja ugodnejša obravnava</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1.10, povezan z odobrenimi okvirnimi krediti, za katere je pristojni organ dovolil ugodnejšo obravnavo iz člena 428h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Odobreni okvirni krediti</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Člen 428at(1) CRR; znesek, ki se poroča pod 1.10, ki predstavlja odobrene okvirne kredite v skladu z Delegirano uredbo (EU) 2015/61, ki niso upoštevani pod postavko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1.10.3 </w:t>
            </w:r>
            <w:proofErr w:type="spellStart"/>
            <w:r>
              <w:rPr>
                <w:rFonts w:ascii="Times New Roman" w:hAnsi="Times New Roman"/>
                <w:b/>
                <w:sz w:val="24"/>
                <w:szCs w:val="24"/>
                <w:u w:val="thick" w:color="000000"/>
              </w:rPr>
              <w:t>Zunajbilančne</w:t>
            </w:r>
            <w:proofErr w:type="spellEnd"/>
            <w:r>
              <w:rPr>
                <w:rFonts w:ascii="Times New Roman" w:hAnsi="Times New Roman"/>
                <w:b/>
                <w:sz w:val="24"/>
                <w:szCs w:val="24"/>
                <w:u w:val="thick" w:color="000000"/>
              </w:rPr>
              <w:t xml:space="preserve"> postavke, povezane s trgovinskim financiranjem</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Člen 428au(b) CRR; znesek, ki se poroča pod 1.10, ki predstavlja </w:t>
            </w:r>
            <w:proofErr w:type="spellStart"/>
            <w:r>
              <w:rPr>
                <w:rFonts w:ascii="Times New Roman" w:hAnsi="Times New Roman"/>
                <w:sz w:val="24"/>
                <w:szCs w:val="24"/>
              </w:rPr>
              <w:t>zunajbilančne</w:t>
            </w:r>
            <w:proofErr w:type="spellEnd"/>
            <w:r>
              <w:rPr>
                <w:rFonts w:ascii="Times New Roman" w:hAnsi="Times New Roman"/>
                <w:sz w:val="24"/>
                <w:szCs w:val="24"/>
              </w:rPr>
              <w:t xml:space="preserve"> postavke iz naslova trgovinskega financiranja iz Priloge I k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1.10.4 Nedonosne </w:t>
            </w:r>
            <w:proofErr w:type="spellStart"/>
            <w:r>
              <w:rPr>
                <w:rFonts w:ascii="Times New Roman" w:hAnsi="Times New Roman"/>
                <w:b/>
                <w:sz w:val="24"/>
                <w:szCs w:val="24"/>
                <w:u w:val="thick" w:color="000000"/>
              </w:rPr>
              <w:t>zunajbilančne</w:t>
            </w:r>
            <w:proofErr w:type="spellEnd"/>
            <w:r>
              <w:rPr>
                <w:rFonts w:ascii="Times New Roman" w:hAnsi="Times New Roman"/>
                <w:b/>
                <w:sz w:val="24"/>
                <w:szCs w:val="24"/>
                <w:u w:val="thick" w:color="000000"/>
              </w:rPr>
              <w:t xml:space="preserve"> postavke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Znesek, ki se poroča pod 1.10, povezan z nedonosnimi izpostavljenostmi.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1.10.5 Druge </w:t>
            </w:r>
            <w:proofErr w:type="spellStart"/>
            <w:r>
              <w:rPr>
                <w:rFonts w:ascii="Times New Roman" w:hAnsi="Times New Roman"/>
                <w:b/>
                <w:sz w:val="24"/>
                <w:szCs w:val="24"/>
                <w:u w:val="thick" w:color="000000"/>
              </w:rPr>
              <w:t>zunajbilančne</w:t>
            </w:r>
            <w:proofErr w:type="spellEnd"/>
            <w:r>
              <w:rPr>
                <w:rFonts w:ascii="Times New Roman" w:hAnsi="Times New Roman"/>
                <w:b/>
                <w:sz w:val="24"/>
                <w:szCs w:val="24"/>
                <w:u w:val="thick" w:color="000000"/>
              </w:rPr>
              <w:t xml:space="preserve"> izpostavljenosti, ki so jih določili pristojni organi</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Znesek, ki se poroča pod 1.10, ki predstavlja </w:t>
            </w:r>
            <w:proofErr w:type="spellStart"/>
            <w:r>
              <w:rPr>
                <w:rFonts w:ascii="Times New Roman" w:hAnsi="Times New Roman"/>
                <w:sz w:val="24"/>
                <w:szCs w:val="24"/>
              </w:rPr>
              <w:t>zunajbilančne</w:t>
            </w:r>
            <w:proofErr w:type="spellEnd"/>
            <w:r>
              <w:rPr>
                <w:rFonts w:ascii="Times New Roman" w:hAnsi="Times New Roman"/>
                <w:sz w:val="24"/>
                <w:szCs w:val="24"/>
              </w:rPr>
              <w:t xml:space="preserve"> izpostavljenosti, za katere je pristojni organ določil faktorje RSF v skladu s členom 428aq(10)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58583236"/>
      <w:r>
        <w:rPr>
          <w:rFonts w:ascii="Times New Roman" w:hAnsi="Times New Roman"/>
          <w:b/>
          <w:sz w:val="24"/>
          <w:szCs w:val="24"/>
        </w:rPr>
        <w:t>DEL V: RAZPOLOŽLJIVO STABILNO FINANCIRANJE, POENOSTAVLJENO</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58583237"/>
      <w:r>
        <w:rPr>
          <w:rFonts w:ascii="Times New Roman" w:hAnsi="Times New Roman"/>
          <w:b/>
          <w:sz w:val="24"/>
          <w:szCs w:val="24"/>
        </w:rPr>
        <w:t>Posebne opombe</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Vse obveznosti in kapital se poročajo razčlenjeno glede na njihovo preostalo pogodbeno zapadlost v skladu s členom 428ak CRR. Žepki zapadlosti za zneske, standardne faktorje razpoložljivega stabilnega financiranja (ASF) in veljavne faktorje ASF so naslednji:</w:t>
      </w:r>
    </w:p>
    <w:p w14:paraId="089E7122" w14:textId="77777777" w:rsidR="00676422" w:rsidRPr="00A0098D" w:rsidRDefault="00676422" w:rsidP="00A0098D">
      <w:pPr>
        <w:pStyle w:val="InstructionsText2"/>
        <w:numPr>
          <w:ilvl w:val="2"/>
          <w:numId w:val="24"/>
        </w:numPr>
        <w:rPr>
          <w:sz w:val="24"/>
        </w:rPr>
      </w:pPr>
      <w:r>
        <w:rPr>
          <w:sz w:val="24"/>
        </w:rPr>
        <w:t>preostala zapadlost manj kot eno leto ali ni navedena;</w:t>
      </w:r>
    </w:p>
    <w:p w14:paraId="4166EC4F" w14:textId="77777777" w:rsidR="00676422" w:rsidRPr="00A0098D" w:rsidRDefault="00676422" w:rsidP="00A0098D">
      <w:pPr>
        <w:pStyle w:val="InstructionsText2"/>
        <w:numPr>
          <w:ilvl w:val="2"/>
          <w:numId w:val="24"/>
        </w:numPr>
        <w:rPr>
          <w:sz w:val="24"/>
        </w:rPr>
      </w:pPr>
      <w:r>
        <w:rPr>
          <w:sz w:val="24"/>
        </w:rPr>
        <w:t>preostala zapadlost eno leto ali več.</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Za vse obveznosti s preostalo zapadlostjo enega leta ali več se uporablja faktor ASF v višini 100 %, razen če je drugače določeno v členih 428al do 428ao CRR, v skladu s členom 428ap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Vse vpogledne vloge se poročajo v žepku, ki se nanaša na obveznosti s preostalo zapadlostjo manj kot enega leta.</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428ak(2) CRR institucije pri določanju preostale zapadlosti obveznosti ali kapitala upoštevajo obstoječe opcije. To storijo ob predpostavki, da bo nasprotna stranka nakupne opcije izkoristila na najzgodnejši možni datum. Pri opcijah, ki se lahko izvršijo po lastni presoji institucije, institucija in pristojni organi upoštevajo dejavnike ugleda, ki bi lahko omejili možnost institucije, da ne izvrši opcije, zlasti tržna pričakovanja, da bi morale institucije nekatere obveznosti izpolniti pred njihovo zapadlostjo.</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Poleg tega se, kot je določeno v členu 428ap CRR, postavkam dodatnega temeljnega kapitala, postavkam dodatnega kapitala in vsem drugim kapitalskim instrumentom z izrecnimi ali vgrajenimi opcijami, ki bi, če bi jih izvršili (tudi če na referenčni datum poročanja še niso izvršene), skrajšale dejansko preostalo zapadlost na referenčni datum poročanja na manj kot eno leto, ne dodeli faktor ASF v višini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skladu s členom 428ak(3) CRR institucije obravnavajo vloge z določenim odpovednim rokom v skladu z njihovim odpovednim rokom, vezane vloge pa v skladu z njihovo preostalo zapadlostjo. Z odstopanjem od odstavka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institucije pri določanju preostale zapadlosti vezanih vlog na drobno ne upoštevajo opcij za predčasne dvige, pri katerih mora vlagatelj za predčasne dvige, ki jih opravi v manj kot enem letu, plačati pomembno kazen, kot je določena v členu 25(4) Delegirane uredbe (EU)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Drevo odločanja za predlogo za poročanje C 83.00 je del navodil za določitev, kako se prednostno razvrstijo merila za ocenjevanje za razvrstitev vsake poročane postavke v ustrezno kategorijo, da se zagotovi homogeno in primerljivo poročanje. Drevo odločanja pa samo po sebi ni dovolj, tj. institucije morajo vedno upoštevati preostala navodila. Zaradi poenostavitve v drevesu odločanja niso upoštevani seštevki in vmesni seštevki, vendar to ne pomeni, da jih ni treba poročati.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Št.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Postavka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Odločitev</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Dejanje</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Navadni lastniški temeljni 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Dodatni temeljni kapital?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Dodatni 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Drugi kapitalski instrumenti?</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Obveznost, povezana z zavarovanjem s premoženjem, prejetim kot gibljivo kritje za izvedene finančne instrumente?</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Se ne poroča.</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Obveznosti, ki zapadejo na dan sklenitve posla?</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št.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Soodvisna obveznost?</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Obveznosti in odobreni okvirni krediti znotraj skupine ali institucionalne sheme za zaščito vlog, za katere je pristojni organ dovolil ugodnejšo obravnavo?</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 glede na obveznosti iz naslova izvedenih finančnih instrumentov?</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Odložene obveznosti za davek?</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Manjšinski delež?</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Stabilne vloge na drobno?</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Druge vloge na drobno?</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Vloge za operativne namene, ki jih zagotovijo finančne ali nefinančne stranke?</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št.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Št.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Obveznosti, pri katerih ni mogoče določiti nasprotne stranke?</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Obveznosti, ki jih zagotovijo centralne banke?</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Obveznosti, ki jih zagotovijo finančne stranke?</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Obveznosti nefinančnih strank razen centralnih bank?</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Št.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Katere koli druge obveznosti, ki niso obravnavane v zgornjih kategorijah?</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št.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Se ne poroča.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58583238"/>
      <w:r>
        <w:rPr>
          <w:rFonts w:ascii="Times New Roman" w:hAnsi="Times New Roman"/>
          <w:b/>
          <w:sz w:val="24"/>
          <w:szCs w:val="24"/>
        </w:rPr>
        <w:t>Navodila za posamezne stolpce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Znesek</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v stolpcih 0010–0020 poročajo znesek obveznosti in kapitala, dodeljen v ustrezni žepek preostale zapadlosti.</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Standardni faktor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Oddelek 2 poglavja 6 naslova IV dela 6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Standardni faktorji v stolpcih 0030–0040 so privzeti faktorji iz poglavja 8 naslova IV dela 6 CRR, ki bi določili del zneska obveznosti in kapitala, ki je razpoložljivo stabilno financiranje. Navedeni so zgolj za informacijo, institucije pa jih ne izpolnijo.</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Veljavni faktor ASF</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Poglavje 2 in 6 naslova IV dela 6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v stolpcih 0050–0060 poročajo veljavne faktorje ASF iz poglavja 6 naslova IV dela 6 CRR kot uteži, ki bi, pomnožene z zneskom obveznosti ali kapitala, določile znesek ustreznega razpoložljivega stabilnega financiranja. Veljavni faktorji se poročajo z decimalkami (tj. 1,00 za utež v višini 100 odstotkov ali 0,50 za utež v višini 50 odstotkov). Veljavni faktorji lahko odražajo za podjetje specifične in nacionalne preudarke, vendar niso omejeni nanje.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Razpoložljivo stabilno financiranje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v stolpcu 0070 poročajo vrednost razpoložljivega stabilnega financiranja v skladu z opredelitvijo iz člena 428aj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To se izračuna z naslednjo formulo:</w:t>
            </w:r>
            <w:r>
              <w:t xml:space="preserve"> </w:t>
            </w:r>
            <w:r>
              <w:br/>
            </w:r>
            <w:r>
              <w:rPr>
                <w:rFonts w:ascii="Times New Roman" w:hAnsi="Times New Roman"/>
                <w:sz w:val="24"/>
                <w:szCs w:val="24"/>
              </w:rPr>
              <w:t>s0070 = VSOTA {(s0010 * s0050), (s0020 * s0060)}.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58583239"/>
      <w:r>
        <w:rPr>
          <w:rFonts w:ascii="Times New Roman" w:hAnsi="Times New Roman"/>
          <w:b/>
          <w:sz w:val="24"/>
          <w:szCs w:val="24"/>
        </w:rPr>
        <w:t>3. Navodila za posamezne vrstice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RAZPOLOŽLJIVO STABILNO FINANCIRANJE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Poglavje 6 naslova IV dela 6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iz kapitalskih postavk in instrumentov</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Navadni lastniški temeljni 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428ap(a) CRR; Postavke navadnega lastniškega temeljnega kapitala pred uporabo bonitetnih filtrov, odbitkov ter izvzetij ali drugih možnosti iz členov 32 do 36, 48, 49 in 79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Dodatni temeljni kapital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428ap(b) CRR; postavke dodatnega temeljnega kapitala pred uporabo odbitkov ter izvzetij iz členov 56 in 79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Dodatni kapital</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428ap(c) CRR; postavke dodatnega kapitala pred uporabo odbitkov ter izvzetij iz členov 66 in 79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Drugi kapitalski instrumenti</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Člen 428ap(d) in člen 428al(3)(d) CRR; drugi kapitalski instrumenti, ki niso vključeni v nobeno od zgornjih kategorij.</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iz vlog na drobno</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naslednje: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obveznice in druge izdane dolžniške vrednostne papirje, ki se prodajajo izključno na trgu za male vlagatelje ter so na računu za male vlagatelje. Te obveznice za male vlagatelje se poročajo tudi v ustrezni kategoriji vlog na drobno kot „stabilne vloge na drobno“ ali „druge vloge na drobno“ pod postavko 2.2.1 oziroma 2.2.2; glej člen 428aj(2);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vloge na drobno, ki ne zapadejo prej kot v enem letu, ki se lahko predčasno dvignejo v manj kot enem letu ob plačilu kazni, ki je bila ocenjena kot pomembna, v ustrezni kategoriji vlog na drobno kot „stabilne vloge na drobno“ ali „druge vloge na drobno“ pod postavko 2.2.1 oziroma 2.2.2 v skladu s členom 25(4) Delegirane uredbe (EU) 2015/61; glej člen 428ak(3)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Ta postavka vključuje tako nezavarovane kot zavarovane obveznosti.</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Stabilne vloge na drobno</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Komisije (EU) 2015/61, pri čemer:</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te vloge ne izpolnjujejo meril za višjo stopnjo odliva v skladu s členom 25(2), (3) ali (5) Delegirane uredbe (EU) 2015/61, ker bi se v tem primeru poročale kot „druge vloge na drobno“, ali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te vloge niso v tretjih državah, kjer se uporablja višji odliv v skladu s členom 25(5) Delegirane uredbe (EU) 2015/61, ker bi se v tem primeru poročale kot „druge vloge na drobno“.</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Druge vloge na drobno</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428an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poročajo znesek drugih vlog na drobno, ki niso zajete v „stabilnih vlogah na drobno“ pod postavko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od drugih nefinančnih strank (razen centralnih bank)</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obveznosti, ki jih zagotovijo velike institucionalne nefinančne stranke (razen centralnih bank), ki vključujejo:</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obveznosti, ki jih zagotovi enota centralne ravni države članice ali tretje države; glej člen 428am(b)(i)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obveznosti, ki jih zagotovijo enote regionalne ali lokalne ravni države članice ali tretje države; glej člen 428am(b)(ii)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obveznosti, ki jih zagotovijo subjekti javnega sektorja države članice ali tretje države; glej člen 428am(b)(iii)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obveznosti, ki jih zagotovijo multilateralne razvojne banke in mednarodne organizacije; glej člen 428am(b)(iv)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obveznosti, ki jih zagotovijo nefinančne podjetniške stranke; glej člen 428am(b)(v)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obveznosti, ki jih zagotovijo kreditne zadruge, osebna investicijska podjetja in stranke, ki so posredniki pri vlogah; glej člen 428am(b)(vi)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iz vlog za operativne namene</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428am(a) CRR; vloge, prejete za zagotavljanje operativnih storitev, ki izpolnjujejo merila za vloge za operativne namene iz člena 27 Delegirane uredbe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ASF iz obveznosti in odobrenih okvirnih kreditov v okviru skupine ali institucionalne sheme za zaščito vlog, če zanje velja ugodnejša obravnava</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tukaj poročajo obveznosti in odobrene okvirne kredite, za katere je pristojni organ dovolil ugodnejšo obravnavo iz člena 428h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ASF od finančnih strank in centralnih bank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naslednje obveznosti:</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obveznosti, ki jih zagotovi ECB ali centralna banka države članice (glej člen 428al(3)(c)):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obveznosti, ki jih zagotovi ECB ali centralna banka države članice, ne glede na to, ali so posli financiranja z vrednostnimi papirji; glej člen 428al(3)(c)(i)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obveznosti, ki jih zagotovi centralna banka tretje države; obveznosti, ki jih zagotovi centralna banka tretje države, ne glede na to, ali so posli financiranja z vrednostnimi papirji; glej člen 428al(3)(c)(ii)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obveznosti, ki jih zagotovijo finančne stranke; obveznosti, ki jih zagotovijo finančne stranke, ne glede na to, ali so posli financiranja z vrednostnimi papirji; glej člen 428al(3)(c)(iii)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obveznosti, ki jih zagotovijo finančne stranke in centralne banke s preostalo zapadlostjo enega leta ali več; glej člen 428ap(e)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iz zagotovljenih obveznosti, pri katerih ni mogoče določiti nasprotne stranke</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Člen 428al(3)(d) ter člen 428ap(e)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tukaj poročajo obveznosti, pri katerih se ne more določiti nasprotne stranke, vključno z izdanimi vrednostnimi papirji, pri katerih ni mogoče identificirati imetnika.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iz soodvisnih obveznosti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naslednje obveznosti:</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obveznosti, ki so soodvisne s sredstvi v skladu s členom 428f CRR; glej tudi člen 428al(3)(b)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obveznosti, povezane s centraliziranimi reguliranimi prihranki, ki se morajo obravnavati kot soodvisne s sredstvi v skladu s členom 428f(2)(a)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obveznosti, povezane s promocijskimi krediti ter okvirnimi krediti in okvirnimi likvidnostnimi krediti, ki se morajo obravnavati kot soodvisne s sredstvi v skladu s členom 428f(2)(b)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obveznosti, povezane s kritimi obveznicami, ki se morajo obravnavati kot soodvisne s sredstvi v skladu s členom 428f(2)(c)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obveznosti, povezane z dejavnostmi kliringa izvedenih finančnih instrumentov za stranke, ki se morajo obravnavati kot soodvisne s sredstvi v skladu s členom 428f(2)(d)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obveznosti, ki izpolnjujejo vse pogoje iz člena 428f(1) CRR in so soodvisne s sredstvi v skladu s členom 428f(1)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iz drugih obveznosti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poročajo naslednje: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obveznosti iz nakupa finančnih instrumentov, tujih valut in blaga, ki zapadejo na dan sklenitve posla in za katere se pričakuje, da bodo poravnane v standardnem obdobju poravnave ali v obdobju, ki je običajno za zadevno izmenjavo ali vrsto poslov, ali ki še niso poravnane, vendar se še vedno pričakuje, da bodo; glej člen 428al(3)(a)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odložene obveznosti za davek; za preostalo zapadlost se uporabi prvi možen datum, na katerega se lahko realizira njihov znesek; glej člen 428al(1)(a)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manjšinske deleže; za preostalo zapadlost se uporabi trajanje instrumenta; glej člen 428al(1)(b)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druge obveznosti brez navedene zapadlosti, vključno s kratkimi pozicijami in pozicijami z neopredeljeno zapadlostjo, razen če je v tem oddelku določeno drugače; glej člen 428al(1)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negativno razliko med nizi pobotov, izračunano v skladu s členom 428al(4) CRR; vse obveznosti iz izvedenih finančnih instrumentov se poročajo, kot da imajo preostalo zapadlost manj kot eno leto;</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vse druge obveznosti, ki niso navedene v členih 428al do 428ap CRR; vse kapitalske postavke se poročajo pod postavko 2.1 ne glede na njihovo preostalo zapadlost; glej tudi člen 428al(3)(d)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58583240"/>
      <w:r>
        <w:rPr>
          <w:rFonts w:ascii="Times New Roman" w:hAnsi="Times New Roman"/>
          <w:b/>
          <w:sz w:val="24"/>
          <w:szCs w:val="24"/>
        </w:rPr>
        <w:t>DEL VI: POVZETEK ZA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58583241"/>
      <w:r>
        <w:rPr>
          <w:rFonts w:ascii="Times New Roman" w:hAnsi="Times New Roman"/>
          <w:b/>
          <w:sz w:val="24"/>
          <w:szCs w:val="24"/>
        </w:rPr>
        <w:t>Posebne opombe</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Namen te predloge je zagotoviti informacije o količniku neto stabilnega financiranja, tako za institucije, ki poročajo NSFR, izračunan na podlagi popolne metodologije (predlogi za poročanje C 80.00 in C 81.00), kot za institucije, ki poročajo NSFR, izračunan na podlagi poenostavljene metodologije (predlogi za poročanje C 82.00 in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 skladu s členom 428b(1) CRR je zahteva glede neto stabilnega financiranja iz člena 413(1) CRR enaka razmerju med razpoložljivim stabilnim financiranjem institucije iz poglavij 3 in 6 in potrebnim stabilnim financiranjem institucije iz poglavij 4 in 7 ter je izražena kot odstotek. Pravila za izračun količnika so določena v poglavju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Postavke v vrsticah 0010 do 0210 so iste kot enakovredne postavke, ki se poročajo v predlogah za poročanje C 80.00 do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58583242"/>
      <w:r>
        <w:rPr>
          <w:rFonts w:ascii="Times New Roman" w:hAnsi="Times New Roman"/>
          <w:b/>
          <w:sz w:val="24"/>
          <w:szCs w:val="24"/>
        </w:rPr>
        <w:t>2. Navodila za posamezne stolpce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Stolpec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Znesek</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Institucije v stolpcu 0010 poročajo znesek sredstev, </w:t>
            </w:r>
            <w:proofErr w:type="spellStart"/>
            <w:r>
              <w:rPr>
                <w:rFonts w:ascii="Times New Roman" w:hAnsi="Times New Roman"/>
                <w:sz w:val="24"/>
                <w:szCs w:val="24"/>
              </w:rPr>
              <w:t>zunajbilančnih</w:t>
            </w:r>
            <w:proofErr w:type="spellEnd"/>
            <w:r>
              <w:rPr>
                <w:rFonts w:ascii="Times New Roman" w:hAnsi="Times New Roman"/>
                <w:sz w:val="24"/>
                <w:szCs w:val="24"/>
              </w:rPr>
              <w:t xml:space="preserve"> postavk, obveznosti in kapitala, dodeljen vsoti vseh ustreznih žepkov preostale zapadlosti in HQLA. Zneski, ki se poročajo, so zneski pred uporabo ustreznih faktorjev ASF in RSF.</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Potrebno stabilno financiranje</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v stolpcu 0020 poročajo potrebno stabilno financiranje, izračunano v skladu s poglavjema 4 in 7 naslova IV dela 6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Razpoložljivo stabilno financiranje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Institucije v stolpcu 0030 poročajo razpoložljivo stabilno financiranje, izračunano v skladu s poglavjema 3 in 6 naslova IV dela 6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Količnik</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Institucije v stolpcu 0040 poročajo NSFR v skladu s členom 428b(1)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58583243"/>
      <w:r>
        <w:rPr>
          <w:rFonts w:ascii="Times New Roman" w:hAnsi="Times New Roman"/>
          <w:b/>
          <w:sz w:val="24"/>
          <w:szCs w:val="24"/>
        </w:rPr>
        <w:t>3. Navodila za posamezne vrstice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Vrstica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podlaga in navodila</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POTREBNO STABILNO FINANCIRANJE</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Postavka 1 predlog za poročanje C 80.00 in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RSF iz sredstev centralnih bank</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1.1 predlog za poročanje C 80.00 in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RSF iz likvidnih sredstev</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1.2 predlog za poročanje C 80.00 in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RSF iz vrednostnih papirjev, ki niso likvidna sredstva</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1.3 predlog za poročanje C 80.00 in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RSF iz kreditov</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1.4 predlog za poročanje C 80.00 in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RSF iz soodvisnih sredstev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1.5 predlog za poročanje C 80.00 in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RSF iz sredstev iz skupine ali institucionalne sheme za zaščito vlog, če zanje velja ugodnejša obravnava</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1.6 predlog za poročanje C 80.00 in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RSF iz izvedenih finančnih instrumentov</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1.7 predlog za poročanje C 80.00 in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RSF iz prispevkov v jamstveni sklad CNS</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1.8 predlog za poročanje C 80.00 in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RSF iz drugih sredstev</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1.9 predlog za poročanje C 80.00 in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1.10 RSF iz </w:t>
            </w:r>
            <w:proofErr w:type="spellStart"/>
            <w:r>
              <w:rPr>
                <w:rFonts w:ascii="Times New Roman" w:hAnsi="Times New Roman"/>
                <w:b/>
                <w:sz w:val="24"/>
                <w:szCs w:val="24"/>
                <w:u w:val="single"/>
              </w:rPr>
              <w:t>zunajbilančnih</w:t>
            </w:r>
            <w:proofErr w:type="spellEnd"/>
            <w:r>
              <w:rPr>
                <w:rFonts w:ascii="Times New Roman" w:hAnsi="Times New Roman"/>
                <w:b/>
                <w:sz w:val="24"/>
                <w:szCs w:val="24"/>
                <w:u w:val="single"/>
              </w:rPr>
              <w:t xml:space="preserve"> postavk</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1.10 predlog za poročanje C 80.00 in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RAZPOLOŽLJIVO STABILNO FINANCIRANJE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 predlog za poročanje C 81.00 in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ASF iz kapitalskih postavk in instrumentov</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2.1 predlog za poročanje C 81.00 in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iz vlog na drobno</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2.2 predlog za poročanje C 81.00 in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od drugih nefinančnih strank (razen centralnih bank)</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2.3 (razen 2.3.0.2) predloge za poročanje C 81.00 in predloge za poročanje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iz vlog za operativne namene</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Postavki 2.3.0.2 in 2.5.3.1 predloge za poročanje C 81.00 in postavka 2.4 predloge za poročanje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iz obveznosti v okviru skupine ali institucionalne sheme za zaščito vlog, če zanje velja ugodnejša obravnava</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2.4 predloge za poročanje C 81.00 in postavka 2.5 predloge za poročanje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od finančnih strank in centralnih bank</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2.5 (razen 2.5.3.1) predloge za poročanje C 81.00 in postavka 2.6 predloge za poročanje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iz zagotovljenih obveznosti, pri katerih ni mogoče določiti nasprotne stranke</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2.6 predloge za poročanje C 81.00 in postavka 2.7 predloge za poročanje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iz soodvisnih obveznosti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Postavka 2.8 predloge za poročanje C 81.00 in predloge za poročanje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ASF iz drugih obveznosti</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Postavki 2.7 in 2.9 predloge za poročanje C 81.00 in postavka 2.9 predloge za poročanje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Količnik neto stabilnega financiranja, izračunan v skladu s členom 428b(1)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E25EA5" w:rsidRDefault="00E25EA5">
      <w:r>
        <w:separator/>
      </w:r>
    </w:p>
  </w:endnote>
  <w:endnote w:type="continuationSeparator" w:id="0">
    <w:p w14:paraId="01B594BF" w14:textId="77777777" w:rsidR="00E25EA5" w:rsidRDefault="00E25EA5">
      <w:r>
        <w:continuationSeparator/>
      </w:r>
    </w:p>
  </w:endnote>
  <w:endnote w:type="continuationNotice" w:id="1">
    <w:p w14:paraId="6E1223DF" w14:textId="77777777" w:rsidR="00E25EA5" w:rsidRDefault="00E25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E25EA5" w:rsidRDefault="00E25E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1541EEB9" w:rsidR="00E25EA5" w:rsidRPr="00594E47" w:rsidRDefault="00E25EA5"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420651">
          <w:rPr>
            <w:rFonts w:ascii="Times New Roman" w:hAnsi="Times New Roman"/>
            <w:noProof/>
          </w:rPr>
          <w:t>46</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E25EA5" w:rsidRDefault="00E25EA5">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E25EA5" w:rsidRDefault="00E25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E25EA5" w:rsidRPr="004D223F" w:rsidRDefault="00E25EA5" w:rsidP="00C7701D">
      <w:r>
        <w:continuationSeparator/>
      </w:r>
    </w:p>
  </w:footnote>
  <w:footnote w:type="continuationSeparator" w:id="0">
    <w:p w14:paraId="18DBCC34" w14:textId="77777777" w:rsidR="00E25EA5" w:rsidRDefault="00E25EA5">
      <w:r>
        <w:continuationSeparator/>
      </w:r>
    </w:p>
  </w:footnote>
  <w:footnote w:type="continuationNotice" w:id="1">
    <w:p w14:paraId="7EA8A931" w14:textId="77777777" w:rsidR="00E25EA5" w:rsidRDefault="00E25E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E25EA5" w:rsidRDefault="00E25E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E25EA5" w:rsidRDefault="00E25E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E25EA5" w:rsidRDefault="00E25EA5">
    <w:pPr>
      <w:pStyle w:val="Header"/>
      <w:tabs>
        <w:tab w:val="clear" w:pos="8306"/>
        <w:tab w:val="right" w:pos="9072"/>
      </w:tabs>
      <w:jc w:val="right"/>
      <w:rPr>
        <w:noProof/>
      </w:rPr>
    </w:pPr>
    <w:r>
      <w:rPr>
        <w:noProof/>
        <w:lang w:eastAsia="sl-SI"/>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E25EA5" w:rsidRDefault="00E25EA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070A491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651"/>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5EA5"/>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0BA"/>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l-S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8766F-164F-40C0-8084-94C9D71B3D39}">
  <ds:schemaRefs>
    <ds:schemaRef ds:uri="http://schemas.openxmlformats.org/officeDocument/2006/bibliography"/>
  </ds:schemaRefs>
</ds:datastoreItem>
</file>

<file path=customXml/itemProps2.xml><?xml version="1.0" encoding="utf-8"?>
<ds:datastoreItem xmlns:ds="http://schemas.openxmlformats.org/officeDocument/2006/customXml" ds:itemID="{89D7A889-83D1-46BF-8B6C-4407977E286A}">
  <ds:schemaRefs>
    <ds:schemaRef ds:uri="http://schemas.openxmlformats.org/officeDocument/2006/bibliography"/>
  </ds:schemaRefs>
</ds:datastoreItem>
</file>

<file path=customXml/itemProps3.xml><?xml version="1.0" encoding="utf-8"?>
<ds:datastoreItem xmlns:ds="http://schemas.openxmlformats.org/officeDocument/2006/customXml" ds:itemID="{95007CB4-612C-4E8B-A93F-CAB292C8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54</Pages>
  <Words>14514</Words>
  <Characters>81092</Characters>
  <Application>Microsoft Office Word</Application>
  <DocSecurity>0</DocSecurity>
  <Lines>2615</Lines>
  <Paragraphs>1838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93768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VOLAVSEK Andrej (DGT)</cp:lastModifiedBy>
  <cp:revision>11</cp:revision>
  <cp:lastPrinted>2015-04-10T08:05:00Z</cp:lastPrinted>
  <dcterms:created xsi:type="dcterms:W3CDTF">2020-12-02T15:13:00Z</dcterms:created>
  <dcterms:modified xsi:type="dcterms:W3CDTF">2020-12-14T09:14:00Z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