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2A282140" w:rsidR="00C36E0D" w:rsidRPr="009B140C" w:rsidRDefault="00061ECF" w:rsidP="009B140C">
      <w:pPr>
        <w:pStyle w:val="Pagedecouverture"/>
      </w:pPr>
      <w:bookmarkStart w:id="0" w:name="_GoBack"/>
      <w:bookmarkEnd w:id="0"/>
      <w:r>
        <w:pict w14:anchorId="265FC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C8810B3-9815-4A10-801E-54530FC40E69" style="width:450.65pt;height:409pt">
            <v:imagedata r:id="rId8" o:title=""/>
          </v:shape>
        </w:pict>
      </w:r>
    </w:p>
    <w:p w14:paraId="703F7C0E" w14:textId="77777777" w:rsidR="0004170D" w:rsidRPr="009B140C" w:rsidRDefault="0004170D">
      <w:pPr>
        <w:sectPr w:rsidR="0004170D" w:rsidRPr="009B140C" w:rsidSect="009B140C">
          <w:footerReference w:type="default" r:id="rId9"/>
          <w:pgSz w:w="11907" w:h="16839"/>
          <w:pgMar w:top="1134" w:right="1417" w:bottom="1134" w:left="1417" w:header="709" w:footer="709" w:gutter="0"/>
          <w:pgNumType w:start="0"/>
          <w:cols w:space="720"/>
          <w:docGrid w:linePitch="360"/>
        </w:sectPr>
      </w:pPr>
    </w:p>
    <w:p w14:paraId="4E87218B" w14:textId="0931D684" w:rsidR="0004170D" w:rsidRPr="009B140C" w:rsidRDefault="009B140C" w:rsidP="009B140C">
      <w:pPr>
        <w:pStyle w:val="Typedudocument"/>
      </w:pPr>
      <w:r w:rsidRPr="009B140C">
        <w:lastRenderedPageBreak/>
        <w:t>ROZPORZĄDZENIE WYKONAWCZE KOMISJI (UE) …/…</w:t>
      </w:r>
    </w:p>
    <w:p w14:paraId="311EA019" w14:textId="5A1018A6" w:rsidR="0004170D" w:rsidRPr="009B140C" w:rsidRDefault="009B140C" w:rsidP="009B140C">
      <w:pPr>
        <w:pStyle w:val="Datedadoption"/>
      </w:pPr>
      <w:r w:rsidRPr="009B140C">
        <w:t xml:space="preserve">z dnia </w:t>
      </w:r>
      <w:r w:rsidRPr="009B140C">
        <w:rPr>
          <w:rStyle w:val="Marker2"/>
        </w:rPr>
        <w:t>XXX</w:t>
      </w:r>
      <w:r w:rsidRPr="009B140C">
        <w:t xml:space="preserve"> r.</w:t>
      </w:r>
    </w:p>
    <w:p w14:paraId="7EF0A74F" w14:textId="4C2CF719" w:rsidR="0004170D" w:rsidRPr="009B140C" w:rsidRDefault="009B140C" w:rsidP="009B140C">
      <w:pPr>
        <w:pStyle w:val="Titreobjet"/>
      </w:pPr>
      <w:r w:rsidRPr="009B140C">
        <w:t xml:space="preserve">ustanawiające wykonawcze standardy techniczne do celów stosowania rozporządzenia Parlamentu Europejskiego i Rady (UE) nr 575/2013 w odniesieniu do sprawozdań nadzorczych instytucji oraz uchylające rozporządzenie wykonawcze (UE) nr 680/2014 </w:t>
      </w:r>
      <w:r w:rsidRPr="009B140C">
        <w:br/>
      </w:r>
    </w:p>
    <w:p w14:paraId="714F85CC" w14:textId="31A9D3D2" w:rsidR="0004170D" w:rsidRPr="009B140C" w:rsidRDefault="009B140C" w:rsidP="009B140C">
      <w:pPr>
        <w:pStyle w:val="IntrtEEE"/>
      </w:pPr>
      <w:r w:rsidRPr="009B140C">
        <w:t>(Tekst mający znaczenie dla EOG)</w:t>
      </w:r>
    </w:p>
    <w:p w14:paraId="12CCC5F1" w14:textId="77777777" w:rsidR="0004170D" w:rsidRPr="009B140C" w:rsidRDefault="0004170D" w:rsidP="009675DD">
      <w:pPr>
        <w:pStyle w:val="Institutionquiagit"/>
      </w:pPr>
      <w:r w:rsidRPr="009B140C">
        <w:t>KOMISJA EUROPEJSKA,</w:t>
      </w:r>
    </w:p>
    <w:p w14:paraId="54D27881" w14:textId="0C24D3EA" w:rsidR="0004170D" w:rsidRPr="009B140C" w:rsidRDefault="0004170D" w:rsidP="009675DD">
      <w:r w:rsidRPr="009B140C">
        <w:rPr>
          <w:color w:val="000000"/>
        </w:rPr>
        <w:t>uwzględniając Traktat</w:t>
      </w:r>
      <w:r w:rsidR="009B140C" w:rsidRPr="009B140C">
        <w:rPr>
          <w:color w:val="000000"/>
        </w:rPr>
        <w:t xml:space="preserve"> o</w:t>
      </w:r>
      <w:r w:rsidR="009B140C">
        <w:rPr>
          <w:color w:val="000000"/>
        </w:rPr>
        <w:t> </w:t>
      </w:r>
      <w:r w:rsidR="009B140C" w:rsidRPr="009B140C">
        <w:rPr>
          <w:color w:val="000000"/>
        </w:rPr>
        <w:t>fun</w:t>
      </w:r>
      <w:r w:rsidRPr="009B140C">
        <w:rPr>
          <w:color w:val="000000"/>
        </w:rPr>
        <w:t>kcjonowaniu Unii Europejskiej</w:t>
      </w:r>
      <w:r w:rsidRPr="009B140C">
        <w:t>,</w:t>
      </w:r>
    </w:p>
    <w:p w14:paraId="2965D16B" w14:textId="7BED42D5" w:rsidR="0004170D" w:rsidRPr="009B140C" w:rsidRDefault="00AD21AA" w:rsidP="009675DD">
      <w:pPr>
        <w:rPr>
          <w:rFonts w:eastAsia="Times New Roman"/>
          <w:color w:val="000000"/>
        </w:rPr>
      </w:pPr>
      <w:r w:rsidRPr="009B140C">
        <w:t>uwzględniając rozporządzenie Parlamentu Europejskiego</w:t>
      </w:r>
      <w:r w:rsidR="009B140C" w:rsidRPr="009B140C">
        <w:t xml:space="preserve"> i</w:t>
      </w:r>
      <w:r w:rsidR="009B140C">
        <w:t> </w:t>
      </w:r>
      <w:r w:rsidR="009B140C" w:rsidRPr="009B140C">
        <w:t>Rad</w:t>
      </w:r>
      <w:r w:rsidRPr="009B140C">
        <w:t>y (UE) nr</w:t>
      </w:r>
      <w:r w:rsidR="009B140C" w:rsidRPr="009B140C">
        <w:t> </w:t>
      </w:r>
      <w:r w:rsidRPr="009B140C">
        <w:t>575/2013</w:t>
      </w:r>
      <w:r w:rsidR="009B140C" w:rsidRPr="009B140C">
        <w:t xml:space="preserve"> z</w:t>
      </w:r>
      <w:r w:rsidR="009B140C">
        <w:t> </w:t>
      </w:r>
      <w:r w:rsidR="009B140C" w:rsidRPr="009B140C">
        <w:t>dni</w:t>
      </w:r>
      <w:r w:rsidRPr="009B140C">
        <w:t>a 26 czerwca 2013</w:t>
      </w:r>
      <w:r w:rsidR="009B140C" w:rsidRPr="009B140C">
        <w:t> </w:t>
      </w:r>
      <w:r w:rsidRPr="009B140C">
        <w:t>r.</w:t>
      </w:r>
      <w:r w:rsidR="009B140C" w:rsidRPr="009B140C">
        <w:t xml:space="preserve"> w</w:t>
      </w:r>
      <w:r w:rsidR="009B140C">
        <w:t> </w:t>
      </w:r>
      <w:r w:rsidR="009B140C" w:rsidRPr="009B140C">
        <w:t>spr</w:t>
      </w:r>
      <w:r w:rsidRPr="009B140C">
        <w:t>awie wymogów ostrożnościowych dla instytucji kredytowych</w:t>
      </w:r>
      <w:r w:rsidR="009B140C" w:rsidRPr="009B140C">
        <w:t xml:space="preserve"> i</w:t>
      </w:r>
      <w:r w:rsidR="009B140C">
        <w:t> </w:t>
      </w:r>
      <w:r w:rsidR="009B140C" w:rsidRPr="009B140C">
        <w:t>fir</w:t>
      </w:r>
      <w:r w:rsidRPr="009B140C">
        <w:t>m inwestycyjnych, zmieniające rozporządzenie (UE) nr</w:t>
      </w:r>
      <w:r w:rsidR="009B140C" w:rsidRPr="009B140C">
        <w:t> </w:t>
      </w:r>
      <w:r w:rsidRPr="009B140C">
        <w:t>648/2012</w:t>
      </w:r>
      <w:r w:rsidRPr="009B140C">
        <w:rPr>
          <w:rStyle w:val="FootnoteReference"/>
        </w:rPr>
        <w:footnoteReference w:id="1"/>
      </w:r>
      <w:r w:rsidRPr="009B140C">
        <w:t>,</w:t>
      </w:r>
      <w:r w:rsidR="009B140C" w:rsidRPr="009B140C">
        <w:t xml:space="preserve"> w</w:t>
      </w:r>
      <w:r w:rsidR="009B140C">
        <w:t> </w:t>
      </w:r>
      <w:r w:rsidR="009B140C" w:rsidRPr="009B140C">
        <w:t>szc</w:t>
      </w:r>
      <w:r w:rsidRPr="009B140C">
        <w:t>zególności jego art.</w:t>
      </w:r>
      <w:r w:rsidR="009B140C" w:rsidRPr="009B140C">
        <w:t> </w:t>
      </w:r>
      <w:r w:rsidRPr="009B140C">
        <w:t>415 ust.</w:t>
      </w:r>
      <w:r w:rsidR="009B140C" w:rsidRPr="009B140C">
        <w:t> </w:t>
      </w:r>
      <w:r w:rsidRPr="009B140C">
        <w:t>3 akapit pierwszy, art.</w:t>
      </w:r>
      <w:r w:rsidR="009B140C" w:rsidRPr="009B140C">
        <w:t> </w:t>
      </w:r>
      <w:r w:rsidRPr="009B140C">
        <w:t>415 ust.</w:t>
      </w:r>
      <w:r w:rsidR="009B140C" w:rsidRPr="009B140C">
        <w:t> </w:t>
      </w:r>
      <w:r w:rsidRPr="009B140C">
        <w:t>3a akapit pierwszy, art.</w:t>
      </w:r>
      <w:r w:rsidR="009B140C" w:rsidRPr="009B140C">
        <w:t> </w:t>
      </w:r>
      <w:r w:rsidRPr="009B140C">
        <w:t>430 ust.</w:t>
      </w:r>
      <w:r w:rsidR="009B140C" w:rsidRPr="009B140C">
        <w:t> </w:t>
      </w:r>
      <w:r w:rsidRPr="009B140C">
        <w:t>7 akapit pierwszy</w:t>
      </w:r>
      <w:r w:rsidR="009B140C" w:rsidRPr="009B140C">
        <w:t xml:space="preserve"> i</w:t>
      </w:r>
      <w:r w:rsidR="009B140C">
        <w:t> </w:t>
      </w:r>
      <w:r w:rsidR="009B140C" w:rsidRPr="009B140C">
        <w:t>art</w:t>
      </w:r>
      <w:r w:rsidRPr="009B140C">
        <w:t>.</w:t>
      </w:r>
      <w:r w:rsidR="009B140C" w:rsidRPr="009B140C">
        <w:t> </w:t>
      </w:r>
      <w:r w:rsidRPr="009B140C">
        <w:t>430 ust.</w:t>
      </w:r>
      <w:r w:rsidR="009B140C" w:rsidRPr="009B140C">
        <w:t> </w:t>
      </w:r>
      <w:r w:rsidRPr="009B140C">
        <w:t>9 akapit drugi,</w:t>
      </w:r>
    </w:p>
    <w:p w14:paraId="421FC692" w14:textId="77777777" w:rsidR="0004170D" w:rsidRPr="009B140C" w:rsidRDefault="0004170D" w:rsidP="009675DD">
      <w:r w:rsidRPr="009B140C">
        <w:t>a także mając na uwadze, co następuje:</w:t>
      </w:r>
    </w:p>
    <w:p w14:paraId="0A7D0586" w14:textId="4162DB44" w:rsidR="00AD21AA" w:rsidRPr="009B140C" w:rsidRDefault="00AD21AA" w:rsidP="0047317A">
      <w:pPr>
        <w:pStyle w:val="Considrant"/>
        <w:numPr>
          <w:ilvl w:val="0"/>
          <w:numId w:val="11"/>
        </w:numPr>
      </w:pPr>
      <w:r w:rsidRPr="009B140C">
        <w:t>Bez uszczerbku dla uprawnień właściwych organów wynikających</w:t>
      </w:r>
      <w:r w:rsidR="009B140C" w:rsidRPr="009B140C">
        <w:t xml:space="preserve"> z</w:t>
      </w:r>
      <w:r w:rsidR="009B140C">
        <w:t> </w:t>
      </w:r>
      <w:r w:rsidR="009B140C" w:rsidRPr="009B140C">
        <w:t>art</w:t>
      </w:r>
      <w:r w:rsidRPr="009B140C">
        <w:t>.</w:t>
      </w:r>
      <w:r w:rsidR="009B140C" w:rsidRPr="009B140C">
        <w:t> </w:t>
      </w:r>
      <w:r w:rsidRPr="009B140C">
        <w:t>104 ust.</w:t>
      </w:r>
      <w:r w:rsidR="009B140C" w:rsidRPr="009B140C">
        <w:t> </w:t>
      </w:r>
      <w:r w:rsidRPr="009B140C">
        <w:t>1 lit.</w:t>
      </w:r>
      <w:r w:rsidR="009B140C" w:rsidRPr="009B140C">
        <w:t> </w:t>
      </w:r>
      <w:r w:rsidRPr="009B140C">
        <w:t>j) dyrektywy 2013/36/UE Parlamentu Europejskiego</w:t>
      </w:r>
      <w:r w:rsidR="009B140C" w:rsidRPr="009B140C">
        <w:t xml:space="preserve"> i</w:t>
      </w:r>
      <w:r w:rsidR="009B140C">
        <w:t> </w:t>
      </w:r>
      <w:r w:rsidR="009B140C" w:rsidRPr="009B140C">
        <w:t>Rad</w:t>
      </w:r>
      <w:r w:rsidRPr="009B140C">
        <w:t>y</w:t>
      </w:r>
      <w:r w:rsidRPr="009B140C">
        <w:rPr>
          <w:rStyle w:val="FootnoteReference"/>
        </w:rPr>
        <w:footnoteReference w:id="2"/>
      </w:r>
      <w:r w:rsidRPr="009B140C">
        <w:t>, rozporządzeniem wykonawczym Komisji (UE) nr</w:t>
      </w:r>
      <w:r w:rsidR="009B140C" w:rsidRPr="009B140C">
        <w:t> </w:t>
      </w:r>
      <w:r w:rsidRPr="009B140C">
        <w:t>680/2014</w:t>
      </w:r>
      <w:r w:rsidRPr="009B140C">
        <w:rPr>
          <w:rStyle w:val="FootnoteReference"/>
        </w:rPr>
        <w:footnoteReference w:id="3"/>
      </w:r>
      <w:r w:rsidRPr="009B140C">
        <w:t xml:space="preserve"> ustanawia się, na podstawie art.</w:t>
      </w:r>
      <w:r w:rsidR="009B140C" w:rsidRPr="009B140C">
        <w:t> </w:t>
      </w:r>
      <w:r w:rsidRPr="009B140C">
        <w:t>430 rozporządzenia (UE) nr</w:t>
      </w:r>
      <w:r w:rsidR="009B140C" w:rsidRPr="009B140C">
        <w:t> </w:t>
      </w:r>
      <w:r w:rsidRPr="009B140C">
        <w:t>575/2013, spójne ramy sprawozdawczości. Rozporządzenie wykonawcze (UE) nr</w:t>
      </w:r>
      <w:r w:rsidR="009B140C" w:rsidRPr="009B140C">
        <w:t> </w:t>
      </w:r>
      <w:r w:rsidRPr="009B140C">
        <w:t>680/2014 było wielokrotnie zmieniane</w:t>
      </w:r>
      <w:r w:rsidR="009B140C" w:rsidRPr="009B140C">
        <w:t xml:space="preserve"> w</w:t>
      </w:r>
      <w:r w:rsidR="009B140C">
        <w:t> </w:t>
      </w:r>
      <w:r w:rsidR="009B140C" w:rsidRPr="009B140C">
        <w:t>nas</w:t>
      </w:r>
      <w:r w:rsidRPr="009B140C">
        <w:t>tępstwie zmian rozporządzenia (UE) nr</w:t>
      </w:r>
      <w:r w:rsidR="009B140C" w:rsidRPr="009B140C">
        <w:t> </w:t>
      </w:r>
      <w:r w:rsidRPr="009B140C">
        <w:t>575/2013 przyjętych</w:t>
      </w:r>
      <w:r w:rsidR="009B140C" w:rsidRPr="009B140C">
        <w:t xml:space="preserve"> w</w:t>
      </w:r>
      <w:r w:rsidR="009B140C">
        <w:t> </w:t>
      </w:r>
      <w:r w:rsidR="009B140C" w:rsidRPr="009B140C">
        <w:t>cel</w:t>
      </w:r>
      <w:r w:rsidRPr="009B140C">
        <w:t>u wprowadzenia, doprecyzowania lub dostosowania elementów ostrożnościowych.</w:t>
      </w:r>
    </w:p>
    <w:p w14:paraId="7949AA03" w14:textId="719DE4CC" w:rsidR="00AD21AA" w:rsidRPr="009B140C" w:rsidRDefault="00AD21AA" w:rsidP="0047317A">
      <w:pPr>
        <w:pStyle w:val="Considrant"/>
        <w:numPr>
          <w:ilvl w:val="0"/>
          <w:numId w:val="11"/>
        </w:numPr>
      </w:pPr>
      <w:r w:rsidRPr="009B140C">
        <w:t>Przepisy niniejszego rozporządzenia są ze sobą ściśle powiązane, ponieważ dotyczą wymogów</w:t>
      </w:r>
      <w:r w:rsidR="009B140C" w:rsidRPr="009B140C">
        <w:t xml:space="preserve"> w</w:t>
      </w:r>
      <w:r w:rsidR="009B140C">
        <w:t> </w:t>
      </w:r>
      <w:r w:rsidR="009B140C" w:rsidRPr="009B140C">
        <w:t>zak</w:t>
      </w:r>
      <w:r w:rsidRPr="009B140C">
        <w:t>resie sprawozdawczości instytucji. Aby zapewnić spójność między tymi przepisami, które powinny wejść</w:t>
      </w:r>
      <w:r w:rsidR="009B140C" w:rsidRPr="009B140C">
        <w:t xml:space="preserve"> w</w:t>
      </w:r>
      <w:r w:rsidR="009B140C">
        <w:t> </w:t>
      </w:r>
      <w:r w:rsidR="009B140C" w:rsidRPr="009B140C">
        <w:t>życ</w:t>
      </w:r>
      <w:r w:rsidRPr="009B140C">
        <w:t>ie</w:t>
      </w:r>
      <w:r w:rsidR="009B140C" w:rsidRPr="009B140C">
        <w:t xml:space="preserve"> w</w:t>
      </w:r>
      <w:r w:rsidR="009B140C">
        <w:t> </w:t>
      </w:r>
      <w:r w:rsidR="009B140C" w:rsidRPr="009B140C">
        <w:t>tym</w:t>
      </w:r>
      <w:r w:rsidRPr="009B140C">
        <w:t xml:space="preserve"> samym czasie, oraz aby ułatwić całościowy wgląd w te przepisy</w:t>
      </w:r>
      <w:r w:rsidR="009B140C" w:rsidRPr="009B140C">
        <w:t xml:space="preserve"> i</w:t>
      </w:r>
      <w:r w:rsidR="009B140C">
        <w:t> </w:t>
      </w:r>
      <w:r w:rsidR="009B140C" w:rsidRPr="009B140C">
        <w:t>zap</w:t>
      </w:r>
      <w:r w:rsidRPr="009B140C">
        <w:t>ewnić łatwy dostęp do nich osobom podlegającym tym obowiązkom, należy włączyć do jednego rozporządzenia wszystkie powiązane wykonawcze standardy techniczne wymagane na mocy rozporządzenia (UE) nr</w:t>
      </w:r>
      <w:r w:rsidR="009B140C" w:rsidRPr="009B140C">
        <w:t> </w:t>
      </w:r>
      <w:r w:rsidRPr="009B140C">
        <w:t>575/2013.</w:t>
      </w:r>
    </w:p>
    <w:p w14:paraId="1A0C281B" w14:textId="0475C8AD" w:rsidR="00AD21AA" w:rsidRPr="009B140C" w:rsidRDefault="00AD21AA" w:rsidP="00AD21AA">
      <w:pPr>
        <w:pStyle w:val="Considrant"/>
      </w:pPr>
      <w:r w:rsidRPr="009B140C">
        <w:t>Uwzględniając międzynarodowe standardy Bazylejskiego Komitetu Nadzoru Bankowego, rozporządzeniem (UE) 2019/876 Parlamentu Europejskiego</w:t>
      </w:r>
      <w:r w:rsidR="009B140C" w:rsidRPr="009B140C">
        <w:t xml:space="preserve"> i</w:t>
      </w:r>
      <w:r w:rsidR="009B140C">
        <w:t> </w:t>
      </w:r>
      <w:r w:rsidR="009B140C" w:rsidRPr="009B140C">
        <w:t>Rad</w:t>
      </w:r>
      <w:r w:rsidRPr="009B140C">
        <w:t>y</w:t>
      </w:r>
      <w:r w:rsidRPr="009B140C">
        <w:rPr>
          <w:rStyle w:val="FootnoteReference"/>
        </w:rPr>
        <w:footnoteReference w:id="4"/>
      </w:r>
      <w:r w:rsidRPr="009B140C">
        <w:t xml:space="preserve"> </w:t>
      </w:r>
      <w:r w:rsidRPr="009B140C">
        <w:lastRenderedPageBreak/>
        <w:t>zmieniono rozporządzenie (UE) nr</w:t>
      </w:r>
      <w:r w:rsidR="009B140C" w:rsidRPr="009B140C">
        <w:t> </w:t>
      </w:r>
      <w:r w:rsidRPr="009B140C">
        <w:t>575/2013</w:t>
      </w:r>
      <w:r w:rsidR="009B140C" w:rsidRPr="009B140C">
        <w:t xml:space="preserve"> w</w:t>
      </w:r>
      <w:r w:rsidR="009B140C">
        <w:t> </w:t>
      </w:r>
      <w:r w:rsidR="009B140C" w:rsidRPr="009B140C">
        <w:t>wie</w:t>
      </w:r>
      <w:r w:rsidRPr="009B140C">
        <w:t>lu aspektach, takich jak wskaźnik dźwigni, wymóg dotyczący stabilnego finansowania netto, wymogi dotyczące funduszy własnych</w:t>
      </w:r>
      <w:r w:rsidR="009B140C" w:rsidRPr="009B140C">
        <w:t xml:space="preserve"> i</w:t>
      </w:r>
      <w:r w:rsidR="009B140C">
        <w:t> </w:t>
      </w:r>
      <w:r w:rsidR="009B140C" w:rsidRPr="009B140C">
        <w:t>zob</w:t>
      </w:r>
      <w:r w:rsidRPr="009B140C">
        <w:t>owiązań kwalifikowalnych, ryzyko kredytowe kontrahenta, ryzyko rynkowe, ekspozycje wobec kontrahentów centralnych, ekspozycje wobec przedsiębiorstw zbiorowego inwestowania, duże ekspozycje oraz wymogi</w:t>
      </w:r>
      <w:r w:rsidR="009B140C" w:rsidRPr="009B140C">
        <w:t xml:space="preserve"> w</w:t>
      </w:r>
      <w:r w:rsidR="009B140C">
        <w:t> </w:t>
      </w:r>
      <w:r w:rsidR="009B140C" w:rsidRPr="009B140C">
        <w:t>zak</w:t>
      </w:r>
      <w:r w:rsidRPr="009B140C">
        <w:t>resie sprawozdawczości</w:t>
      </w:r>
      <w:r w:rsidR="009B140C" w:rsidRPr="009B140C">
        <w:t xml:space="preserve"> i</w:t>
      </w:r>
      <w:r w:rsidR="009B140C">
        <w:t> </w:t>
      </w:r>
      <w:r w:rsidR="009B140C" w:rsidRPr="009B140C">
        <w:t>uja</w:t>
      </w:r>
      <w:r w:rsidRPr="009B140C">
        <w:t>wniania informacji. Należy zatem zmienić ramy sprawozdawczości ustanowione rozporządzeniem wykonawczym (UE) nr</w:t>
      </w:r>
      <w:r w:rsidR="009B140C" w:rsidRPr="009B140C">
        <w:t> </w:t>
      </w:r>
      <w:r w:rsidRPr="009B140C">
        <w:t>680/2014 oraz zaktualizować zestaw wzorów służących do gromadzenia informacji do celów sprawozdawczości nadzorczej.</w:t>
      </w:r>
    </w:p>
    <w:p w14:paraId="5F6B66C1" w14:textId="11800A82" w:rsidR="00AD21AA" w:rsidRPr="009B140C" w:rsidRDefault="00AD21AA" w:rsidP="00AD21AA">
      <w:pPr>
        <w:pStyle w:val="Considrant"/>
      </w:pPr>
      <w:r w:rsidRPr="009B140C">
        <w:t>Rozporządzeniem (UE) 2019/876 wprowadzono do rozporządzenia (UE) nr</w:t>
      </w:r>
      <w:r w:rsidR="009B140C" w:rsidRPr="009B140C">
        <w:t> </w:t>
      </w:r>
      <w:r w:rsidRPr="009B140C">
        <w:t>575/2013 wymóg dotyczący wskaźnika dźwigni kapitału Tier I skalibrowanego na poziomie 3</w:t>
      </w:r>
      <w:r w:rsidR="009B140C" w:rsidRPr="009B140C">
        <w:t> </w:t>
      </w:r>
      <w:r w:rsidRPr="009B140C">
        <w:t>%, zakres korekt do obliczania ekspozycji wskaźnika dźwigni oraz wymóg dotyczący bufora wskaźnika dźwigni dla instytucji określonych jako globalne instytucje</w:t>
      </w:r>
      <w:r w:rsidR="009B140C" w:rsidRPr="009B140C">
        <w:t xml:space="preserve"> o</w:t>
      </w:r>
      <w:r w:rsidR="009B140C">
        <w:t> </w:t>
      </w:r>
      <w:r w:rsidR="009B140C" w:rsidRPr="009B140C">
        <w:t>zna</w:t>
      </w:r>
      <w:r w:rsidRPr="009B140C">
        <w:t>czeniu systemowym zgodnie</w:t>
      </w:r>
      <w:r w:rsidR="009B140C" w:rsidRPr="009B140C">
        <w:t xml:space="preserve"> z</w:t>
      </w:r>
      <w:r w:rsidR="009B140C">
        <w:t> </w:t>
      </w:r>
      <w:r w:rsidR="009B140C" w:rsidRPr="009B140C">
        <w:t>dyr</w:t>
      </w:r>
      <w:r w:rsidRPr="009B140C">
        <w:t>ektywą 2013/36/UE. Należy zatem zaktualizować sprawozdawczość dotyczącą wskaźnika dźwigni, aby odzwierciedlić te wymogi</w:t>
      </w:r>
      <w:r w:rsidR="009B140C" w:rsidRPr="009B140C">
        <w:t xml:space="preserve"> i</w:t>
      </w:r>
      <w:r w:rsidR="009B140C">
        <w:t> </w:t>
      </w:r>
      <w:r w:rsidR="009B140C" w:rsidRPr="009B140C">
        <w:t>kor</w:t>
      </w:r>
      <w:r w:rsidRPr="009B140C">
        <w:t>ekty</w:t>
      </w:r>
      <w:r w:rsidR="009B140C" w:rsidRPr="009B140C">
        <w:t xml:space="preserve"> w</w:t>
      </w:r>
      <w:r w:rsidR="009B140C">
        <w:t> </w:t>
      </w:r>
      <w:r w:rsidR="009B140C" w:rsidRPr="009B140C">
        <w:t>obl</w:t>
      </w:r>
      <w:r w:rsidRPr="009B140C">
        <w:t>iczeniach ekspozycji.</w:t>
      </w:r>
    </w:p>
    <w:p w14:paraId="3651D6E0" w14:textId="1FCB4E77" w:rsidR="00AD21AA" w:rsidRPr="009B140C" w:rsidRDefault="00AD21AA" w:rsidP="00AD21AA">
      <w:pPr>
        <w:pStyle w:val="Considrant"/>
      </w:pPr>
      <w:r w:rsidRPr="009B140C">
        <w:t>Rozporządzeniem (UE) 2019/876 wprowadzono do rozporządzenia (UE) nr</w:t>
      </w:r>
      <w:r w:rsidR="009B140C" w:rsidRPr="009B140C">
        <w:t> </w:t>
      </w:r>
      <w:r w:rsidRPr="009B140C">
        <w:t>575/2013 wymogi dotyczące sprawozdawczości</w:t>
      </w:r>
      <w:r w:rsidR="009B140C" w:rsidRPr="009B140C">
        <w:t xml:space="preserve"> w</w:t>
      </w:r>
      <w:r w:rsidR="009B140C">
        <w:t> </w:t>
      </w:r>
      <w:r w:rsidR="009B140C" w:rsidRPr="009B140C">
        <w:t>zak</w:t>
      </w:r>
      <w:r w:rsidRPr="009B140C">
        <w:t>resie wskaźnika stabilnego finansowania netto,</w:t>
      </w:r>
      <w:r w:rsidR="009B140C" w:rsidRPr="009B140C">
        <w:t xml:space="preserve"> w</w:t>
      </w:r>
      <w:r w:rsidR="009B140C">
        <w:t> </w:t>
      </w:r>
      <w:r w:rsidR="009B140C" w:rsidRPr="009B140C">
        <w:t>tym</w:t>
      </w:r>
      <w:r w:rsidRPr="009B140C">
        <w:t xml:space="preserve"> wymogi uproszczone. Należy zatem ustanowić nowy zestaw wzorów sprawozdawczych</w:t>
      </w:r>
      <w:r w:rsidR="009B140C" w:rsidRPr="009B140C">
        <w:t xml:space="preserve"> i</w:t>
      </w:r>
      <w:r w:rsidR="009B140C">
        <w:t> </w:t>
      </w:r>
      <w:r w:rsidR="009B140C" w:rsidRPr="009B140C">
        <w:t>ins</w:t>
      </w:r>
      <w:r w:rsidRPr="009B140C">
        <w:t>trukcji.</w:t>
      </w:r>
    </w:p>
    <w:p w14:paraId="7CAD2444" w14:textId="0A9709E1" w:rsidR="00AD21AA" w:rsidRPr="009B140C" w:rsidRDefault="00AD21AA" w:rsidP="00AD21AA">
      <w:pPr>
        <w:pStyle w:val="Considrant"/>
      </w:pPr>
      <w:r w:rsidRPr="009B140C">
        <w:t>Rozporządzeniem (UE) 2019/876 wprowadzono do rozporządzenia (UE) nr</w:t>
      </w:r>
      <w:r w:rsidR="009B140C" w:rsidRPr="009B140C">
        <w:t> </w:t>
      </w:r>
      <w:r w:rsidRPr="009B140C">
        <w:t>575/2013 nowy współczynnik wsparcia, który ma być stosowany do ekspozycji związanych</w:t>
      </w:r>
      <w:r w:rsidR="009B140C" w:rsidRPr="009B140C">
        <w:t xml:space="preserve"> z</w:t>
      </w:r>
      <w:r w:rsidR="009B140C">
        <w:t> </w:t>
      </w:r>
      <w:r w:rsidR="009B140C" w:rsidRPr="009B140C">
        <w:t>pro</w:t>
      </w:r>
      <w:r w:rsidRPr="009B140C">
        <w:t>jektami infrastrukturalnymi, oraz zaktualizowane metody obliczania kwot ekspozycji ważonych ryzykiem dla przedsiębiorstw zbiorowego inwestowania. Należy zatem ustanowić, również zgodnie</w:t>
      </w:r>
      <w:r w:rsidR="009B140C" w:rsidRPr="009B140C">
        <w:t xml:space="preserve"> z</w:t>
      </w:r>
      <w:r w:rsidR="009B140C">
        <w:t> </w:t>
      </w:r>
      <w:r w:rsidR="009B140C" w:rsidRPr="009B140C">
        <w:t>ram</w:t>
      </w:r>
      <w:r w:rsidRPr="009B140C">
        <w:t>ami dotyczącymi ujawniania informacji, nowe wzory</w:t>
      </w:r>
      <w:r w:rsidR="009B140C" w:rsidRPr="009B140C">
        <w:t xml:space="preserve"> i</w:t>
      </w:r>
      <w:r w:rsidR="009B140C">
        <w:t> </w:t>
      </w:r>
      <w:r w:rsidR="009B140C" w:rsidRPr="009B140C">
        <w:t>ins</w:t>
      </w:r>
      <w:r w:rsidRPr="009B140C">
        <w:t>trukcje na potrzeby sprawozdawczości</w:t>
      </w:r>
      <w:r w:rsidR="009B140C" w:rsidRPr="009B140C">
        <w:t xml:space="preserve"> w</w:t>
      </w:r>
      <w:r w:rsidR="009B140C">
        <w:t> </w:t>
      </w:r>
      <w:r w:rsidR="009B140C" w:rsidRPr="009B140C">
        <w:t>zak</w:t>
      </w:r>
      <w:r w:rsidRPr="009B140C">
        <w:t>resie ryzyka kredytowego oraz zaktualizować istniejące instrukcje.</w:t>
      </w:r>
    </w:p>
    <w:p w14:paraId="19553D31" w14:textId="6E329CBA" w:rsidR="00AD21AA" w:rsidRPr="009B140C" w:rsidRDefault="00AD21AA" w:rsidP="00AD21AA">
      <w:pPr>
        <w:pStyle w:val="Considrant"/>
      </w:pPr>
      <w:r w:rsidRPr="009B140C">
        <w:t>Rozporządzeniem (UE) 2019/876 zastąpiono</w:t>
      </w:r>
      <w:r w:rsidR="009B140C" w:rsidRPr="009B140C">
        <w:t xml:space="preserve"> w</w:t>
      </w:r>
      <w:r w:rsidR="009B140C">
        <w:t> </w:t>
      </w:r>
      <w:r w:rsidR="009B140C" w:rsidRPr="009B140C">
        <w:t>roz</w:t>
      </w:r>
      <w:r w:rsidRPr="009B140C">
        <w:t>porządzeniu (UE) nr</w:t>
      </w:r>
      <w:r w:rsidR="009B140C" w:rsidRPr="009B140C">
        <w:t> </w:t>
      </w:r>
      <w:r w:rsidRPr="009B140C">
        <w:t>575/2013 metodę standardową bardziej wrażliwą na ryzyko metodą standardową dotyczącą ryzyka kredytowego kontrahenta (metoda standardowa dotycząca CCR)</w:t>
      </w:r>
      <w:r w:rsidR="009B140C" w:rsidRPr="009B140C">
        <w:t xml:space="preserve"> i</w:t>
      </w:r>
      <w:r w:rsidR="009B140C">
        <w:t> </w:t>
      </w:r>
      <w:r w:rsidR="009B140C" w:rsidRPr="009B140C">
        <w:t>jej</w:t>
      </w:r>
      <w:r w:rsidRPr="009B140C">
        <w:t xml:space="preserve"> uproszczoną wersją (uproszczona metoda standardowa dotycząca CCR) dla instytucji, które spełniają określone wcześniej kryteria kwalifikowalności. Metoda wyceny pierwotnej ekspozycji, choć zmieniona, pozostaje dostępna dla instytucji spełniających określone wcześniej kryteria. Należy zatem dodać nowe wzory</w:t>
      </w:r>
      <w:r w:rsidR="009B140C" w:rsidRPr="009B140C">
        <w:t xml:space="preserve"> i</w:t>
      </w:r>
      <w:r w:rsidR="009B140C">
        <w:t> </w:t>
      </w:r>
      <w:r w:rsidR="009B140C" w:rsidRPr="009B140C">
        <w:t>ins</w:t>
      </w:r>
      <w:r w:rsidRPr="009B140C">
        <w:t>trukcje na potrzeby sprawozdawczości</w:t>
      </w:r>
      <w:r w:rsidR="009B140C" w:rsidRPr="009B140C">
        <w:t xml:space="preserve"> w</w:t>
      </w:r>
      <w:r w:rsidR="009B140C">
        <w:t> </w:t>
      </w:r>
      <w:r w:rsidR="009B140C" w:rsidRPr="009B140C">
        <w:t>zak</w:t>
      </w:r>
      <w:r w:rsidRPr="009B140C">
        <w:t>resie ryzyka kredytowego kontrahenta oraz zaktualizować istniejące instrukcje.</w:t>
      </w:r>
    </w:p>
    <w:p w14:paraId="76193745" w14:textId="68472578" w:rsidR="00AD21AA" w:rsidRPr="009B140C" w:rsidRDefault="00AD21AA" w:rsidP="00AD21AA">
      <w:pPr>
        <w:pStyle w:val="Considrant"/>
      </w:pPr>
      <w:r w:rsidRPr="009B140C">
        <w:t>Rozporządzeniem (UE) 2019/876 zastąpiono</w:t>
      </w:r>
      <w:r w:rsidR="009B140C" w:rsidRPr="009B140C">
        <w:t xml:space="preserve"> w</w:t>
      </w:r>
      <w:r w:rsidR="009B140C">
        <w:t> </w:t>
      </w:r>
      <w:r w:rsidR="009B140C" w:rsidRPr="009B140C">
        <w:t>roz</w:t>
      </w:r>
      <w:r w:rsidRPr="009B140C">
        <w:t>porządzeniu (UE) nr</w:t>
      </w:r>
      <w:r w:rsidR="009B140C" w:rsidRPr="009B140C">
        <w:t> </w:t>
      </w:r>
      <w:r w:rsidRPr="009B140C">
        <w:t>575/2013 odniesienia do „uznanego kapitału”</w:t>
      </w:r>
      <w:r w:rsidR="009B140C" w:rsidRPr="009B140C">
        <w:t xml:space="preserve"> w</w:t>
      </w:r>
      <w:r w:rsidR="009B140C">
        <w:t> </w:t>
      </w:r>
      <w:r w:rsidR="009B140C" w:rsidRPr="009B140C">
        <w:t>obl</w:t>
      </w:r>
      <w:r w:rsidRPr="009B140C">
        <w:t>iczaniu dużych ekspozycji odniesieniami do „kapitału Tier I” oraz wprowadzono inny próg do celów sprawozdawczości</w:t>
      </w:r>
      <w:r w:rsidR="009B140C" w:rsidRPr="009B140C">
        <w:t xml:space="preserve"> w</w:t>
      </w:r>
      <w:r w:rsidR="009B140C">
        <w:t> </w:t>
      </w:r>
      <w:r w:rsidR="009B140C" w:rsidRPr="009B140C">
        <w:t>zak</w:t>
      </w:r>
      <w:r w:rsidRPr="009B140C">
        <w:t>resie dużych ekspozycji na zasadzie skonsolidowanej. Należy zatem zaktualizować sprawozdawczość</w:t>
      </w:r>
      <w:r w:rsidR="009B140C" w:rsidRPr="009B140C">
        <w:t xml:space="preserve"> w</w:t>
      </w:r>
      <w:r w:rsidR="009B140C">
        <w:t> </w:t>
      </w:r>
      <w:r w:rsidR="009B140C" w:rsidRPr="009B140C">
        <w:t>zak</w:t>
      </w:r>
      <w:r w:rsidRPr="009B140C">
        <w:t>resie dużych ekspozycji.</w:t>
      </w:r>
    </w:p>
    <w:p w14:paraId="406A544B" w14:textId="1BB7383D" w:rsidR="00AD21AA" w:rsidRPr="009B140C" w:rsidRDefault="00AD21AA" w:rsidP="00AD21AA">
      <w:pPr>
        <w:pStyle w:val="Considrant"/>
      </w:pPr>
      <w:r w:rsidRPr="009B140C">
        <w:lastRenderedPageBreak/>
        <w:t>Rozporządzeniem Parlamentu Europejskiego</w:t>
      </w:r>
      <w:r w:rsidR="009B140C" w:rsidRPr="009B140C">
        <w:t xml:space="preserve"> i</w:t>
      </w:r>
      <w:r w:rsidR="009B140C">
        <w:t> </w:t>
      </w:r>
      <w:r w:rsidR="009B140C" w:rsidRPr="009B140C">
        <w:t>Rad</w:t>
      </w:r>
      <w:r w:rsidRPr="009B140C">
        <w:t>y (UE) 2019/630</w:t>
      </w:r>
      <w:r w:rsidRPr="009B140C">
        <w:rPr>
          <w:rStyle w:val="FootnoteReference"/>
        </w:rPr>
        <w:footnoteReference w:id="5"/>
      </w:r>
      <w:r w:rsidRPr="009B140C">
        <w:t xml:space="preserve"> wprowadzono</w:t>
      </w:r>
      <w:r w:rsidR="009B140C" w:rsidRPr="009B140C">
        <w:t xml:space="preserve"> w</w:t>
      </w:r>
      <w:r w:rsidR="009B140C">
        <w:t> </w:t>
      </w:r>
      <w:r w:rsidR="009B140C" w:rsidRPr="009B140C">
        <w:t>roz</w:t>
      </w:r>
      <w:r w:rsidRPr="009B140C">
        <w:t>porządzeniu (UE) nr</w:t>
      </w:r>
      <w:r w:rsidR="009B140C" w:rsidRPr="009B140C">
        <w:t> </w:t>
      </w:r>
      <w:r w:rsidRPr="009B140C">
        <w:t>575/2013 ostrożnościowy mechanizm ochronny dla ekspozycji nieobsługiwanych, nakładający wymóg odliczenia</w:t>
      </w:r>
      <w:r w:rsidR="009B140C" w:rsidRPr="009B140C">
        <w:t xml:space="preserve"> z</w:t>
      </w:r>
      <w:r w:rsidR="009B140C">
        <w:t> </w:t>
      </w:r>
      <w:r w:rsidR="009B140C" w:rsidRPr="009B140C">
        <w:t>fun</w:t>
      </w:r>
      <w:r w:rsidRPr="009B140C">
        <w:t>duszy własnych instytucji,</w:t>
      </w:r>
      <w:r w:rsidR="009B140C" w:rsidRPr="009B140C">
        <w:t xml:space="preserve"> w</w:t>
      </w:r>
      <w:r w:rsidR="009B140C">
        <w:t> </w:t>
      </w:r>
      <w:r w:rsidR="009B140C" w:rsidRPr="009B140C">
        <w:t>prz</w:t>
      </w:r>
      <w:r w:rsidRPr="009B140C">
        <w:t>ypadku gdy ekspozycje nieobsługiwane nie są</w:t>
      </w:r>
      <w:r w:rsidR="009B140C" w:rsidRPr="009B140C">
        <w:t xml:space="preserve"> w</w:t>
      </w:r>
      <w:r w:rsidR="009B140C">
        <w:t> </w:t>
      </w:r>
      <w:r w:rsidR="009B140C" w:rsidRPr="009B140C">
        <w:t>wys</w:t>
      </w:r>
      <w:r w:rsidRPr="009B140C">
        <w:t>tarczającym stopniu objęte rezerwami lub innymi korektami, zgodnie</w:t>
      </w:r>
      <w:r w:rsidR="009B140C" w:rsidRPr="009B140C">
        <w:t xml:space="preserve"> z</w:t>
      </w:r>
      <w:r w:rsidR="009B140C">
        <w:t> </w:t>
      </w:r>
      <w:r w:rsidR="009B140C" w:rsidRPr="009B140C">
        <w:t>okr</w:t>
      </w:r>
      <w:r w:rsidRPr="009B140C">
        <w:t>eślonym wcześniej kalendarzem, aby zapewnić pełne pokrycie</w:t>
      </w:r>
      <w:r w:rsidR="009B140C" w:rsidRPr="009B140C">
        <w:t xml:space="preserve"> w</w:t>
      </w:r>
      <w:r w:rsidR="009B140C">
        <w:t> </w:t>
      </w:r>
      <w:r w:rsidR="009B140C" w:rsidRPr="009B140C">
        <w:t>cza</w:t>
      </w:r>
      <w:r w:rsidRPr="009B140C">
        <w:t>sie. Ten ostrożnościowy mechanizm ochronny opiera się na definicjach „ekspozycji nieobsługiwanej” i „działań restrukturyzacyjnych” określonych</w:t>
      </w:r>
      <w:r w:rsidR="009B140C" w:rsidRPr="009B140C">
        <w:t xml:space="preserve"> w</w:t>
      </w:r>
      <w:r w:rsidR="009B140C">
        <w:t> </w:t>
      </w:r>
      <w:r w:rsidR="009B140C" w:rsidRPr="009B140C">
        <w:t>roz</w:t>
      </w:r>
      <w:r w:rsidRPr="009B140C">
        <w:t>porządzeniu wykonawczym (UE) nr</w:t>
      </w:r>
      <w:r w:rsidR="009B140C" w:rsidRPr="009B140C">
        <w:t> </w:t>
      </w:r>
      <w:r w:rsidRPr="009B140C">
        <w:t>680/2014. Należy zatem zmienić wzory</w:t>
      </w:r>
      <w:r w:rsidR="009B140C" w:rsidRPr="009B140C">
        <w:t xml:space="preserve"> i</w:t>
      </w:r>
      <w:r w:rsidR="009B140C">
        <w:t> </w:t>
      </w:r>
      <w:r w:rsidR="009B140C" w:rsidRPr="009B140C">
        <w:t>ins</w:t>
      </w:r>
      <w:r w:rsidRPr="009B140C">
        <w:t>trukcje, aby zapewnić jednolitą definicję „ekspozycji nieobsługiwanej” i „działań restrukturyzacyjnych” zarówno dla celów sprawozdawczości, jak</w:t>
      </w:r>
      <w:r w:rsidR="009B140C" w:rsidRPr="009B140C">
        <w:t xml:space="preserve"> i</w:t>
      </w:r>
      <w:r w:rsidR="009B140C">
        <w:t> </w:t>
      </w:r>
      <w:r w:rsidR="009B140C" w:rsidRPr="009B140C">
        <w:t>ost</w:t>
      </w:r>
      <w:r w:rsidRPr="009B140C">
        <w:t>rożnościowego mechanizmu ochronnego. Nowe wzory są również niezbędne do gromadzenia informacji na potrzeby obliczania mechanizmu ochronnego.</w:t>
      </w:r>
    </w:p>
    <w:p w14:paraId="4A308F65" w14:textId="34A6DE21" w:rsidR="00AD21AA" w:rsidRPr="009B140C" w:rsidRDefault="00AD21AA" w:rsidP="00AD21AA">
      <w:pPr>
        <w:pStyle w:val="Considrant"/>
      </w:pPr>
      <w:r w:rsidRPr="009B140C">
        <w:t>Rozporządzeniem Parlamentu Europejskiego</w:t>
      </w:r>
      <w:r w:rsidR="009B140C" w:rsidRPr="009B140C">
        <w:t xml:space="preserve"> i</w:t>
      </w:r>
      <w:r w:rsidR="009B140C">
        <w:t> </w:t>
      </w:r>
      <w:r w:rsidR="009B140C" w:rsidRPr="009B140C">
        <w:t>Rad</w:t>
      </w:r>
      <w:r w:rsidRPr="009B140C">
        <w:t>y (UE) 2019/2033</w:t>
      </w:r>
      <w:r w:rsidRPr="009B140C">
        <w:rPr>
          <w:rStyle w:val="FootnoteReference"/>
        </w:rPr>
        <w:footnoteReference w:id="6"/>
      </w:r>
      <w:r w:rsidRPr="009B140C">
        <w:t xml:space="preserve"> uchyla się ze skutkiem od dnia 26 czerwca 2026</w:t>
      </w:r>
      <w:r w:rsidR="009B140C" w:rsidRPr="009B140C">
        <w:t> </w:t>
      </w:r>
      <w:r w:rsidRPr="009B140C">
        <w:t>r. przepisy sekcji 2 część trzecia tytuł I rozdział 1 (art.</w:t>
      </w:r>
      <w:r w:rsidR="009B140C" w:rsidRPr="009B140C">
        <w:t> </w:t>
      </w:r>
      <w:r w:rsidRPr="009B140C">
        <w:t>95–98) rozporządzenia (UE) nr</w:t>
      </w:r>
      <w:r w:rsidR="009B140C" w:rsidRPr="009B140C">
        <w:t> </w:t>
      </w:r>
      <w:r w:rsidRPr="009B140C">
        <w:t>575/2013</w:t>
      </w:r>
      <w:r w:rsidR="009B140C" w:rsidRPr="009B140C">
        <w:t>. Z</w:t>
      </w:r>
      <w:r w:rsidR="009B140C">
        <w:t> </w:t>
      </w:r>
      <w:r w:rsidR="009B140C" w:rsidRPr="009B140C">
        <w:t>teg</w:t>
      </w:r>
      <w:r w:rsidRPr="009B140C">
        <w:t>o powodu przepisy dotyczące sprawozdawczości obowiązującej grupy składające się wyłącznie</w:t>
      </w:r>
      <w:r w:rsidR="009B140C" w:rsidRPr="009B140C">
        <w:t xml:space="preserve"> z</w:t>
      </w:r>
      <w:r w:rsidR="009B140C">
        <w:t> </w:t>
      </w:r>
      <w:r w:rsidR="009B140C" w:rsidRPr="009B140C">
        <w:t>fir</w:t>
      </w:r>
      <w:r w:rsidRPr="009B140C">
        <w:t>m inwestycyjnych objętych zakresem art.</w:t>
      </w:r>
      <w:r w:rsidR="009B140C" w:rsidRPr="009B140C">
        <w:t> </w:t>
      </w:r>
      <w:r w:rsidRPr="009B140C">
        <w:t>95</w:t>
      </w:r>
      <w:r w:rsidR="009B140C" w:rsidRPr="009B140C">
        <w:t xml:space="preserve"> i</w:t>
      </w:r>
      <w:r w:rsidR="009B140C">
        <w:t> </w:t>
      </w:r>
      <w:r w:rsidR="009B140C" w:rsidRPr="009B140C">
        <w:t>9</w:t>
      </w:r>
      <w:r w:rsidRPr="009B140C">
        <w:t>6 rozporządzenia (UE) nr</w:t>
      </w:r>
      <w:r w:rsidR="009B140C" w:rsidRPr="009B140C">
        <w:t> </w:t>
      </w:r>
      <w:r w:rsidRPr="009B140C">
        <w:t>575/2013 na zasadzie indywidualnej lub skonsolidowanej powinny przestać obowiązywać</w:t>
      </w:r>
      <w:r w:rsidR="009B140C" w:rsidRPr="009B140C">
        <w:t xml:space="preserve"> z</w:t>
      </w:r>
      <w:r w:rsidR="009B140C">
        <w:t> </w:t>
      </w:r>
      <w:r w:rsidR="009B140C" w:rsidRPr="009B140C">
        <w:t>dni</w:t>
      </w:r>
      <w:r w:rsidRPr="009B140C">
        <w:t>em 26 czerwca 2026</w:t>
      </w:r>
      <w:r w:rsidR="009B140C" w:rsidRPr="009B140C">
        <w:t> </w:t>
      </w:r>
      <w:r w:rsidRPr="009B140C">
        <w:t>r.</w:t>
      </w:r>
    </w:p>
    <w:p w14:paraId="43FA00D7" w14:textId="39E38EA4" w:rsidR="00AD21AA" w:rsidRPr="009B140C" w:rsidRDefault="00AD21AA" w:rsidP="00AD21AA">
      <w:pPr>
        <w:pStyle w:val="Considrant"/>
      </w:pPr>
      <w:r w:rsidRPr="009B140C">
        <w:t>Ze względu na zakres powyższych zmian oraz</w:t>
      </w:r>
      <w:r w:rsidR="009B140C" w:rsidRPr="009B140C">
        <w:t xml:space="preserve"> w</w:t>
      </w:r>
      <w:r w:rsidR="009B140C">
        <w:t> </w:t>
      </w:r>
      <w:r w:rsidR="009B140C" w:rsidRPr="009B140C">
        <w:t>cel</w:t>
      </w:r>
      <w:r w:rsidRPr="009B140C">
        <w:t>u zapewnienia jasności należy uchylić rozporządzenie wykonawcze (UE) nr</w:t>
      </w:r>
      <w:r w:rsidR="009B140C" w:rsidRPr="009B140C">
        <w:t> </w:t>
      </w:r>
      <w:r w:rsidRPr="009B140C">
        <w:t>680/2014</w:t>
      </w:r>
      <w:r w:rsidR="009B140C" w:rsidRPr="009B140C">
        <w:t xml:space="preserve"> i</w:t>
      </w:r>
      <w:r w:rsidR="009B140C">
        <w:t> </w:t>
      </w:r>
      <w:r w:rsidR="009B140C" w:rsidRPr="009B140C">
        <w:t>zas</w:t>
      </w:r>
      <w:r w:rsidRPr="009B140C">
        <w:t>tąpić je niniejszym rozporządzeniem.</w:t>
      </w:r>
    </w:p>
    <w:p w14:paraId="68FF0834" w14:textId="42B53A96" w:rsidR="00AD21AA" w:rsidRPr="009B140C" w:rsidRDefault="00AD21AA" w:rsidP="00AD21AA">
      <w:pPr>
        <w:pStyle w:val="Considrant"/>
      </w:pPr>
      <w:r w:rsidRPr="009B140C">
        <w:t>Rozporządzenie Parlamentu Europejskiego</w:t>
      </w:r>
      <w:r w:rsidR="009B140C" w:rsidRPr="009B140C">
        <w:t xml:space="preserve"> i</w:t>
      </w:r>
      <w:r w:rsidR="009B140C">
        <w:t> </w:t>
      </w:r>
      <w:r w:rsidR="009B140C" w:rsidRPr="009B140C">
        <w:t>Rad</w:t>
      </w:r>
      <w:r w:rsidRPr="009B140C">
        <w:t>y (UE) 2020/873</w:t>
      </w:r>
      <w:r w:rsidRPr="009B140C">
        <w:rPr>
          <w:rStyle w:val="FootnoteReference"/>
        </w:rPr>
        <w:footnoteReference w:id="7"/>
      </w:r>
      <w:r w:rsidRPr="009B140C">
        <w:t xml:space="preserve"> stanowi element szeregu środków mających na celu złagodzenie wpływu pandemii COVID-19 na instytucje</w:t>
      </w:r>
      <w:r w:rsidR="009B140C" w:rsidRPr="009B140C">
        <w:t xml:space="preserve"> w</w:t>
      </w:r>
      <w:r w:rsidR="009B140C">
        <w:t> </w:t>
      </w:r>
      <w:r w:rsidR="009B140C" w:rsidRPr="009B140C">
        <w:t>cał</w:t>
      </w:r>
      <w:r w:rsidRPr="009B140C">
        <w:t>ej Unii. Rozporządzeniem tym wprowadzono pewne zmiany do rozporządzeń (UE) nr</w:t>
      </w:r>
      <w:r w:rsidR="009B140C" w:rsidRPr="009B140C">
        <w:t> </w:t>
      </w:r>
      <w:r w:rsidRPr="009B140C">
        <w:t>575/2013 i (UE) 2019/876, które mają wpływ na sprawozdawczość nadzorczą. Zmiany te należy zatem odzwierciedlić</w:t>
      </w:r>
      <w:r w:rsidR="009B140C" w:rsidRPr="009B140C">
        <w:t xml:space="preserve"> w</w:t>
      </w:r>
      <w:r w:rsidR="009B140C">
        <w:t> </w:t>
      </w:r>
      <w:r w:rsidR="009B140C" w:rsidRPr="009B140C">
        <w:t>ram</w:t>
      </w:r>
      <w:r w:rsidRPr="009B140C">
        <w:t xml:space="preserve">ach sprawozdawczości. </w:t>
      </w:r>
    </w:p>
    <w:p w14:paraId="1AEA9367" w14:textId="41CE4CD3" w:rsidR="00AD21AA" w:rsidRPr="009B140C" w:rsidRDefault="00AD21AA" w:rsidP="00AD21AA">
      <w:pPr>
        <w:pStyle w:val="Considrant"/>
      </w:pPr>
      <w:r w:rsidRPr="009B140C">
        <w:t>Instytucje powinny rozpocząć sprawozdawczość nadzorczą za koniec drugiego kwartału 2021</w:t>
      </w:r>
      <w:r w:rsidR="009B140C" w:rsidRPr="009B140C">
        <w:t> </w:t>
      </w:r>
      <w:r w:rsidRPr="009B140C">
        <w:t>r. Sprawozdawczość</w:t>
      </w:r>
      <w:r w:rsidR="009B140C" w:rsidRPr="009B140C">
        <w:t xml:space="preserve"> w</w:t>
      </w:r>
      <w:r w:rsidR="009B140C">
        <w:t> </w:t>
      </w:r>
      <w:r w:rsidR="009B140C" w:rsidRPr="009B140C">
        <w:t>zak</w:t>
      </w:r>
      <w:r w:rsidRPr="009B140C">
        <w:t>resie bufora wskaźnika dźwigni powinna jednak rozpocząć się od stycznia 2023</w:t>
      </w:r>
      <w:r w:rsidR="009B140C" w:rsidRPr="009B140C">
        <w:t> </w:t>
      </w:r>
      <w:r w:rsidRPr="009B140C">
        <w:t>r., ponieważ rozpoczęcie stosowania wymogów dotyczących bufora dźwigni odroczono do stycznia 2023</w:t>
      </w:r>
      <w:r w:rsidR="009B140C" w:rsidRPr="009B140C">
        <w:t> </w:t>
      </w:r>
      <w:r w:rsidRPr="009B140C">
        <w:t>r. rozporządzeniem (UE) 2020/873.</w:t>
      </w:r>
    </w:p>
    <w:p w14:paraId="34258819" w14:textId="77777777" w:rsidR="00AD21AA" w:rsidRPr="009B140C" w:rsidRDefault="00AD21AA" w:rsidP="00AD21AA">
      <w:pPr>
        <w:pStyle w:val="Considrant"/>
      </w:pPr>
      <w:r w:rsidRPr="009B140C">
        <w:t>Podstawę niniejszego rozporządzenia stanowi projekt wykonawczych standardów technicznych przedłożony Komisji przez Europejski Urząd Nadzoru Bankowego.</w:t>
      </w:r>
    </w:p>
    <w:p w14:paraId="1EE2EAF8" w14:textId="321E8BB1" w:rsidR="00AD21AA" w:rsidRPr="009B140C" w:rsidRDefault="00AD21AA" w:rsidP="00AD21AA">
      <w:pPr>
        <w:pStyle w:val="Considrant"/>
      </w:pPr>
      <w:r w:rsidRPr="009B140C">
        <w:t>EUNB przeprowadził otwarte konsultacje publiczne na temat projektu wykonawczych standardów technicznych, który stanowi podstawę niniejszego rozporządzenia, dokonał analizy potencjalnych powiązanych kosztów</w:t>
      </w:r>
      <w:r w:rsidR="009B140C" w:rsidRPr="009B140C">
        <w:t xml:space="preserve"> i</w:t>
      </w:r>
      <w:r w:rsidR="009B140C">
        <w:t> </w:t>
      </w:r>
      <w:r w:rsidR="009B140C" w:rsidRPr="009B140C">
        <w:t>kor</w:t>
      </w:r>
      <w:r w:rsidRPr="009B140C">
        <w:t>zyści oraz zwrócił się</w:t>
      </w:r>
      <w:r w:rsidR="009B140C" w:rsidRPr="009B140C">
        <w:t xml:space="preserve"> </w:t>
      </w:r>
      <w:r w:rsidR="009B140C" w:rsidRPr="009B140C">
        <w:lastRenderedPageBreak/>
        <w:t>o</w:t>
      </w:r>
      <w:r w:rsidR="009B140C">
        <w:t> </w:t>
      </w:r>
      <w:r w:rsidR="009B140C" w:rsidRPr="009B140C">
        <w:t>opi</w:t>
      </w:r>
      <w:r w:rsidRPr="009B140C">
        <w:t>nię do Bankowej Grupy Interesariuszy powołanej na podstawie art.</w:t>
      </w:r>
      <w:r w:rsidR="009B140C" w:rsidRPr="009B140C">
        <w:t> </w:t>
      </w:r>
      <w:r w:rsidRPr="009B140C">
        <w:t>37 rozporządzenia Parlamentu Europejskiego</w:t>
      </w:r>
      <w:r w:rsidR="009B140C" w:rsidRPr="009B140C">
        <w:t xml:space="preserve"> i</w:t>
      </w:r>
      <w:r w:rsidR="009B140C">
        <w:t> </w:t>
      </w:r>
      <w:r w:rsidR="009B140C" w:rsidRPr="009B140C">
        <w:t>Rad</w:t>
      </w:r>
      <w:r w:rsidRPr="009B140C">
        <w:t>y (UE) nr</w:t>
      </w:r>
      <w:r w:rsidR="009B140C" w:rsidRPr="009B140C">
        <w:t> </w:t>
      </w:r>
      <w:r w:rsidRPr="009B140C">
        <w:t>1093/2010</w:t>
      </w:r>
      <w:r w:rsidRPr="009B140C">
        <w:rPr>
          <w:rStyle w:val="FootnoteReference"/>
        </w:rPr>
        <w:footnoteReference w:id="8"/>
      </w:r>
      <w:r w:rsidRPr="009B140C">
        <w:t>,</w:t>
      </w:r>
      <w:r w:rsidR="009B140C" w:rsidRPr="009B140C">
        <w:t xml:space="preserve"> z</w:t>
      </w:r>
      <w:r w:rsidR="009B140C">
        <w:t> </w:t>
      </w:r>
      <w:r w:rsidR="009B140C" w:rsidRPr="009B140C">
        <w:t>wyj</w:t>
      </w:r>
      <w:r w:rsidRPr="009B140C">
        <w:t>ątkiem przepisów odzwierciedlających zmiany rozporządzenia (UE) nr</w:t>
      </w:r>
      <w:r w:rsidR="009B140C" w:rsidRPr="009B140C">
        <w:t> </w:t>
      </w:r>
      <w:r w:rsidRPr="009B140C">
        <w:t>575/2013 wprowadzone rozporządzeniem (UE) 2020/873. EUNB zdecydował, że przeprowadzenie konsultacji publicznych lub oceny kosztów</w:t>
      </w:r>
      <w:r w:rsidR="009B140C" w:rsidRPr="009B140C">
        <w:t xml:space="preserve"> i</w:t>
      </w:r>
      <w:r w:rsidR="009B140C">
        <w:t> </w:t>
      </w:r>
      <w:r w:rsidR="009B140C" w:rsidRPr="009B140C">
        <w:t>kor</w:t>
      </w:r>
      <w:r w:rsidRPr="009B140C">
        <w:t>zyści</w:t>
      </w:r>
      <w:r w:rsidR="009B140C" w:rsidRPr="009B140C">
        <w:t xml:space="preserve"> w</w:t>
      </w:r>
      <w:r w:rsidR="009B140C">
        <w:t> </w:t>
      </w:r>
      <w:r w:rsidR="009B140C" w:rsidRPr="009B140C">
        <w:t>odn</w:t>
      </w:r>
      <w:r w:rsidRPr="009B140C">
        <w:t>iesieniu do tych przepisów byłoby wysoce nieproporcjonalne, ponieważ dotyczą one nielicznych wierszy we wzorach sprawozdawczych dotyczących wypłacalności</w:t>
      </w:r>
      <w:r w:rsidR="009B140C" w:rsidRPr="009B140C">
        <w:t xml:space="preserve"> i</w:t>
      </w:r>
      <w:r w:rsidR="009B140C">
        <w:t> </w:t>
      </w:r>
      <w:r w:rsidR="009B140C" w:rsidRPr="009B140C">
        <w:t>dźw</w:t>
      </w:r>
      <w:r w:rsidRPr="009B140C">
        <w:t>igni finansowej</w:t>
      </w:r>
      <w:r w:rsidR="009B140C" w:rsidRPr="009B140C">
        <w:t xml:space="preserve"> i</w:t>
      </w:r>
      <w:r w:rsidR="009B140C">
        <w:t> </w:t>
      </w:r>
      <w:r w:rsidR="009B140C" w:rsidRPr="009B140C">
        <w:t>pra</w:t>
      </w:r>
      <w:r w:rsidRPr="009B140C">
        <w:t>wdopodobnie nie wpłyną</w:t>
      </w:r>
      <w:r w:rsidR="009B140C" w:rsidRPr="009B140C">
        <w:t xml:space="preserve"> w</w:t>
      </w:r>
      <w:r w:rsidR="009B140C">
        <w:t> </w:t>
      </w:r>
      <w:r w:rsidR="009B140C" w:rsidRPr="009B140C">
        <w:t>ist</w:t>
      </w:r>
      <w:r w:rsidRPr="009B140C">
        <w:t>otny sposób na koszty sprawozdawczości. Ponadto takie konsultacje publiczne lub ocena kosztów</w:t>
      </w:r>
      <w:r w:rsidR="009B140C" w:rsidRPr="009B140C">
        <w:t xml:space="preserve"> i</w:t>
      </w:r>
      <w:r w:rsidR="009B140C">
        <w:t> </w:t>
      </w:r>
      <w:r w:rsidR="009B140C" w:rsidRPr="009B140C">
        <w:t>kor</w:t>
      </w:r>
      <w:r w:rsidRPr="009B140C">
        <w:t>zyści uniemożliwiłyby organom nadzoru terminowe gromadzenie odpowiednich danych</w:t>
      </w:r>
      <w:r w:rsidR="009B140C" w:rsidRPr="009B140C">
        <w:t xml:space="preserve"> w</w:t>
      </w:r>
      <w:r w:rsidR="009B140C">
        <w:t> </w:t>
      </w:r>
      <w:r w:rsidR="009B140C" w:rsidRPr="009B140C">
        <w:t>spó</w:t>
      </w:r>
      <w:r w:rsidRPr="009B140C">
        <w:t>jny</w:t>
      </w:r>
      <w:r w:rsidR="009B140C" w:rsidRPr="009B140C">
        <w:t xml:space="preserve"> i</w:t>
      </w:r>
      <w:r w:rsidR="009B140C">
        <w:t> </w:t>
      </w:r>
      <w:r w:rsidR="009B140C" w:rsidRPr="009B140C">
        <w:t>reg</w:t>
      </w:r>
      <w:r w:rsidRPr="009B140C">
        <w:t>ularny sposób.</w:t>
      </w:r>
    </w:p>
    <w:p w14:paraId="38285338" w14:textId="1252F4E6" w:rsidR="0004170D" w:rsidRPr="009B140C" w:rsidRDefault="00AD21AA" w:rsidP="00AD21AA">
      <w:pPr>
        <w:pStyle w:val="Considrant"/>
      </w:pPr>
      <w:r w:rsidRPr="009B140C">
        <w:t>Aby zapewnić instytucjom wystarczający czas na dokonywanie sprawozdawczości zgodnie</w:t>
      </w:r>
      <w:r w:rsidR="009B140C" w:rsidRPr="009B140C">
        <w:t xml:space="preserve"> z</w:t>
      </w:r>
      <w:r w:rsidR="009B140C">
        <w:t> </w:t>
      </w:r>
      <w:r w:rsidR="009B140C" w:rsidRPr="009B140C">
        <w:t>nin</w:t>
      </w:r>
      <w:r w:rsidRPr="009B140C">
        <w:t>iejszym rozporządzeniem, powinno ono wejść</w:t>
      </w:r>
      <w:r w:rsidR="009B140C" w:rsidRPr="009B140C">
        <w:t xml:space="preserve"> w</w:t>
      </w:r>
      <w:r w:rsidR="009B140C">
        <w:t> </w:t>
      </w:r>
      <w:r w:rsidR="009B140C" w:rsidRPr="009B140C">
        <w:t>życ</w:t>
      </w:r>
      <w:r w:rsidRPr="009B140C">
        <w:t>ie następnego dnia po jego opublikowaniu</w:t>
      </w:r>
      <w:r w:rsidR="009B140C" w:rsidRPr="009B140C">
        <w:t xml:space="preserve"> w</w:t>
      </w:r>
      <w:r w:rsidR="009B140C">
        <w:t> </w:t>
      </w:r>
      <w:r w:rsidR="009B140C" w:rsidRPr="009B140C">
        <w:rPr>
          <w:i/>
        </w:rPr>
        <w:t>Dzi</w:t>
      </w:r>
      <w:r w:rsidRPr="009B140C">
        <w:rPr>
          <w:i/>
        </w:rPr>
        <w:t>enniku Urzędowym Unii Europejskiej</w:t>
      </w:r>
      <w:r w:rsidRPr="009B140C">
        <w:t xml:space="preserve">, </w:t>
      </w:r>
    </w:p>
    <w:p w14:paraId="7E0D596A" w14:textId="77777777" w:rsidR="0004170D" w:rsidRPr="009B140C" w:rsidRDefault="0004170D" w:rsidP="009675DD">
      <w:pPr>
        <w:pStyle w:val="Formuledadoption"/>
      </w:pPr>
      <w:r w:rsidRPr="009B140C">
        <w:t>PRZYJMUJE NINIEJSZE ROZPORZĄDZENIE:</w:t>
      </w:r>
    </w:p>
    <w:p w14:paraId="576F9D8E" w14:textId="77777777" w:rsidR="0004170D" w:rsidRPr="009B140C" w:rsidRDefault="0004170D" w:rsidP="009675DD">
      <w:pPr>
        <w:pStyle w:val="Titrearticle"/>
      </w:pPr>
      <w:r w:rsidRPr="009B140C">
        <w:t>Artykuł 1</w:t>
      </w:r>
    </w:p>
    <w:p w14:paraId="288B3999" w14:textId="51AB7DF8" w:rsidR="006B61AF" w:rsidRPr="009B140C" w:rsidRDefault="006B61AF" w:rsidP="006B61AF">
      <w:pPr>
        <w:pStyle w:val="Titrearticle"/>
        <w:spacing w:before="120"/>
        <w:rPr>
          <w:b/>
          <w:i w:val="0"/>
        </w:rPr>
      </w:pPr>
      <w:r w:rsidRPr="009B140C">
        <w:rPr>
          <w:b/>
          <w:i w:val="0"/>
        </w:rPr>
        <w:t>Przedmiot</w:t>
      </w:r>
      <w:r w:rsidR="009B140C" w:rsidRPr="009B140C">
        <w:rPr>
          <w:b/>
          <w:i w:val="0"/>
        </w:rPr>
        <w:t xml:space="preserve"> i</w:t>
      </w:r>
      <w:r w:rsidR="009B140C">
        <w:rPr>
          <w:b/>
          <w:i w:val="0"/>
        </w:rPr>
        <w:t> </w:t>
      </w:r>
      <w:r w:rsidR="009B140C" w:rsidRPr="009B140C">
        <w:rPr>
          <w:b/>
          <w:i w:val="0"/>
        </w:rPr>
        <w:t>zak</w:t>
      </w:r>
      <w:r w:rsidRPr="009B140C">
        <w:rPr>
          <w:b/>
          <w:i w:val="0"/>
        </w:rPr>
        <w:t>res stosowania</w:t>
      </w:r>
    </w:p>
    <w:p w14:paraId="37986D69" w14:textId="65C4AA8B" w:rsidR="0004170D" w:rsidRPr="009B140C" w:rsidRDefault="006B61AF" w:rsidP="00BC75BD">
      <w:r w:rsidRPr="009B140C">
        <w:t>W niniejszym rozporządzeniu określa się jednolite formaty</w:t>
      </w:r>
      <w:r w:rsidR="009B140C" w:rsidRPr="009B140C">
        <w:t xml:space="preserve"> i</w:t>
      </w:r>
      <w:r w:rsidR="009B140C">
        <w:t> </w:t>
      </w:r>
      <w:r w:rsidR="009B140C" w:rsidRPr="009B140C">
        <w:t>wzo</w:t>
      </w:r>
      <w:r w:rsidRPr="009B140C">
        <w:t>ry do celów sprawozdawczości, instrukcje</w:t>
      </w:r>
      <w:r w:rsidR="009B140C" w:rsidRPr="009B140C">
        <w:t xml:space="preserve"> i</w:t>
      </w:r>
      <w:r w:rsidR="009B140C">
        <w:t> </w:t>
      </w:r>
      <w:r w:rsidR="009B140C" w:rsidRPr="009B140C">
        <w:t>met</w:t>
      </w:r>
      <w:r w:rsidRPr="009B140C">
        <w:t>odę ich stosowania, częstotliwość</w:t>
      </w:r>
      <w:r w:rsidR="009B140C" w:rsidRPr="009B140C">
        <w:t xml:space="preserve"> i</w:t>
      </w:r>
      <w:r w:rsidR="009B140C">
        <w:t> </w:t>
      </w:r>
      <w:r w:rsidR="009B140C" w:rsidRPr="009B140C">
        <w:t>ter</w:t>
      </w:r>
      <w:r w:rsidRPr="009B140C">
        <w:t>miny przekazywania informacji, definicje oraz rozwiązania informatyczne na potrzeby przekazywania przez instytucje informacji ich właściwym organom zgodnie</w:t>
      </w:r>
      <w:r w:rsidR="009B140C" w:rsidRPr="009B140C">
        <w:t xml:space="preserve"> z</w:t>
      </w:r>
      <w:r w:rsidR="009B140C">
        <w:t> </w:t>
      </w:r>
      <w:r w:rsidR="009B140C" w:rsidRPr="009B140C">
        <w:t>art</w:t>
      </w:r>
      <w:r w:rsidRPr="009B140C">
        <w:t>.</w:t>
      </w:r>
      <w:r w:rsidR="009B140C" w:rsidRPr="009B140C">
        <w:t> </w:t>
      </w:r>
      <w:r w:rsidRPr="009B140C">
        <w:t>415 ust.</w:t>
      </w:r>
      <w:r w:rsidR="009B140C" w:rsidRPr="009B140C">
        <w:t> </w:t>
      </w:r>
      <w:r w:rsidRPr="009B140C">
        <w:t>3</w:t>
      </w:r>
      <w:r w:rsidR="009B140C" w:rsidRPr="009B140C">
        <w:t xml:space="preserve"> i</w:t>
      </w:r>
      <w:r w:rsidR="009B140C">
        <w:t> </w:t>
      </w:r>
      <w:r w:rsidR="009B140C" w:rsidRPr="009B140C">
        <w:t>3</w:t>
      </w:r>
      <w:r w:rsidRPr="009B140C">
        <w:t>a rozporządzenia (UE) nr</w:t>
      </w:r>
      <w:r w:rsidR="009B140C" w:rsidRPr="009B140C">
        <w:t> </w:t>
      </w:r>
      <w:r w:rsidRPr="009B140C">
        <w:t>575/2013 oraz art.</w:t>
      </w:r>
      <w:r w:rsidR="009B140C" w:rsidRPr="009B140C">
        <w:t> </w:t>
      </w:r>
      <w:r w:rsidRPr="009B140C">
        <w:t>430 ust.</w:t>
      </w:r>
      <w:r w:rsidR="009B140C" w:rsidRPr="009B140C">
        <w:t> </w:t>
      </w:r>
      <w:r w:rsidRPr="009B140C">
        <w:t>1–4, 7</w:t>
      </w:r>
      <w:r w:rsidR="009B140C" w:rsidRPr="009B140C">
        <w:t xml:space="preserve"> i</w:t>
      </w:r>
      <w:r w:rsidR="009B140C">
        <w:t> </w:t>
      </w:r>
      <w:r w:rsidR="009B140C" w:rsidRPr="009B140C">
        <w:t>9</w:t>
      </w:r>
      <w:r w:rsidRPr="009B140C">
        <w:t xml:space="preserve"> tego rozporządzenia. </w:t>
      </w:r>
    </w:p>
    <w:p w14:paraId="46D6B4CF" w14:textId="77777777" w:rsidR="00FF364B" w:rsidRPr="009B140C" w:rsidRDefault="00FF364B" w:rsidP="00FF364B">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2</w:t>
      </w:r>
      <w:r w:rsidR="00D90D81" w:rsidRPr="009B140C">
        <w:fldChar w:fldCharType="end"/>
      </w:r>
    </w:p>
    <w:p w14:paraId="35E34B0E" w14:textId="1A25917F" w:rsidR="00FF364B" w:rsidRPr="009B140C" w:rsidRDefault="006B61AF" w:rsidP="00FF364B">
      <w:pPr>
        <w:pStyle w:val="Titrearticle"/>
        <w:spacing w:before="120"/>
        <w:rPr>
          <w:b/>
          <w:i w:val="0"/>
        </w:rPr>
      </w:pPr>
      <w:r w:rsidRPr="009B140C">
        <w:rPr>
          <w:b/>
          <w:i w:val="0"/>
        </w:rPr>
        <w:t>Sprawozdawcze dni odniesienia</w:t>
      </w:r>
    </w:p>
    <w:p w14:paraId="10AD0363" w14:textId="007FC8FE" w:rsidR="006B61AF" w:rsidRPr="009B140C" w:rsidRDefault="006B61AF" w:rsidP="006B61AF">
      <w:pPr>
        <w:pStyle w:val="NumPar1"/>
        <w:numPr>
          <w:ilvl w:val="0"/>
          <w:numId w:val="10"/>
        </w:numPr>
      </w:pPr>
      <w:r w:rsidRPr="009B140C">
        <w:t>Instytucje przedstawiają właściwym organom bieżące informacje</w:t>
      </w:r>
      <w:r w:rsidR="009B140C" w:rsidRPr="009B140C">
        <w:t xml:space="preserve"> w</w:t>
      </w:r>
      <w:r w:rsidR="009B140C">
        <w:t> </w:t>
      </w:r>
      <w:r w:rsidR="009B140C" w:rsidRPr="009B140C">
        <w:t>nas</w:t>
      </w:r>
      <w:r w:rsidRPr="009B140C">
        <w:t>tępujących sprawozdawczych dniach odniesienia:</w:t>
      </w:r>
    </w:p>
    <w:p w14:paraId="7FC44D08" w14:textId="2BC9CD43" w:rsidR="006B61AF" w:rsidRPr="009B140C" w:rsidRDefault="00D9176D" w:rsidP="006B61AF">
      <w:pPr>
        <w:pStyle w:val="Point1"/>
      </w:pPr>
      <w:r w:rsidRPr="009B140C">
        <w:t>a)</w:t>
      </w:r>
      <w:r w:rsidRPr="009B140C">
        <w:tab/>
        <w:t>sprawozdawczość miesięczna: ostatniego dnia każdego miesiąca;</w:t>
      </w:r>
    </w:p>
    <w:p w14:paraId="28CC3121" w14:textId="1CEDCA14" w:rsidR="006B61AF" w:rsidRPr="009B140C" w:rsidRDefault="006B61AF" w:rsidP="006B61AF">
      <w:pPr>
        <w:pStyle w:val="Point1"/>
      </w:pPr>
      <w:r w:rsidRPr="009B140C">
        <w:t>b)</w:t>
      </w:r>
      <w:r w:rsidRPr="009B140C">
        <w:tab/>
        <w:t>sprawozdawczość kwartalna: 31 marca, 30 czerwca, 30 września</w:t>
      </w:r>
      <w:r w:rsidR="009B140C" w:rsidRPr="009B140C">
        <w:t xml:space="preserve"> i</w:t>
      </w:r>
      <w:r w:rsidR="009B140C">
        <w:t> </w:t>
      </w:r>
      <w:r w:rsidR="009B140C" w:rsidRPr="009B140C">
        <w:t>3</w:t>
      </w:r>
      <w:r w:rsidRPr="009B140C">
        <w:t>1 grudnia;</w:t>
      </w:r>
    </w:p>
    <w:p w14:paraId="3C859754" w14:textId="3428F07F" w:rsidR="006B61AF" w:rsidRPr="009B140C" w:rsidRDefault="006B61AF" w:rsidP="006B61AF">
      <w:pPr>
        <w:pStyle w:val="Point1"/>
      </w:pPr>
      <w:r w:rsidRPr="009B140C">
        <w:t>c)</w:t>
      </w:r>
      <w:r w:rsidRPr="009B140C">
        <w:tab/>
        <w:t>sprawozdawczość półroczna: 30 czerwca</w:t>
      </w:r>
      <w:r w:rsidR="009B140C" w:rsidRPr="009B140C">
        <w:t xml:space="preserve"> i</w:t>
      </w:r>
      <w:r w:rsidR="009B140C">
        <w:t> </w:t>
      </w:r>
      <w:r w:rsidR="009B140C" w:rsidRPr="009B140C">
        <w:t>3</w:t>
      </w:r>
      <w:r w:rsidRPr="009B140C">
        <w:t>1 grudnia;</w:t>
      </w:r>
    </w:p>
    <w:p w14:paraId="03865441" w14:textId="5E46B259" w:rsidR="00FF364B" w:rsidRPr="009B140C" w:rsidRDefault="006B61AF" w:rsidP="006B61AF">
      <w:pPr>
        <w:pStyle w:val="Point1"/>
      </w:pPr>
      <w:r w:rsidRPr="009B140C">
        <w:t>d)</w:t>
      </w:r>
      <w:r w:rsidRPr="009B140C">
        <w:tab/>
        <w:t>sprawozdawczość roczna: 31 grudnia.</w:t>
      </w:r>
    </w:p>
    <w:p w14:paraId="40A4E6AA" w14:textId="0212FB9B" w:rsidR="006B61AF" w:rsidRPr="009B140C" w:rsidRDefault="006B61AF" w:rsidP="006B61AF">
      <w:pPr>
        <w:pStyle w:val="NumPar1"/>
      </w:pPr>
      <w:r w:rsidRPr="009B140C">
        <w:t>Informacje przedstawiane zgodnie ze wzorami określonymi</w:t>
      </w:r>
      <w:r w:rsidR="009B140C" w:rsidRPr="009B140C">
        <w:t xml:space="preserve"> w</w:t>
      </w:r>
      <w:r w:rsidR="009B140C">
        <w:t> </w:t>
      </w:r>
      <w:r w:rsidR="009B140C" w:rsidRPr="009B140C">
        <w:t>zał</w:t>
      </w:r>
      <w:r w:rsidRPr="009B140C">
        <w:t>ącznikach III i IV stosownie do instrukcji zawartych</w:t>
      </w:r>
      <w:r w:rsidR="009B140C" w:rsidRPr="009B140C">
        <w:t xml:space="preserve"> w</w:t>
      </w:r>
      <w:r w:rsidR="009B140C">
        <w:t> </w:t>
      </w:r>
      <w:r w:rsidR="009B140C" w:rsidRPr="009B140C">
        <w:t>zał</w:t>
      </w:r>
      <w:r w:rsidRPr="009B140C">
        <w:t>ączniku V, które odnoszą się do określonego okresu, przedstawia się łącznie od pierwszego dnia roku obrotowego do dnia odniesienia.</w:t>
      </w:r>
    </w:p>
    <w:p w14:paraId="65D209FF" w14:textId="50EE33C4" w:rsidR="00FF364B" w:rsidRPr="009B140C" w:rsidRDefault="006B61AF" w:rsidP="006B61AF">
      <w:pPr>
        <w:pStyle w:val="NumPar1"/>
      </w:pPr>
      <w:r w:rsidRPr="009B140C">
        <w:t>W przypadku gdy przepisy krajowe pozwalają instytucjom na przekazywanie informacji finansowych na podstawie ich roku obrotowego, którego koniec nie pokrywa się</w:t>
      </w:r>
      <w:r w:rsidR="009B140C" w:rsidRPr="009B140C">
        <w:t xml:space="preserve"> z</w:t>
      </w:r>
      <w:r w:rsidR="009B140C">
        <w:t> </w:t>
      </w:r>
      <w:r w:rsidR="009B140C" w:rsidRPr="009B140C">
        <w:t>koń</w:t>
      </w:r>
      <w:r w:rsidRPr="009B140C">
        <w:t>cem roku kalendarzowego, sprawozdawcze dni odniesienia można odpowiednio dostosować, tak aby przekazywanie informacji finansowych</w:t>
      </w:r>
      <w:r w:rsidR="009B140C" w:rsidRPr="009B140C">
        <w:t xml:space="preserve"> </w:t>
      </w:r>
      <w:r w:rsidR="009B140C" w:rsidRPr="009B140C">
        <w:lastRenderedPageBreak/>
        <w:t>i</w:t>
      </w:r>
      <w:r w:rsidR="009B140C">
        <w:t> </w:t>
      </w:r>
      <w:r w:rsidR="009B140C" w:rsidRPr="009B140C">
        <w:t>inf</w:t>
      </w:r>
      <w:r w:rsidRPr="009B140C">
        <w:t>ormacji do celów określania globalnych instytucji</w:t>
      </w:r>
      <w:r w:rsidR="009B140C" w:rsidRPr="009B140C">
        <w:t xml:space="preserve"> o</w:t>
      </w:r>
      <w:r w:rsidR="009B140C">
        <w:t> </w:t>
      </w:r>
      <w:r w:rsidR="009B140C" w:rsidRPr="009B140C">
        <w:t>zna</w:t>
      </w:r>
      <w:r w:rsidRPr="009B140C">
        <w:t>czeniu systemowym (G-SII)</w:t>
      </w:r>
      <w:r w:rsidR="009B140C" w:rsidRPr="009B140C">
        <w:t xml:space="preserve"> i</w:t>
      </w:r>
      <w:r w:rsidR="009B140C">
        <w:t> </w:t>
      </w:r>
      <w:r w:rsidR="009B140C" w:rsidRPr="009B140C">
        <w:t>prz</w:t>
      </w:r>
      <w:r w:rsidRPr="009B140C">
        <w:t>ypisywania wskaźników bufora globalnych instytucji</w:t>
      </w:r>
      <w:r w:rsidR="009B140C" w:rsidRPr="009B140C">
        <w:t xml:space="preserve"> o</w:t>
      </w:r>
      <w:r w:rsidR="009B140C">
        <w:t> </w:t>
      </w:r>
      <w:r w:rsidR="009B140C" w:rsidRPr="009B140C">
        <w:t>zna</w:t>
      </w:r>
      <w:r w:rsidRPr="009B140C">
        <w:t>czeniu systemowym odbywało się odpowiednio co trzy, sześć lub dwanaście miesięcy, począwszy od końca ich roku obrotowego.</w:t>
      </w:r>
    </w:p>
    <w:p w14:paraId="45D66A15" w14:textId="77777777" w:rsidR="00725875" w:rsidRPr="009B140C" w:rsidRDefault="00725875" w:rsidP="00725875">
      <w:pPr>
        <w:pStyle w:val="Titrearticle"/>
      </w:pPr>
      <w:r w:rsidRPr="009B140C">
        <w:t>Artykuł 3</w:t>
      </w:r>
    </w:p>
    <w:p w14:paraId="19D84E1B" w14:textId="77777777" w:rsidR="0014552F" w:rsidRPr="009B140C" w:rsidRDefault="0014552F" w:rsidP="0014552F">
      <w:pPr>
        <w:pStyle w:val="Titrearticle"/>
        <w:spacing w:before="120"/>
        <w:rPr>
          <w:b/>
          <w:i w:val="0"/>
        </w:rPr>
      </w:pPr>
      <w:r w:rsidRPr="009B140C">
        <w:rPr>
          <w:b/>
          <w:i w:val="0"/>
        </w:rPr>
        <w:t>Dni przekazania formularzy</w:t>
      </w:r>
    </w:p>
    <w:p w14:paraId="1A3916EF" w14:textId="7F1FA4C2" w:rsidR="0014552F" w:rsidRPr="009B140C" w:rsidRDefault="0014552F" w:rsidP="0047317A">
      <w:pPr>
        <w:pStyle w:val="NumPar1"/>
        <w:numPr>
          <w:ilvl w:val="0"/>
          <w:numId w:val="12"/>
        </w:numPr>
      </w:pPr>
      <w:r w:rsidRPr="009B140C">
        <w:t>Instytucje przedstawiają właściwym organom informacje przed zakończeniem dnia roboczego</w:t>
      </w:r>
      <w:r w:rsidR="009B140C" w:rsidRPr="009B140C">
        <w:t xml:space="preserve"> w</w:t>
      </w:r>
      <w:r w:rsidR="009B140C">
        <w:t> </w:t>
      </w:r>
      <w:r w:rsidR="009B140C" w:rsidRPr="009B140C">
        <w:t>nas</w:t>
      </w:r>
      <w:r w:rsidRPr="009B140C">
        <w:t>tępujących dniach przekazania formularzy:</w:t>
      </w:r>
    </w:p>
    <w:p w14:paraId="1B31A059" w14:textId="77777777" w:rsidR="0014552F" w:rsidRPr="009B140C" w:rsidRDefault="0014552F" w:rsidP="0014552F">
      <w:pPr>
        <w:pStyle w:val="Point1"/>
      </w:pPr>
      <w:r w:rsidRPr="009B140C">
        <w:t>a)</w:t>
      </w:r>
      <w:r w:rsidRPr="009B140C">
        <w:tab/>
        <w:t>sprawozdawczość miesięczna: 15 dzień kalendarzowy po sprawozdawczym dniu odniesienia;</w:t>
      </w:r>
    </w:p>
    <w:p w14:paraId="59E141C9" w14:textId="7250C16E" w:rsidR="0014552F" w:rsidRPr="009B140C" w:rsidRDefault="0014552F" w:rsidP="0014552F">
      <w:pPr>
        <w:pStyle w:val="Point1"/>
      </w:pPr>
      <w:r w:rsidRPr="009B140C">
        <w:t>b)</w:t>
      </w:r>
      <w:r w:rsidRPr="009B140C">
        <w:tab/>
        <w:t>sprawozdawczość kwartalna: 12 maja, 11 sierpnia, 11 listopada</w:t>
      </w:r>
      <w:r w:rsidR="009B140C" w:rsidRPr="009B140C">
        <w:t xml:space="preserve"> i</w:t>
      </w:r>
      <w:r w:rsidR="009B140C">
        <w:t> </w:t>
      </w:r>
      <w:r w:rsidR="009B140C" w:rsidRPr="009B140C">
        <w:t>1</w:t>
      </w:r>
      <w:r w:rsidRPr="009B140C">
        <w:t>1 lutego;</w:t>
      </w:r>
    </w:p>
    <w:p w14:paraId="31A5927D" w14:textId="1B017C5A" w:rsidR="0014552F" w:rsidRPr="009B140C" w:rsidRDefault="0014552F" w:rsidP="0014552F">
      <w:pPr>
        <w:pStyle w:val="Point1"/>
      </w:pPr>
      <w:r w:rsidRPr="009B140C">
        <w:t>c)</w:t>
      </w:r>
      <w:r w:rsidRPr="009B140C">
        <w:tab/>
        <w:t>sprawozdawczość półroczna: 11 sierpnia</w:t>
      </w:r>
      <w:r w:rsidR="009B140C" w:rsidRPr="009B140C">
        <w:t xml:space="preserve"> i</w:t>
      </w:r>
      <w:r w:rsidR="009B140C">
        <w:t> </w:t>
      </w:r>
      <w:r w:rsidR="009B140C" w:rsidRPr="009B140C">
        <w:t>1</w:t>
      </w:r>
      <w:r w:rsidRPr="009B140C">
        <w:t>1 lutego;</w:t>
      </w:r>
    </w:p>
    <w:p w14:paraId="37F1906A" w14:textId="77777777" w:rsidR="0014552F" w:rsidRPr="009B140C" w:rsidRDefault="0014552F" w:rsidP="0014552F">
      <w:pPr>
        <w:pStyle w:val="Point1"/>
      </w:pPr>
      <w:r w:rsidRPr="009B140C">
        <w:t>d)</w:t>
      </w:r>
      <w:r w:rsidRPr="009B140C">
        <w:tab/>
        <w:t>sprawozdawczość roczna: 11 lutego.</w:t>
      </w:r>
    </w:p>
    <w:p w14:paraId="493E0587" w14:textId="4F804A90" w:rsidR="0014552F" w:rsidRPr="009B140C" w:rsidRDefault="0014552F" w:rsidP="0014552F">
      <w:pPr>
        <w:pStyle w:val="NumPar1"/>
        <w:numPr>
          <w:ilvl w:val="0"/>
          <w:numId w:val="10"/>
        </w:numPr>
      </w:pPr>
      <w:r w:rsidRPr="009B140C">
        <w:t>Jeżeli dzień przekazania formularzy jest dniem ustawowo wolnym od pracy</w:t>
      </w:r>
      <w:r w:rsidR="009B140C" w:rsidRPr="009B140C">
        <w:t xml:space="preserve"> w</w:t>
      </w:r>
      <w:r w:rsidR="009B140C">
        <w:t> </w:t>
      </w:r>
      <w:r w:rsidR="009B140C" w:rsidRPr="009B140C">
        <w:t>pań</w:t>
      </w:r>
      <w:r w:rsidRPr="009B140C">
        <w:t>stwie członkowskim właściwego organu, któremu należy przedstawić sprawozdanie, bądź wypada</w:t>
      </w:r>
      <w:r w:rsidR="009B140C" w:rsidRPr="009B140C">
        <w:t xml:space="preserve"> w</w:t>
      </w:r>
      <w:r w:rsidR="009B140C">
        <w:t> </w:t>
      </w:r>
      <w:r w:rsidR="009B140C" w:rsidRPr="009B140C">
        <w:t>sob</w:t>
      </w:r>
      <w:r w:rsidRPr="009B140C">
        <w:t>otę lub niedzielę, dane przekazuje się następnego dnia roboczego.</w:t>
      </w:r>
    </w:p>
    <w:p w14:paraId="6B66EFC5" w14:textId="2ECD42E9" w:rsidR="0014552F" w:rsidRPr="009B140C" w:rsidRDefault="0014552F" w:rsidP="0014552F">
      <w:pPr>
        <w:pStyle w:val="NumPar1"/>
        <w:numPr>
          <w:ilvl w:val="0"/>
          <w:numId w:val="10"/>
        </w:numPr>
      </w:pPr>
      <w:r w:rsidRPr="009B140C">
        <w:t>W przypadku gdy instytucje przedstawiają swoje informacje finansowe lub informacje do celów określania globalnych instytucji</w:t>
      </w:r>
      <w:r w:rsidR="009B140C" w:rsidRPr="009B140C">
        <w:t xml:space="preserve"> o</w:t>
      </w:r>
      <w:r w:rsidR="009B140C">
        <w:t> </w:t>
      </w:r>
      <w:r w:rsidR="009B140C" w:rsidRPr="009B140C">
        <w:t>zna</w:t>
      </w:r>
      <w:r w:rsidRPr="009B140C">
        <w:t>czeniu systemowym</w:t>
      </w:r>
      <w:r w:rsidR="009B140C" w:rsidRPr="009B140C">
        <w:t xml:space="preserve"> i</w:t>
      </w:r>
      <w:r w:rsidR="009B140C">
        <w:t> </w:t>
      </w:r>
      <w:r w:rsidR="009B140C" w:rsidRPr="009B140C">
        <w:t>prz</w:t>
      </w:r>
      <w:r w:rsidRPr="009B140C">
        <w:t>ypisywania wskaźników bufora globalnych instytucji</w:t>
      </w:r>
      <w:r w:rsidR="009B140C" w:rsidRPr="009B140C">
        <w:t xml:space="preserve"> o</w:t>
      </w:r>
      <w:r w:rsidR="009B140C">
        <w:t> </w:t>
      </w:r>
      <w:r w:rsidR="009B140C" w:rsidRPr="009B140C">
        <w:t>zna</w:t>
      </w:r>
      <w:r w:rsidRPr="009B140C">
        <w:t>czeniu systemowym według dostosowanych sprawozdawczych dni odniesienia na podstawie końca ich roku obrotowego, jak określono</w:t>
      </w:r>
      <w:r w:rsidR="009B140C" w:rsidRPr="009B140C">
        <w:t xml:space="preserve"> w</w:t>
      </w:r>
      <w:r w:rsidR="009B140C">
        <w:t> </w:t>
      </w:r>
      <w:r w:rsidR="009B140C" w:rsidRPr="009B140C">
        <w:t>art</w:t>
      </w:r>
      <w:r w:rsidRPr="009B140C">
        <w:t>.</w:t>
      </w:r>
      <w:r w:rsidR="009B140C" w:rsidRPr="009B140C">
        <w:t> </w:t>
      </w:r>
      <w:r w:rsidRPr="009B140C">
        <w:t>2 ust.</w:t>
      </w:r>
      <w:r w:rsidR="009B140C" w:rsidRPr="009B140C">
        <w:t> </w:t>
      </w:r>
      <w:r w:rsidRPr="009B140C">
        <w:t>3, dni przekazania formularzy również można odpowiednio dostosować, tak aby zachować taki sam okres przekazywania formularzy, jak wynika</w:t>
      </w:r>
      <w:r w:rsidR="009B140C" w:rsidRPr="009B140C">
        <w:t xml:space="preserve"> z</w:t>
      </w:r>
      <w:r w:rsidR="009B140C">
        <w:t> </w:t>
      </w:r>
      <w:r w:rsidR="009B140C" w:rsidRPr="009B140C">
        <w:t>dos</w:t>
      </w:r>
      <w:r w:rsidRPr="009B140C">
        <w:t>tosowanego sprawozdawczego dnia odniesienia.</w:t>
      </w:r>
    </w:p>
    <w:p w14:paraId="67094FB3" w14:textId="6A3CEA8D" w:rsidR="0014552F" w:rsidRPr="009B140C" w:rsidRDefault="0014552F" w:rsidP="0014552F">
      <w:pPr>
        <w:pStyle w:val="NumPar1"/>
        <w:numPr>
          <w:ilvl w:val="0"/>
          <w:numId w:val="10"/>
        </w:numPr>
      </w:pPr>
      <w:r w:rsidRPr="009B140C">
        <w:t>Instytucje mogą przekazywać niezweryfikowane dane. Jeżeli zweryfikowane dane różnią się od danych niezweryfikowanych, wówczas zweryfikowane dane przekazuje się bez zbędnej zwłoki. Dane niezweryfikowane są to dane,</w:t>
      </w:r>
      <w:r w:rsidR="009B140C" w:rsidRPr="009B140C">
        <w:t xml:space="preserve"> w</w:t>
      </w:r>
      <w:r w:rsidR="009B140C">
        <w:t> </w:t>
      </w:r>
      <w:r w:rsidR="009B140C" w:rsidRPr="009B140C">
        <w:t>odn</w:t>
      </w:r>
      <w:r w:rsidRPr="009B140C">
        <w:t>iesieniu do których nie została wydana opinia audytora zewnętrznego, natomiast dane zweryfikowane stanowią dane poddane weryfikacji audytora zewnętrznego, który wydał opinię.</w:t>
      </w:r>
    </w:p>
    <w:p w14:paraId="758E2E74" w14:textId="6B437F09" w:rsidR="00725875" w:rsidRPr="009B140C" w:rsidRDefault="0014552F" w:rsidP="0014552F">
      <w:pPr>
        <w:pStyle w:val="NumPar1"/>
        <w:numPr>
          <w:ilvl w:val="0"/>
          <w:numId w:val="10"/>
        </w:numPr>
      </w:pPr>
      <w:r w:rsidRPr="009B140C">
        <w:t>Inne korekty do przedstawionych sprawozdań również przekazuje się właściwym organom bez zbędnej zwłoki.</w:t>
      </w:r>
    </w:p>
    <w:p w14:paraId="60D8A63C" w14:textId="77777777" w:rsidR="0014552F" w:rsidRPr="009B140C" w:rsidRDefault="0014552F" w:rsidP="0014552F">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4</w:t>
      </w:r>
      <w:r w:rsidR="00D90D81" w:rsidRPr="009B140C">
        <w:fldChar w:fldCharType="end"/>
      </w:r>
    </w:p>
    <w:p w14:paraId="726E257C" w14:textId="1B16EAEE" w:rsidR="0014552F" w:rsidRPr="009B140C" w:rsidRDefault="0014552F" w:rsidP="0014552F">
      <w:pPr>
        <w:pStyle w:val="Titrearticle"/>
        <w:spacing w:before="120"/>
        <w:rPr>
          <w:b/>
          <w:i w:val="0"/>
        </w:rPr>
      </w:pPr>
      <w:r w:rsidRPr="009B140C">
        <w:rPr>
          <w:b/>
          <w:i w:val="0"/>
        </w:rPr>
        <w:t>Progi sprawozdawczości — kryteria wejściowe</w:t>
      </w:r>
      <w:r w:rsidR="009B140C" w:rsidRPr="009B140C">
        <w:rPr>
          <w:b/>
          <w:i w:val="0"/>
        </w:rPr>
        <w:t xml:space="preserve"> i</w:t>
      </w:r>
      <w:r w:rsidR="009B140C">
        <w:rPr>
          <w:b/>
          <w:i w:val="0"/>
        </w:rPr>
        <w:t> </w:t>
      </w:r>
      <w:r w:rsidR="009B140C" w:rsidRPr="009B140C">
        <w:rPr>
          <w:b/>
          <w:i w:val="0"/>
        </w:rPr>
        <w:t>wyj</w:t>
      </w:r>
      <w:r w:rsidRPr="009B140C">
        <w:rPr>
          <w:b/>
          <w:i w:val="0"/>
        </w:rPr>
        <w:t>ściowe</w:t>
      </w:r>
    </w:p>
    <w:p w14:paraId="06A0F026" w14:textId="75D9AC5C" w:rsidR="0014552F" w:rsidRPr="009B140C" w:rsidRDefault="0014552F" w:rsidP="0047317A">
      <w:pPr>
        <w:pStyle w:val="NumPar1"/>
        <w:numPr>
          <w:ilvl w:val="0"/>
          <w:numId w:val="13"/>
        </w:numPr>
      </w:pPr>
      <w:r w:rsidRPr="009B140C">
        <w:t>Instytucje, które spełniają warunki określone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1 pkt</w:t>
      </w:r>
      <w:r w:rsidR="009B140C" w:rsidRPr="009B140C">
        <w:t> </w:t>
      </w:r>
      <w:r w:rsidRPr="009B140C">
        <w:t>145 rozporządzenia (UE) nr</w:t>
      </w:r>
      <w:r w:rsidR="009B140C" w:rsidRPr="009B140C">
        <w:t> </w:t>
      </w:r>
      <w:r w:rsidRPr="009B140C">
        <w:t>575/2013, rozpoczynają przekazywanie informacji jako małe</w:t>
      </w:r>
      <w:r w:rsidR="009B140C" w:rsidRPr="009B140C">
        <w:t xml:space="preserve"> i</w:t>
      </w:r>
      <w:r w:rsidR="009B140C">
        <w:t> </w:t>
      </w:r>
      <w:r w:rsidR="009B140C" w:rsidRPr="009B140C">
        <w:t>nie</w:t>
      </w:r>
      <w:r w:rsidRPr="009B140C">
        <w:t>złożone instytucje</w:t>
      </w:r>
      <w:r w:rsidR="009B140C" w:rsidRPr="009B140C">
        <w:t xml:space="preserve"> w</w:t>
      </w:r>
      <w:r w:rsidR="009B140C">
        <w:t> </w:t>
      </w:r>
      <w:r w:rsidR="009B140C" w:rsidRPr="009B140C">
        <w:t>pie</w:t>
      </w:r>
      <w:r w:rsidRPr="009B140C">
        <w:t>rwszym sprawozdawczym dniu odniesienia po spełnieniu tych warunków. Jeżeli instytucje nie spełniają już tych warunków, zaprzestają przekazywania informacji</w:t>
      </w:r>
      <w:r w:rsidR="009B140C" w:rsidRPr="009B140C">
        <w:t xml:space="preserve"> w</w:t>
      </w:r>
      <w:r w:rsidR="009B140C">
        <w:t> </w:t>
      </w:r>
      <w:r w:rsidR="009B140C" w:rsidRPr="009B140C">
        <w:t>pie</w:t>
      </w:r>
      <w:r w:rsidRPr="009B140C">
        <w:t>rwszym sprawozdawczym dniu odniesienia po tym terminie.</w:t>
      </w:r>
    </w:p>
    <w:p w14:paraId="67299D12" w14:textId="1AB553E6" w:rsidR="0014552F" w:rsidRPr="009B140C" w:rsidRDefault="0014552F" w:rsidP="0014552F">
      <w:pPr>
        <w:pStyle w:val="NumPar1"/>
        <w:numPr>
          <w:ilvl w:val="0"/>
          <w:numId w:val="10"/>
        </w:numPr>
      </w:pPr>
      <w:r w:rsidRPr="009B140C">
        <w:t>Instytucje, które spełniają warunki określone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1 pkt</w:t>
      </w:r>
      <w:r w:rsidR="009B140C" w:rsidRPr="009B140C">
        <w:t> </w:t>
      </w:r>
      <w:r w:rsidRPr="009B140C">
        <w:t>146 rozporządzenia (UE) nr</w:t>
      </w:r>
      <w:r w:rsidR="009B140C" w:rsidRPr="009B140C">
        <w:t> </w:t>
      </w:r>
      <w:r w:rsidRPr="009B140C">
        <w:t>575/2013, rozpoczynają przekazywanie informacji jako duże instytucje</w:t>
      </w:r>
      <w:r w:rsidR="009B140C" w:rsidRPr="009B140C">
        <w:t xml:space="preserve"> w</w:t>
      </w:r>
      <w:r w:rsidR="009B140C">
        <w:t> </w:t>
      </w:r>
      <w:r w:rsidR="009B140C" w:rsidRPr="009B140C">
        <w:t>pie</w:t>
      </w:r>
      <w:r w:rsidRPr="009B140C">
        <w:t xml:space="preserve">rwszym sprawozdawczym dniu odniesienia po spełnieniu tych warunków. </w:t>
      </w:r>
      <w:r w:rsidRPr="009B140C">
        <w:lastRenderedPageBreak/>
        <w:t>Jeżeli instytucje nie spełniają już tych warunków, zaprzestają przekazywania informacji</w:t>
      </w:r>
      <w:r w:rsidR="009B140C" w:rsidRPr="009B140C">
        <w:t xml:space="preserve"> w</w:t>
      </w:r>
      <w:r w:rsidR="009B140C">
        <w:t> </w:t>
      </w:r>
      <w:r w:rsidR="009B140C" w:rsidRPr="009B140C">
        <w:t>pie</w:t>
      </w:r>
      <w:r w:rsidRPr="009B140C">
        <w:t>rwszym sprawozdawczym dniu odniesienia po tym terminie.</w:t>
      </w:r>
    </w:p>
    <w:p w14:paraId="427BAF61" w14:textId="608D7DDF" w:rsidR="0014552F" w:rsidRPr="009B140C" w:rsidRDefault="0014552F" w:rsidP="0014552F">
      <w:pPr>
        <w:pStyle w:val="NumPar1"/>
        <w:numPr>
          <w:ilvl w:val="0"/>
          <w:numId w:val="10"/>
        </w:numPr>
      </w:pPr>
      <w:r w:rsidRPr="009B140C">
        <w:t>Instytucje rozpoczynają przekazywanie informacji zgodnie</w:t>
      </w:r>
      <w:r w:rsidR="009B140C" w:rsidRPr="009B140C">
        <w:t xml:space="preserve"> z</w:t>
      </w:r>
      <w:r w:rsidR="009B140C">
        <w:t> </w:t>
      </w:r>
      <w:r w:rsidR="009B140C" w:rsidRPr="009B140C">
        <w:t>pro</w:t>
      </w:r>
      <w:r w:rsidRPr="009B140C">
        <w:t>gami, począwszy od kolejnego sprawozdawczego dnia odniesienia,</w:t>
      </w:r>
      <w:r w:rsidR="009B140C" w:rsidRPr="009B140C">
        <w:t xml:space="preserve"> w</w:t>
      </w:r>
      <w:r w:rsidR="009B140C">
        <w:t> </w:t>
      </w:r>
      <w:r w:rsidR="009B140C" w:rsidRPr="009B140C">
        <w:t>prz</w:t>
      </w:r>
      <w:r w:rsidRPr="009B140C">
        <w:t>ypadku gdy przekroczyły próg określony</w:t>
      </w:r>
      <w:r w:rsidR="009B140C" w:rsidRPr="009B140C">
        <w:t xml:space="preserve"> w</w:t>
      </w:r>
      <w:r w:rsidR="009B140C">
        <w:t> </w:t>
      </w:r>
      <w:r w:rsidR="009B140C" w:rsidRPr="009B140C">
        <w:t>nin</w:t>
      </w:r>
      <w:r w:rsidRPr="009B140C">
        <w:t>iejszym rozporządzeniu</w:t>
      </w:r>
      <w:r w:rsidR="009B140C" w:rsidRPr="009B140C">
        <w:t xml:space="preserve"> w</w:t>
      </w:r>
      <w:r w:rsidR="009B140C">
        <w:t> </w:t>
      </w:r>
      <w:r w:rsidR="009B140C" w:rsidRPr="009B140C">
        <w:t>dwó</w:t>
      </w:r>
      <w:r w:rsidRPr="009B140C">
        <w:t>ch kolejnych sprawozdawczych dniach odniesienia. Instytucje mogą zaprzestać przekazywania informacji zgodnie</w:t>
      </w:r>
      <w:r w:rsidR="009B140C" w:rsidRPr="009B140C">
        <w:t xml:space="preserve"> z</w:t>
      </w:r>
      <w:r w:rsidR="009B140C">
        <w:t> </w:t>
      </w:r>
      <w:r w:rsidR="009B140C" w:rsidRPr="009B140C">
        <w:t>pro</w:t>
      </w:r>
      <w:r w:rsidRPr="009B140C">
        <w:t>gami określonymi</w:t>
      </w:r>
      <w:r w:rsidR="009B140C" w:rsidRPr="009B140C">
        <w:t xml:space="preserve"> w</w:t>
      </w:r>
      <w:r w:rsidR="009B140C">
        <w:t> </w:t>
      </w:r>
      <w:r w:rsidR="009B140C" w:rsidRPr="009B140C">
        <w:t>nin</w:t>
      </w:r>
      <w:r w:rsidRPr="009B140C">
        <w:t>iejszym rozporządzeniu, począwszy od kolejnego sprawozdawczego dnia odniesienia,</w:t>
      </w:r>
      <w:r w:rsidR="009B140C" w:rsidRPr="009B140C">
        <w:t xml:space="preserve"> w</w:t>
      </w:r>
      <w:r w:rsidR="009B140C">
        <w:t> </w:t>
      </w:r>
      <w:r w:rsidR="009B140C" w:rsidRPr="009B140C">
        <w:t>prz</w:t>
      </w:r>
      <w:r w:rsidRPr="009B140C">
        <w:t>ypadku gdy nie przekraczały odpowiednich progów</w:t>
      </w:r>
      <w:r w:rsidR="009B140C" w:rsidRPr="009B140C">
        <w:t xml:space="preserve"> w</w:t>
      </w:r>
      <w:r w:rsidR="009B140C">
        <w:t> </w:t>
      </w:r>
      <w:r w:rsidR="009B140C" w:rsidRPr="009B140C">
        <w:t>trz</w:t>
      </w:r>
      <w:r w:rsidRPr="009B140C">
        <w:t>ech kolejnych sprawozdawczych dniach odniesienia.</w:t>
      </w:r>
    </w:p>
    <w:p w14:paraId="1E03EF09" w14:textId="77777777" w:rsidR="0014552F" w:rsidRPr="009B140C" w:rsidRDefault="0014552F" w:rsidP="0014552F">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5</w:t>
      </w:r>
      <w:r w:rsidR="00D90D81" w:rsidRPr="009B140C">
        <w:fldChar w:fldCharType="end"/>
      </w:r>
    </w:p>
    <w:p w14:paraId="17F5FB19" w14:textId="64F1F908" w:rsidR="0014552F" w:rsidRPr="009B140C" w:rsidRDefault="0014552F" w:rsidP="0014552F">
      <w:pPr>
        <w:pStyle w:val="Titrearticle"/>
        <w:spacing w:before="120"/>
        <w:rPr>
          <w:b/>
          <w:i w:val="0"/>
        </w:rPr>
      </w:pPr>
      <w:r w:rsidRPr="009B140C">
        <w:rPr>
          <w:b/>
          <w:i w:val="0"/>
        </w:rPr>
        <w:t>Sprawozdawczość dotycząca funduszy własnych oraz wymogów</w:t>
      </w:r>
      <w:r w:rsidR="009B140C" w:rsidRPr="009B140C">
        <w:rPr>
          <w:b/>
          <w:i w:val="0"/>
        </w:rPr>
        <w:t xml:space="preserve"> w</w:t>
      </w:r>
      <w:r w:rsidR="009B140C">
        <w:rPr>
          <w:b/>
          <w:i w:val="0"/>
        </w:rPr>
        <w:t> </w:t>
      </w:r>
      <w:r w:rsidR="009B140C" w:rsidRPr="009B140C">
        <w:rPr>
          <w:b/>
          <w:i w:val="0"/>
        </w:rPr>
        <w:t>zak</w:t>
      </w:r>
      <w:r w:rsidRPr="009B140C">
        <w:rPr>
          <w:b/>
          <w:i w:val="0"/>
        </w:rPr>
        <w:t xml:space="preserve">resie funduszy własnych na zasadzie indywidualnej – sprawozdawczość kwartalna </w:t>
      </w:r>
    </w:p>
    <w:p w14:paraId="52AEA4DB" w14:textId="1FBB0332" w:rsidR="0014552F" w:rsidRPr="009B140C" w:rsidRDefault="0014552F" w:rsidP="0047317A">
      <w:pPr>
        <w:pStyle w:val="NumPar1"/>
        <w:numPr>
          <w:ilvl w:val="0"/>
          <w:numId w:val="14"/>
        </w:numPr>
      </w:pPr>
      <w:r w:rsidRPr="009B140C">
        <w:t>Do celów sprawozdawczości dotyczącej funduszy własnych oraz wymogów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indywidualnej instytucje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nin</w:t>
      </w:r>
      <w:r w:rsidRPr="009B140C">
        <w:t>iejszym artykule,</w:t>
      </w:r>
      <w:r w:rsidR="009B140C" w:rsidRPr="009B140C">
        <w:t xml:space="preserve"> z</w:t>
      </w:r>
      <w:r w:rsidR="009B140C">
        <w:t> </w:t>
      </w:r>
      <w:r w:rsidR="009B140C" w:rsidRPr="009B140C">
        <w:t>czę</w:t>
      </w:r>
      <w:r w:rsidRPr="009B140C">
        <w:t>stotliwością kwartalną.</w:t>
      </w:r>
    </w:p>
    <w:p w14:paraId="10F736EF" w14:textId="0E2C3A0D" w:rsidR="0014552F" w:rsidRPr="009B140C" w:rsidRDefault="0014552F" w:rsidP="0014552F">
      <w:pPr>
        <w:pStyle w:val="NumPar1"/>
      </w:pPr>
      <w:r w:rsidRPr="009B140C">
        <w:t>Instytucje przekazują informacje na temat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 określone we wzorach 1–5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1.</w:t>
      </w:r>
    </w:p>
    <w:p w14:paraId="77032C56" w14:textId="57E0107C" w:rsidR="0014552F" w:rsidRPr="009B140C" w:rsidRDefault="0014552F" w:rsidP="0014552F">
      <w:pPr>
        <w:pStyle w:val="NumPar1"/>
      </w:pPr>
      <w:r w:rsidRPr="009B140C">
        <w:t>Instytucje przekazują informacje na temat ryzyka kredytowego</w:t>
      </w:r>
      <w:r w:rsidR="009B140C" w:rsidRPr="009B140C">
        <w:t xml:space="preserve"> i</w:t>
      </w:r>
      <w:r w:rsidR="009B140C">
        <w:t> </w:t>
      </w:r>
      <w:r w:rsidR="009B140C" w:rsidRPr="009B140C">
        <w:t>eks</w:t>
      </w:r>
      <w:r w:rsidRPr="009B140C">
        <w:t>pozycji na ryzyko kredytowe kontrahenta ujmowanych zgodnie</w:t>
      </w:r>
      <w:r w:rsidR="009B140C" w:rsidRPr="009B140C">
        <w:t xml:space="preserve"> z</w:t>
      </w:r>
      <w:r w:rsidR="009B140C">
        <w:t> </w:t>
      </w:r>
      <w:r w:rsidR="009B140C" w:rsidRPr="009B140C">
        <w:t>met</w:t>
      </w:r>
      <w:r w:rsidRPr="009B140C">
        <w:t>odą standardową, określone we wzorze 7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3.2.</w:t>
      </w:r>
    </w:p>
    <w:p w14:paraId="4FC8E450" w14:textId="48832ADB" w:rsidR="0014552F" w:rsidRPr="009B140C" w:rsidRDefault="0014552F" w:rsidP="0014552F">
      <w:pPr>
        <w:pStyle w:val="NumPar1"/>
      </w:pPr>
      <w:r w:rsidRPr="009B140C">
        <w:t>Instytucje przekazują informacje na temat ryzyka kredytowego</w:t>
      </w:r>
      <w:r w:rsidR="009B140C" w:rsidRPr="009B140C">
        <w:t xml:space="preserve"> i</w:t>
      </w:r>
      <w:r w:rsidR="009B140C">
        <w:t> </w:t>
      </w:r>
      <w:r w:rsidR="009B140C" w:rsidRPr="009B140C">
        <w:t>eks</w:t>
      </w:r>
      <w:r w:rsidRPr="009B140C">
        <w:t>pozycji na ryzyko kredytowe kontrahenta ujmowanych zgodnie</w:t>
      </w:r>
      <w:r w:rsidR="009B140C" w:rsidRPr="009B140C">
        <w:t xml:space="preserve"> z</w:t>
      </w:r>
      <w:r w:rsidR="009B140C">
        <w:t> </w:t>
      </w:r>
      <w:r w:rsidR="009B140C" w:rsidRPr="009B140C">
        <w:t>met</w:t>
      </w:r>
      <w:r w:rsidRPr="009B140C">
        <w:t>odą wewnętrznych ratingów, określone we wzorach 8.1</w:t>
      </w:r>
      <w:r w:rsidR="009B140C" w:rsidRPr="009B140C">
        <w:t xml:space="preserve"> i</w:t>
      </w:r>
      <w:r w:rsidR="009B140C">
        <w:t> </w:t>
      </w:r>
      <w:r w:rsidR="009B140C" w:rsidRPr="009B140C">
        <w:t>8</w:t>
      </w:r>
      <w:r w:rsidRPr="009B140C">
        <w:t>.2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3.3.</w:t>
      </w:r>
    </w:p>
    <w:p w14:paraId="68EBC1AD" w14:textId="2166463C" w:rsidR="0014552F" w:rsidRPr="009B140C" w:rsidRDefault="0014552F" w:rsidP="0014552F">
      <w:pPr>
        <w:pStyle w:val="NumPar1"/>
      </w:pPr>
      <w:r w:rsidRPr="009B140C">
        <w:t>Instytucje przekazują informacje na temat geograficznego rozkładu ekspozycji według państw, jak również na temat zagregowanych ekspozycji na poziomie łącznym, określone we wzorze 9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 xml:space="preserve">3.4 </w:t>
      </w:r>
    </w:p>
    <w:p w14:paraId="37720A47" w14:textId="28C37135" w:rsidR="0014552F" w:rsidRPr="009B140C" w:rsidRDefault="0014552F" w:rsidP="006B3AF7">
      <w:pPr>
        <w:pStyle w:val="Text1"/>
      </w:pPr>
      <w:r w:rsidRPr="009B140C">
        <w:t>Instytucje przekazują informacje określone we wzorach 9.1</w:t>
      </w:r>
      <w:r w:rsidR="009B140C" w:rsidRPr="009B140C">
        <w:t xml:space="preserve"> i</w:t>
      </w:r>
      <w:r w:rsidR="009B140C">
        <w:t> </w:t>
      </w:r>
      <w:r w:rsidR="009B140C" w:rsidRPr="009B140C">
        <w:t>9</w:t>
      </w:r>
      <w:r w:rsidRPr="009B140C">
        <w:t>.2,</w:t>
      </w:r>
      <w:r w:rsidR="009B140C" w:rsidRPr="009B140C">
        <w:t xml:space="preserve"> w</w:t>
      </w:r>
      <w:r w:rsidR="009B140C">
        <w:t> </w:t>
      </w:r>
      <w:r w:rsidR="009B140C" w:rsidRPr="009B140C">
        <w:t>szc</w:t>
      </w:r>
      <w:r w:rsidRPr="009B140C">
        <w:t>zególności informacje na temat geograficznego rozkładu ekspozycji według państw,</w:t>
      </w:r>
      <w:r w:rsidR="009B140C" w:rsidRPr="009B140C">
        <w:t xml:space="preserve"> w</w:t>
      </w:r>
      <w:r w:rsidR="009B140C">
        <w:t> </w:t>
      </w:r>
      <w:r w:rsidR="009B140C" w:rsidRPr="009B140C">
        <w:t>prz</w:t>
      </w:r>
      <w:r w:rsidRPr="009B140C">
        <w:t>ypadku gdy zagraniczne ekspozycje pierwotne we wszystkich państwach „zewnętrznych” we wszystkich kategoriach ekspozycji, jak wskazano we wzorze 4 wiersz 0850 przedstawionym</w:t>
      </w:r>
      <w:r w:rsidR="009B140C" w:rsidRPr="009B140C">
        <w:t xml:space="preserve"> w</w:t>
      </w:r>
      <w:r w:rsidR="009B140C">
        <w:t> </w:t>
      </w:r>
      <w:r w:rsidR="009B140C" w:rsidRPr="009B140C">
        <w:t>zał</w:t>
      </w:r>
      <w:r w:rsidRPr="009B140C">
        <w:t>ączniku I, wynoszą co najmniej 10</w:t>
      </w:r>
      <w:r w:rsidR="009B140C" w:rsidRPr="009B140C">
        <w:t> </w:t>
      </w:r>
      <w:r w:rsidRPr="009B140C">
        <w:t>% całkowitych krajowych</w:t>
      </w:r>
      <w:r w:rsidR="009B140C" w:rsidRPr="009B140C">
        <w:t xml:space="preserve"> i</w:t>
      </w:r>
      <w:r w:rsidR="009B140C">
        <w:t> </w:t>
      </w:r>
      <w:r w:rsidR="009B140C" w:rsidRPr="009B140C">
        <w:t>zag</w:t>
      </w:r>
      <w:r w:rsidRPr="009B140C">
        <w:t>ranicznych ekspozycji pierwotnych, jak wskazano we wzorze 4 wiersz 0860 przedstawionym</w:t>
      </w:r>
      <w:r w:rsidR="009B140C" w:rsidRPr="009B140C">
        <w:t xml:space="preserve"> w</w:t>
      </w:r>
      <w:r w:rsidR="009B140C">
        <w:t> </w:t>
      </w:r>
      <w:r w:rsidR="009B140C" w:rsidRPr="009B140C">
        <w:t>zał</w:t>
      </w:r>
      <w:r w:rsidRPr="009B140C">
        <w:t>ączniku I. Ekspozycje uznaje się za krajowe,</w:t>
      </w:r>
      <w:r w:rsidR="009B140C" w:rsidRPr="009B140C">
        <w:t xml:space="preserve"> w</w:t>
      </w:r>
      <w:r w:rsidR="009B140C">
        <w:t> </w:t>
      </w:r>
      <w:r w:rsidR="009B140C" w:rsidRPr="009B140C">
        <w:t>prz</w:t>
      </w:r>
      <w:r w:rsidRPr="009B140C">
        <w:t>ypadku gdy są to ekspozycje wobec kontrahentów zlokalizowanych</w:t>
      </w:r>
      <w:r w:rsidR="009B140C" w:rsidRPr="009B140C">
        <w:t xml:space="preserve"> w</w:t>
      </w:r>
      <w:r w:rsidR="009B140C">
        <w:t> </w:t>
      </w:r>
      <w:r w:rsidR="009B140C" w:rsidRPr="009B140C">
        <w:t>pań</w:t>
      </w:r>
      <w:r w:rsidRPr="009B140C">
        <w:t>stwie członkowskim,</w:t>
      </w:r>
      <w:r w:rsidR="009B140C" w:rsidRPr="009B140C">
        <w:t xml:space="preserve"> w</w:t>
      </w:r>
      <w:r w:rsidR="009B140C">
        <w:t> </w:t>
      </w:r>
      <w:r w:rsidR="009B140C" w:rsidRPr="009B140C">
        <w:t>któ</w:t>
      </w:r>
      <w:r w:rsidRPr="009B140C">
        <w:t xml:space="preserve">rym dana instytucja ma siedzibę. </w:t>
      </w:r>
    </w:p>
    <w:p w14:paraId="2D010602" w14:textId="39E3757A" w:rsidR="0014552F" w:rsidRPr="009B140C" w:rsidRDefault="0014552F" w:rsidP="006B3AF7">
      <w:pPr>
        <w:pStyle w:val="Text1"/>
      </w:pPr>
      <w:r w:rsidRPr="009B140C">
        <w:t>Stosuje się kryteria wejściowe</w:t>
      </w:r>
      <w:r w:rsidR="009B140C" w:rsidRPr="009B140C">
        <w:t xml:space="preserve"> i</w:t>
      </w:r>
      <w:r w:rsidR="009B140C">
        <w:t> </w:t>
      </w:r>
      <w:r w:rsidR="009B140C" w:rsidRPr="009B140C">
        <w:t>wyj</w:t>
      </w:r>
      <w:r w:rsidRPr="009B140C">
        <w:t>ściowe określone</w:t>
      </w:r>
      <w:r w:rsidR="009B140C" w:rsidRPr="009B140C">
        <w:t xml:space="preserve"> w</w:t>
      </w:r>
      <w:r w:rsidR="009B140C">
        <w:t> </w:t>
      </w:r>
      <w:r w:rsidR="009B140C" w:rsidRPr="009B140C">
        <w:t>art</w:t>
      </w:r>
      <w:r w:rsidRPr="009B140C">
        <w:t>.</w:t>
      </w:r>
      <w:r w:rsidR="009B140C" w:rsidRPr="009B140C">
        <w:t> </w:t>
      </w:r>
      <w:r w:rsidRPr="009B140C">
        <w:t>4.</w:t>
      </w:r>
    </w:p>
    <w:p w14:paraId="1B5047C1" w14:textId="7E719579" w:rsidR="0014552F" w:rsidRPr="009B140C" w:rsidRDefault="0014552F" w:rsidP="0014552F">
      <w:pPr>
        <w:pStyle w:val="NumPar1"/>
      </w:pPr>
      <w:r w:rsidRPr="009B140C">
        <w:t>Instytucje przekazują informacje na temat ryzyka kredytowego kontrahenta określone we wzorach 34.01–34.05</w:t>
      </w:r>
      <w:r w:rsidR="009B140C" w:rsidRPr="009B140C">
        <w:t xml:space="preserve"> i</w:t>
      </w:r>
      <w:r w:rsidR="009B140C">
        <w:t> </w:t>
      </w:r>
      <w:r w:rsidR="009B140C" w:rsidRPr="009B140C">
        <w:t>3</w:t>
      </w:r>
      <w:r w:rsidRPr="009B140C">
        <w:t>4.08–34.10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3.9.</w:t>
      </w:r>
    </w:p>
    <w:p w14:paraId="71DD8676" w14:textId="3A97A40E" w:rsidR="0014552F" w:rsidRPr="009B140C" w:rsidRDefault="0014552F" w:rsidP="0014552F">
      <w:pPr>
        <w:pStyle w:val="NumPar1"/>
      </w:pPr>
      <w:r w:rsidRPr="009B140C">
        <w:lastRenderedPageBreak/>
        <w:t>Instytucje stosujące metodę standardową lub metodę modeli wewnętrznych do obliczania ekspozycji na ryzyko kredytowe kontrahenta zgodnie</w:t>
      </w:r>
      <w:r w:rsidR="009B140C" w:rsidRPr="009B140C">
        <w:t xml:space="preserve"> z</w:t>
      </w:r>
      <w:r w:rsidR="009B140C">
        <w:t> </w:t>
      </w:r>
      <w:r w:rsidR="009B140C" w:rsidRPr="009B140C">
        <w:t>czę</w:t>
      </w:r>
      <w:r w:rsidRPr="009B140C">
        <w:t>ścią trzecią tytuł II rozdział 6 sekcje 3</w:t>
      </w:r>
      <w:r w:rsidR="009B140C" w:rsidRPr="009B140C">
        <w:t xml:space="preserve"> i</w:t>
      </w:r>
      <w:r w:rsidR="009B140C">
        <w:t> </w:t>
      </w:r>
      <w:r w:rsidR="009B140C" w:rsidRPr="009B140C">
        <w:t>6</w:t>
      </w:r>
      <w:r w:rsidRPr="009B140C">
        <w:t xml:space="preserve"> rozporządzenia (UE) nr</w:t>
      </w:r>
      <w:r w:rsidR="009B140C" w:rsidRPr="009B140C">
        <w:t> </w:t>
      </w:r>
      <w:r w:rsidRPr="009B140C">
        <w:t>575/2013 przekazują informacje na temat ryzyka kredytowego kontrahenta określone we wzorze 34.06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3.9.7.</w:t>
      </w:r>
    </w:p>
    <w:p w14:paraId="5A7C446B" w14:textId="222B3306" w:rsidR="0014552F" w:rsidRPr="009B140C" w:rsidRDefault="0014552F" w:rsidP="0014552F">
      <w:pPr>
        <w:pStyle w:val="NumPar1"/>
      </w:pPr>
      <w:r w:rsidRPr="009B140C">
        <w:t>Instytucje przekazują informacje na temat ekspozycji kapitałowych ujmowanych zgodnie</w:t>
      </w:r>
      <w:r w:rsidR="009B140C" w:rsidRPr="009B140C">
        <w:t xml:space="preserve"> z</w:t>
      </w:r>
      <w:r w:rsidR="009B140C">
        <w:t> </w:t>
      </w:r>
      <w:r w:rsidR="009B140C" w:rsidRPr="009B140C">
        <w:t>met</w:t>
      </w:r>
      <w:r w:rsidRPr="009B140C">
        <w:t>odą wewnętrznych ratingów określone we wzorze 10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3.5.</w:t>
      </w:r>
    </w:p>
    <w:p w14:paraId="6C5997E8" w14:textId="6D214118" w:rsidR="0014552F" w:rsidRPr="009B140C" w:rsidRDefault="0014552F" w:rsidP="0014552F">
      <w:pPr>
        <w:pStyle w:val="NumPar1"/>
      </w:pPr>
      <w:r w:rsidRPr="009B140C">
        <w:t>Instytucje przekazują informacje na temat ryzyka rozliczenia określone we wzorze 11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3.6.</w:t>
      </w:r>
    </w:p>
    <w:p w14:paraId="442593B8" w14:textId="20BFC315" w:rsidR="0014552F" w:rsidRPr="009B140C" w:rsidRDefault="0014552F" w:rsidP="0014552F">
      <w:pPr>
        <w:pStyle w:val="NumPar1"/>
      </w:pPr>
      <w:r w:rsidRPr="009B140C">
        <w:t>Instytucje przekazują informacje na temat ekspozycji sekurytyzacyjnych określone we wzorze 13.01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3.7.</w:t>
      </w:r>
    </w:p>
    <w:p w14:paraId="70A0DE2C" w14:textId="79B8AA96" w:rsidR="0014552F" w:rsidRPr="009B140C" w:rsidRDefault="0014552F" w:rsidP="0014552F">
      <w:pPr>
        <w:pStyle w:val="NumPar1"/>
      </w:pPr>
      <w:r w:rsidRPr="009B140C">
        <w:t>Instytucje przekazują informacje na temat wymogów</w:t>
      </w:r>
      <w:r w:rsidR="009B140C" w:rsidRPr="009B140C">
        <w:t xml:space="preserve"> w</w:t>
      </w:r>
      <w:r w:rsidR="009B140C">
        <w:t> </w:t>
      </w:r>
      <w:r w:rsidR="009B140C" w:rsidRPr="009B140C">
        <w:t>zak</w:t>
      </w:r>
      <w:r w:rsidRPr="009B140C">
        <w:t>resie funduszy własnych</w:t>
      </w:r>
      <w:r w:rsidR="009B140C" w:rsidRPr="009B140C">
        <w:t xml:space="preserve"> i</w:t>
      </w:r>
      <w:r w:rsidR="009B140C">
        <w:t> </w:t>
      </w:r>
      <w:r w:rsidR="009B140C" w:rsidRPr="009B140C">
        <w:t>str</w:t>
      </w:r>
      <w:r w:rsidRPr="009B140C">
        <w:t>at związanych</w:t>
      </w:r>
      <w:r w:rsidR="009B140C" w:rsidRPr="009B140C">
        <w:t xml:space="preserve"> z</w:t>
      </w:r>
      <w:r w:rsidR="009B140C">
        <w:t> </w:t>
      </w:r>
      <w:r w:rsidR="009B140C" w:rsidRPr="009B140C">
        <w:t>ryz</w:t>
      </w:r>
      <w:r w:rsidRPr="009B140C">
        <w:t>ykiem operacyjnym określone we wzorze 16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4.1.</w:t>
      </w:r>
    </w:p>
    <w:p w14:paraId="66782023" w14:textId="14B0ADE7" w:rsidR="0014552F" w:rsidRPr="009B140C" w:rsidRDefault="0014552F" w:rsidP="0014552F">
      <w:pPr>
        <w:pStyle w:val="NumPar1"/>
      </w:pPr>
      <w:r w:rsidRPr="009B140C">
        <w:t>Instytucje przekazują informacje na temat wymogów</w:t>
      </w:r>
      <w:r w:rsidR="009B140C" w:rsidRPr="009B140C">
        <w:t xml:space="preserve"> w</w:t>
      </w:r>
      <w:r w:rsidR="009B140C">
        <w:t> </w:t>
      </w:r>
      <w:r w:rsidR="009B140C" w:rsidRPr="009B140C">
        <w:t>zak</w:t>
      </w:r>
      <w:r w:rsidRPr="009B140C">
        <w:t>resie funduszy własnych dotyczących ryzyka rynkowego określone we wzorach 18–24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5.1–5.7.</w:t>
      </w:r>
    </w:p>
    <w:p w14:paraId="2975DD1F" w14:textId="40DD25C6" w:rsidR="0014552F" w:rsidRPr="009B140C" w:rsidRDefault="0014552F" w:rsidP="0014552F">
      <w:pPr>
        <w:pStyle w:val="NumPar1"/>
      </w:pPr>
      <w:r w:rsidRPr="009B140C">
        <w:t>Instytucje przekazują informacje na temat wymogów</w:t>
      </w:r>
      <w:r w:rsidR="009B140C" w:rsidRPr="009B140C">
        <w:t xml:space="preserve"> w</w:t>
      </w:r>
      <w:r w:rsidR="009B140C">
        <w:t> </w:t>
      </w:r>
      <w:r w:rsidR="009B140C" w:rsidRPr="009B140C">
        <w:t>zak</w:t>
      </w:r>
      <w:r w:rsidRPr="009B140C">
        <w:t>resie funduszy własnych dotyczących ryzyka związanego</w:t>
      </w:r>
      <w:r w:rsidR="009B140C" w:rsidRPr="009B140C">
        <w:t xml:space="preserve"> z</w:t>
      </w:r>
      <w:r w:rsidR="009B140C">
        <w:t> </w:t>
      </w:r>
      <w:r w:rsidR="009B140C" w:rsidRPr="009B140C">
        <w:t>kor</w:t>
      </w:r>
      <w:r w:rsidRPr="009B140C">
        <w:t>ektą wyceny kredytowej określone we wzorze 25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5.8.</w:t>
      </w:r>
    </w:p>
    <w:p w14:paraId="29B0B226" w14:textId="73C1744A" w:rsidR="0014552F" w:rsidRPr="009B140C" w:rsidRDefault="0014552F" w:rsidP="0014552F">
      <w:pPr>
        <w:pStyle w:val="NumPar1"/>
      </w:pPr>
      <w:r w:rsidRPr="009B140C">
        <w:t>Instytucje przekazują informacje na temat ostrożnej wyceny określone we wzorze 32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6</w:t>
      </w:r>
      <w:r w:rsidR="009B140C" w:rsidRPr="009B140C">
        <w:t xml:space="preserve"> w</w:t>
      </w:r>
      <w:r w:rsidR="009B140C">
        <w:t> </w:t>
      </w:r>
      <w:r w:rsidR="009B140C" w:rsidRPr="009B140C">
        <w:t>nas</w:t>
      </w:r>
      <w:r w:rsidRPr="009B140C">
        <w:t>tępujący sposób:</w:t>
      </w:r>
    </w:p>
    <w:p w14:paraId="7AAF2502" w14:textId="0867CC5A" w:rsidR="0014552F" w:rsidRPr="009B140C" w:rsidRDefault="0014552F" w:rsidP="0014552F">
      <w:pPr>
        <w:pStyle w:val="Point1"/>
      </w:pPr>
      <w:r w:rsidRPr="009B140C">
        <w:t>a)</w:t>
      </w:r>
      <w:r w:rsidRPr="009B140C">
        <w:tab/>
        <w:t>wszystkie instytucje przekazują informacje określone we wzorze 32.1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6;</w:t>
      </w:r>
    </w:p>
    <w:p w14:paraId="2C2BA953" w14:textId="1D3E404E" w:rsidR="0014552F" w:rsidRPr="009B140C" w:rsidRDefault="0014552F" w:rsidP="0014552F">
      <w:pPr>
        <w:pStyle w:val="Point1"/>
      </w:pPr>
      <w:r w:rsidRPr="009B140C">
        <w:t>b)</w:t>
      </w:r>
      <w:r w:rsidRPr="009B140C">
        <w:tab/>
        <w:t>oprócz informacji,</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lit</w:t>
      </w:r>
      <w:r w:rsidRPr="009B140C">
        <w:t>.</w:t>
      </w:r>
      <w:r w:rsidR="009B140C" w:rsidRPr="009B140C">
        <w:t> </w:t>
      </w:r>
      <w:r w:rsidRPr="009B140C">
        <w:t>a) niniejszego ustępu, instytucje, które stosują metodę podstawową zgodnie</w:t>
      </w:r>
      <w:r w:rsidR="009B140C" w:rsidRPr="009B140C">
        <w:t xml:space="preserve"> z</w:t>
      </w:r>
      <w:r w:rsidR="009B140C">
        <w:t> </w:t>
      </w:r>
      <w:r w:rsidR="009B140C" w:rsidRPr="009B140C">
        <w:t>roz</w:t>
      </w:r>
      <w:r w:rsidRPr="009B140C">
        <w:t>porządzeniem delegowanym Komisji (UE) 2016/101</w:t>
      </w:r>
      <w:r w:rsidRPr="009B140C">
        <w:rPr>
          <w:rStyle w:val="FootnoteReference"/>
        </w:rPr>
        <w:footnoteReference w:id="9"/>
      </w:r>
      <w:r w:rsidRPr="009B140C">
        <w:t>, przekazują również informacje określone we wzorze 32.2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6;</w:t>
      </w:r>
    </w:p>
    <w:p w14:paraId="220BA8B3" w14:textId="25739A4C" w:rsidR="0014552F" w:rsidRPr="009B140C" w:rsidRDefault="0014552F" w:rsidP="0014552F">
      <w:pPr>
        <w:pStyle w:val="Point1"/>
      </w:pPr>
      <w:r w:rsidRPr="009B140C">
        <w:t>c)</w:t>
      </w:r>
      <w:r w:rsidRPr="009B140C">
        <w:tab/>
        <w:t>oprócz informacji,</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lit</w:t>
      </w:r>
      <w:r w:rsidRPr="009B140C">
        <w:t>.</w:t>
      </w:r>
      <w:r w:rsidR="009B140C" w:rsidRPr="009B140C">
        <w:t> </w:t>
      </w:r>
      <w:r w:rsidRPr="009B140C">
        <w:t>a) i b) niniejszego ustępu, instytucje, które stosują metodę podstawową zgodnie</w:t>
      </w:r>
      <w:r w:rsidR="009B140C" w:rsidRPr="009B140C">
        <w:t xml:space="preserve"> z</w:t>
      </w:r>
      <w:r w:rsidR="009B140C">
        <w:t> </w:t>
      </w:r>
      <w:r w:rsidR="009B140C" w:rsidRPr="009B140C">
        <w:t>roz</w:t>
      </w:r>
      <w:r w:rsidRPr="009B140C">
        <w:t>porządzeniem delegowanym Komisji (UE) 2016/101</w:t>
      </w:r>
      <w:r w:rsidR="009B140C" w:rsidRPr="009B140C">
        <w:t xml:space="preserve"> i</w:t>
      </w:r>
      <w:r w:rsidR="009B140C">
        <w:t> </w:t>
      </w:r>
      <w:r w:rsidR="009B140C" w:rsidRPr="009B140C">
        <w:t>któ</w:t>
      </w:r>
      <w:r w:rsidRPr="009B140C">
        <w:t>re przekraczają próg,</w:t>
      </w:r>
      <w:r w:rsidR="009B140C" w:rsidRPr="009B140C">
        <w:t xml:space="preserve"> o</w:t>
      </w:r>
      <w:r w:rsidR="009B140C">
        <w:t> </w:t>
      </w:r>
      <w:r w:rsidR="009B140C" w:rsidRPr="009B140C">
        <w:t>któ</w:t>
      </w:r>
      <w:r w:rsidRPr="009B140C">
        <w:t>rym mowa</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 xml:space="preserve">1 tego rozporządzenia, przekazują również informacje określone we </w:t>
      </w:r>
      <w:r w:rsidRPr="009B140C">
        <w:lastRenderedPageBreak/>
        <w:t>wzorach 32.3</w:t>
      </w:r>
      <w:r w:rsidR="009B140C" w:rsidRPr="009B140C">
        <w:t xml:space="preserve"> i</w:t>
      </w:r>
      <w:r w:rsidR="009B140C">
        <w:t> </w:t>
      </w:r>
      <w:r w:rsidR="009B140C" w:rsidRPr="009B140C">
        <w:t>3</w:t>
      </w:r>
      <w:r w:rsidRPr="009B140C">
        <w:t>2.4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6.</w:t>
      </w:r>
    </w:p>
    <w:p w14:paraId="3453A2CF" w14:textId="707D369C" w:rsidR="0014552F" w:rsidRPr="009B140C" w:rsidRDefault="0014552F" w:rsidP="0014552F">
      <w:pPr>
        <w:pStyle w:val="Text1"/>
      </w:pPr>
      <w:r w:rsidRPr="009B140C">
        <w:t>Do celów niniejszego ustępu nie stosuje się kryteriów wejściowych</w:t>
      </w:r>
      <w:r w:rsidR="009B140C" w:rsidRPr="009B140C">
        <w:t xml:space="preserve"> i</w:t>
      </w:r>
      <w:r w:rsidR="009B140C">
        <w:t> </w:t>
      </w:r>
      <w:r w:rsidR="009B140C" w:rsidRPr="009B140C">
        <w:t>wyj</w:t>
      </w:r>
      <w:r w:rsidRPr="009B140C">
        <w:t>ściowych określonych</w:t>
      </w:r>
      <w:r w:rsidR="009B140C" w:rsidRPr="009B140C">
        <w:t xml:space="preserve"> w</w:t>
      </w:r>
      <w:r w:rsidR="009B140C">
        <w:t> </w:t>
      </w:r>
      <w:r w:rsidR="009B140C" w:rsidRPr="009B140C">
        <w:t>art</w:t>
      </w:r>
      <w:r w:rsidRPr="009B140C">
        <w:t>.</w:t>
      </w:r>
      <w:r w:rsidR="009B140C" w:rsidRPr="009B140C">
        <w:t> </w:t>
      </w:r>
      <w:r w:rsidRPr="009B140C">
        <w:t>4.</w:t>
      </w:r>
    </w:p>
    <w:p w14:paraId="3329EA93" w14:textId="67F6AC18" w:rsidR="00725875" w:rsidRPr="009B140C" w:rsidRDefault="0014552F" w:rsidP="0014552F">
      <w:pPr>
        <w:pStyle w:val="NumPar1"/>
      </w:pPr>
      <w:r w:rsidRPr="009B140C">
        <w:t>Instytucje przekazują informacje na temat ostrożnościowego mechanizmu ochronnego dla ekspozycji nieobsługiwanych określone we wzorach 35.01, 35.02</w:t>
      </w:r>
      <w:r w:rsidR="009B140C" w:rsidRPr="009B140C">
        <w:t xml:space="preserve"> i</w:t>
      </w:r>
      <w:r w:rsidR="009B140C">
        <w:t> </w:t>
      </w:r>
      <w:r w:rsidR="009B140C" w:rsidRPr="009B140C">
        <w:t>3</w:t>
      </w:r>
      <w:r w:rsidRPr="009B140C">
        <w:t>5.03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8.</w:t>
      </w:r>
    </w:p>
    <w:p w14:paraId="2263BAFA" w14:textId="77777777" w:rsidR="004A4E65" w:rsidRPr="009B140C" w:rsidRDefault="004A4E65" w:rsidP="004A4E65">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6</w:t>
      </w:r>
      <w:r w:rsidR="00D90D81" w:rsidRPr="009B140C">
        <w:fldChar w:fldCharType="end"/>
      </w:r>
      <w:r w:rsidRPr="009B140C">
        <w:t xml:space="preserve"> </w:t>
      </w:r>
    </w:p>
    <w:p w14:paraId="6708BD45" w14:textId="32610157" w:rsidR="004A4E65" w:rsidRPr="009B140C" w:rsidRDefault="004A4E65" w:rsidP="004A4E65">
      <w:pPr>
        <w:pStyle w:val="Titrearticle"/>
        <w:rPr>
          <w:b/>
          <w:i w:val="0"/>
        </w:rPr>
      </w:pPr>
      <w:r w:rsidRPr="009B140C">
        <w:rPr>
          <w:b/>
          <w:i w:val="0"/>
        </w:rPr>
        <w:t>Sprawozdawczość dotycząca funduszy własnych oraz wymogów</w:t>
      </w:r>
      <w:r w:rsidR="009B140C" w:rsidRPr="009B140C">
        <w:rPr>
          <w:b/>
          <w:i w:val="0"/>
        </w:rPr>
        <w:t xml:space="preserve"> w</w:t>
      </w:r>
      <w:r w:rsidR="009B140C">
        <w:rPr>
          <w:b/>
          <w:i w:val="0"/>
        </w:rPr>
        <w:t> </w:t>
      </w:r>
      <w:r w:rsidR="009B140C" w:rsidRPr="009B140C">
        <w:rPr>
          <w:b/>
          <w:i w:val="0"/>
        </w:rPr>
        <w:t>zak</w:t>
      </w:r>
      <w:r w:rsidRPr="009B140C">
        <w:rPr>
          <w:b/>
          <w:i w:val="0"/>
        </w:rPr>
        <w:t xml:space="preserve">resie funduszy własnych na zasadzie indywidualnej – sprawozdawczość półroczna </w:t>
      </w:r>
    </w:p>
    <w:p w14:paraId="5551DF99" w14:textId="50D06266" w:rsidR="004A4E65" w:rsidRPr="009B140C" w:rsidRDefault="004A4E65" w:rsidP="005F180D">
      <w:pPr>
        <w:pStyle w:val="NumPar1"/>
        <w:numPr>
          <w:ilvl w:val="0"/>
          <w:numId w:val="15"/>
        </w:numPr>
      </w:pPr>
      <w:r w:rsidRPr="009B140C">
        <w:t>Do celów sprawozdawczości dotyczącej funduszy własnych oraz wymogów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indywidualnej instytucje przekazują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nin</w:t>
      </w:r>
      <w:r w:rsidRPr="009B140C">
        <w:t>iejszym artykule,</w:t>
      </w:r>
      <w:r w:rsidR="009B140C" w:rsidRPr="009B140C">
        <w:t xml:space="preserve"> z</w:t>
      </w:r>
      <w:r w:rsidR="009B140C">
        <w:t> </w:t>
      </w:r>
      <w:r w:rsidR="009B140C" w:rsidRPr="009B140C">
        <w:t>czę</w:t>
      </w:r>
      <w:r w:rsidRPr="009B140C">
        <w:t xml:space="preserve">stotliwością półroczną. </w:t>
      </w:r>
    </w:p>
    <w:p w14:paraId="40FBE120" w14:textId="4ADFFDBA" w:rsidR="004A4E65" w:rsidRPr="009B140C" w:rsidRDefault="004A4E65" w:rsidP="004A4E65">
      <w:pPr>
        <w:pStyle w:val="NumPar1"/>
      </w:pPr>
      <w:r w:rsidRPr="009B140C">
        <w:t>Instytucje przekazują informacje na temat wszystkich ekspozycji sekurytyzacyjnych określone we wzorach 14</w:t>
      </w:r>
      <w:r w:rsidR="009B140C" w:rsidRPr="009B140C">
        <w:t xml:space="preserve"> i</w:t>
      </w:r>
      <w:r w:rsidR="009B140C">
        <w:t> </w:t>
      </w:r>
      <w:r w:rsidR="009B140C" w:rsidRPr="009B140C">
        <w:t>1</w:t>
      </w:r>
      <w:r w:rsidRPr="009B140C">
        <w:t>4.01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3.8;</w:t>
      </w:r>
      <w:r w:rsidR="009B140C" w:rsidRPr="009B140C">
        <w:t xml:space="preserve"> z</w:t>
      </w:r>
      <w:r w:rsidR="009B140C">
        <w:t> </w:t>
      </w:r>
      <w:r w:rsidR="009B140C" w:rsidRPr="009B140C">
        <w:t>wyj</w:t>
      </w:r>
      <w:r w:rsidRPr="009B140C">
        <w:t>ątkiem przypadków, gdy stanowią one część grupy</w:t>
      </w:r>
      <w:r w:rsidR="009B140C" w:rsidRPr="009B140C">
        <w:t xml:space="preserve"> w</w:t>
      </w:r>
      <w:r w:rsidR="009B140C">
        <w:t> </w:t>
      </w:r>
      <w:r w:rsidR="009B140C" w:rsidRPr="009B140C">
        <w:t>tym</w:t>
      </w:r>
      <w:r w:rsidRPr="009B140C">
        <w:t xml:space="preserve"> samym państwie,</w:t>
      </w:r>
      <w:r w:rsidR="009B140C" w:rsidRPr="009B140C">
        <w:t xml:space="preserve"> w</w:t>
      </w:r>
      <w:r w:rsidR="009B140C">
        <w:t> </w:t>
      </w:r>
      <w:r w:rsidR="009B140C" w:rsidRPr="009B140C">
        <w:t>któ</w:t>
      </w:r>
      <w:r w:rsidRPr="009B140C">
        <w:t>rym podlegają wymogom</w:t>
      </w:r>
      <w:r w:rsidR="009B140C" w:rsidRPr="009B140C">
        <w:t xml:space="preserve"> w</w:t>
      </w:r>
      <w:r w:rsidR="009B140C">
        <w:t> </w:t>
      </w:r>
      <w:r w:rsidR="009B140C" w:rsidRPr="009B140C">
        <w:t>zak</w:t>
      </w:r>
      <w:r w:rsidRPr="009B140C">
        <w:t>resie funduszy własnych.</w:t>
      </w:r>
    </w:p>
    <w:p w14:paraId="19F85BB9" w14:textId="3BC98BB7" w:rsidR="004A4E65" w:rsidRPr="009B140C" w:rsidRDefault="004A4E65" w:rsidP="004A4E65">
      <w:pPr>
        <w:pStyle w:val="NumPar1"/>
      </w:pPr>
      <w:r w:rsidRPr="009B140C">
        <w:t>Instytucje przekazują informacje na temat ekspozycji względem państw</w:t>
      </w:r>
      <w:r w:rsidR="009B140C" w:rsidRPr="009B140C">
        <w:t xml:space="preserve"> w</w:t>
      </w:r>
      <w:r w:rsidR="009B140C">
        <w:t> </w:t>
      </w:r>
      <w:r w:rsidR="009B140C" w:rsidRPr="009B140C">
        <w:t>nas</w:t>
      </w:r>
      <w:r w:rsidRPr="009B140C">
        <w:t>tępujący sposób:</w:t>
      </w:r>
    </w:p>
    <w:p w14:paraId="67E38C8A" w14:textId="00CF8510" w:rsidR="004A4E65" w:rsidRPr="009B140C" w:rsidRDefault="004A4E65" w:rsidP="004A4E65">
      <w:pPr>
        <w:pStyle w:val="Point1"/>
      </w:pPr>
      <w:r w:rsidRPr="009B140C">
        <w:t>a)</w:t>
      </w:r>
      <w:r w:rsidRPr="009B140C">
        <w:tab/>
        <w:t>w przypadku gdy całkowita wartość bilansowa aktywów finansowych</w:t>
      </w:r>
      <w:r w:rsidR="009B140C" w:rsidRPr="009B140C">
        <w:t xml:space="preserve"> z</w:t>
      </w:r>
      <w:r w:rsidR="009B140C">
        <w:t> </w:t>
      </w:r>
      <w:r w:rsidR="009B140C" w:rsidRPr="009B140C">
        <w:t>sek</w:t>
      </w:r>
      <w:r w:rsidRPr="009B140C">
        <w:t>tora kontrahenta „Sektor instytucji rządowych</w:t>
      </w:r>
      <w:r w:rsidR="009B140C" w:rsidRPr="009B140C">
        <w:t xml:space="preserve"> i</w:t>
      </w:r>
      <w:r w:rsidR="009B140C">
        <w:t> </w:t>
      </w:r>
      <w:r w:rsidR="009B140C" w:rsidRPr="009B140C">
        <w:t>sam</w:t>
      </w:r>
      <w:r w:rsidRPr="009B140C">
        <w:t>orządowych” wynosi co najmniej 1</w:t>
      </w:r>
      <w:r w:rsidR="009B140C" w:rsidRPr="009B140C">
        <w:t> </w:t>
      </w:r>
      <w:r w:rsidRPr="009B140C">
        <w:t>% sumy całkowitej wartości bilansowej dla pozycji „Dłużne papiery wartościowe” oraz „Kredyty</w:t>
      </w:r>
      <w:r w:rsidR="009B140C" w:rsidRPr="009B140C">
        <w:t xml:space="preserve"> i</w:t>
      </w:r>
      <w:r w:rsidR="009B140C">
        <w:t> </w:t>
      </w:r>
      <w:r w:rsidR="009B140C" w:rsidRPr="009B140C">
        <w:t>zal</w:t>
      </w:r>
      <w:r w:rsidRPr="009B140C">
        <w:t>iczki”, instytucje przekazują informacje określone we wzorze 33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7 oraz postępują zgodnie</w:t>
      </w:r>
      <w:r w:rsidR="009B140C" w:rsidRPr="009B140C">
        <w:t xml:space="preserve"> z</w:t>
      </w:r>
      <w:r w:rsidR="009B140C">
        <w:t> </w:t>
      </w:r>
      <w:r w:rsidR="009B140C" w:rsidRPr="009B140C">
        <w:t>ins</w:t>
      </w:r>
      <w:r w:rsidRPr="009B140C">
        <w:t>trukcjami zawartymi odpowiednio</w:t>
      </w:r>
      <w:r w:rsidR="009B140C" w:rsidRPr="009B140C">
        <w:t xml:space="preserve"> w</w:t>
      </w:r>
      <w:r w:rsidR="009B140C">
        <w:t> </w:t>
      </w:r>
      <w:r w:rsidR="009B140C" w:rsidRPr="009B140C">
        <w:t>zał</w:t>
      </w:r>
      <w:r w:rsidRPr="009B140C">
        <w:t>ączniku V</w:t>
      </w:r>
      <w:r w:rsidR="009B140C" w:rsidRPr="009B140C">
        <w:t xml:space="preserve"> w</w:t>
      </w:r>
      <w:r w:rsidR="009B140C">
        <w:t> </w:t>
      </w:r>
      <w:r w:rsidR="009B140C" w:rsidRPr="009B140C">
        <w:t>odn</w:t>
      </w:r>
      <w:r w:rsidRPr="009B140C">
        <w:t>iesieniu do wzoru 4 przedstawionego</w:t>
      </w:r>
      <w:r w:rsidR="009B140C" w:rsidRPr="009B140C">
        <w:t xml:space="preserve"> w</w:t>
      </w:r>
      <w:r w:rsidR="009B140C">
        <w:t> </w:t>
      </w:r>
      <w:r w:rsidR="009B140C" w:rsidRPr="009B140C">
        <w:t>zał</w:t>
      </w:r>
      <w:r w:rsidRPr="009B140C">
        <w:t>ączniku III albo</w:t>
      </w:r>
      <w:r w:rsidR="009B140C" w:rsidRPr="009B140C">
        <w:t xml:space="preserve"> w</w:t>
      </w:r>
      <w:r w:rsidR="009B140C">
        <w:t> </w:t>
      </w:r>
      <w:r w:rsidR="009B140C" w:rsidRPr="009B140C">
        <w:t>zał</w:t>
      </w:r>
      <w:r w:rsidRPr="009B140C">
        <w:t>ączniku IV</w:t>
      </w:r>
      <w:r w:rsidR="009B140C" w:rsidRPr="009B140C">
        <w:t xml:space="preserve"> w</w:t>
      </w:r>
      <w:r w:rsidR="009B140C">
        <w:t> </w:t>
      </w:r>
      <w:r w:rsidR="009B140C" w:rsidRPr="009B140C">
        <w:t>cel</w:t>
      </w:r>
      <w:r w:rsidRPr="009B140C">
        <w:t>u obliczenia odnośnych wartości;</w:t>
      </w:r>
    </w:p>
    <w:p w14:paraId="1F937D26" w14:textId="70434134" w:rsidR="004A4E65" w:rsidRPr="009B140C" w:rsidRDefault="004A4E65" w:rsidP="004A4E65">
      <w:pPr>
        <w:pStyle w:val="Point1"/>
      </w:pPr>
      <w:r w:rsidRPr="009B140C">
        <w:t>b)</w:t>
      </w:r>
      <w:r w:rsidRPr="009B140C">
        <w:tab/>
        <w:t>w przypadku gdy wartość zgłoszona dla ekspozycji krajowych</w:t>
      </w:r>
      <w:r w:rsidR="009B140C" w:rsidRPr="009B140C">
        <w:t xml:space="preserve"> z</w:t>
      </w:r>
      <w:r w:rsidR="009B140C">
        <w:t> </w:t>
      </w:r>
      <w:r w:rsidR="009B140C" w:rsidRPr="009B140C">
        <w:t>tyt</w:t>
      </w:r>
      <w:r w:rsidRPr="009B140C">
        <w:t>ułu aktywów finansowych niebędących instrumentami pochodnymi zgodnie</w:t>
      </w:r>
      <w:r w:rsidR="009B140C" w:rsidRPr="009B140C">
        <w:t xml:space="preserve"> z</w:t>
      </w:r>
      <w:r w:rsidR="009B140C">
        <w:t> </w:t>
      </w:r>
      <w:r w:rsidR="009B140C" w:rsidRPr="009B140C">
        <w:t>def</w:t>
      </w:r>
      <w:r w:rsidRPr="009B140C">
        <w:t>inicją</w:t>
      </w:r>
      <w:r w:rsidR="009B140C" w:rsidRPr="009B140C">
        <w:t xml:space="preserve"> w</w:t>
      </w:r>
      <w:r w:rsidR="009B140C">
        <w:t> </w:t>
      </w:r>
      <w:r w:rsidR="009B140C" w:rsidRPr="009B140C">
        <w:t>wie</w:t>
      </w:r>
      <w:r w:rsidRPr="009B140C">
        <w:t>rszu 0010 kolumna 0010 we wzorze 33 przedstawionym</w:t>
      </w:r>
      <w:r w:rsidR="009B140C" w:rsidRPr="009B140C">
        <w:t xml:space="preserve"> w</w:t>
      </w:r>
      <w:r w:rsidR="009B140C">
        <w:t> </w:t>
      </w:r>
      <w:r w:rsidR="009B140C" w:rsidRPr="009B140C">
        <w:t>zał</w:t>
      </w:r>
      <w:r w:rsidRPr="009B140C">
        <w:t>ączniku I wynosi mniej niż 90</w:t>
      </w:r>
      <w:r w:rsidR="009B140C" w:rsidRPr="009B140C">
        <w:t> </w:t>
      </w:r>
      <w:r w:rsidRPr="009B140C">
        <w:t>% wartości zgłoszonej dla ekspozycji krajowych</w:t>
      </w:r>
      <w:r w:rsidR="009B140C" w:rsidRPr="009B140C">
        <w:t xml:space="preserve"> i</w:t>
      </w:r>
      <w:r w:rsidR="009B140C">
        <w:t> </w:t>
      </w:r>
      <w:r w:rsidR="009B140C" w:rsidRPr="009B140C">
        <w:t>zag</w:t>
      </w:r>
      <w:r w:rsidRPr="009B140C">
        <w:t>ranicznych dla tego samego punktu danych, instytucje, które spełniają kryterium,</w:t>
      </w:r>
      <w:r w:rsidR="009B140C" w:rsidRPr="009B140C">
        <w:t xml:space="preserve"> o</w:t>
      </w:r>
      <w:r w:rsidR="009B140C">
        <w:t> </w:t>
      </w:r>
      <w:r w:rsidR="009B140C" w:rsidRPr="009B140C">
        <w:t>któ</w:t>
      </w:r>
      <w:r w:rsidRPr="009B140C">
        <w:t>rym mowa</w:t>
      </w:r>
      <w:r w:rsidR="009B140C" w:rsidRPr="009B140C">
        <w:t xml:space="preserve"> w</w:t>
      </w:r>
      <w:r w:rsidR="009B140C">
        <w:t> </w:t>
      </w:r>
      <w:r w:rsidR="009B140C" w:rsidRPr="009B140C">
        <w:t>lit</w:t>
      </w:r>
      <w:r w:rsidRPr="009B140C">
        <w:t>.</w:t>
      </w:r>
      <w:r w:rsidR="009B140C" w:rsidRPr="009B140C">
        <w:t> </w:t>
      </w:r>
      <w:r w:rsidRPr="009B140C">
        <w:t>a), przekazują informacje określone we wzorze 33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7,</w:t>
      </w:r>
      <w:r w:rsidR="009B140C" w:rsidRPr="009B140C">
        <w:t xml:space="preserve"> z</w:t>
      </w:r>
      <w:r w:rsidR="009B140C">
        <w:t> </w:t>
      </w:r>
      <w:r w:rsidR="009B140C" w:rsidRPr="009B140C">
        <w:t>peł</w:t>
      </w:r>
      <w:r w:rsidRPr="009B140C">
        <w:t>nym podziałem na państwa;</w:t>
      </w:r>
    </w:p>
    <w:p w14:paraId="7834EDAC" w14:textId="6DA5ABE1" w:rsidR="004A4E65" w:rsidRPr="009B140C" w:rsidRDefault="004A4E65" w:rsidP="004A4E65">
      <w:pPr>
        <w:pStyle w:val="Point1"/>
      </w:pPr>
      <w:r w:rsidRPr="009B140C">
        <w:t>c)</w:t>
      </w:r>
      <w:r w:rsidRPr="009B140C">
        <w:tab/>
        <w:t>instytucje, które spełniają warunki,</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lit</w:t>
      </w:r>
      <w:r w:rsidRPr="009B140C">
        <w:t>.</w:t>
      </w:r>
      <w:r w:rsidR="009B140C" w:rsidRPr="009B140C">
        <w:t> </w:t>
      </w:r>
      <w:r w:rsidRPr="009B140C">
        <w:t>a), ale nie spełniają warunku,</w:t>
      </w:r>
      <w:r w:rsidR="009B140C" w:rsidRPr="009B140C">
        <w:t xml:space="preserve"> o</w:t>
      </w:r>
      <w:r w:rsidR="009B140C">
        <w:t> </w:t>
      </w:r>
      <w:r w:rsidR="009B140C" w:rsidRPr="009B140C">
        <w:t>któ</w:t>
      </w:r>
      <w:r w:rsidRPr="009B140C">
        <w:t>rym mowa</w:t>
      </w:r>
      <w:r w:rsidR="009B140C" w:rsidRPr="009B140C">
        <w:t xml:space="preserve"> w</w:t>
      </w:r>
      <w:r w:rsidR="009B140C">
        <w:t> </w:t>
      </w:r>
      <w:r w:rsidR="009B140C" w:rsidRPr="009B140C">
        <w:t>lit</w:t>
      </w:r>
      <w:r w:rsidRPr="009B140C">
        <w:t>.</w:t>
      </w:r>
      <w:r w:rsidR="009B140C" w:rsidRPr="009B140C">
        <w:t> </w:t>
      </w:r>
      <w:r w:rsidRPr="009B140C">
        <w:t>b), przekazują informacje określone we wzorze 33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7,</w:t>
      </w:r>
      <w:r w:rsidR="009B140C" w:rsidRPr="009B140C">
        <w:t xml:space="preserve"> z</w:t>
      </w:r>
      <w:r w:rsidR="009B140C">
        <w:t> </w:t>
      </w:r>
      <w:r w:rsidR="009B140C" w:rsidRPr="009B140C">
        <w:t>eks</w:t>
      </w:r>
      <w:r w:rsidRPr="009B140C">
        <w:t>pozycjami zagregowanymi na poziomie:</w:t>
      </w:r>
    </w:p>
    <w:p w14:paraId="218EDBA5" w14:textId="77777777" w:rsidR="004A4E65" w:rsidRPr="009B140C" w:rsidRDefault="004A4E65" w:rsidP="004A4E65">
      <w:pPr>
        <w:pStyle w:val="Point1"/>
        <w:ind w:firstLine="0"/>
      </w:pPr>
      <w:r w:rsidRPr="009B140C">
        <w:t>(i) łącznym oraz</w:t>
      </w:r>
    </w:p>
    <w:p w14:paraId="008CFBAC" w14:textId="77777777" w:rsidR="004A4E65" w:rsidRPr="009B140C" w:rsidRDefault="004A4E65" w:rsidP="004A4E65">
      <w:pPr>
        <w:pStyle w:val="Point1"/>
        <w:ind w:firstLine="0"/>
      </w:pPr>
      <w:r w:rsidRPr="009B140C">
        <w:lastRenderedPageBreak/>
        <w:t>(ii) krajowym.</w:t>
      </w:r>
    </w:p>
    <w:p w14:paraId="3B9FA7D6" w14:textId="4EBBD95B" w:rsidR="004A4E65" w:rsidRPr="009B140C" w:rsidRDefault="004A4E65" w:rsidP="004A4E65">
      <w:pPr>
        <w:pStyle w:val="Text1"/>
      </w:pPr>
      <w:r w:rsidRPr="009B140C">
        <w:t>Stosuje się kryteria wejściowe</w:t>
      </w:r>
      <w:r w:rsidR="009B140C" w:rsidRPr="009B140C">
        <w:t xml:space="preserve"> i</w:t>
      </w:r>
      <w:r w:rsidR="009B140C">
        <w:t> </w:t>
      </w:r>
      <w:r w:rsidR="009B140C" w:rsidRPr="009B140C">
        <w:t>wyj</w:t>
      </w:r>
      <w:r w:rsidRPr="009B140C">
        <w:t>ściowe opisane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3.</w:t>
      </w:r>
    </w:p>
    <w:p w14:paraId="76F698FA" w14:textId="44E29A11" w:rsidR="004A4E65" w:rsidRPr="009B140C" w:rsidRDefault="004A4E65" w:rsidP="004A4E65">
      <w:pPr>
        <w:pStyle w:val="NumPar1"/>
      </w:pPr>
      <w:r w:rsidRPr="009B140C">
        <w:t>Informacje na temat istotnych strat dotyczących ryzyka operacyjnego zgłasza się</w:t>
      </w:r>
      <w:r w:rsidR="009B140C" w:rsidRPr="009B140C">
        <w:t xml:space="preserve"> w</w:t>
      </w:r>
      <w:r w:rsidR="009B140C">
        <w:t> </w:t>
      </w:r>
      <w:r w:rsidR="009B140C" w:rsidRPr="009B140C">
        <w:t>nas</w:t>
      </w:r>
      <w:r w:rsidRPr="009B140C">
        <w:t>tępujący sposób:</w:t>
      </w:r>
    </w:p>
    <w:p w14:paraId="6D57AB20" w14:textId="70A8EB10" w:rsidR="004A4E65" w:rsidRPr="009B140C" w:rsidRDefault="004A4E65" w:rsidP="004A4E65">
      <w:pPr>
        <w:pStyle w:val="Point1"/>
      </w:pPr>
      <w:r w:rsidRPr="009B140C">
        <w:t>a)</w:t>
      </w:r>
      <w:r w:rsidRPr="009B140C">
        <w:tab/>
        <w:t>instytucje, które obliczają wymogi</w:t>
      </w:r>
      <w:r w:rsidR="009B140C" w:rsidRPr="009B140C">
        <w:t xml:space="preserve"> w</w:t>
      </w:r>
      <w:r w:rsidR="009B140C">
        <w:t> </w:t>
      </w:r>
      <w:r w:rsidR="009B140C" w:rsidRPr="009B140C">
        <w:t>zak</w:t>
      </w:r>
      <w:r w:rsidRPr="009B140C">
        <w:t>resie funduszy własnych</w:t>
      </w:r>
      <w:r w:rsidR="009B140C" w:rsidRPr="009B140C">
        <w:t xml:space="preserve"> w</w:t>
      </w:r>
      <w:r w:rsidR="009B140C">
        <w:t> </w:t>
      </w:r>
      <w:r w:rsidR="009B140C" w:rsidRPr="009B140C">
        <w:t>odn</w:t>
      </w:r>
      <w:r w:rsidRPr="009B140C">
        <w:t>iesieniu do ryzyka operacyjnego zgodnie</w:t>
      </w:r>
      <w:r w:rsidR="009B140C" w:rsidRPr="009B140C">
        <w:t xml:space="preserve"> z</w:t>
      </w:r>
      <w:r w:rsidR="009B140C">
        <w:t> </w:t>
      </w:r>
      <w:r w:rsidR="009B140C" w:rsidRPr="009B140C">
        <w:t>czę</w:t>
      </w:r>
      <w:r w:rsidRPr="009B140C">
        <w:t>ścią trzecią tytuł III rozdział 4 rozporządzenia (UE) nr</w:t>
      </w:r>
      <w:r w:rsidR="009B140C" w:rsidRPr="009B140C">
        <w:t> </w:t>
      </w:r>
      <w:r w:rsidRPr="009B140C">
        <w:t>575/2013, przedstawiają te informacje</w:t>
      </w:r>
      <w:r w:rsidR="009B140C" w:rsidRPr="009B140C">
        <w:t xml:space="preserve"> w</w:t>
      </w:r>
      <w:r w:rsidR="009B140C">
        <w:t> </w:t>
      </w:r>
      <w:r w:rsidR="009B140C" w:rsidRPr="009B140C">
        <w:t>spo</w:t>
      </w:r>
      <w:r w:rsidRPr="009B140C">
        <w:t>sób określony we wzorach 17.01</w:t>
      </w:r>
      <w:r w:rsidR="009B140C" w:rsidRPr="009B140C">
        <w:t xml:space="preserve"> i</w:t>
      </w:r>
      <w:r w:rsidR="009B140C">
        <w:t> </w:t>
      </w:r>
      <w:r w:rsidR="009B140C" w:rsidRPr="009B140C">
        <w:t>1</w:t>
      </w:r>
      <w:r w:rsidRPr="009B140C">
        <w:t>7.02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4.2;</w:t>
      </w:r>
    </w:p>
    <w:p w14:paraId="574CD1A6" w14:textId="01983BB4" w:rsidR="004A4E65" w:rsidRPr="009B140C" w:rsidRDefault="004A4E65" w:rsidP="004A4E65">
      <w:pPr>
        <w:pStyle w:val="Point1"/>
      </w:pPr>
      <w:r w:rsidRPr="009B140C">
        <w:t>b)</w:t>
      </w:r>
      <w:r w:rsidRPr="009B140C">
        <w:tab/>
        <w:t>duże instytucje, które obliczają wymogi</w:t>
      </w:r>
      <w:r w:rsidR="009B140C" w:rsidRPr="009B140C">
        <w:t xml:space="preserve"> w</w:t>
      </w:r>
      <w:r w:rsidR="009B140C">
        <w:t> </w:t>
      </w:r>
      <w:r w:rsidR="009B140C" w:rsidRPr="009B140C">
        <w:t>zak</w:t>
      </w:r>
      <w:r w:rsidRPr="009B140C">
        <w:t>resie funduszy własnych</w:t>
      </w:r>
      <w:r w:rsidR="009B140C" w:rsidRPr="009B140C">
        <w:t xml:space="preserve"> w</w:t>
      </w:r>
      <w:r w:rsidR="009B140C">
        <w:t> </w:t>
      </w:r>
      <w:r w:rsidR="009B140C" w:rsidRPr="009B140C">
        <w:t>odn</w:t>
      </w:r>
      <w:r w:rsidRPr="009B140C">
        <w:t>iesieniu do ryzyka operacyjnego zgodnie</w:t>
      </w:r>
      <w:r w:rsidR="009B140C" w:rsidRPr="009B140C">
        <w:t xml:space="preserve"> z</w:t>
      </w:r>
      <w:r w:rsidR="009B140C">
        <w:t> </w:t>
      </w:r>
      <w:r w:rsidR="009B140C" w:rsidRPr="009B140C">
        <w:t>czę</w:t>
      </w:r>
      <w:r w:rsidRPr="009B140C">
        <w:t>ścią trzecią tytuł III rozdział 3 rozporządzenia (UE) nr</w:t>
      </w:r>
      <w:r w:rsidR="009B140C" w:rsidRPr="009B140C">
        <w:t> </w:t>
      </w:r>
      <w:r w:rsidRPr="009B140C">
        <w:t>575/2013, przedstawiają te informacje</w:t>
      </w:r>
      <w:r w:rsidR="009B140C" w:rsidRPr="009B140C">
        <w:t xml:space="preserve"> w</w:t>
      </w:r>
      <w:r w:rsidR="009B140C">
        <w:t> </w:t>
      </w:r>
      <w:r w:rsidR="009B140C" w:rsidRPr="009B140C">
        <w:t>spo</w:t>
      </w:r>
      <w:r w:rsidRPr="009B140C">
        <w:t>sób określony we wzorach 17.01</w:t>
      </w:r>
      <w:r w:rsidR="009B140C" w:rsidRPr="009B140C">
        <w:t xml:space="preserve"> i</w:t>
      </w:r>
      <w:r w:rsidR="009B140C">
        <w:t> </w:t>
      </w:r>
      <w:r w:rsidR="009B140C" w:rsidRPr="009B140C">
        <w:t>1</w:t>
      </w:r>
      <w:r w:rsidRPr="009B140C">
        <w:t>7.02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4.2;</w:t>
      </w:r>
    </w:p>
    <w:p w14:paraId="3913C437" w14:textId="472B0F96" w:rsidR="004A4E65" w:rsidRPr="009B140C" w:rsidRDefault="004A4E65" w:rsidP="004A4E65">
      <w:pPr>
        <w:pStyle w:val="Point1"/>
      </w:pPr>
      <w:r w:rsidRPr="009B140C">
        <w:t>c)</w:t>
      </w:r>
      <w:r w:rsidRPr="009B140C">
        <w:tab/>
        <w:t>instytucje inne niż duże instytucje, które obliczają wymogi</w:t>
      </w:r>
      <w:r w:rsidR="009B140C" w:rsidRPr="009B140C">
        <w:t xml:space="preserve"> w</w:t>
      </w:r>
      <w:r w:rsidR="009B140C">
        <w:t> </w:t>
      </w:r>
      <w:r w:rsidR="009B140C" w:rsidRPr="009B140C">
        <w:t>zak</w:t>
      </w:r>
      <w:r w:rsidRPr="009B140C">
        <w:t>resie funduszy własnych</w:t>
      </w:r>
      <w:r w:rsidR="009B140C" w:rsidRPr="009B140C">
        <w:t xml:space="preserve"> w</w:t>
      </w:r>
      <w:r w:rsidR="009B140C">
        <w:t> </w:t>
      </w:r>
      <w:r w:rsidR="009B140C" w:rsidRPr="009B140C">
        <w:t>odn</w:t>
      </w:r>
      <w:r w:rsidRPr="009B140C">
        <w:t>iesieniu do ryzyka operacyjnego zgodnie</w:t>
      </w:r>
      <w:r w:rsidR="009B140C" w:rsidRPr="009B140C">
        <w:t xml:space="preserve"> z</w:t>
      </w:r>
      <w:r w:rsidR="009B140C">
        <w:t> </w:t>
      </w:r>
      <w:r w:rsidR="009B140C" w:rsidRPr="009B140C">
        <w:t>czę</w:t>
      </w:r>
      <w:r w:rsidRPr="009B140C">
        <w:t>ścią trzecią tytuł III rozdział 3 rozporządzenia (UE) nr</w:t>
      </w:r>
      <w:r w:rsidR="009B140C" w:rsidRPr="009B140C">
        <w:t> </w:t>
      </w:r>
      <w:r w:rsidRPr="009B140C">
        <w:t>575/2013, przedstawiają –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4.2 – następujące informacje:</w:t>
      </w:r>
    </w:p>
    <w:p w14:paraId="465B55EF" w14:textId="1071AD06" w:rsidR="004A4E65" w:rsidRPr="009B140C" w:rsidRDefault="004A4E65" w:rsidP="004A4E65">
      <w:pPr>
        <w:pStyle w:val="Point2"/>
      </w:pPr>
      <w:r w:rsidRPr="009B140C">
        <w:t>(i)</w:t>
      </w:r>
      <w:r w:rsidRPr="009B140C">
        <w:tab/>
        <w:t>informacje określone</w:t>
      </w:r>
      <w:r w:rsidR="009B140C" w:rsidRPr="009B140C">
        <w:t xml:space="preserve"> w</w:t>
      </w:r>
      <w:r w:rsidR="009B140C">
        <w:t> </w:t>
      </w:r>
      <w:r w:rsidR="009B140C" w:rsidRPr="009B140C">
        <w:t>zał</w:t>
      </w:r>
      <w:r w:rsidRPr="009B140C">
        <w:t>ączniku I wzór 17.01 kolumna 0080 dla następujących wierszy:</w:t>
      </w:r>
    </w:p>
    <w:p w14:paraId="38FC9781" w14:textId="77777777" w:rsidR="004A4E65" w:rsidRPr="009B140C" w:rsidRDefault="004A4E65" w:rsidP="004A4E65">
      <w:pPr>
        <w:pStyle w:val="Point3"/>
      </w:pPr>
      <w:r w:rsidRPr="009B140C">
        <w:t>–</w:t>
      </w:r>
      <w:r w:rsidRPr="009B140C">
        <w:tab/>
        <w:t>liczba zdarzeń (nowe zdarzenia) (wiersz 0910);</w:t>
      </w:r>
    </w:p>
    <w:p w14:paraId="4D4CF5FF" w14:textId="77777777" w:rsidR="004A4E65" w:rsidRPr="009B140C" w:rsidRDefault="004A4E65" w:rsidP="004A4E65">
      <w:pPr>
        <w:pStyle w:val="Point3"/>
      </w:pPr>
      <w:r w:rsidRPr="009B140C">
        <w:t>–</w:t>
      </w:r>
      <w:r w:rsidRPr="009B140C">
        <w:tab/>
        <w:t>kwota strat brutto (nowe zdarzenia) (wiersz 0920),</w:t>
      </w:r>
    </w:p>
    <w:p w14:paraId="1C861214" w14:textId="77777777" w:rsidR="004A4E65" w:rsidRPr="009B140C" w:rsidRDefault="004A4E65" w:rsidP="004A4E65">
      <w:pPr>
        <w:pStyle w:val="Point3"/>
      </w:pPr>
      <w:r w:rsidRPr="009B140C">
        <w:t>–</w:t>
      </w:r>
      <w:r w:rsidRPr="009B140C">
        <w:tab/>
        <w:t>liczba zdarzeń objętych korektami strat (wiersz 0930);</w:t>
      </w:r>
    </w:p>
    <w:p w14:paraId="5E7045F5" w14:textId="77777777" w:rsidR="004A4E65" w:rsidRPr="009B140C" w:rsidRDefault="004A4E65" w:rsidP="004A4E65">
      <w:pPr>
        <w:pStyle w:val="Point3"/>
      </w:pPr>
      <w:r w:rsidRPr="009B140C">
        <w:t>–</w:t>
      </w:r>
      <w:r w:rsidRPr="009B140C">
        <w:tab/>
        <w:t>korekty strat dotyczące poprzednich okresów sprawozdawczych (wiersz 0940);</w:t>
      </w:r>
    </w:p>
    <w:p w14:paraId="1438A6CB" w14:textId="77777777" w:rsidR="004A4E65" w:rsidRPr="009B140C" w:rsidRDefault="004A4E65" w:rsidP="004A4E65">
      <w:pPr>
        <w:pStyle w:val="Point3"/>
      </w:pPr>
      <w:r w:rsidRPr="009B140C">
        <w:t>–</w:t>
      </w:r>
      <w:r w:rsidRPr="009B140C">
        <w:tab/>
        <w:t xml:space="preserve">maksymalna pojedyncza strata (wiersz 0950); </w:t>
      </w:r>
    </w:p>
    <w:p w14:paraId="5C63649B" w14:textId="77777777" w:rsidR="004A4E65" w:rsidRPr="009B140C" w:rsidRDefault="004A4E65" w:rsidP="004A4E65">
      <w:pPr>
        <w:pStyle w:val="Point3"/>
      </w:pPr>
      <w:r w:rsidRPr="009B140C">
        <w:t>–</w:t>
      </w:r>
      <w:r w:rsidRPr="009B140C">
        <w:tab/>
        <w:t>suma pięciu największych strat (wiersz 0960);</w:t>
      </w:r>
    </w:p>
    <w:p w14:paraId="6C176440" w14:textId="7051C8FB" w:rsidR="004A4E65" w:rsidRPr="009B140C" w:rsidRDefault="004A4E65" w:rsidP="004A4E65">
      <w:pPr>
        <w:pStyle w:val="Point3"/>
      </w:pPr>
      <w:r w:rsidRPr="009B140C">
        <w:t>–</w:t>
      </w:r>
      <w:r w:rsidRPr="009B140C">
        <w:tab/>
        <w:t>całkowite bezpośrednio odzyskane należności (z wyłączeniem należności odzyskanych</w:t>
      </w:r>
      <w:r w:rsidR="009B140C" w:rsidRPr="009B140C">
        <w:t xml:space="preserve"> z</w:t>
      </w:r>
      <w:r w:rsidR="009B140C">
        <w:t> </w:t>
      </w:r>
      <w:r w:rsidR="009B140C" w:rsidRPr="009B140C">
        <w:t>ube</w:t>
      </w:r>
      <w:r w:rsidRPr="009B140C">
        <w:t>zpieczenia</w:t>
      </w:r>
      <w:r w:rsidR="009B140C" w:rsidRPr="009B140C">
        <w:t xml:space="preserve"> i</w:t>
      </w:r>
      <w:r w:rsidR="009B140C">
        <w:t> </w:t>
      </w:r>
      <w:r w:rsidR="009B140C" w:rsidRPr="009B140C">
        <w:t>inn</w:t>
      </w:r>
      <w:r w:rsidRPr="009B140C">
        <w:t>ych mechanizmów transferu ryzyka) (wiersz 0970);</w:t>
      </w:r>
    </w:p>
    <w:p w14:paraId="586DD233" w14:textId="653CD536" w:rsidR="004A4E65" w:rsidRPr="009B140C" w:rsidRDefault="004A4E65" w:rsidP="004A4E65">
      <w:pPr>
        <w:pStyle w:val="Point3"/>
      </w:pPr>
      <w:r w:rsidRPr="009B140C">
        <w:t>–</w:t>
      </w:r>
      <w:r w:rsidRPr="009B140C">
        <w:tab/>
        <w:t>całkowite należności odzyskane</w:t>
      </w:r>
      <w:r w:rsidR="009B140C" w:rsidRPr="009B140C">
        <w:t xml:space="preserve"> z</w:t>
      </w:r>
      <w:r w:rsidR="009B140C">
        <w:t> </w:t>
      </w:r>
      <w:r w:rsidR="009B140C" w:rsidRPr="009B140C">
        <w:t>ube</w:t>
      </w:r>
      <w:r w:rsidRPr="009B140C">
        <w:t>zpieczenia</w:t>
      </w:r>
      <w:r w:rsidR="009B140C" w:rsidRPr="009B140C">
        <w:t xml:space="preserve"> i</w:t>
      </w:r>
      <w:r w:rsidR="009B140C">
        <w:t> </w:t>
      </w:r>
      <w:r w:rsidR="009B140C" w:rsidRPr="009B140C">
        <w:t>inn</w:t>
      </w:r>
      <w:r w:rsidRPr="009B140C">
        <w:t xml:space="preserve">ych mechanizmów transferu ryzyka (wiersz 0980); </w:t>
      </w:r>
    </w:p>
    <w:p w14:paraId="0825DE8D" w14:textId="4E89A87F" w:rsidR="004A4E65" w:rsidRPr="009B140C" w:rsidRDefault="004A4E65" w:rsidP="004A4E65">
      <w:pPr>
        <w:pStyle w:val="Point2"/>
      </w:pPr>
      <w:r w:rsidRPr="009B140C">
        <w:t>(ii)</w:t>
      </w:r>
      <w:r w:rsidRPr="009B140C">
        <w:tab/>
        <w:t>informacje określone we wzorze 17.02 przedstawionym</w:t>
      </w:r>
      <w:r w:rsidR="009B140C" w:rsidRPr="009B140C">
        <w:t xml:space="preserve"> w</w:t>
      </w:r>
      <w:r w:rsidR="009B140C">
        <w:t> </w:t>
      </w:r>
      <w:r w:rsidR="009B140C" w:rsidRPr="009B140C">
        <w:t>zał</w:t>
      </w:r>
      <w:r w:rsidRPr="009B140C">
        <w:t>ączniku I;</w:t>
      </w:r>
    </w:p>
    <w:p w14:paraId="2FD7698B" w14:textId="47DE0C9F" w:rsidR="004A4E65" w:rsidRPr="009B140C" w:rsidRDefault="004A4E65" w:rsidP="004A4E65">
      <w:pPr>
        <w:pStyle w:val="Point1"/>
      </w:pPr>
      <w:r w:rsidRPr="009B140C">
        <w:t>d)</w:t>
      </w:r>
      <w:r w:rsidRPr="009B140C">
        <w:tab/>
        <w:t>instytucje,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lit</w:t>
      </w:r>
      <w:r w:rsidRPr="009B140C">
        <w:t>.</w:t>
      </w:r>
      <w:r w:rsidR="009B140C" w:rsidRPr="009B140C">
        <w:t> </w:t>
      </w:r>
      <w:r w:rsidRPr="009B140C">
        <w:t>c), mogą przedstawiać pełny zestaw informacji określonych we wzorach 17.01</w:t>
      </w:r>
      <w:r w:rsidR="009B140C" w:rsidRPr="009B140C">
        <w:t xml:space="preserve"> i</w:t>
      </w:r>
      <w:r w:rsidR="009B140C">
        <w:t> </w:t>
      </w:r>
      <w:r w:rsidR="009B140C" w:rsidRPr="009B140C">
        <w:t>1</w:t>
      </w:r>
      <w:r w:rsidRPr="009B140C">
        <w:t>7.02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4.2;</w:t>
      </w:r>
    </w:p>
    <w:p w14:paraId="75F8B450" w14:textId="07479357" w:rsidR="004A4E65" w:rsidRPr="009B140C" w:rsidRDefault="004A4E65" w:rsidP="004A4E65">
      <w:pPr>
        <w:pStyle w:val="Point1"/>
      </w:pPr>
      <w:r w:rsidRPr="009B140C">
        <w:t>e)</w:t>
      </w:r>
      <w:r w:rsidRPr="009B140C">
        <w:tab/>
        <w:t>duże instytucje, które obliczają wymogi</w:t>
      </w:r>
      <w:r w:rsidR="009B140C" w:rsidRPr="009B140C">
        <w:t xml:space="preserve"> w</w:t>
      </w:r>
      <w:r w:rsidR="009B140C">
        <w:t> </w:t>
      </w:r>
      <w:r w:rsidR="009B140C" w:rsidRPr="009B140C">
        <w:t>zak</w:t>
      </w:r>
      <w:r w:rsidRPr="009B140C">
        <w:t>resie funduszy własnych</w:t>
      </w:r>
      <w:r w:rsidR="009B140C" w:rsidRPr="009B140C">
        <w:t xml:space="preserve"> w</w:t>
      </w:r>
      <w:r w:rsidR="009B140C">
        <w:t> </w:t>
      </w:r>
      <w:r w:rsidR="009B140C" w:rsidRPr="009B140C">
        <w:t>odn</w:t>
      </w:r>
      <w:r w:rsidRPr="009B140C">
        <w:t>iesieniu do ryzyka operacyjnego zgodnie</w:t>
      </w:r>
      <w:r w:rsidR="009B140C" w:rsidRPr="009B140C">
        <w:t xml:space="preserve"> z</w:t>
      </w:r>
      <w:r w:rsidR="009B140C">
        <w:t> </w:t>
      </w:r>
      <w:r w:rsidR="009B140C" w:rsidRPr="009B140C">
        <w:t>czę</w:t>
      </w:r>
      <w:r w:rsidRPr="009B140C">
        <w:t>ścią trzecią tytuł III rozdział 2 rozporządzenia (UE) nr</w:t>
      </w:r>
      <w:r w:rsidR="009B140C" w:rsidRPr="009B140C">
        <w:t> </w:t>
      </w:r>
      <w:r w:rsidRPr="009B140C">
        <w:t>575/2013, przedstawiają te informacje</w:t>
      </w:r>
      <w:r w:rsidR="009B140C" w:rsidRPr="009B140C">
        <w:t xml:space="preserve"> w</w:t>
      </w:r>
      <w:r w:rsidR="009B140C">
        <w:t> </w:t>
      </w:r>
      <w:r w:rsidR="009B140C" w:rsidRPr="009B140C">
        <w:t>spo</w:t>
      </w:r>
      <w:r w:rsidRPr="009B140C">
        <w:t>sób określony we wzorach 17.01</w:t>
      </w:r>
      <w:r w:rsidR="009B140C" w:rsidRPr="009B140C">
        <w:t xml:space="preserve"> i</w:t>
      </w:r>
      <w:r w:rsidR="009B140C">
        <w:t> </w:t>
      </w:r>
      <w:r w:rsidR="009B140C" w:rsidRPr="009B140C">
        <w:t>1</w:t>
      </w:r>
      <w:r w:rsidRPr="009B140C">
        <w:t>7.02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4.2;</w:t>
      </w:r>
    </w:p>
    <w:p w14:paraId="612A5174" w14:textId="11AF9A98" w:rsidR="004A4E65" w:rsidRPr="009B140C" w:rsidRDefault="004A4E65" w:rsidP="004A4E65">
      <w:pPr>
        <w:pStyle w:val="Point1"/>
      </w:pPr>
      <w:r w:rsidRPr="009B140C">
        <w:lastRenderedPageBreak/>
        <w:t>f)</w:t>
      </w:r>
      <w:r w:rsidRPr="009B140C">
        <w:tab/>
        <w:t>instytucje inne niż duże instytucje, które obliczają wymogi</w:t>
      </w:r>
      <w:r w:rsidR="009B140C" w:rsidRPr="009B140C">
        <w:t xml:space="preserve"> w</w:t>
      </w:r>
      <w:r w:rsidR="009B140C">
        <w:t> </w:t>
      </w:r>
      <w:r w:rsidR="009B140C" w:rsidRPr="009B140C">
        <w:t>zak</w:t>
      </w:r>
      <w:r w:rsidRPr="009B140C">
        <w:t>resie funduszy własnych</w:t>
      </w:r>
      <w:r w:rsidR="009B140C" w:rsidRPr="009B140C">
        <w:t xml:space="preserve"> w</w:t>
      </w:r>
      <w:r w:rsidR="009B140C">
        <w:t> </w:t>
      </w:r>
      <w:r w:rsidR="009B140C" w:rsidRPr="009B140C">
        <w:t>odn</w:t>
      </w:r>
      <w:r w:rsidRPr="009B140C">
        <w:t>iesieniu do ryzyka operacyjnego zgodnie</w:t>
      </w:r>
      <w:r w:rsidR="009B140C" w:rsidRPr="009B140C">
        <w:t xml:space="preserve"> z</w:t>
      </w:r>
      <w:r w:rsidR="009B140C">
        <w:t> </w:t>
      </w:r>
      <w:r w:rsidR="009B140C" w:rsidRPr="009B140C">
        <w:t>czę</w:t>
      </w:r>
      <w:r w:rsidRPr="009B140C">
        <w:t>ścią trzecią tytuł III rozdział 2 rozporządzenia (UE) nr</w:t>
      </w:r>
      <w:r w:rsidR="009B140C" w:rsidRPr="009B140C">
        <w:t> </w:t>
      </w:r>
      <w:r w:rsidRPr="009B140C">
        <w:t>575/2013, mogą przedstawiać te informacje</w:t>
      </w:r>
      <w:r w:rsidR="009B140C" w:rsidRPr="009B140C">
        <w:t xml:space="preserve"> w</w:t>
      </w:r>
      <w:r w:rsidR="009B140C">
        <w:t> </w:t>
      </w:r>
      <w:r w:rsidR="009B140C" w:rsidRPr="009B140C">
        <w:t>spo</w:t>
      </w:r>
      <w:r w:rsidRPr="009B140C">
        <w:t>sób określony we wzorach 17.01</w:t>
      </w:r>
      <w:r w:rsidR="009B140C" w:rsidRPr="009B140C">
        <w:t xml:space="preserve"> i</w:t>
      </w:r>
      <w:r w:rsidR="009B140C">
        <w:t> </w:t>
      </w:r>
      <w:r w:rsidR="009B140C" w:rsidRPr="009B140C">
        <w:t>1</w:t>
      </w:r>
      <w:r w:rsidRPr="009B140C">
        <w:t>7.02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4.2.</w:t>
      </w:r>
    </w:p>
    <w:p w14:paraId="2F83BAAA" w14:textId="00714F4C" w:rsidR="004A4E65" w:rsidRPr="009B140C" w:rsidRDefault="004A4E65" w:rsidP="004A4E65">
      <w:pPr>
        <w:pStyle w:val="Text1"/>
      </w:pPr>
      <w:r w:rsidRPr="009B140C">
        <w:t>Stosuje się kryteria wejściowe</w:t>
      </w:r>
      <w:r w:rsidR="009B140C" w:rsidRPr="009B140C">
        <w:t xml:space="preserve"> i</w:t>
      </w:r>
      <w:r w:rsidR="009B140C">
        <w:t> </w:t>
      </w:r>
      <w:r w:rsidR="009B140C" w:rsidRPr="009B140C">
        <w:t>wyj</w:t>
      </w:r>
      <w:r w:rsidRPr="009B140C">
        <w:t>ściowe opisane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3.</w:t>
      </w:r>
    </w:p>
    <w:p w14:paraId="490166B3" w14:textId="35A6CB4C" w:rsidR="00496B08" w:rsidRPr="009B140C" w:rsidRDefault="004A4E65" w:rsidP="004A4E65">
      <w:pPr>
        <w:pStyle w:val="NumPar1"/>
      </w:pPr>
      <w:r w:rsidRPr="009B140C">
        <w:t>Instytucje stosujące uproszczoną metodę standardową lub metodę wyceny pierwotnej ekspozycji do obliczania ekspozycji na ryzyko kredytowe kontrahenta zgodnie</w:t>
      </w:r>
      <w:r w:rsidR="009B140C" w:rsidRPr="009B140C">
        <w:t xml:space="preserve"> z</w:t>
      </w:r>
      <w:r w:rsidR="009B140C">
        <w:t> </w:t>
      </w:r>
      <w:r w:rsidR="009B140C" w:rsidRPr="009B140C">
        <w:t>czę</w:t>
      </w:r>
      <w:r w:rsidRPr="009B140C">
        <w:t>ścią trzecią tytuł II rozdział 6 sekcje 4</w:t>
      </w:r>
      <w:r w:rsidR="009B140C" w:rsidRPr="009B140C">
        <w:t xml:space="preserve"> i</w:t>
      </w:r>
      <w:r w:rsidR="009B140C">
        <w:t> </w:t>
      </w:r>
      <w:r w:rsidR="009B140C" w:rsidRPr="009B140C">
        <w:t>5</w:t>
      </w:r>
      <w:r w:rsidRPr="009B140C">
        <w:t xml:space="preserve"> rozporządzenia (UE) nr</w:t>
      </w:r>
      <w:r w:rsidR="009B140C" w:rsidRPr="009B140C">
        <w:t> </w:t>
      </w:r>
      <w:r w:rsidRPr="009B140C">
        <w:t>575/2013 przekazują informacje na temat ryzyka kredytowego kontrahenta określone we wzorze 34.06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3.9.7.</w:t>
      </w:r>
    </w:p>
    <w:p w14:paraId="6414DB48"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7</w:t>
      </w:r>
      <w:r w:rsidR="00D90D81" w:rsidRPr="009B140C">
        <w:fldChar w:fldCharType="end"/>
      </w:r>
    </w:p>
    <w:p w14:paraId="0F2D57CA" w14:textId="42CB2615" w:rsidR="00FE0C02" w:rsidRPr="009B140C" w:rsidRDefault="00FE0C02" w:rsidP="00FE0C02">
      <w:pPr>
        <w:pStyle w:val="Titrearticle"/>
        <w:spacing w:before="120"/>
        <w:rPr>
          <w:b/>
          <w:i w:val="0"/>
        </w:rPr>
      </w:pPr>
      <w:r w:rsidRPr="009B140C">
        <w:rPr>
          <w:b/>
          <w:i w:val="0"/>
        </w:rPr>
        <w:t>Sprawozdawczość dotycząca funduszy własnych oraz wymogów</w:t>
      </w:r>
      <w:r w:rsidR="009B140C" w:rsidRPr="009B140C">
        <w:rPr>
          <w:b/>
          <w:i w:val="0"/>
        </w:rPr>
        <w:t xml:space="preserve"> w</w:t>
      </w:r>
      <w:r w:rsidR="009B140C">
        <w:rPr>
          <w:b/>
          <w:i w:val="0"/>
        </w:rPr>
        <w:t> </w:t>
      </w:r>
      <w:r w:rsidR="009B140C" w:rsidRPr="009B140C">
        <w:rPr>
          <w:b/>
          <w:i w:val="0"/>
        </w:rPr>
        <w:t>zak</w:t>
      </w:r>
      <w:r w:rsidRPr="009B140C">
        <w:rPr>
          <w:b/>
          <w:i w:val="0"/>
        </w:rPr>
        <w:t>resie funduszy własnych na zasadzie skonsolidowanej</w:t>
      </w:r>
    </w:p>
    <w:p w14:paraId="598D92CF" w14:textId="0BF710D0" w:rsidR="00FE0C02" w:rsidRPr="009B140C" w:rsidRDefault="00FE0C02" w:rsidP="00FE0C02">
      <w:pPr>
        <w:widowControl w:val="0"/>
        <w:autoSpaceDE w:val="0"/>
        <w:autoSpaceDN w:val="0"/>
        <w:spacing w:line="228" w:lineRule="auto"/>
      </w:pPr>
      <w:r w:rsidRPr="009B140C">
        <w:t>Do celów sprawozdawczości dotyczącej funduszy własnych oraz wymogów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skonsolidowanej instytucje przedstawiają informacje określone:</w:t>
      </w:r>
    </w:p>
    <w:p w14:paraId="2745F268" w14:textId="0205E5D0" w:rsidR="00FE0C02" w:rsidRPr="009B140C" w:rsidRDefault="00FE0C02" w:rsidP="00FE0C02">
      <w:pPr>
        <w:pStyle w:val="Point1"/>
      </w:pPr>
      <w:r w:rsidRPr="009B140C">
        <w:t>a)</w:t>
      </w:r>
      <w:r w:rsidRPr="009B140C">
        <w:tab/>
        <w:t>w art.</w:t>
      </w:r>
      <w:r w:rsidR="009B140C" w:rsidRPr="009B140C">
        <w:t> </w:t>
      </w:r>
      <w:r w:rsidRPr="009B140C">
        <w:t>5</w:t>
      </w:r>
      <w:r w:rsidR="009B140C" w:rsidRPr="009B140C">
        <w:t xml:space="preserve"> i</w:t>
      </w:r>
      <w:r w:rsidR="009B140C">
        <w:t> </w:t>
      </w:r>
      <w:r w:rsidR="009B140C" w:rsidRPr="009B140C">
        <w:t>6</w:t>
      </w:r>
      <w:r w:rsidRPr="009B140C">
        <w:t xml:space="preserve"> niniejszego rozporządzenia wykonawczego na zasadzie skonsolidowanej</w:t>
      </w:r>
      <w:r w:rsidR="009B140C" w:rsidRPr="009B140C">
        <w:t xml:space="preserve"> z</w:t>
      </w:r>
      <w:r w:rsidR="009B140C">
        <w:t> </w:t>
      </w:r>
      <w:r w:rsidR="009B140C" w:rsidRPr="009B140C">
        <w:t>czę</w:t>
      </w:r>
      <w:r w:rsidRPr="009B140C">
        <w:t>stotliwością tam określoną oraz</w:t>
      </w:r>
    </w:p>
    <w:p w14:paraId="41714624" w14:textId="639D99BA" w:rsidR="00FE0C02" w:rsidRPr="009B140C" w:rsidRDefault="00FE0C02" w:rsidP="00FE0C02">
      <w:pPr>
        <w:pStyle w:val="Point1"/>
      </w:pPr>
      <w:r w:rsidRPr="009B140C">
        <w:t>b)</w:t>
      </w:r>
      <w:r w:rsidRPr="009B140C">
        <w:tab/>
        <w:t>we wzorze 6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2,</w:t>
      </w:r>
      <w:r w:rsidR="009B140C" w:rsidRPr="009B140C">
        <w:t xml:space="preserve"> w</w:t>
      </w:r>
      <w:r w:rsidR="009B140C">
        <w:t> </w:t>
      </w:r>
      <w:r w:rsidR="009B140C" w:rsidRPr="009B140C">
        <w:t>odn</w:t>
      </w:r>
      <w:r w:rsidRPr="009B140C">
        <w:t>iesieniu do podmiotów objętych zakresem konsolidacji</w:t>
      </w:r>
      <w:r w:rsidR="009B140C" w:rsidRPr="009B140C">
        <w:t xml:space="preserve"> z</w:t>
      </w:r>
      <w:r w:rsidR="009B140C">
        <w:t> </w:t>
      </w:r>
      <w:r w:rsidR="009B140C" w:rsidRPr="009B140C">
        <w:t>czę</w:t>
      </w:r>
      <w:r w:rsidRPr="009B140C">
        <w:t>stotliwością półroczną.</w:t>
      </w:r>
    </w:p>
    <w:p w14:paraId="319C9C0F" w14:textId="77777777" w:rsidR="00FE0C02" w:rsidRPr="009B140C" w:rsidRDefault="00FE0C02" w:rsidP="00FE0C02">
      <w:pPr>
        <w:pStyle w:val="Titrearticle"/>
      </w:pPr>
      <w:r w:rsidRPr="009B140C">
        <w:t>Artykuł 8</w:t>
      </w:r>
    </w:p>
    <w:p w14:paraId="601BC224" w14:textId="3F732611" w:rsidR="00FE0C02" w:rsidRPr="009B140C" w:rsidRDefault="00FE0C02" w:rsidP="00FE0C02">
      <w:pPr>
        <w:pStyle w:val="Titrearticle"/>
        <w:rPr>
          <w:b/>
          <w:i w:val="0"/>
        </w:rPr>
      </w:pPr>
      <w:r w:rsidRPr="009B140C">
        <w:rPr>
          <w:b/>
          <w:i w:val="0"/>
        </w:rPr>
        <w:t>Sprawozdawczość dotycząca funduszy własnych oraz wymogów</w:t>
      </w:r>
      <w:r w:rsidR="009B140C" w:rsidRPr="009B140C">
        <w:rPr>
          <w:b/>
          <w:i w:val="0"/>
        </w:rPr>
        <w:t xml:space="preserve"> w</w:t>
      </w:r>
      <w:r w:rsidR="009B140C">
        <w:rPr>
          <w:b/>
          <w:i w:val="0"/>
        </w:rPr>
        <w:t> </w:t>
      </w:r>
      <w:r w:rsidR="009B140C" w:rsidRPr="009B140C">
        <w:rPr>
          <w:b/>
          <w:i w:val="0"/>
        </w:rPr>
        <w:t>zak</w:t>
      </w:r>
      <w:r w:rsidRPr="009B140C">
        <w:rPr>
          <w:b/>
          <w:i w:val="0"/>
        </w:rPr>
        <w:t>resie funduszy własnych – dodatkowe wymogi dotyczące sprawozdawczości na zasadzie indywidualnej</w:t>
      </w:r>
      <w:r w:rsidR="009B140C" w:rsidRPr="009B140C">
        <w:rPr>
          <w:b/>
          <w:i w:val="0"/>
        </w:rPr>
        <w:t xml:space="preserve"> i</w:t>
      </w:r>
      <w:r w:rsidR="009B140C">
        <w:rPr>
          <w:b/>
          <w:i w:val="0"/>
        </w:rPr>
        <w:t> </w:t>
      </w:r>
      <w:r w:rsidR="009B140C" w:rsidRPr="009B140C">
        <w:rPr>
          <w:b/>
          <w:i w:val="0"/>
        </w:rPr>
        <w:t>sko</w:t>
      </w:r>
      <w:r w:rsidRPr="009B140C">
        <w:rPr>
          <w:b/>
          <w:i w:val="0"/>
        </w:rPr>
        <w:t>nsolidowanej</w:t>
      </w:r>
    </w:p>
    <w:p w14:paraId="23F3BEFD" w14:textId="381F13EE" w:rsidR="00FE0C02" w:rsidRPr="009B140C" w:rsidRDefault="00125634" w:rsidP="005F180D">
      <w:pPr>
        <w:pStyle w:val="NumPar1"/>
        <w:numPr>
          <w:ilvl w:val="0"/>
          <w:numId w:val="16"/>
        </w:numPr>
      </w:pPr>
      <w:r w:rsidRPr="009B140C">
        <w:t>Instytucje podlegające wymogowi ujawnienia,</w:t>
      </w:r>
      <w:r w:rsidR="009B140C" w:rsidRPr="009B140C">
        <w:t xml:space="preserve"> o</w:t>
      </w:r>
      <w:r w:rsidR="009B140C">
        <w:t> </w:t>
      </w:r>
      <w:r w:rsidR="009B140C" w:rsidRPr="009B140C">
        <w:t>któ</w:t>
      </w:r>
      <w:r w:rsidRPr="009B140C">
        <w:t>rym mowa – odpowiednio –</w:t>
      </w:r>
      <w:r w:rsidR="009B140C" w:rsidRPr="009B140C">
        <w:t xml:space="preserve"> w</w:t>
      </w:r>
      <w:r w:rsidR="009B140C">
        <w:t> </w:t>
      </w:r>
      <w:r w:rsidR="009B140C" w:rsidRPr="009B140C">
        <w:t>art</w:t>
      </w:r>
      <w:r w:rsidRPr="009B140C">
        <w:t>.</w:t>
      </w:r>
      <w:r w:rsidR="009B140C" w:rsidRPr="009B140C">
        <w:t> </w:t>
      </w:r>
      <w:r w:rsidRPr="009B140C">
        <w:t>438 lit.</w:t>
      </w:r>
      <w:r w:rsidR="009B140C" w:rsidRPr="009B140C">
        <w:t> </w:t>
      </w:r>
      <w:r w:rsidRPr="009B140C">
        <w:t>e) lub h) lub art.</w:t>
      </w:r>
      <w:r w:rsidR="009B140C" w:rsidRPr="009B140C">
        <w:t> </w:t>
      </w:r>
      <w:r w:rsidRPr="009B140C">
        <w:t>452 lit.</w:t>
      </w:r>
      <w:r w:rsidR="009B140C" w:rsidRPr="009B140C">
        <w:t> </w:t>
      </w:r>
      <w:r w:rsidRPr="009B140C">
        <w:t>b), g) lub h) rozporządzenia (UE) nr</w:t>
      </w:r>
      <w:r w:rsidR="009B140C" w:rsidRPr="009B140C">
        <w:t> </w:t>
      </w:r>
      <w:r w:rsidRPr="009B140C">
        <w:t>575/2013,</w:t>
      </w:r>
      <w:r w:rsidR="009B140C" w:rsidRPr="009B140C">
        <w:t xml:space="preserve"> z</w:t>
      </w:r>
      <w:r w:rsidR="009B140C">
        <w:t> </w:t>
      </w:r>
      <w:r w:rsidR="009B140C" w:rsidRPr="009B140C">
        <w:t>czę</w:t>
      </w:r>
      <w:r w:rsidRPr="009B140C">
        <w:t>stotliwością określoną – odpowiednio –</w:t>
      </w:r>
      <w:r w:rsidR="009B140C" w:rsidRPr="009B140C">
        <w:t xml:space="preserve"> w</w:t>
      </w:r>
      <w:r w:rsidR="009B140C">
        <w:t> </w:t>
      </w:r>
      <w:r w:rsidR="009B140C" w:rsidRPr="009B140C">
        <w:t>art</w:t>
      </w:r>
      <w:r w:rsidRPr="009B140C">
        <w:t>.</w:t>
      </w:r>
      <w:r w:rsidR="009B140C" w:rsidRPr="009B140C">
        <w:t> </w:t>
      </w:r>
      <w:r w:rsidRPr="009B140C">
        <w:t>433a lub art.</w:t>
      </w:r>
      <w:r w:rsidR="009B140C" w:rsidRPr="009B140C">
        <w:t> </w:t>
      </w:r>
      <w:r w:rsidRPr="009B140C">
        <w:t>433c, na zasadzie – odpowiednio – indywidualnej zgodnie</w:t>
      </w:r>
      <w:r w:rsidR="009B140C" w:rsidRPr="009B140C">
        <w:t xml:space="preserve"> z</w:t>
      </w:r>
      <w:r w:rsidR="009B140C">
        <w:t> </w:t>
      </w:r>
      <w:r w:rsidR="009B140C" w:rsidRPr="009B140C">
        <w:t>art</w:t>
      </w:r>
      <w:r w:rsidRPr="009B140C">
        <w:t>.</w:t>
      </w:r>
      <w:r w:rsidR="009B140C" w:rsidRPr="009B140C">
        <w:t> </w:t>
      </w:r>
      <w:r w:rsidRPr="009B140C">
        <w:t>6 lub skonsolidowanej zgodnie</w:t>
      </w:r>
      <w:r w:rsidR="009B140C" w:rsidRPr="009B140C">
        <w:t xml:space="preserve"> z</w:t>
      </w:r>
      <w:r w:rsidR="009B140C">
        <w:t> </w:t>
      </w:r>
      <w:r w:rsidR="009B140C" w:rsidRPr="009B140C">
        <w:t>art</w:t>
      </w:r>
      <w:r w:rsidRPr="009B140C">
        <w:t>.</w:t>
      </w:r>
      <w:r w:rsidR="009B140C" w:rsidRPr="009B140C">
        <w:t> </w:t>
      </w:r>
      <w:r w:rsidRPr="009B140C">
        <w:t>13 tego rozporządzenia, przekazują informacje na temat ryzyka kredytowego</w:t>
      </w:r>
      <w:r w:rsidR="009B140C" w:rsidRPr="009B140C">
        <w:t xml:space="preserve"> i</w:t>
      </w:r>
      <w:r w:rsidR="009B140C">
        <w:t> </w:t>
      </w:r>
      <w:r w:rsidR="009B140C" w:rsidRPr="009B140C">
        <w:t>ryz</w:t>
      </w:r>
      <w:r w:rsidRPr="009B140C">
        <w:t>yka kredytowego kontrahenta określone we wzorach 8.3, 8.4, 8.5, 8.5.1, 8.6, 8.7</w:t>
      </w:r>
      <w:r w:rsidR="009B140C" w:rsidRPr="009B140C">
        <w:t xml:space="preserve"> i</w:t>
      </w:r>
      <w:r w:rsidR="009B140C">
        <w:t> </w:t>
      </w:r>
      <w:r w:rsidR="009B140C" w:rsidRPr="009B140C">
        <w:t>3</w:t>
      </w:r>
      <w:r w:rsidRPr="009B140C">
        <w:t>4.11 przedstawionych</w:t>
      </w:r>
      <w:r w:rsidR="009B140C" w:rsidRPr="009B140C">
        <w:t xml:space="preserve"> w</w:t>
      </w:r>
      <w:r w:rsidR="009B140C">
        <w:t> </w:t>
      </w:r>
      <w:r w:rsidR="009B140C" w:rsidRPr="009B140C">
        <w:t>zał</w:t>
      </w:r>
      <w:r w:rsidRPr="009B140C">
        <w:t>ączniku I do niniejszego rozporządzenia</w:t>
      </w:r>
      <w:r w:rsidR="009B140C" w:rsidRPr="009B140C">
        <w:t xml:space="preserve"> z</w:t>
      </w:r>
      <w:r w:rsidR="009B140C">
        <w:t> </w:t>
      </w:r>
      <w:r w:rsidR="009B140C" w:rsidRPr="009B140C">
        <w:t>tak</w:t>
      </w:r>
      <w:r w:rsidRPr="009B140C">
        <w:t>ą samą częstotliwością ujawniania i na takich samych zasadach,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do niniejszego rozporządzenia, część II pkt</w:t>
      </w:r>
      <w:r w:rsidR="009B140C" w:rsidRPr="009B140C">
        <w:t> </w:t>
      </w:r>
      <w:r w:rsidRPr="009B140C">
        <w:t>3.3</w:t>
      </w:r>
      <w:r w:rsidR="009B140C" w:rsidRPr="009B140C">
        <w:t xml:space="preserve"> i</w:t>
      </w:r>
      <w:r w:rsidR="009B140C">
        <w:t> </w:t>
      </w:r>
      <w:r w:rsidR="009B140C" w:rsidRPr="009B140C">
        <w:t>3</w:t>
      </w:r>
      <w:r w:rsidRPr="009B140C">
        <w:t>.9.12.</w:t>
      </w:r>
    </w:p>
    <w:p w14:paraId="58F2B691" w14:textId="51325D91" w:rsidR="00FE0C02" w:rsidRPr="009B140C" w:rsidRDefault="00977656" w:rsidP="00FE0C02">
      <w:pPr>
        <w:pStyle w:val="NumPar1"/>
      </w:pPr>
      <w:r w:rsidRPr="009B140C">
        <w:t>Instytucje podlegające wymogowi ujawnienia,</w:t>
      </w:r>
      <w:r w:rsidR="009B140C" w:rsidRPr="009B140C">
        <w:t xml:space="preserve"> o</w:t>
      </w:r>
      <w:r w:rsidR="009B140C">
        <w:t> </w:t>
      </w:r>
      <w:r w:rsidR="009B140C" w:rsidRPr="009B140C">
        <w:t>któ</w:t>
      </w:r>
      <w:r w:rsidRPr="009B140C">
        <w:t>rym mowa – odpowiednio –</w:t>
      </w:r>
      <w:r w:rsidR="009B140C" w:rsidRPr="009B140C">
        <w:t xml:space="preserve"> w</w:t>
      </w:r>
      <w:r w:rsidR="009B140C">
        <w:t> </w:t>
      </w:r>
      <w:r w:rsidR="009B140C" w:rsidRPr="009B140C">
        <w:t>art</w:t>
      </w:r>
      <w:r w:rsidRPr="009B140C">
        <w:t>.</w:t>
      </w:r>
      <w:r w:rsidR="009B140C" w:rsidRPr="009B140C">
        <w:t> </w:t>
      </w:r>
      <w:r w:rsidRPr="009B140C">
        <w:t>439 lit.</w:t>
      </w:r>
      <w:r w:rsidR="009B140C" w:rsidRPr="009B140C">
        <w:t> </w:t>
      </w:r>
      <w:r w:rsidRPr="009B140C">
        <w:t>l) rozporządzenia (UE) nr</w:t>
      </w:r>
      <w:r w:rsidR="009B140C" w:rsidRPr="009B140C">
        <w:t> </w:t>
      </w:r>
      <w:r w:rsidRPr="009B140C">
        <w:t>575/2013,</w:t>
      </w:r>
      <w:r w:rsidR="009B140C" w:rsidRPr="009B140C">
        <w:t xml:space="preserve"> z</w:t>
      </w:r>
      <w:r w:rsidR="009B140C">
        <w:t> </w:t>
      </w:r>
      <w:r w:rsidR="009B140C" w:rsidRPr="009B140C">
        <w:t>czę</w:t>
      </w:r>
      <w:r w:rsidRPr="009B140C">
        <w:t>stotliwością określoną – odpowiednio –</w:t>
      </w:r>
      <w:r w:rsidR="009B140C" w:rsidRPr="009B140C">
        <w:t xml:space="preserve"> w</w:t>
      </w:r>
      <w:r w:rsidR="009B140C">
        <w:t> </w:t>
      </w:r>
      <w:r w:rsidR="009B140C" w:rsidRPr="009B140C">
        <w:t>art</w:t>
      </w:r>
      <w:r w:rsidRPr="009B140C">
        <w:t>.</w:t>
      </w:r>
      <w:r w:rsidR="009B140C" w:rsidRPr="009B140C">
        <w:t> </w:t>
      </w:r>
      <w:r w:rsidRPr="009B140C">
        <w:t>433a lub art.</w:t>
      </w:r>
      <w:r w:rsidR="009B140C" w:rsidRPr="009B140C">
        <w:t> </w:t>
      </w:r>
      <w:r w:rsidRPr="009B140C">
        <w:t>433c, na zasadzie – odpowiednio – indywidualnej zgodnie</w:t>
      </w:r>
      <w:r w:rsidR="009B140C" w:rsidRPr="009B140C">
        <w:t xml:space="preserve"> z</w:t>
      </w:r>
      <w:r w:rsidR="009B140C">
        <w:t> </w:t>
      </w:r>
      <w:r w:rsidR="009B140C" w:rsidRPr="009B140C">
        <w:t>art</w:t>
      </w:r>
      <w:r w:rsidRPr="009B140C">
        <w:t>.</w:t>
      </w:r>
      <w:r w:rsidR="009B140C" w:rsidRPr="009B140C">
        <w:t> </w:t>
      </w:r>
      <w:r w:rsidRPr="009B140C">
        <w:t>6 lub skonsolidowanej zgodnie</w:t>
      </w:r>
      <w:r w:rsidR="009B140C" w:rsidRPr="009B140C">
        <w:t xml:space="preserve"> z</w:t>
      </w:r>
      <w:r w:rsidR="009B140C">
        <w:t> </w:t>
      </w:r>
      <w:r w:rsidR="009B140C" w:rsidRPr="009B140C">
        <w:t>art</w:t>
      </w:r>
      <w:r w:rsidRPr="009B140C">
        <w:t>.</w:t>
      </w:r>
      <w:r w:rsidR="009B140C" w:rsidRPr="009B140C">
        <w:t> </w:t>
      </w:r>
      <w:r w:rsidRPr="009B140C">
        <w:t>13 tego rozporządzenia, przekazują informacje na temat ryzyka kredytowego kontrahenta określone we wzorze 34.07 przedstawionym</w:t>
      </w:r>
      <w:r w:rsidR="009B140C" w:rsidRPr="009B140C">
        <w:t xml:space="preserve"> w</w:t>
      </w:r>
      <w:r w:rsidR="009B140C">
        <w:t> </w:t>
      </w:r>
      <w:r w:rsidR="009B140C" w:rsidRPr="009B140C">
        <w:t>zał</w:t>
      </w:r>
      <w:r w:rsidRPr="009B140C">
        <w:t>ączniku I do niniejszego rozporządzenia</w:t>
      </w:r>
      <w:r w:rsidR="009B140C" w:rsidRPr="009B140C">
        <w:t xml:space="preserve"> z</w:t>
      </w:r>
      <w:r w:rsidR="009B140C">
        <w:t> </w:t>
      </w:r>
      <w:r w:rsidR="009B140C" w:rsidRPr="009B140C">
        <w:t>tak</w:t>
      </w:r>
      <w:r w:rsidRPr="009B140C">
        <w:t xml:space="preserve">ą </w:t>
      </w:r>
      <w:r w:rsidRPr="009B140C">
        <w:lastRenderedPageBreak/>
        <w:t>samą częstotliwością ujawniania i na takich samych zasadach,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do niniejszego rozporządzenia, część II pkt</w:t>
      </w:r>
      <w:r w:rsidR="009B140C" w:rsidRPr="009B140C">
        <w:t> </w:t>
      </w:r>
      <w:r w:rsidRPr="009B140C">
        <w:t>3.9.8.</w:t>
      </w:r>
    </w:p>
    <w:p w14:paraId="7252BD87"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9</w:t>
      </w:r>
      <w:r w:rsidR="00D90D81" w:rsidRPr="009B140C">
        <w:fldChar w:fldCharType="end"/>
      </w:r>
    </w:p>
    <w:p w14:paraId="6B3DD09D" w14:textId="25C560A7" w:rsidR="00FE0C02" w:rsidRPr="009B140C" w:rsidRDefault="00FE0C02" w:rsidP="00FE0C02">
      <w:pPr>
        <w:pStyle w:val="Titrearticle"/>
        <w:spacing w:before="120"/>
        <w:rPr>
          <w:b/>
          <w:i w:val="0"/>
        </w:rPr>
      </w:pPr>
      <w:r w:rsidRPr="009B140C">
        <w:rPr>
          <w:b/>
          <w:i w:val="0"/>
        </w:rPr>
        <w:t>Sprawozdawczość dotycząca funduszy własnych</w:t>
      </w:r>
      <w:r w:rsidR="009B140C" w:rsidRPr="009B140C">
        <w:rPr>
          <w:b/>
          <w:i w:val="0"/>
        </w:rPr>
        <w:t xml:space="preserve"> i</w:t>
      </w:r>
      <w:r w:rsidR="009B140C">
        <w:rPr>
          <w:b/>
          <w:i w:val="0"/>
        </w:rPr>
        <w:t> </w:t>
      </w:r>
      <w:r w:rsidR="009B140C" w:rsidRPr="009B140C">
        <w:rPr>
          <w:b/>
          <w:i w:val="0"/>
        </w:rPr>
        <w:t>wym</w:t>
      </w:r>
      <w:r w:rsidRPr="009B140C">
        <w:rPr>
          <w:b/>
          <w:i w:val="0"/>
        </w:rPr>
        <w:t>ogów</w:t>
      </w:r>
      <w:r w:rsidR="009B140C" w:rsidRPr="009B140C">
        <w:rPr>
          <w:b/>
          <w:i w:val="0"/>
        </w:rPr>
        <w:t xml:space="preserve"> w</w:t>
      </w:r>
      <w:r w:rsidR="009B140C">
        <w:rPr>
          <w:b/>
          <w:i w:val="0"/>
        </w:rPr>
        <w:t> </w:t>
      </w:r>
      <w:r w:rsidR="009B140C" w:rsidRPr="009B140C">
        <w:rPr>
          <w:b/>
          <w:i w:val="0"/>
        </w:rPr>
        <w:t>zak</w:t>
      </w:r>
      <w:r w:rsidRPr="009B140C">
        <w:rPr>
          <w:b/>
          <w:i w:val="0"/>
        </w:rPr>
        <w:t>resie funduszy własnych obowiązująca firmy inwestycyjne objęte zakresem art.</w:t>
      </w:r>
      <w:r w:rsidR="009B140C" w:rsidRPr="009B140C">
        <w:rPr>
          <w:b/>
          <w:i w:val="0"/>
        </w:rPr>
        <w:t> </w:t>
      </w:r>
      <w:r w:rsidRPr="009B140C">
        <w:rPr>
          <w:b/>
          <w:i w:val="0"/>
        </w:rPr>
        <w:t>95</w:t>
      </w:r>
      <w:r w:rsidR="009B140C" w:rsidRPr="009B140C">
        <w:rPr>
          <w:b/>
          <w:i w:val="0"/>
        </w:rPr>
        <w:t xml:space="preserve"> i</w:t>
      </w:r>
      <w:r w:rsidR="009B140C">
        <w:rPr>
          <w:b/>
          <w:i w:val="0"/>
        </w:rPr>
        <w:t> </w:t>
      </w:r>
      <w:r w:rsidR="009B140C" w:rsidRPr="009B140C">
        <w:rPr>
          <w:b/>
          <w:i w:val="0"/>
        </w:rPr>
        <w:t>9</w:t>
      </w:r>
      <w:r w:rsidRPr="009B140C">
        <w:rPr>
          <w:b/>
          <w:i w:val="0"/>
        </w:rPr>
        <w:t>6 rozporządzenia (UE) nr</w:t>
      </w:r>
      <w:r w:rsidR="009B140C" w:rsidRPr="009B140C">
        <w:rPr>
          <w:b/>
          <w:i w:val="0"/>
        </w:rPr>
        <w:t> </w:t>
      </w:r>
      <w:r w:rsidRPr="009B140C">
        <w:rPr>
          <w:b/>
          <w:i w:val="0"/>
        </w:rPr>
        <w:t>575/2013 na zasadzie indywidualnej</w:t>
      </w:r>
    </w:p>
    <w:p w14:paraId="3D78F884" w14:textId="7B78FA26" w:rsidR="00FE0C02" w:rsidRPr="009B140C" w:rsidRDefault="00FE0C02" w:rsidP="005F180D">
      <w:pPr>
        <w:pStyle w:val="NumPar1"/>
        <w:numPr>
          <w:ilvl w:val="0"/>
          <w:numId w:val="17"/>
        </w:numPr>
      </w:pPr>
      <w:r w:rsidRPr="009B140C">
        <w:t>Firmy inwestycyjne, które stosują przepisy przejściowe określone</w:t>
      </w:r>
      <w:r w:rsidR="009B140C" w:rsidRPr="009B140C">
        <w:t xml:space="preserve"> w</w:t>
      </w:r>
      <w:r w:rsidR="009B140C">
        <w:t> </w:t>
      </w:r>
      <w:r w:rsidR="009B140C" w:rsidRPr="009B140C">
        <w:t>art</w:t>
      </w:r>
      <w:r w:rsidRPr="009B140C">
        <w:t>.</w:t>
      </w:r>
      <w:r w:rsidR="009B140C" w:rsidRPr="009B140C">
        <w:t> </w:t>
      </w:r>
      <w:r w:rsidRPr="009B140C">
        <w:t>57 ust.</w:t>
      </w:r>
      <w:r w:rsidR="009B140C" w:rsidRPr="009B140C">
        <w:t> </w:t>
      </w:r>
      <w:r w:rsidRPr="009B140C">
        <w:t>3 rozporządzenia (UE) 2019/2033, przekazują informacje</w:t>
      </w:r>
      <w:r w:rsidR="009B140C" w:rsidRPr="009B140C">
        <w:t xml:space="preserve"> w</w:t>
      </w:r>
      <w:r w:rsidR="009B140C">
        <w:t> </w:t>
      </w:r>
      <w:r w:rsidR="009B140C" w:rsidRPr="009B140C">
        <w:t>spo</w:t>
      </w:r>
      <w:r w:rsidRPr="009B140C">
        <w:t>sób określony</w:t>
      </w:r>
      <w:r w:rsidR="009B140C" w:rsidRPr="009B140C">
        <w:t xml:space="preserve"> w</w:t>
      </w:r>
      <w:r w:rsidR="009B140C">
        <w:t> </w:t>
      </w:r>
      <w:r w:rsidR="009B140C" w:rsidRPr="009B140C">
        <w:t>nin</w:t>
      </w:r>
      <w:r w:rsidRPr="009B140C">
        <w:t>iejszym artykule.</w:t>
      </w:r>
    </w:p>
    <w:p w14:paraId="64E2C5EE" w14:textId="1E1C16B8" w:rsidR="00FE0C02" w:rsidRPr="009B140C" w:rsidRDefault="00FE0C02" w:rsidP="00FE0C02">
      <w:pPr>
        <w:pStyle w:val="NumPar1"/>
      </w:pPr>
      <w:r w:rsidRPr="009B140C">
        <w:t>Do celów sprawozdawczości dotyczącej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indywidualnej,</w:t>
      </w:r>
      <w:r w:rsidR="009B140C" w:rsidRPr="009B140C">
        <w:t xml:space="preserve"> z</w:t>
      </w:r>
      <w:r w:rsidR="009B140C">
        <w:t> </w:t>
      </w:r>
      <w:r w:rsidR="009B140C" w:rsidRPr="009B140C">
        <w:t>wyj</w:t>
      </w:r>
      <w:r w:rsidRPr="009B140C">
        <w:t>ątkiem informacji dotyczących wskaźnika dźwigni, firmy inwestycyjne stosujące art.</w:t>
      </w:r>
      <w:r w:rsidR="009B140C" w:rsidRPr="009B140C">
        <w:t> </w:t>
      </w:r>
      <w:r w:rsidRPr="009B140C">
        <w:t>57 ust.</w:t>
      </w:r>
      <w:r w:rsidR="009B140C" w:rsidRPr="009B140C">
        <w:t> </w:t>
      </w:r>
      <w:r w:rsidRPr="009B140C">
        <w:t>3 rozporządzenia (UE) 2019/2033</w:t>
      </w:r>
      <w:r w:rsidR="009B140C" w:rsidRPr="009B140C">
        <w:t xml:space="preserve"> w</w:t>
      </w:r>
      <w:r w:rsidR="009B140C">
        <w:t> </w:t>
      </w:r>
      <w:r w:rsidR="009B140C" w:rsidRPr="009B140C">
        <w:t>zwi</w:t>
      </w:r>
      <w:r w:rsidRPr="009B140C">
        <w:t>ązku</w:t>
      </w:r>
      <w:r w:rsidR="009B140C" w:rsidRPr="009B140C">
        <w:t xml:space="preserve"> z</w:t>
      </w:r>
      <w:r w:rsidR="009B140C">
        <w:t> </w:t>
      </w:r>
      <w:r w:rsidR="009B140C" w:rsidRPr="009B140C">
        <w:t>art</w:t>
      </w:r>
      <w:r w:rsidRPr="009B140C">
        <w:t>.</w:t>
      </w:r>
      <w:r w:rsidR="009B140C" w:rsidRPr="009B140C">
        <w:t> </w:t>
      </w:r>
      <w:r w:rsidRPr="009B140C">
        <w:t>95 rozporządzenia (UE) nr</w:t>
      </w:r>
      <w:r w:rsidR="009B140C" w:rsidRPr="009B140C">
        <w:t> </w:t>
      </w:r>
      <w:r w:rsidRPr="009B140C">
        <w:t>575/2013 przekazują informacje określone we wzorach 1–5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czę</w:t>
      </w:r>
      <w:r w:rsidRPr="009B140C">
        <w:t>ści II pkt</w:t>
      </w:r>
      <w:r w:rsidR="009B140C" w:rsidRPr="009B140C">
        <w:t> </w:t>
      </w:r>
      <w:r w:rsidRPr="009B140C">
        <w:t>1 załącznika II</w:t>
      </w:r>
      <w:r w:rsidR="009B140C" w:rsidRPr="009B140C">
        <w:t xml:space="preserve"> z</w:t>
      </w:r>
      <w:r w:rsidR="009B140C">
        <w:t> </w:t>
      </w:r>
      <w:r w:rsidR="009B140C" w:rsidRPr="009B140C">
        <w:t>czę</w:t>
      </w:r>
      <w:r w:rsidRPr="009B140C">
        <w:t>stotliwością kwartalną.</w:t>
      </w:r>
    </w:p>
    <w:p w14:paraId="6AD01D77" w14:textId="6D7A7185" w:rsidR="00FE0C02" w:rsidRPr="009B140C" w:rsidRDefault="00FE0C02" w:rsidP="00FE0C02">
      <w:pPr>
        <w:pStyle w:val="NumPar1"/>
      </w:pPr>
      <w:r w:rsidRPr="009B140C">
        <w:t>Do celów sprawozdawczości dotyczącej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indywidualnej firmy inwestycyjne stosujące art.</w:t>
      </w:r>
      <w:r w:rsidR="009B140C" w:rsidRPr="009B140C">
        <w:t> </w:t>
      </w:r>
      <w:r w:rsidRPr="009B140C">
        <w:t>57 ust.</w:t>
      </w:r>
      <w:r w:rsidR="009B140C" w:rsidRPr="009B140C">
        <w:t> </w:t>
      </w:r>
      <w:r w:rsidRPr="009B140C">
        <w:t>3 rozporządzenia (UE) 2019/2033</w:t>
      </w:r>
      <w:r w:rsidR="009B140C" w:rsidRPr="009B140C">
        <w:t xml:space="preserve"> w</w:t>
      </w:r>
      <w:r w:rsidR="009B140C">
        <w:t> </w:t>
      </w:r>
      <w:r w:rsidR="009B140C" w:rsidRPr="009B140C">
        <w:t>zwi</w:t>
      </w:r>
      <w:r w:rsidRPr="009B140C">
        <w:t>ązku</w:t>
      </w:r>
      <w:r w:rsidR="009B140C" w:rsidRPr="009B140C">
        <w:t xml:space="preserve"> z</w:t>
      </w:r>
      <w:r w:rsidR="009B140C">
        <w:t> </w:t>
      </w:r>
      <w:r w:rsidR="009B140C" w:rsidRPr="009B140C">
        <w:t>art</w:t>
      </w:r>
      <w:r w:rsidRPr="009B140C">
        <w:t>.</w:t>
      </w:r>
      <w:r w:rsidR="009B140C" w:rsidRPr="009B140C">
        <w:t> </w:t>
      </w:r>
      <w:r w:rsidRPr="009B140C">
        <w:t>96 rozporządzenia (UE) nr</w:t>
      </w:r>
      <w:r w:rsidR="009B140C" w:rsidRPr="009B140C">
        <w:t> </w:t>
      </w:r>
      <w:r w:rsidRPr="009B140C">
        <w:t>575/2013 przekazują informacje określone</w:t>
      </w:r>
      <w:r w:rsidR="009B140C" w:rsidRPr="009B140C">
        <w:t xml:space="preserve"> w</w:t>
      </w:r>
      <w:r w:rsidR="009B140C">
        <w:t> </w:t>
      </w:r>
      <w:r w:rsidR="009B140C" w:rsidRPr="009B140C">
        <w:t>art</w:t>
      </w:r>
      <w:r w:rsidRPr="009B140C">
        <w:t>.</w:t>
      </w:r>
      <w:r w:rsidR="009B140C" w:rsidRPr="009B140C">
        <w:t> </w:t>
      </w:r>
      <w:r w:rsidRPr="009B140C">
        <w:t>5 ust.</w:t>
      </w:r>
      <w:r w:rsidR="009B140C" w:rsidRPr="009B140C">
        <w:t> </w:t>
      </w:r>
      <w:r w:rsidRPr="009B140C">
        <w:t>1–5</w:t>
      </w:r>
      <w:r w:rsidR="009B140C" w:rsidRPr="009B140C">
        <w:t xml:space="preserve"> i</w:t>
      </w:r>
      <w:r w:rsidR="009B140C">
        <w:t> </w:t>
      </w:r>
      <w:r w:rsidR="009B140C" w:rsidRPr="009B140C">
        <w:t>8</w:t>
      </w:r>
      <w:r w:rsidRPr="009B140C">
        <w:t>–13 oraz art.</w:t>
      </w:r>
      <w:r w:rsidR="009B140C" w:rsidRPr="009B140C">
        <w:t> </w:t>
      </w:r>
      <w:r w:rsidRPr="009B140C">
        <w:t>6 ust.</w:t>
      </w:r>
      <w:r w:rsidR="009B140C" w:rsidRPr="009B140C">
        <w:t> </w:t>
      </w:r>
      <w:r w:rsidRPr="009B140C">
        <w:t>2 niniejszego rozporządzenia</w:t>
      </w:r>
      <w:r w:rsidR="009B140C" w:rsidRPr="009B140C">
        <w:t xml:space="preserve"> z</w:t>
      </w:r>
      <w:r w:rsidR="009B140C">
        <w:t> </w:t>
      </w:r>
      <w:r w:rsidR="009B140C" w:rsidRPr="009B140C">
        <w:t>czę</w:t>
      </w:r>
      <w:r w:rsidRPr="009B140C">
        <w:t>stotliwością określoną</w:t>
      </w:r>
      <w:r w:rsidR="009B140C" w:rsidRPr="009B140C">
        <w:t xml:space="preserve"> w</w:t>
      </w:r>
      <w:r w:rsidR="009B140C">
        <w:t> </w:t>
      </w:r>
      <w:r w:rsidR="009B140C" w:rsidRPr="009B140C">
        <w:t>tyc</w:t>
      </w:r>
      <w:r w:rsidRPr="009B140C">
        <w:t>h artykułach.</w:t>
      </w:r>
    </w:p>
    <w:p w14:paraId="4D074E8C"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10</w:t>
      </w:r>
      <w:r w:rsidR="00D90D81" w:rsidRPr="009B140C">
        <w:fldChar w:fldCharType="end"/>
      </w:r>
    </w:p>
    <w:p w14:paraId="2C5D357D" w14:textId="1879D0BB" w:rsidR="00FE0C02" w:rsidRPr="009B140C" w:rsidRDefault="00FE0C02" w:rsidP="00FE0C02">
      <w:pPr>
        <w:pStyle w:val="Titrearticle"/>
        <w:spacing w:before="120"/>
        <w:rPr>
          <w:b/>
          <w:i w:val="0"/>
        </w:rPr>
      </w:pPr>
      <w:r w:rsidRPr="009B140C">
        <w:rPr>
          <w:b/>
          <w:i w:val="0"/>
        </w:rPr>
        <w:t>Sprawozdawczość dotycząca funduszy własnych</w:t>
      </w:r>
      <w:r w:rsidR="009B140C" w:rsidRPr="009B140C">
        <w:rPr>
          <w:b/>
          <w:i w:val="0"/>
        </w:rPr>
        <w:t xml:space="preserve"> i</w:t>
      </w:r>
      <w:r w:rsidR="009B140C">
        <w:rPr>
          <w:b/>
          <w:i w:val="0"/>
        </w:rPr>
        <w:t> </w:t>
      </w:r>
      <w:r w:rsidR="009B140C" w:rsidRPr="009B140C">
        <w:rPr>
          <w:b/>
          <w:i w:val="0"/>
        </w:rPr>
        <w:t>wym</w:t>
      </w:r>
      <w:r w:rsidRPr="009B140C">
        <w:rPr>
          <w:b/>
          <w:i w:val="0"/>
        </w:rPr>
        <w:t>ogów</w:t>
      </w:r>
      <w:r w:rsidR="009B140C" w:rsidRPr="009B140C">
        <w:rPr>
          <w:b/>
          <w:i w:val="0"/>
        </w:rPr>
        <w:t xml:space="preserve"> w</w:t>
      </w:r>
      <w:r w:rsidR="009B140C">
        <w:rPr>
          <w:b/>
          <w:i w:val="0"/>
        </w:rPr>
        <w:t> </w:t>
      </w:r>
      <w:r w:rsidR="009B140C" w:rsidRPr="009B140C">
        <w:rPr>
          <w:b/>
          <w:i w:val="0"/>
        </w:rPr>
        <w:t>zak</w:t>
      </w:r>
      <w:r w:rsidRPr="009B140C">
        <w:rPr>
          <w:b/>
          <w:i w:val="0"/>
        </w:rPr>
        <w:t>resie funduszy własnych obowiązująca grupy składające się wyłącznie</w:t>
      </w:r>
      <w:r w:rsidR="009B140C" w:rsidRPr="009B140C">
        <w:rPr>
          <w:b/>
          <w:i w:val="0"/>
        </w:rPr>
        <w:t xml:space="preserve"> z</w:t>
      </w:r>
      <w:r w:rsidR="009B140C">
        <w:rPr>
          <w:b/>
          <w:i w:val="0"/>
        </w:rPr>
        <w:t> </w:t>
      </w:r>
      <w:r w:rsidR="009B140C" w:rsidRPr="009B140C">
        <w:rPr>
          <w:b/>
          <w:i w:val="0"/>
        </w:rPr>
        <w:t>fir</w:t>
      </w:r>
      <w:r w:rsidRPr="009B140C">
        <w:rPr>
          <w:b/>
          <w:i w:val="0"/>
        </w:rPr>
        <w:t>m inwestycyjnych objętych zakresem art.</w:t>
      </w:r>
      <w:r w:rsidR="009B140C" w:rsidRPr="009B140C">
        <w:rPr>
          <w:b/>
          <w:i w:val="0"/>
        </w:rPr>
        <w:t> </w:t>
      </w:r>
      <w:r w:rsidRPr="009B140C">
        <w:rPr>
          <w:b/>
          <w:i w:val="0"/>
        </w:rPr>
        <w:t>95</w:t>
      </w:r>
      <w:r w:rsidR="009B140C" w:rsidRPr="009B140C">
        <w:rPr>
          <w:b/>
          <w:i w:val="0"/>
        </w:rPr>
        <w:t xml:space="preserve"> i</w:t>
      </w:r>
      <w:r w:rsidR="009B140C">
        <w:rPr>
          <w:b/>
          <w:i w:val="0"/>
        </w:rPr>
        <w:t> </w:t>
      </w:r>
      <w:r w:rsidR="009B140C" w:rsidRPr="009B140C">
        <w:rPr>
          <w:b/>
          <w:i w:val="0"/>
        </w:rPr>
        <w:t>9</w:t>
      </w:r>
      <w:r w:rsidRPr="009B140C">
        <w:rPr>
          <w:b/>
          <w:i w:val="0"/>
        </w:rPr>
        <w:t>6 rozporządzenia (UE) nr</w:t>
      </w:r>
      <w:r w:rsidR="009B140C" w:rsidRPr="009B140C">
        <w:rPr>
          <w:b/>
          <w:i w:val="0"/>
        </w:rPr>
        <w:t> </w:t>
      </w:r>
      <w:r w:rsidRPr="009B140C">
        <w:rPr>
          <w:b/>
          <w:i w:val="0"/>
        </w:rPr>
        <w:t>575/2013 na zasadzie skonsolidowanej</w:t>
      </w:r>
    </w:p>
    <w:p w14:paraId="0ED9D414" w14:textId="38511146" w:rsidR="00FE0C02" w:rsidRPr="009B140C" w:rsidRDefault="00FE0C02" w:rsidP="005F180D">
      <w:pPr>
        <w:pStyle w:val="NumPar1"/>
        <w:numPr>
          <w:ilvl w:val="0"/>
          <w:numId w:val="18"/>
        </w:numPr>
      </w:pPr>
      <w:r w:rsidRPr="009B140C">
        <w:t>Firmy inwestycyjne, które stosują przepisy przejściowe określone</w:t>
      </w:r>
      <w:r w:rsidR="009B140C" w:rsidRPr="009B140C">
        <w:t xml:space="preserve"> w</w:t>
      </w:r>
      <w:r w:rsidR="009B140C">
        <w:t> </w:t>
      </w:r>
      <w:r w:rsidR="009B140C" w:rsidRPr="009B140C">
        <w:t>art</w:t>
      </w:r>
      <w:r w:rsidRPr="009B140C">
        <w:t>.</w:t>
      </w:r>
      <w:r w:rsidR="009B140C" w:rsidRPr="009B140C">
        <w:t> </w:t>
      </w:r>
      <w:r w:rsidRPr="009B140C">
        <w:t>57 ust.</w:t>
      </w:r>
      <w:r w:rsidR="009B140C" w:rsidRPr="009B140C">
        <w:t> </w:t>
      </w:r>
      <w:r w:rsidRPr="009B140C">
        <w:t>3 rozporządzenia (UE) 2019/2033, przekazują informacje</w:t>
      </w:r>
      <w:r w:rsidR="009B140C" w:rsidRPr="009B140C">
        <w:t xml:space="preserve"> w</w:t>
      </w:r>
      <w:r w:rsidR="009B140C">
        <w:t> </w:t>
      </w:r>
      <w:r w:rsidR="009B140C" w:rsidRPr="009B140C">
        <w:t>spo</w:t>
      </w:r>
      <w:r w:rsidRPr="009B140C">
        <w:t>sób określony</w:t>
      </w:r>
      <w:r w:rsidR="009B140C" w:rsidRPr="009B140C">
        <w:t xml:space="preserve"> w</w:t>
      </w:r>
      <w:r w:rsidR="009B140C">
        <w:t> </w:t>
      </w:r>
      <w:r w:rsidR="009B140C" w:rsidRPr="009B140C">
        <w:t>nin</w:t>
      </w:r>
      <w:r w:rsidRPr="009B140C">
        <w:t>iejszym artykule.</w:t>
      </w:r>
    </w:p>
    <w:p w14:paraId="55A9CAAC" w14:textId="6E59E8CD" w:rsidR="00FE0C02" w:rsidRPr="009B140C" w:rsidRDefault="00FE0C02" w:rsidP="00FE0C02">
      <w:pPr>
        <w:pStyle w:val="NumPar1"/>
      </w:pPr>
      <w:r w:rsidRPr="009B140C">
        <w:t>Do celów sprawozdawczości dotyczącej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skonsolidowanej,</w:t>
      </w:r>
      <w:r w:rsidR="009B140C" w:rsidRPr="009B140C">
        <w:t xml:space="preserve"> z</w:t>
      </w:r>
      <w:r w:rsidR="009B140C">
        <w:t> </w:t>
      </w:r>
      <w:r w:rsidR="009B140C" w:rsidRPr="009B140C">
        <w:t>wyj</w:t>
      </w:r>
      <w:r w:rsidRPr="009B140C">
        <w:t>ątkiem informacji dotyczących wskaźnika dźwigni, firmy inwestycyjne należące do grup składających się wyłącznie</w:t>
      </w:r>
      <w:r w:rsidR="009B140C" w:rsidRPr="009B140C">
        <w:t xml:space="preserve"> z</w:t>
      </w:r>
      <w:r w:rsidR="009B140C">
        <w:t> </w:t>
      </w:r>
      <w:r w:rsidR="009B140C" w:rsidRPr="009B140C">
        <w:t>fir</w:t>
      </w:r>
      <w:r w:rsidRPr="009B140C">
        <w:t>m inwestycyjnych, stosujące art.</w:t>
      </w:r>
      <w:r w:rsidR="009B140C" w:rsidRPr="009B140C">
        <w:t> </w:t>
      </w:r>
      <w:r w:rsidRPr="009B140C">
        <w:t>57 ust.</w:t>
      </w:r>
      <w:r w:rsidR="009B140C" w:rsidRPr="009B140C">
        <w:t> </w:t>
      </w:r>
      <w:r w:rsidRPr="009B140C">
        <w:t>3 rozporządzenia (UE) 2019/2033</w:t>
      </w:r>
      <w:r w:rsidR="009B140C" w:rsidRPr="009B140C">
        <w:t xml:space="preserve"> w</w:t>
      </w:r>
      <w:r w:rsidR="009B140C">
        <w:t> </w:t>
      </w:r>
      <w:r w:rsidR="009B140C" w:rsidRPr="009B140C">
        <w:t>zwi</w:t>
      </w:r>
      <w:r w:rsidRPr="009B140C">
        <w:t>ązku</w:t>
      </w:r>
      <w:r w:rsidR="009B140C" w:rsidRPr="009B140C">
        <w:t xml:space="preserve"> z</w:t>
      </w:r>
      <w:r w:rsidR="009B140C">
        <w:t> </w:t>
      </w:r>
      <w:r w:rsidR="009B140C" w:rsidRPr="009B140C">
        <w:t>art</w:t>
      </w:r>
      <w:r w:rsidRPr="009B140C">
        <w:t>.</w:t>
      </w:r>
      <w:r w:rsidR="009B140C" w:rsidRPr="009B140C">
        <w:t> </w:t>
      </w:r>
      <w:r w:rsidRPr="009B140C">
        <w:t>95 rozporządzenia (UE) nr</w:t>
      </w:r>
      <w:r w:rsidR="009B140C" w:rsidRPr="009B140C">
        <w:t> </w:t>
      </w:r>
      <w:r w:rsidRPr="009B140C">
        <w:t>575/2013, przekazują na zasadzie skonsolidowanej następujące informacje:</w:t>
      </w:r>
    </w:p>
    <w:p w14:paraId="6DD1064B" w14:textId="625FEAB7" w:rsidR="00FE0C02" w:rsidRPr="009B140C" w:rsidRDefault="00FE0C02" w:rsidP="00FE0C02">
      <w:pPr>
        <w:pStyle w:val="Point1"/>
      </w:pPr>
      <w:r w:rsidRPr="009B140C">
        <w:t>a)</w:t>
      </w:r>
      <w:r w:rsidRPr="009B140C">
        <w:tab/>
        <w:t>informacje na temat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 określone we wzorach 1–5 przedstawionych</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1</w:t>
      </w:r>
      <w:r w:rsidR="009B140C" w:rsidRPr="009B140C">
        <w:t xml:space="preserve"> z</w:t>
      </w:r>
      <w:r w:rsidR="009B140C">
        <w:t> </w:t>
      </w:r>
      <w:r w:rsidR="009B140C" w:rsidRPr="009B140C">
        <w:t>czę</w:t>
      </w:r>
      <w:r w:rsidRPr="009B140C">
        <w:t>stotliwością kwartalną;</w:t>
      </w:r>
    </w:p>
    <w:p w14:paraId="06EB54F9" w14:textId="47B3CE44" w:rsidR="00FE0C02" w:rsidRPr="009B140C" w:rsidRDefault="00FE0C02" w:rsidP="00FE0C02">
      <w:pPr>
        <w:pStyle w:val="Point1"/>
      </w:pPr>
      <w:r w:rsidRPr="009B140C">
        <w:t>b)</w:t>
      </w:r>
      <w:r w:rsidRPr="009B140C">
        <w:tab/>
        <w:t>informacje na temat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w:t>
      </w:r>
      <w:r w:rsidR="009B140C" w:rsidRPr="009B140C">
        <w:t xml:space="preserve"> w</w:t>
      </w:r>
      <w:r w:rsidR="009B140C">
        <w:t> </w:t>
      </w:r>
      <w:r w:rsidR="009B140C" w:rsidRPr="009B140C">
        <w:t>odn</w:t>
      </w:r>
      <w:r w:rsidRPr="009B140C">
        <w:t>iesieniu do podmiotów objętych zakresem konsolidacji określone we wzorze 6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2</w:t>
      </w:r>
      <w:r w:rsidR="009B140C" w:rsidRPr="009B140C">
        <w:t xml:space="preserve"> z</w:t>
      </w:r>
      <w:r w:rsidR="009B140C">
        <w:t> </w:t>
      </w:r>
      <w:r w:rsidR="009B140C" w:rsidRPr="009B140C">
        <w:t>czę</w:t>
      </w:r>
      <w:r w:rsidRPr="009B140C">
        <w:t>stotliwością półroczną.</w:t>
      </w:r>
    </w:p>
    <w:p w14:paraId="0D279353" w14:textId="5AEF6285" w:rsidR="00FE0C02" w:rsidRPr="009B140C" w:rsidRDefault="00FE0C02" w:rsidP="00FE0C02">
      <w:pPr>
        <w:pStyle w:val="NumPar1"/>
      </w:pPr>
      <w:r w:rsidRPr="009B140C">
        <w:lastRenderedPageBreak/>
        <w:t>Do celów sprawozdawczości dotyczącej funduszy własnych</w:t>
      </w:r>
      <w:r w:rsidR="009B140C" w:rsidRPr="009B140C">
        <w:t xml:space="preserve"> i</w:t>
      </w:r>
      <w:r w:rsidR="009B140C">
        <w:t> </w:t>
      </w:r>
      <w:r w:rsidR="009B140C" w:rsidRPr="009B140C">
        <w:t>wym</w:t>
      </w:r>
      <w:r w:rsidRPr="009B140C">
        <w:t>ogów</w:t>
      </w:r>
      <w:r w:rsidR="009B140C" w:rsidRPr="009B140C">
        <w:t xml:space="preserve"> w</w:t>
      </w:r>
      <w:r w:rsidR="009B140C">
        <w:t> </w:t>
      </w:r>
      <w:r w:rsidR="009B140C" w:rsidRPr="009B140C">
        <w:t>zak</w:t>
      </w:r>
      <w:r w:rsidRPr="009B140C">
        <w:t>resie funduszy własnych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skonsolidowanej firmy inwestycyjne należące do grup składających się wyłącznie</w:t>
      </w:r>
      <w:r w:rsidR="009B140C" w:rsidRPr="009B140C">
        <w:t xml:space="preserve"> z</w:t>
      </w:r>
      <w:r w:rsidR="009B140C">
        <w:t> </w:t>
      </w:r>
      <w:r w:rsidR="009B140C" w:rsidRPr="009B140C">
        <w:t>fir</w:t>
      </w:r>
      <w:r w:rsidRPr="009B140C">
        <w:t>m inwestycyjnych objętych zakresem art.</w:t>
      </w:r>
      <w:r w:rsidR="009B140C" w:rsidRPr="009B140C">
        <w:t> </w:t>
      </w:r>
      <w:r w:rsidRPr="009B140C">
        <w:t>95, jak</w:t>
      </w:r>
      <w:r w:rsidR="009B140C" w:rsidRPr="009B140C">
        <w:t xml:space="preserve"> i</w:t>
      </w:r>
      <w:r w:rsidR="009B140C">
        <w:t> </w:t>
      </w:r>
      <w:r w:rsidR="009B140C" w:rsidRPr="009B140C">
        <w:t>fir</w:t>
      </w:r>
      <w:r w:rsidRPr="009B140C">
        <w:t>m inwestycyjnych objętych zakresem art.</w:t>
      </w:r>
      <w:r w:rsidR="009B140C" w:rsidRPr="009B140C">
        <w:t> </w:t>
      </w:r>
      <w:r w:rsidRPr="009B140C">
        <w:t>96 lub grup składających się wyłącznie</w:t>
      </w:r>
      <w:r w:rsidR="009B140C" w:rsidRPr="009B140C">
        <w:t xml:space="preserve"> z</w:t>
      </w:r>
      <w:r w:rsidR="009B140C">
        <w:t> </w:t>
      </w:r>
      <w:r w:rsidR="009B140C" w:rsidRPr="009B140C">
        <w:t>fir</w:t>
      </w:r>
      <w:r w:rsidRPr="009B140C">
        <w:t>m inwestycyjnych stosujących art.</w:t>
      </w:r>
      <w:r w:rsidR="009B140C" w:rsidRPr="009B140C">
        <w:t> </w:t>
      </w:r>
      <w:r w:rsidRPr="009B140C">
        <w:t>57 ust.</w:t>
      </w:r>
      <w:r w:rsidR="009B140C" w:rsidRPr="009B140C">
        <w:t> </w:t>
      </w:r>
      <w:r w:rsidRPr="009B140C">
        <w:t>3 rozporządzenia (UE) 2019/2033</w:t>
      </w:r>
      <w:r w:rsidR="009B140C" w:rsidRPr="009B140C">
        <w:t xml:space="preserve"> w</w:t>
      </w:r>
      <w:r w:rsidR="009B140C">
        <w:t> </w:t>
      </w:r>
      <w:r w:rsidR="009B140C" w:rsidRPr="009B140C">
        <w:t>zwi</w:t>
      </w:r>
      <w:r w:rsidRPr="009B140C">
        <w:t>ązku</w:t>
      </w:r>
      <w:r w:rsidR="009B140C" w:rsidRPr="009B140C">
        <w:t xml:space="preserve"> z</w:t>
      </w:r>
      <w:r w:rsidR="009B140C">
        <w:t> </w:t>
      </w:r>
      <w:r w:rsidR="009B140C" w:rsidRPr="009B140C">
        <w:t>art</w:t>
      </w:r>
      <w:r w:rsidRPr="009B140C">
        <w:t>.</w:t>
      </w:r>
      <w:r w:rsidR="009B140C" w:rsidRPr="009B140C">
        <w:t> </w:t>
      </w:r>
      <w:r w:rsidRPr="009B140C">
        <w:t>96 rozporządzenia (UE) nr</w:t>
      </w:r>
      <w:r w:rsidR="009B140C" w:rsidRPr="009B140C">
        <w:t> </w:t>
      </w:r>
      <w:r w:rsidRPr="009B140C">
        <w:t>575/2013 przekazują na zasadzie skonsolidowanej następujące informacje:</w:t>
      </w:r>
    </w:p>
    <w:p w14:paraId="424B99D7" w14:textId="63B69DB8" w:rsidR="00FE0C02" w:rsidRPr="009B140C" w:rsidRDefault="00FE0C02" w:rsidP="00FE0C02">
      <w:pPr>
        <w:pStyle w:val="Point1"/>
      </w:pPr>
      <w:r w:rsidRPr="009B140C">
        <w:t>a)</w:t>
      </w:r>
      <w:r w:rsidRPr="009B140C">
        <w:tab/>
        <w:t>informacje określone</w:t>
      </w:r>
      <w:r w:rsidR="009B140C" w:rsidRPr="009B140C">
        <w:t xml:space="preserve"> w</w:t>
      </w:r>
      <w:r w:rsidR="009B140C">
        <w:t> </w:t>
      </w:r>
      <w:r w:rsidR="009B140C" w:rsidRPr="009B140C">
        <w:t>art</w:t>
      </w:r>
      <w:r w:rsidRPr="009B140C">
        <w:t>.</w:t>
      </w:r>
      <w:r w:rsidR="009B140C" w:rsidRPr="009B140C">
        <w:t> </w:t>
      </w:r>
      <w:r w:rsidRPr="009B140C">
        <w:t>5 ust.</w:t>
      </w:r>
      <w:r w:rsidR="009B140C" w:rsidRPr="009B140C">
        <w:t> </w:t>
      </w:r>
      <w:r w:rsidRPr="009B140C">
        <w:t>1–5</w:t>
      </w:r>
      <w:r w:rsidR="009B140C" w:rsidRPr="009B140C">
        <w:t xml:space="preserve"> i</w:t>
      </w:r>
      <w:r w:rsidR="009B140C">
        <w:t> </w:t>
      </w:r>
      <w:r w:rsidR="009B140C" w:rsidRPr="009B140C">
        <w:t>8</w:t>
      </w:r>
      <w:r w:rsidRPr="009B140C">
        <w:t>–13 oraz art.</w:t>
      </w:r>
      <w:r w:rsidR="009B140C" w:rsidRPr="009B140C">
        <w:t> </w:t>
      </w:r>
      <w:r w:rsidRPr="009B140C">
        <w:t>6 ust.</w:t>
      </w:r>
      <w:r w:rsidR="009B140C" w:rsidRPr="009B140C">
        <w:t> </w:t>
      </w:r>
      <w:r w:rsidRPr="009B140C">
        <w:t>2 niniejszego rozporządzenia</w:t>
      </w:r>
      <w:r w:rsidR="009B140C" w:rsidRPr="009B140C">
        <w:t xml:space="preserve"> z</w:t>
      </w:r>
      <w:r w:rsidR="009B140C">
        <w:t> </w:t>
      </w:r>
      <w:r w:rsidR="009B140C" w:rsidRPr="009B140C">
        <w:t>czę</w:t>
      </w:r>
      <w:r w:rsidRPr="009B140C">
        <w:t>stotliwością określoną</w:t>
      </w:r>
      <w:r w:rsidR="009B140C" w:rsidRPr="009B140C">
        <w:t xml:space="preserve"> w</w:t>
      </w:r>
      <w:r w:rsidR="009B140C">
        <w:t> </w:t>
      </w:r>
      <w:r w:rsidR="009B140C" w:rsidRPr="009B140C">
        <w:t>tyc</w:t>
      </w:r>
      <w:r w:rsidRPr="009B140C">
        <w:t>h artykułach;</w:t>
      </w:r>
    </w:p>
    <w:p w14:paraId="695999E8" w14:textId="2313936E" w:rsidR="00FE0C02" w:rsidRPr="009B140C" w:rsidRDefault="00FE0C02" w:rsidP="00FE0C02">
      <w:pPr>
        <w:pStyle w:val="Point1"/>
      </w:pPr>
      <w:r w:rsidRPr="009B140C">
        <w:t>b)</w:t>
      </w:r>
      <w:r w:rsidRPr="009B140C">
        <w:tab/>
        <w:t>informacje dotyczące podmiotów objętych zakresem konsolidacji, określone we wzorze 6 przedstawionym</w:t>
      </w:r>
      <w:r w:rsidR="009B140C" w:rsidRPr="009B140C">
        <w:t xml:space="preserve"> w</w:t>
      </w:r>
      <w:r w:rsidR="009B140C">
        <w:t> </w:t>
      </w:r>
      <w:r w:rsidR="009B140C" w:rsidRPr="009B140C">
        <w:t>zał</w:t>
      </w:r>
      <w:r w:rsidRPr="009B140C">
        <w:t>ączniku 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II część II pkt</w:t>
      </w:r>
      <w:r w:rsidR="009B140C" w:rsidRPr="009B140C">
        <w:t> </w:t>
      </w:r>
      <w:r w:rsidRPr="009B140C">
        <w:t>2</w:t>
      </w:r>
      <w:r w:rsidR="009B140C" w:rsidRPr="009B140C">
        <w:t xml:space="preserve"> z</w:t>
      </w:r>
      <w:r w:rsidR="009B140C">
        <w:t> </w:t>
      </w:r>
      <w:r w:rsidR="009B140C" w:rsidRPr="009B140C">
        <w:t>czę</w:t>
      </w:r>
      <w:r w:rsidRPr="009B140C">
        <w:t>stotliwością półroczną.</w:t>
      </w:r>
    </w:p>
    <w:p w14:paraId="2D723A17"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11</w:t>
      </w:r>
      <w:r w:rsidR="00D90D81" w:rsidRPr="009B140C">
        <w:fldChar w:fldCharType="end"/>
      </w:r>
    </w:p>
    <w:p w14:paraId="122B51E9" w14:textId="5629D956" w:rsidR="00FE0C02" w:rsidRPr="009B140C" w:rsidRDefault="00FE0C02" w:rsidP="00FE0C02">
      <w:pPr>
        <w:pStyle w:val="Titrearticle"/>
        <w:spacing w:before="120"/>
        <w:rPr>
          <w:b/>
          <w:i w:val="0"/>
        </w:rPr>
      </w:pPr>
      <w:r w:rsidRPr="009B140C">
        <w:rPr>
          <w:b/>
          <w:i w:val="0"/>
        </w:rPr>
        <w:t>Sprawozdawczość</w:t>
      </w:r>
      <w:r w:rsidR="009B140C" w:rsidRPr="009B140C">
        <w:rPr>
          <w:b/>
          <w:i w:val="0"/>
        </w:rPr>
        <w:t xml:space="preserve"> w</w:t>
      </w:r>
      <w:r w:rsidR="009B140C">
        <w:rPr>
          <w:b/>
          <w:i w:val="0"/>
        </w:rPr>
        <w:t> </w:t>
      </w:r>
      <w:r w:rsidR="009B140C" w:rsidRPr="009B140C">
        <w:rPr>
          <w:b/>
          <w:i w:val="0"/>
        </w:rPr>
        <w:t>zak</w:t>
      </w:r>
      <w:r w:rsidRPr="009B140C">
        <w:rPr>
          <w:b/>
          <w:i w:val="0"/>
        </w:rPr>
        <w:t>resie informacji finansowych na zasadzie skonsolidowanej obowiązująca instytucje objęte zakresem rozporządzenia</w:t>
      </w:r>
      <w:r w:rsidRPr="009B140C">
        <w:t xml:space="preserve"> </w:t>
      </w:r>
      <w:r w:rsidRPr="009B140C">
        <w:rPr>
          <w:b/>
          <w:i w:val="0"/>
        </w:rPr>
        <w:t>Parlamentu Europejskiego</w:t>
      </w:r>
      <w:r w:rsidR="009B140C" w:rsidRPr="009B140C">
        <w:rPr>
          <w:b/>
          <w:i w:val="0"/>
        </w:rPr>
        <w:t xml:space="preserve"> i</w:t>
      </w:r>
      <w:r w:rsidR="009B140C">
        <w:rPr>
          <w:b/>
          <w:i w:val="0"/>
        </w:rPr>
        <w:t> </w:t>
      </w:r>
      <w:r w:rsidR="009B140C" w:rsidRPr="009B140C">
        <w:rPr>
          <w:b/>
          <w:i w:val="0"/>
        </w:rPr>
        <w:t>Rad</w:t>
      </w:r>
      <w:r w:rsidRPr="009B140C">
        <w:rPr>
          <w:b/>
          <w:i w:val="0"/>
        </w:rPr>
        <w:t>y (WE) nr</w:t>
      </w:r>
      <w:r w:rsidR="009B140C" w:rsidRPr="009B140C">
        <w:rPr>
          <w:b/>
          <w:i w:val="0"/>
        </w:rPr>
        <w:t> </w:t>
      </w:r>
      <w:r w:rsidRPr="009B140C">
        <w:rPr>
          <w:b/>
          <w:i w:val="0"/>
        </w:rPr>
        <w:t>1606/2002</w:t>
      </w:r>
      <w:r w:rsidRPr="009B140C">
        <w:rPr>
          <w:rStyle w:val="FootnoteReference"/>
          <w:b/>
          <w:i w:val="0"/>
        </w:rPr>
        <w:footnoteReference w:id="10"/>
      </w:r>
      <w:r w:rsidRPr="009B140C">
        <w:rPr>
          <w:b/>
          <w:i w:val="0"/>
        </w:rPr>
        <w:t xml:space="preserve"> </w:t>
      </w:r>
    </w:p>
    <w:p w14:paraId="22F20B0C" w14:textId="058643D1" w:rsidR="00FE0C02" w:rsidRPr="009B140C" w:rsidRDefault="00FE0C02" w:rsidP="005F180D">
      <w:pPr>
        <w:pStyle w:val="NumPar1"/>
        <w:numPr>
          <w:ilvl w:val="0"/>
          <w:numId w:val="19"/>
        </w:numPr>
      </w:pPr>
      <w:r w:rsidRPr="009B140C">
        <w:t>Do celów prowadzenia sprawozdawczości dotyczącej informacji finansowych na zasadzie skonsolidowanej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3 lub</w:t>
      </w:r>
      <w:r w:rsidR="009B140C" w:rsidRPr="009B140C">
        <w:t> </w:t>
      </w:r>
      <w:r w:rsidRPr="009B140C">
        <w:t>4 rozporządzenia (UE) nr</w:t>
      </w:r>
      <w:r w:rsidR="009B140C" w:rsidRPr="009B140C">
        <w:t> </w:t>
      </w:r>
      <w:r w:rsidRPr="009B140C">
        <w:t>575/2013 instytucje przedstawiają informacje określone</w:t>
      </w:r>
      <w:r w:rsidR="009B140C" w:rsidRPr="009B140C">
        <w:t xml:space="preserve"> w</w:t>
      </w:r>
      <w:r w:rsidR="009B140C">
        <w:t> </w:t>
      </w:r>
      <w:r w:rsidR="009B140C" w:rsidRPr="009B140C">
        <w:t>zał</w:t>
      </w:r>
      <w:r w:rsidRPr="009B140C">
        <w:t>ączniku III na zasadzie skonsolidowanej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 xml:space="preserve">ączniku V. </w:t>
      </w:r>
    </w:p>
    <w:p w14:paraId="3A9E9610" w14:textId="0F8EF527" w:rsidR="00FE0C02" w:rsidRPr="009B140C" w:rsidRDefault="00FE0C02" w:rsidP="00FE0C02">
      <w:pPr>
        <w:pStyle w:val="NumPar1"/>
        <w:numPr>
          <w:ilvl w:val="0"/>
          <w:numId w:val="10"/>
        </w:numPr>
      </w:pPr>
      <w:r w:rsidRPr="009B140C">
        <w:t>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ust</w:t>
      </w:r>
      <w:r w:rsidRPr="009B140C">
        <w:t>.</w:t>
      </w:r>
      <w:r w:rsidR="009B140C" w:rsidRPr="009B140C">
        <w:t> </w:t>
      </w:r>
      <w:r w:rsidRPr="009B140C">
        <w:t>1, przekazuje się następująco:</w:t>
      </w:r>
    </w:p>
    <w:p w14:paraId="70EFC152" w14:textId="6B1B5B97" w:rsidR="00FE0C02" w:rsidRPr="009B140C" w:rsidRDefault="00FE0C02" w:rsidP="00FE0C02">
      <w:pPr>
        <w:pStyle w:val="Point1"/>
      </w:pPr>
      <w:r w:rsidRPr="009B140C">
        <w:t>a)</w:t>
      </w:r>
      <w:r w:rsidRPr="009B140C">
        <w:tab/>
        <w:t>informacje określone</w:t>
      </w:r>
      <w:r w:rsidR="009B140C" w:rsidRPr="009B140C">
        <w:t xml:space="preserve"> w</w:t>
      </w:r>
      <w:r w:rsidR="009B140C">
        <w:t> </w:t>
      </w:r>
      <w:r w:rsidR="009B140C" w:rsidRPr="009B140C">
        <w:t>zał</w:t>
      </w:r>
      <w:r w:rsidRPr="009B140C">
        <w:t>ączniku III część 1 –</w:t>
      </w:r>
      <w:r w:rsidR="009B140C" w:rsidRPr="009B140C">
        <w:t xml:space="preserve"> z</w:t>
      </w:r>
      <w:r w:rsidR="009B140C">
        <w:t> </w:t>
      </w:r>
      <w:r w:rsidR="009B140C" w:rsidRPr="009B140C">
        <w:t>czę</w:t>
      </w:r>
      <w:r w:rsidRPr="009B140C">
        <w:t>stotliwością kwartalną;</w:t>
      </w:r>
    </w:p>
    <w:p w14:paraId="38D85B01" w14:textId="1AC27B4B" w:rsidR="00FE0C02" w:rsidRPr="009B140C" w:rsidRDefault="00FE0C02" w:rsidP="00FE0C02">
      <w:pPr>
        <w:pStyle w:val="Point1"/>
      </w:pPr>
      <w:r w:rsidRPr="009B140C">
        <w:t>b)</w:t>
      </w:r>
      <w:r w:rsidRPr="009B140C">
        <w:tab/>
        <w:t>informacje określone</w:t>
      </w:r>
      <w:r w:rsidR="009B140C" w:rsidRPr="009B140C">
        <w:t xml:space="preserve"> w</w:t>
      </w:r>
      <w:r w:rsidR="009B140C">
        <w:t> </w:t>
      </w:r>
      <w:r w:rsidR="009B140C" w:rsidRPr="009B140C">
        <w:t>zał</w:t>
      </w:r>
      <w:r w:rsidRPr="009B140C">
        <w:t>ączniku III część 3 –</w:t>
      </w:r>
      <w:r w:rsidR="009B140C" w:rsidRPr="009B140C">
        <w:t xml:space="preserve"> z</w:t>
      </w:r>
      <w:r w:rsidR="009B140C">
        <w:t> </w:t>
      </w:r>
      <w:r w:rsidR="009B140C" w:rsidRPr="009B140C">
        <w:t>czę</w:t>
      </w:r>
      <w:r w:rsidRPr="009B140C">
        <w:t>stotliwością półroczną;</w:t>
      </w:r>
    </w:p>
    <w:p w14:paraId="5F2804B6" w14:textId="34470ECB" w:rsidR="00FE0C02" w:rsidRPr="009B140C" w:rsidRDefault="00FE0C02" w:rsidP="00FE0C02">
      <w:pPr>
        <w:pStyle w:val="Point1"/>
      </w:pPr>
      <w:r w:rsidRPr="009B140C">
        <w:t>c)</w:t>
      </w:r>
      <w:r w:rsidRPr="009B140C">
        <w:tab/>
        <w:t>informacje określone</w:t>
      </w:r>
      <w:r w:rsidR="009B140C" w:rsidRPr="009B140C">
        <w:t xml:space="preserve"> w</w:t>
      </w:r>
      <w:r w:rsidR="009B140C">
        <w:t> </w:t>
      </w:r>
      <w:r w:rsidR="009B140C" w:rsidRPr="009B140C">
        <w:t>zał</w:t>
      </w:r>
      <w:r w:rsidRPr="009B140C">
        <w:t>ączniku III część 4,</w:t>
      </w:r>
      <w:r w:rsidR="009B140C" w:rsidRPr="009B140C">
        <w:t xml:space="preserve"> z</w:t>
      </w:r>
      <w:r w:rsidR="009B140C">
        <w:t> </w:t>
      </w:r>
      <w:r w:rsidR="009B140C" w:rsidRPr="009B140C">
        <w:t>wyj</w:t>
      </w:r>
      <w:r w:rsidRPr="009B140C">
        <w:t>ątkiem informacji określonych we wzorze 47 –</w:t>
      </w:r>
      <w:r w:rsidR="009B140C" w:rsidRPr="009B140C">
        <w:t xml:space="preserve"> z</w:t>
      </w:r>
      <w:r w:rsidR="009B140C">
        <w:t> </w:t>
      </w:r>
      <w:r w:rsidR="009B140C" w:rsidRPr="009B140C">
        <w:t>czę</w:t>
      </w:r>
      <w:r w:rsidRPr="009B140C">
        <w:t>stotliwością roczną;</w:t>
      </w:r>
    </w:p>
    <w:p w14:paraId="1D49A1AC" w14:textId="46E7112C" w:rsidR="00FE0C02" w:rsidRPr="009B140C" w:rsidRDefault="00FE0C02" w:rsidP="00FE0C02">
      <w:pPr>
        <w:pStyle w:val="Point1"/>
      </w:pPr>
      <w:r w:rsidRPr="009B140C">
        <w:t>d)</w:t>
      </w:r>
      <w:r w:rsidRPr="009B140C">
        <w:tab/>
        <w:t>informacje określone</w:t>
      </w:r>
      <w:r w:rsidR="009B140C" w:rsidRPr="009B140C">
        <w:t xml:space="preserve"> w</w:t>
      </w:r>
      <w:r w:rsidR="009B140C">
        <w:t> </w:t>
      </w:r>
      <w:r w:rsidR="009B140C" w:rsidRPr="009B140C">
        <w:t>zał</w:t>
      </w:r>
      <w:r w:rsidRPr="009B140C">
        <w:t>ączniku III część 2 wzór 20,</w:t>
      </w:r>
      <w:r w:rsidR="009B140C" w:rsidRPr="009B140C">
        <w:t xml:space="preserve"> w</w:t>
      </w:r>
      <w:r w:rsidR="009B140C">
        <w:t> </w:t>
      </w:r>
      <w:r w:rsidR="009B140C" w:rsidRPr="009B140C">
        <w:t>prz</w:t>
      </w:r>
      <w:r w:rsidRPr="009B140C">
        <w:t>ypadku gdy instytucja przekracza próg określony</w:t>
      </w:r>
      <w:r w:rsidR="009B140C" w:rsidRPr="009B140C">
        <w:t xml:space="preserve"> w</w:t>
      </w:r>
      <w:r w:rsidR="009B140C">
        <w:t> </w:t>
      </w:r>
      <w:r w:rsidR="009B140C" w:rsidRPr="009B140C">
        <w:t>art</w:t>
      </w:r>
      <w:r w:rsidRPr="009B140C">
        <w:t>.</w:t>
      </w:r>
      <w:r w:rsidR="009B140C" w:rsidRPr="009B140C">
        <w:t> </w:t>
      </w:r>
      <w:r w:rsidRPr="009B140C">
        <w:t>5 ust.</w:t>
      </w:r>
      <w:r w:rsidR="009B140C" w:rsidRPr="009B140C">
        <w:t> </w:t>
      </w:r>
      <w:r w:rsidRPr="009B140C">
        <w:t>5 akapit drugi –</w:t>
      </w:r>
      <w:r w:rsidR="009B140C" w:rsidRPr="009B140C">
        <w:t xml:space="preserve"> z</w:t>
      </w:r>
      <w:r w:rsidR="009B140C">
        <w:t> </w:t>
      </w:r>
      <w:r w:rsidR="009B140C" w:rsidRPr="009B140C">
        <w:t>czę</w:t>
      </w:r>
      <w:r w:rsidRPr="009B140C">
        <w:t>stotliwością kwartalną;</w:t>
      </w:r>
    </w:p>
    <w:p w14:paraId="2CCBF803" w14:textId="4580319E" w:rsidR="00FE0C02" w:rsidRPr="009B140C" w:rsidRDefault="00FE0C02" w:rsidP="00FE0C02">
      <w:pPr>
        <w:pStyle w:val="Point1"/>
      </w:pPr>
      <w:r w:rsidRPr="009B140C">
        <w:t>e)</w:t>
      </w:r>
      <w:r w:rsidRPr="009B140C">
        <w:tab/>
        <w:t>informacje określone</w:t>
      </w:r>
      <w:r w:rsidR="009B140C" w:rsidRPr="009B140C">
        <w:t xml:space="preserve"> w</w:t>
      </w:r>
      <w:r w:rsidR="009B140C">
        <w:t> </w:t>
      </w:r>
      <w:r w:rsidR="009B140C" w:rsidRPr="009B140C">
        <w:t>zał</w:t>
      </w:r>
      <w:r w:rsidRPr="009B140C">
        <w:t>ączniku III część 2 wzór 21,</w:t>
      </w:r>
      <w:r w:rsidR="009B140C" w:rsidRPr="009B140C">
        <w:t xml:space="preserve"> w</w:t>
      </w:r>
      <w:r w:rsidR="009B140C">
        <w:t> </w:t>
      </w:r>
      <w:r w:rsidR="009B140C" w:rsidRPr="009B140C">
        <w:t>prz</w:t>
      </w:r>
      <w:r w:rsidRPr="009B140C">
        <w:t>ypadku gdy nieruchomości inwestycyjne</w:t>
      </w:r>
      <w:r w:rsidR="009B140C" w:rsidRPr="009B140C">
        <w:t xml:space="preserve"> i</w:t>
      </w:r>
      <w:r w:rsidR="009B140C">
        <w:t> </w:t>
      </w:r>
      <w:r w:rsidR="009B140C" w:rsidRPr="009B140C">
        <w:t>rze</w:t>
      </w:r>
      <w:r w:rsidRPr="009B140C">
        <w:t>czowe aktywa trwałe objęte leasingiem operacyjnym wynoszą co najmniej 10</w:t>
      </w:r>
      <w:r w:rsidR="009B140C" w:rsidRPr="009B140C">
        <w:t> </w:t>
      </w:r>
      <w:r w:rsidRPr="009B140C">
        <w:t>% całkowitej wartości nieruchomości inwestycyjnych</w:t>
      </w:r>
      <w:r w:rsidR="009B140C" w:rsidRPr="009B140C">
        <w:t xml:space="preserve"> i</w:t>
      </w:r>
      <w:r w:rsidR="009B140C">
        <w:t> </w:t>
      </w:r>
      <w:r w:rsidR="009B140C" w:rsidRPr="009B140C">
        <w:t>rze</w:t>
      </w:r>
      <w:r w:rsidRPr="009B140C">
        <w:t>czowych aktywów trwałych zgłoszonych zgodnie</w:t>
      </w:r>
      <w:r w:rsidR="009B140C" w:rsidRPr="009B140C">
        <w:t xml:space="preserve"> z</w:t>
      </w:r>
      <w:r w:rsidR="009B140C">
        <w:t> </w:t>
      </w:r>
      <w:r w:rsidR="009B140C" w:rsidRPr="009B140C">
        <w:t>zał</w:t>
      </w:r>
      <w:r w:rsidRPr="009B140C">
        <w:t>ącznikiem III część 1 wzór 1.1 –</w:t>
      </w:r>
      <w:r w:rsidR="009B140C" w:rsidRPr="009B140C">
        <w:t xml:space="preserve"> z</w:t>
      </w:r>
      <w:r w:rsidR="009B140C">
        <w:t> </w:t>
      </w:r>
      <w:r w:rsidR="009B140C" w:rsidRPr="009B140C">
        <w:t>czę</w:t>
      </w:r>
      <w:r w:rsidRPr="009B140C">
        <w:t>stotliwością kwartalną;</w:t>
      </w:r>
    </w:p>
    <w:p w14:paraId="27F64B3B" w14:textId="0B131463" w:rsidR="00FE0C02" w:rsidRPr="009B140C" w:rsidRDefault="00FE0C02" w:rsidP="00FE0C02">
      <w:pPr>
        <w:pStyle w:val="Point1"/>
      </w:pPr>
      <w:r w:rsidRPr="009B140C">
        <w:t>f)</w:t>
      </w:r>
      <w:r w:rsidRPr="009B140C">
        <w:tab/>
        <w:t>informacje określone</w:t>
      </w:r>
      <w:r w:rsidR="009B140C" w:rsidRPr="009B140C">
        <w:t xml:space="preserve"> w</w:t>
      </w:r>
      <w:r w:rsidR="009B140C">
        <w:t> </w:t>
      </w:r>
      <w:r w:rsidR="009B140C" w:rsidRPr="009B140C">
        <w:t>zał</w:t>
      </w:r>
      <w:r w:rsidRPr="009B140C">
        <w:t>ączniku III część 2 wzór 22,</w:t>
      </w:r>
      <w:r w:rsidR="009B140C" w:rsidRPr="009B140C">
        <w:t xml:space="preserve"> w</w:t>
      </w:r>
      <w:r w:rsidR="009B140C">
        <w:t> </w:t>
      </w:r>
      <w:r w:rsidR="009B140C" w:rsidRPr="009B140C">
        <w:t>prz</w:t>
      </w:r>
      <w:r w:rsidRPr="009B140C">
        <w:t>ypadku gdy wynik</w:t>
      </w:r>
      <w:r w:rsidR="009B140C" w:rsidRPr="009B140C">
        <w:t xml:space="preserve"> z</w:t>
      </w:r>
      <w:r w:rsidR="009B140C">
        <w:t> </w:t>
      </w:r>
      <w:r w:rsidR="009B140C" w:rsidRPr="009B140C">
        <w:t>tyt</w:t>
      </w:r>
      <w:r w:rsidRPr="009B140C">
        <w:t>ułu opłat</w:t>
      </w:r>
      <w:r w:rsidR="009B140C" w:rsidRPr="009B140C">
        <w:t xml:space="preserve"> i</w:t>
      </w:r>
      <w:r w:rsidR="009B140C">
        <w:t> </w:t>
      </w:r>
      <w:r w:rsidR="009B140C" w:rsidRPr="009B140C">
        <w:t>pro</w:t>
      </w:r>
      <w:r w:rsidRPr="009B140C">
        <w:t>wizji wynosi co najmniej 10</w:t>
      </w:r>
      <w:r w:rsidR="009B140C" w:rsidRPr="009B140C">
        <w:t> </w:t>
      </w:r>
      <w:r w:rsidRPr="009B140C">
        <w:t>% sumy wyniku</w:t>
      </w:r>
      <w:r w:rsidR="009B140C" w:rsidRPr="009B140C">
        <w:t xml:space="preserve"> z</w:t>
      </w:r>
      <w:r w:rsidR="009B140C">
        <w:t> </w:t>
      </w:r>
      <w:r w:rsidR="009B140C" w:rsidRPr="009B140C">
        <w:t>tyt</w:t>
      </w:r>
      <w:r w:rsidRPr="009B140C">
        <w:t>ułu opłat</w:t>
      </w:r>
      <w:r w:rsidR="009B140C" w:rsidRPr="009B140C">
        <w:t xml:space="preserve"> i</w:t>
      </w:r>
      <w:r w:rsidR="009B140C">
        <w:t> </w:t>
      </w:r>
      <w:r w:rsidR="009B140C" w:rsidRPr="009B140C">
        <w:t>pro</w:t>
      </w:r>
      <w:r w:rsidRPr="009B140C">
        <w:t>wizji</w:t>
      </w:r>
      <w:r w:rsidR="009B140C" w:rsidRPr="009B140C">
        <w:t xml:space="preserve"> i</w:t>
      </w:r>
      <w:r w:rsidR="009B140C">
        <w:t> </w:t>
      </w:r>
      <w:r w:rsidR="009B140C" w:rsidRPr="009B140C">
        <w:t>wyn</w:t>
      </w:r>
      <w:r w:rsidRPr="009B140C">
        <w:t>iku</w:t>
      </w:r>
      <w:r w:rsidR="009B140C" w:rsidRPr="009B140C">
        <w:t xml:space="preserve"> z</w:t>
      </w:r>
      <w:r w:rsidR="009B140C">
        <w:t> </w:t>
      </w:r>
      <w:r w:rsidR="009B140C" w:rsidRPr="009B140C">
        <w:t>tyt</w:t>
      </w:r>
      <w:r w:rsidRPr="009B140C">
        <w:t>ułu odsetek, jak zgłoszono zgodnie</w:t>
      </w:r>
      <w:r w:rsidR="009B140C" w:rsidRPr="009B140C">
        <w:t xml:space="preserve"> z</w:t>
      </w:r>
      <w:r w:rsidR="009B140C">
        <w:t> </w:t>
      </w:r>
      <w:r w:rsidR="009B140C" w:rsidRPr="009B140C">
        <w:t>zał</w:t>
      </w:r>
      <w:r w:rsidRPr="009B140C">
        <w:t>ącznikiem III część 1 wzór 2 –</w:t>
      </w:r>
      <w:r w:rsidR="009B140C" w:rsidRPr="009B140C">
        <w:t xml:space="preserve"> z</w:t>
      </w:r>
      <w:r w:rsidR="009B140C">
        <w:t> </w:t>
      </w:r>
      <w:r w:rsidR="009B140C" w:rsidRPr="009B140C">
        <w:t>czę</w:t>
      </w:r>
      <w:r w:rsidRPr="009B140C">
        <w:t>stotliwością kwartalną;</w:t>
      </w:r>
    </w:p>
    <w:p w14:paraId="2EB0DC7E" w14:textId="44E688FA" w:rsidR="00FE0C02" w:rsidRPr="009B140C" w:rsidRDefault="00FE0C02" w:rsidP="00FE0C02">
      <w:pPr>
        <w:pStyle w:val="Point1"/>
      </w:pPr>
      <w:r w:rsidRPr="009B140C">
        <w:t>g)</w:t>
      </w:r>
      <w:r w:rsidRPr="009B140C">
        <w:tab/>
        <w:t>informacje określone</w:t>
      </w:r>
      <w:r w:rsidR="009B140C" w:rsidRPr="009B140C">
        <w:t xml:space="preserve"> w</w:t>
      </w:r>
      <w:r w:rsidR="009B140C">
        <w:t> </w:t>
      </w:r>
      <w:r w:rsidR="009B140C" w:rsidRPr="009B140C">
        <w:t>zał</w:t>
      </w:r>
      <w:r w:rsidRPr="009B140C">
        <w:t>ączniku III część 2 wzory 23–26 –</w:t>
      </w:r>
      <w:r w:rsidR="009B140C" w:rsidRPr="009B140C">
        <w:t xml:space="preserve"> z</w:t>
      </w:r>
      <w:r w:rsidR="009B140C">
        <w:t> </w:t>
      </w:r>
      <w:r w:rsidR="009B140C" w:rsidRPr="009B140C">
        <w:t>czę</w:t>
      </w:r>
      <w:r w:rsidRPr="009B140C">
        <w:t>stotliwością kwartalną,</w:t>
      </w:r>
      <w:r w:rsidR="009B140C" w:rsidRPr="009B140C">
        <w:t xml:space="preserve"> w</w:t>
      </w:r>
      <w:r w:rsidR="009B140C">
        <w:t> </w:t>
      </w:r>
      <w:r w:rsidR="009B140C" w:rsidRPr="009B140C">
        <w:t>prz</w:t>
      </w:r>
      <w:r w:rsidRPr="009B140C">
        <w:t>ypadku gdy spełnione są oba następujące warunki:</w:t>
      </w:r>
    </w:p>
    <w:p w14:paraId="5207A13E" w14:textId="6B0E0576" w:rsidR="00FE0C02" w:rsidRPr="009B140C" w:rsidRDefault="00FE0C02" w:rsidP="00FE0C02">
      <w:pPr>
        <w:pStyle w:val="Point2"/>
      </w:pPr>
      <w:r w:rsidRPr="009B140C">
        <w:t>(i)</w:t>
      </w:r>
      <w:r w:rsidRPr="009B140C">
        <w:tab/>
        <w:t>instytucja nie jest małą</w:t>
      </w:r>
      <w:r w:rsidR="009B140C" w:rsidRPr="009B140C">
        <w:t xml:space="preserve"> i</w:t>
      </w:r>
      <w:r w:rsidR="009B140C">
        <w:t> </w:t>
      </w:r>
      <w:r w:rsidR="009B140C" w:rsidRPr="009B140C">
        <w:t>nie</w:t>
      </w:r>
      <w:r w:rsidRPr="009B140C">
        <w:t>złożoną instytucją;</w:t>
      </w:r>
    </w:p>
    <w:p w14:paraId="09C1AEB4" w14:textId="0093AE4A" w:rsidR="00FE0C02" w:rsidRPr="009B140C" w:rsidRDefault="00FE0C02" w:rsidP="00FE0C02">
      <w:pPr>
        <w:pStyle w:val="Point2"/>
      </w:pPr>
      <w:r w:rsidRPr="009B140C">
        <w:lastRenderedPageBreak/>
        <w:t>(ii)</w:t>
      </w:r>
      <w:r w:rsidRPr="009B140C">
        <w:tab/>
        <w:t>stosunek wartości bilansowej brutto kredytów</w:t>
      </w:r>
      <w:r w:rsidR="009B140C" w:rsidRPr="009B140C">
        <w:t xml:space="preserve"> i</w:t>
      </w:r>
      <w:r w:rsidR="009B140C">
        <w:t> </w:t>
      </w:r>
      <w:r w:rsidR="009B140C" w:rsidRPr="009B140C">
        <w:t>zal</w:t>
      </w:r>
      <w:r w:rsidRPr="009B140C">
        <w:t>iczek instytucji objętych art.</w:t>
      </w:r>
      <w:r w:rsidR="009B140C" w:rsidRPr="009B140C">
        <w:t> </w:t>
      </w:r>
      <w:r w:rsidRPr="009B140C">
        <w:t>47a ust.</w:t>
      </w:r>
      <w:r w:rsidR="009B140C" w:rsidRPr="009B140C">
        <w:t> </w:t>
      </w:r>
      <w:r w:rsidRPr="009B140C">
        <w:t>3 rozporządzenia (UE) nr</w:t>
      </w:r>
      <w:r w:rsidR="009B140C" w:rsidRPr="009B140C">
        <w:t> </w:t>
      </w:r>
      <w:r w:rsidRPr="009B140C">
        <w:t>575/2013 do całkowitej wartości bilansowej brutto kredytów</w:t>
      </w:r>
      <w:r w:rsidR="009B140C" w:rsidRPr="009B140C">
        <w:t xml:space="preserve"> i</w:t>
      </w:r>
      <w:r w:rsidR="009B140C">
        <w:t> </w:t>
      </w:r>
      <w:r w:rsidR="009B140C" w:rsidRPr="009B140C">
        <w:t>zal</w:t>
      </w:r>
      <w:r w:rsidRPr="009B140C">
        <w:t>iczek objętych art.</w:t>
      </w:r>
      <w:r w:rsidR="009B140C" w:rsidRPr="009B140C">
        <w:t> </w:t>
      </w:r>
      <w:r w:rsidRPr="009B140C">
        <w:t>47a ust.</w:t>
      </w:r>
      <w:r w:rsidR="009B140C" w:rsidRPr="009B140C">
        <w:t> </w:t>
      </w:r>
      <w:r w:rsidRPr="009B140C">
        <w:t>1 tego rozporządzenia wynosi co najmniej 5</w:t>
      </w:r>
      <w:r w:rsidR="009B140C" w:rsidRPr="009B140C">
        <w:t> </w:t>
      </w:r>
      <w:r w:rsidRPr="009B140C">
        <w:t xml:space="preserve">%; </w:t>
      </w:r>
    </w:p>
    <w:p w14:paraId="6657E76F" w14:textId="6C81783A" w:rsidR="00FE0C02" w:rsidRPr="009B140C" w:rsidRDefault="00FE0C02" w:rsidP="00FE0C02">
      <w:pPr>
        <w:pStyle w:val="Point1"/>
      </w:pPr>
      <w:r w:rsidRPr="009B140C">
        <w:t>h)</w:t>
      </w:r>
      <w:r w:rsidRPr="009B140C">
        <w:tab/>
        <w:t>informacje określone</w:t>
      </w:r>
      <w:r w:rsidR="009B140C" w:rsidRPr="009B140C">
        <w:t xml:space="preserve"> w</w:t>
      </w:r>
      <w:r w:rsidR="009B140C">
        <w:t> </w:t>
      </w:r>
      <w:r w:rsidR="009B140C" w:rsidRPr="009B140C">
        <w:t>zał</w:t>
      </w:r>
      <w:r w:rsidRPr="009B140C">
        <w:t>ączniku III część 4 wzór 47,</w:t>
      </w:r>
      <w:r w:rsidR="009B140C" w:rsidRPr="009B140C">
        <w:t xml:space="preserve"> w</w:t>
      </w:r>
      <w:r w:rsidR="009B140C">
        <w:t> </w:t>
      </w:r>
      <w:r w:rsidR="009B140C" w:rsidRPr="009B140C">
        <w:t>prz</w:t>
      </w:r>
      <w:r w:rsidRPr="009B140C">
        <w:t>ypadku gdy spełnione są oba warunki określone</w:t>
      </w:r>
      <w:r w:rsidR="009B140C" w:rsidRPr="009B140C">
        <w:t xml:space="preserve"> w</w:t>
      </w:r>
      <w:r w:rsidR="009B140C">
        <w:t> </w:t>
      </w:r>
      <w:r w:rsidR="009B140C" w:rsidRPr="009B140C">
        <w:t>lit</w:t>
      </w:r>
      <w:r w:rsidRPr="009B140C">
        <w:t>.</w:t>
      </w:r>
      <w:r w:rsidR="009B140C" w:rsidRPr="009B140C">
        <w:t> </w:t>
      </w:r>
      <w:r w:rsidRPr="009B140C">
        <w:t>g) niniejszego ustępu –</w:t>
      </w:r>
      <w:r w:rsidR="009B140C" w:rsidRPr="009B140C">
        <w:t xml:space="preserve"> z</w:t>
      </w:r>
      <w:r w:rsidR="009B140C">
        <w:t> </w:t>
      </w:r>
      <w:r w:rsidR="009B140C" w:rsidRPr="009B140C">
        <w:t>czę</w:t>
      </w:r>
      <w:r w:rsidRPr="009B140C">
        <w:t>stotliwością roczną.</w:t>
      </w:r>
    </w:p>
    <w:p w14:paraId="5556886E" w14:textId="2F66803D" w:rsidR="00FE0C02" w:rsidRPr="009B140C" w:rsidRDefault="00FE0C02" w:rsidP="00FE0C02">
      <w:pPr>
        <w:pStyle w:val="Point1"/>
      </w:pPr>
      <w:r w:rsidRPr="009B140C">
        <w:t>Do celów lit.</w:t>
      </w:r>
      <w:r w:rsidR="009B140C" w:rsidRPr="009B140C">
        <w:t> </w:t>
      </w:r>
      <w:r w:rsidRPr="009B140C">
        <w:t>g) ppkt (ii) współczynnik ten nie obejmuje kredytów</w:t>
      </w:r>
      <w:r w:rsidR="009B140C" w:rsidRPr="009B140C">
        <w:t xml:space="preserve"> i</w:t>
      </w:r>
      <w:r w:rsidR="009B140C">
        <w:t> </w:t>
      </w:r>
      <w:r w:rsidR="009B140C" w:rsidRPr="009B140C">
        <w:t>zal</w:t>
      </w:r>
      <w:r w:rsidRPr="009B140C">
        <w:t>iczek zaklasyfikowanych jako przeznaczone do sprzedaży, środków pieniężnych</w:t>
      </w:r>
      <w:r w:rsidR="009B140C" w:rsidRPr="009B140C">
        <w:t xml:space="preserve"> w</w:t>
      </w:r>
      <w:r w:rsidR="009B140C">
        <w:t> </w:t>
      </w:r>
      <w:r w:rsidR="009B140C" w:rsidRPr="009B140C">
        <w:t>ban</w:t>
      </w:r>
      <w:r w:rsidRPr="009B140C">
        <w:t>kach centralnych</w:t>
      </w:r>
      <w:r w:rsidR="009B140C" w:rsidRPr="009B140C">
        <w:t xml:space="preserve"> i</w:t>
      </w:r>
      <w:r w:rsidR="009B140C">
        <w:t> </w:t>
      </w:r>
      <w:r w:rsidR="009B140C" w:rsidRPr="009B140C">
        <w:t>inn</w:t>
      </w:r>
      <w:r w:rsidRPr="009B140C">
        <w:t>ych depozytów płatnych na żądanie</w:t>
      </w:r>
      <w:r w:rsidR="009B140C" w:rsidRPr="009B140C">
        <w:t xml:space="preserve"> w</w:t>
      </w:r>
      <w:r w:rsidR="009B140C">
        <w:t> </w:t>
      </w:r>
      <w:r w:rsidR="009B140C" w:rsidRPr="009B140C">
        <w:t>mia</w:t>
      </w:r>
      <w:r w:rsidRPr="009B140C">
        <w:t>nowniku albo</w:t>
      </w:r>
      <w:r w:rsidR="009B140C" w:rsidRPr="009B140C">
        <w:t xml:space="preserve"> w</w:t>
      </w:r>
      <w:r w:rsidR="009B140C">
        <w:t> </w:t>
      </w:r>
      <w:r w:rsidR="009B140C" w:rsidRPr="009B140C">
        <w:t>lic</w:t>
      </w:r>
      <w:r w:rsidRPr="009B140C">
        <w:t>zniku.</w:t>
      </w:r>
    </w:p>
    <w:p w14:paraId="73BCCE82" w14:textId="741C4C86" w:rsidR="00FE0C02" w:rsidRPr="009B140C" w:rsidRDefault="00FE0C02" w:rsidP="00FE0C02">
      <w:pPr>
        <w:pStyle w:val="Point1"/>
      </w:pPr>
      <w:r w:rsidRPr="009B140C">
        <w:t>Do celów lit.</w:t>
      </w:r>
      <w:r w:rsidR="009B140C" w:rsidRPr="009B140C">
        <w:t> </w:t>
      </w:r>
      <w:r w:rsidRPr="009B140C">
        <w:t>d)–h) niniejszego ustępu stosuje się kryteria wejściowe</w:t>
      </w:r>
      <w:r w:rsidR="009B140C" w:rsidRPr="009B140C">
        <w:t xml:space="preserve"> i</w:t>
      </w:r>
      <w:r w:rsidR="009B140C">
        <w:t> </w:t>
      </w:r>
      <w:r w:rsidR="009B140C" w:rsidRPr="009B140C">
        <w:t>wyj</w:t>
      </w:r>
      <w:r w:rsidRPr="009B140C">
        <w:t>ściowe,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 xml:space="preserve">3. </w:t>
      </w:r>
    </w:p>
    <w:p w14:paraId="2D4B364E"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12</w:t>
      </w:r>
      <w:r w:rsidR="00D90D81" w:rsidRPr="009B140C">
        <w:fldChar w:fldCharType="end"/>
      </w:r>
    </w:p>
    <w:p w14:paraId="396F2986" w14:textId="5C50F679" w:rsidR="00FE0C02" w:rsidRPr="009B140C" w:rsidRDefault="00FE0C02" w:rsidP="00FE0C02">
      <w:pPr>
        <w:pStyle w:val="Titrearticle"/>
        <w:spacing w:before="120"/>
        <w:rPr>
          <w:b/>
          <w:i w:val="0"/>
        </w:rPr>
      </w:pPr>
      <w:r w:rsidRPr="009B140C">
        <w:rPr>
          <w:b/>
          <w:i w:val="0"/>
        </w:rPr>
        <w:t>Sprawozdawczość</w:t>
      </w:r>
      <w:r w:rsidR="009B140C" w:rsidRPr="009B140C">
        <w:rPr>
          <w:b/>
          <w:i w:val="0"/>
        </w:rPr>
        <w:t xml:space="preserve"> w</w:t>
      </w:r>
      <w:r w:rsidR="009B140C">
        <w:rPr>
          <w:b/>
          <w:i w:val="0"/>
        </w:rPr>
        <w:t> </w:t>
      </w:r>
      <w:r w:rsidR="009B140C" w:rsidRPr="009B140C">
        <w:rPr>
          <w:b/>
          <w:i w:val="0"/>
        </w:rPr>
        <w:t>zak</w:t>
      </w:r>
      <w:r w:rsidRPr="009B140C">
        <w:rPr>
          <w:b/>
          <w:i w:val="0"/>
        </w:rPr>
        <w:t xml:space="preserve">resie informacji finansowych na zasadzie skonsolidowanej obowiązująca instytucje stosujące krajowe standardy rachunkowości </w:t>
      </w:r>
    </w:p>
    <w:p w14:paraId="7898D5B0" w14:textId="4160D270" w:rsidR="00FE0C02" w:rsidRPr="009B140C" w:rsidRDefault="00FE0C02" w:rsidP="005F180D">
      <w:pPr>
        <w:pStyle w:val="NumPar1"/>
        <w:numPr>
          <w:ilvl w:val="0"/>
          <w:numId w:val="20"/>
        </w:numPr>
      </w:pPr>
      <w:r w:rsidRPr="009B140C">
        <w:t>W przypadku gdy właściwy organ rozszerzył zakres wymogów</w:t>
      </w:r>
      <w:r w:rsidR="009B140C" w:rsidRPr="009B140C">
        <w:t xml:space="preserve"> w</w:t>
      </w:r>
      <w:r w:rsidR="009B140C">
        <w:t> </w:t>
      </w:r>
      <w:r w:rsidR="009B140C" w:rsidRPr="009B140C">
        <w:t>zak</w:t>
      </w:r>
      <w:r w:rsidRPr="009B140C">
        <w:t>resie sprawozdawczości dotyczącej informacji finansowych na instytucje</w:t>
      </w:r>
      <w:r w:rsidR="009B140C" w:rsidRPr="009B140C">
        <w:t xml:space="preserve"> w</w:t>
      </w:r>
      <w:r w:rsidR="009B140C">
        <w:t> </w:t>
      </w:r>
      <w:r w:rsidR="009B140C" w:rsidRPr="009B140C">
        <w:t>pań</w:t>
      </w:r>
      <w:r w:rsidRPr="009B140C">
        <w:t>stwie członkowskim,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9 rozporządzenia (UE) nr</w:t>
      </w:r>
      <w:r w:rsidR="009B140C" w:rsidRPr="009B140C">
        <w:t> </w:t>
      </w:r>
      <w:r w:rsidRPr="009B140C">
        <w:t>575/2013, instytucje te przedstawiają informacje na zasadzie skonsolidowanej zgodnie</w:t>
      </w:r>
      <w:r w:rsidR="009B140C" w:rsidRPr="009B140C">
        <w:t xml:space="preserve"> z</w:t>
      </w:r>
      <w:r w:rsidR="009B140C">
        <w:t> </w:t>
      </w:r>
      <w:r w:rsidR="009B140C" w:rsidRPr="009B140C">
        <w:t>zał</w:t>
      </w:r>
      <w:r w:rsidRPr="009B140C">
        <w:t>ącznikiem IV do niniejszego rozporządzenia oraz instrukcjami zawartymi</w:t>
      </w:r>
      <w:r w:rsidR="009B140C" w:rsidRPr="009B140C">
        <w:t xml:space="preserve"> w</w:t>
      </w:r>
      <w:r w:rsidR="009B140C">
        <w:t> </w:t>
      </w:r>
      <w:r w:rsidR="009B140C" w:rsidRPr="009B140C">
        <w:t>zał</w:t>
      </w:r>
      <w:r w:rsidRPr="009B140C">
        <w:t>ączniku V do niniejszego rozporządzenia.</w:t>
      </w:r>
    </w:p>
    <w:p w14:paraId="1A4AC33E" w14:textId="71AC187C" w:rsidR="00FE0C02" w:rsidRPr="009B140C" w:rsidRDefault="00FE0C02" w:rsidP="00FE0C02">
      <w:pPr>
        <w:pStyle w:val="NumPar1"/>
        <w:numPr>
          <w:ilvl w:val="0"/>
          <w:numId w:val="10"/>
        </w:numPr>
      </w:pPr>
      <w:r w:rsidRPr="009B140C">
        <w:t>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ust</w:t>
      </w:r>
      <w:r w:rsidRPr="009B140C">
        <w:t>.</w:t>
      </w:r>
      <w:r w:rsidR="009B140C" w:rsidRPr="009B140C">
        <w:t> </w:t>
      </w:r>
      <w:r w:rsidRPr="009B140C">
        <w:t>1, przekazuje się następująco:</w:t>
      </w:r>
    </w:p>
    <w:p w14:paraId="4130D034" w14:textId="47BCC7F7" w:rsidR="00FE0C02" w:rsidRPr="009B140C" w:rsidRDefault="00FE0C02" w:rsidP="00FE0C02">
      <w:pPr>
        <w:pStyle w:val="Point1"/>
      </w:pPr>
      <w:r w:rsidRPr="009B140C">
        <w:t>a)</w:t>
      </w:r>
      <w:r w:rsidRPr="009B140C">
        <w:tab/>
        <w:t>informacje określone</w:t>
      </w:r>
      <w:r w:rsidR="009B140C" w:rsidRPr="009B140C">
        <w:t xml:space="preserve"> w</w:t>
      </w:r>
      <w:r w:rsidR="009B140C">
        <w:t> </w:t>
      </w:r>
      <w:r w:rsidR="009B140C" w:rsidRPr="009B140C">
        <w:t>zał</w:t>
      </w:r>
      <w:r w:rsidRPr="009B140C">
        <w:t>ączniku IV część 1 –</w:t>
      </w:r>
      <w:r w:rsidR="009B140C" w:rsidRPr="009B140C">
        <w:t xml:space="preserve"> z</w:t>
      </w:r>
      <w:r w:rsidR="009B140C">
        <w:t> </w:t>
      </w:r>
      <w:r w:rsidR="009B140C" w:rsidRPr="009B140C">
        <w:t>czę</w:t>
      </w:r>
      <w:r w:rsidRPr="009B140C">
        <w:t>stotliwością kwartalną;</w:t>
      </w:r>
    </w:p>
    <w:p w14:paraId="08B03AF4" w14:textId="65B70A56" w:rsidR="00FE0C02" w:rsidRPr="009B140C" w:rsidRDefault="00FE0C02" w:rsidP="00FE0C02">
      <w:pPr>
        <w:pStyle w:val="Point1"/>
      </w:pPr>
      <w:r w:rsidRPr="009B140C">
        <w:t>b)</w:t>
      </w:r>
      <w:r w:rsidRPr="009B140C">
        <w:tab/>
        <w:t>informacje określone</w:t>
      </w:r>
      <w:r w:rsidR="009B140C" w:rsidRPr="009B140C">
        <w:t xml:space="preserve"> w</w:t>
      </w:r>
      <w:r w:rsidR="009B140C">
        <w:t> </w:t>
      </w:r>
      <w:r w:rsidR="009B140C" w:rsidRPr="009B140C">
        <w:t>zał</w:t>
      </w:r>
      <w:r w:rsidRPr="009B140C">
        <w:t>ączniku IV część 3 –</w:t>
      </w:r>
      <w:r w:rsidR="009B140C" w:rsidRPr="009B140C">
        <w:t xml:space="preserve"> z</w:t>
      </w:r>
      <w:r w:rsidR="009B140C">
        <w:t> </w:t>
      </w:r>
      <w:r w:rsidR="009B140C" w:rsidRPr="009B140C">
        <w:t>czę</w:t>
      </w:r>
      <w:r w:rsidRPr="009B140C">
        <w:t>stotliwością półroczną;</w:t>
      </w:r>
    </w:p>
    <w:p w14:paraId="6BD250DE" w14:textId="3425A114" w:rsidR="00FE0C02" w:rsidRPr="009B140C" w:rsidRDefault="00FE0C02" w:rsidP="00FE0C02">
      <w:pPr>
        <w:pStyle w:val="Point1"/>
      </w:pPr>
      <w:r w:rsidRPr="009B140C">
        <w:t>c)</w:t>
      </w:r>
      <w:r w:rsidRPr="009B140C">
        <w:tab/>
        <w:t>informacje określone</w:t>
      </w:r>
      <w:r w:rsidR="009B140C" w:rsidRPr="009B140C">
        <w:t xml:space="preserve"> w</w:t>
      </w:r>
      <w:r w:rsidR="009B140C">
        <w:t> </w:t>
      </w:r>
      <w:r w:rsidR="009B140C" w:rsidRPr="009B140C">
        <w:t>zał</w:t>
      </w:r>
      <w:r w:rsidRPr="009B140C">
        <w:t>ączniku IV część 4,</w:t>
      </w:r>
      <w:r w:rsidR="009B140C" w:rsidRPr="009B140C">
        <w:t xml:space="preserve"> z</w:t>
      </w:r>
      <w:r w:rsidR="009B140C">
        <w:t> </w:t>
      </w:r>
      <w:r w:rsidR="009B140C" w:rsidRPr="009B140C">
        <w:t>wyj</w:t>
      </w:r>
      <w:r w:rsidRPr="009B140C">
        <w:t>ątkiem informacji określonych we wzorze 47 –</w:t>
      </w:r>
      <w:r w:rsidR="009B140C" w:rsidRPr="009B140C">
        <w:t xml:space="preserve"> z</w:t>
      </w:r>
      <w:r w:rsidR="009B140C">
        <w:t> </w:t>
      </w:r>
      <w:r w:rsidR="009B140C" w:rsidRPr="009B140C">
        <w:t>czę</w:t>
      </w:r>
      <w:r w:rsidRPr="009B140C">
        <w:t>stotliwością roczną;</w:t>
      </w:r>
    </w:p>
    <w:p w14:paraId="7E75579F" w14:textId="08CA7B6C" w:rsidR="00FE0C02" w:rsidRPr="009B140C" w:rsidRDefault="00FE0C02" w:rsidP="00FE0C02">
      <w:pPr>
        <w:pStyle w:val="Point1"/>
      </w:pPr>
      <w:r w:rsidRPr="009B140C">
        <w:t>d)</w:t>
      </w:r>
      <w:r w:rsidRPr="009B140C">
        <w:tab/>
        <w:t>informacje określone</w:t>
      </w:r>
      <w:r w:rsidR="009B140C" w:rsidRPr="009B140C">
        <w:t xml:space="preserve"> w</w:t>
      </w:r>
      <w:r w:rsidR="009B140C">
        <w:t> </w:t>
      </w:r>
      <w:r w:rsidR="009B140C" w:rsidRPr="009B140C">
        <w:t>zał</w:t>
      </w:r>
      <w:r w:rsidRPr="009B140C">
        <w:t>ączniku IV część 2 wzór 20,</w:t>
      </w:r>
      <w:r w:rsidR="009B140C" w:rsidRPr="009B140C">
        <w:t xml:space="preserve"> w</w:t>
      </w:r>
      <w:r w:rsidR="009B140C">
        <w:t> </w:t>
      </w:r>
      <w:r w:rsidR="009B140C" w:rsidRPr="009B140C">
        <w:t>prz</w:t>
      </w:r>
      <w:r w:rsidRPr="009B140C">
        <w:t>ypadku gdy instytucja przekracza próg określony</w:t>
      </w:r>
      <w:r w:rsidR="009B140C" w:rsidRPr="009B140C">
        <w:t xml:space="preserve"> w</w:t>
      </w:r>
      <w:r w:rsidR="009B140C">
        <w:t> </w:t>
      </w:r>
      <w:r w:rsidR="009B140C" w:rsidRPr="009B140C">
        <w:t>art</w:t>
      </w:r>
      <w:r w:rsidRPr="009B140C">
        <w:t>.</w:t>
      </w:r>
      <w:r w:rsidR="009B140C" w:rsidRPr="009B140C">
        <w:t> </w:t>
      </w:r>
      <w:r w:rsidRPr="009B140C">
        <w:t>5 ust.</w:t>
      </w:r>
      <w:r w:rsidR="009B140C" w:rsidRPr="009B140C">
        <w:t> </w:t>
      </w:r>
      <w:r w:rsidRPr="009B140C">
        <w:t>5 akapit drugi –</w:t>
      </w:r>
      <w:r w:rsidR="009B140C" w:rsidRPr="009B140C">
        <w:t xml:space="preserve"> z</w:t>
      </w:r>
      <w:r w:rsidR="009B140C">
        <w:t> </w:t>
      </w:r>
      <w:r w:rsidR="009B140C" w:rsidRPr="009B140C">
        <w:t>czę</w:t>
      </w:r>
      <w:r w:rsidRPr="009B140C">
        <w:t>stotliwością kwartalną;</w:t>
      </w:r>
    </w:p>
    <w:p w14:paraId="76AF5C14" w14:textId="2901A24F" w:rsidR="00FE0C02" w:rsidRPr="009B140C" w:rsidRDefault="00FE0C02" w:rsidP="00FE0C02">
      <w:pPr>
        <w:pStyle w:val="Point1"/>
      </w:pPr>
      <w:r w:rsidRPr="009B140C">
        <w:t>e)</w:t>
      </w:r>
      <w:r w:rsidRPr="009B140C">
        <w:tab/>
        <w:t>informacje określone</w:t>
      </w:r>
      <w:r w:rsidR="009B140C" w:rsidRPr="009B140C">
        <w:t xml:space="preserve"> w</w:t>
      </w:r>
      <w:r w:rsidR="009B140C">
        <w:t> </w:t>
      </w:r>
      <w:r w:rsidR="009B140C" w:rsidRPr="009B140C">
        <w:t>zał</w:t>
      </w:r>
      <w:r w:rsidRPr="009B140C">
        <w:t>ączniku IV część 2 wzór 21,</w:t>
      </w:r>
      <w:r w:rsidR="009B140C" w:rsidRPr="009B140C">
        <w:t xml:space="preserve"> w</w:t>
      </w:r>
      <w:r w:rsidR="009B140C">
        <w:t> </w:t>
      </w:r>
      <w:r w:rsidR="009B140C" w:rsidRPr="009B140C">
        <w:t>prz</w:t>
      </w:r>
      <w:r w:rsidRPr="009B140C">
        <w:t>ypadku gdy nieruchomości inwestycyjne</w:t>
      </w:r>
      <w:r w:rsidR="009B140C" w:rsidRPr="009B140C">
        <w:t xml:space="preserve"> i</w:t>
      </w:r>
      <w:r w:rsidR="009B140C">
        <w:t> </w:t>
      </w:r>
      <w:r w:rsidR="009B140C" w:rsidRPr="009B140C">
        <w:t>rze</w:t>
      </w:r>
      <w:r w:rsidRPr="009B140C">
        <w:t>czowe aktywa trwałe objęte leasingiem operacyjnym wynoszą co najmniej 10</w:t>
      </w:r>
      <w:r w:rsidR="009B140C" w:rsidRPr="009B140C">
        <w:t> </w:t>
      </w:r>
      <w:r w:rsidRPr="009B140C">
        <w:t>% całkowitej wartości nieruchomości inwestycyjnych</w:t>
      </w:r>
      <w:r w:rsidR="009B140C" w:rsidRPr="009B140C">
        <w:t xml:space="preserve"> i</w:t>
      </w:r>
      <w:r w:rsidR="009B140C">
        <w:t> </w:t>
      </w:r>
      <w:r w:rsidR="009B140C" w:rsidRPr="009B140C">
        <w:t>rze</w:t>
      </w:r>
      <w:r w:rsidRPr="009B140C">
        <w:t>czowych aktywów trwałych zgłoszonych zgodnie</w:t>
      </w:r>
      <w:r w:rsidR="009B140C" w:rsidRPr="009B140C">
        <w:t xml:space="preserve"> z</w:t>
      </w:r>
      <w:r w:rsidR="009B140C">
        <w:t> </w:t>
      </w:r>
      <w:r w:rsidR="009B140C" w:rsidRPr="009B140C">
        <w:t>zał</w:t>
      </w:r>
      <w:r w:rsidRPr="009B140C">
        <w:t>ącznikiem IV część 1 wzór 1.1 –</w:t>
      </w:r>
      <w:r w:rsidR="009B140C" w:rsidRPr="009B140C">
        <w:t xml:space="preserve"> z</w:t>
      </w:r>
      <w:r w:rsidR="009B140C">
        <w:t> </w:t>
      </w:r>
      <w:r w:rsidR="009B140C" w:rsidRPr="009B140C">
        <w:t>czę</w:t>
      </w:r>
      <w:r w:rsidRPr="009B140C">
        <w:t>stotliwością kwartalną;</w:t>
      </w:r>
    </w:p>
    <w:p w14:paraId="406C6C11" w14:textId="28D0FE16" w:rsidR="00FE0C02" w:rsidRPr="009B140C" w:rsidRDefault="00FE0C02" w:rsidP="00FE0C02">
      <w:pPr>
        <w:pStyle w:val="Point1"/>
      </w:pPr>
      <w:r w:rsidRPr="009B140C">
        <w:t>f)</w:t>
      </w:r>
      <w:r w:rsidRPr="009B140C">
        <w:tab/>
        <w:t>informacje określone</w:t>
      </w:r>
      <w:r w:rsidR="009B140C" w:rsidRPr="009B140C">
        <w:t xml:space="preserve"> w</w:t>
      </w:r>
      <w:r w:rsidR="009B140C">
        <w:t> </w:t>
      </w:r>
      <w:r w:rsidR="009B140C" w:rsidRPr="009B140C">
        <w:t>zał</w:t>
      </w:r>
      <w:r w:rsidRPr="009B140C">
        <w:t>ączniku IV część 2 wzór 22,</w:t>
      </w:r>
      <w:r w:rsidR="009B140C" w:rsidRPr="009B140C">
        <w:t xml:space="preserve"> w</w:t>
      </w:r>
      <w:r w:rsidR="009B140C">
        <w:t> </w:t>
      </w:r>
      <w:r w:rsidR="009B140C" w:rsidRPr="009B140C">
        <w:t>prz</w:t>
      </w:r>
      <w:r w:rsidRPr="009B140C">
        <w:t>ypadku gdy wynik</w:t>
      </w:r>
      <w:r w:rsidR="009B140C" w:rsidRPr="009B140C">
        <w:t xml:space="preserve"> z</w:t>
      </w:r>
      <w:r w:rsidR="009B140C">
        <w:t> </w:t>
      </w:r>
      <w:r w:rsidR="009B140C" w:rsidRPr="009B140C">
        <w:t>tyt</w:t>
      </w:r>
      <w:r w:rsidRPr="009B140C">
        <w:t>ułu opłat</w:t>
      </w:r>
      <w:r w:rsidR="009B140C" w:rsidRPr="009B140C">
        <w:t xml:space="preserve"> i</w:t>
      </w:r>
      <w:r w:rsidR="009B140C">
        <w:t> </w:t>
      </w:r>
      <w:r w:rsidR="009B140C" w:rsidRPr="009B140C">
        <w:t>pro</w:t>
      </w:r>
      <w:r w:rsidRPr="009B140C">
        <w:t>wizji wynosi co najmniej 10</w:t>
      </w:r>
      <w:r w:rsidR="009B140C" w:rsidRPr="009B140C">
        <w:t> </w:t>
      </w:r>
      <w:r w:rsidRPr="009B140C">
        <w:t>% sumy wyniku</w:t>
      </w:r>
      <w:r w:rsidR="009B140C" w:rsidRPr="009B140C">
        <w:t xml:space="preserve"> z</w:t>
      </w:r>
      <w:r w:rsidR="009B140C">
        <w:t> </w:t>
      </w:r>
      <w:r w:rsidR="009B140C" w:rsidRPr="009B140C">
        <w:t>tyt</w:t>
      </w:r>
      <w:r w:rsidRPr="009B140C">
        <w:t>ułu opłat</w:t>
      </w:r>
      <w:r w:rsidR="009B140C" w:rsidRPr="009B140C">
        <w:t xml:space="preserve"> i</w:t>
      </w:r>
      <w:r w:rsidR="009B140C">
        <w:t> </w:t>
      </w:r>
      <w:r w:rsidR="009B140C" w:rsidRPr="009B140C">
        <w:t>pro</w:t>
      </w:r>
      <w:r w:rsidRPr="009B140C">
        <w:t>wizji</w:t>
      </w:r>
      <w:r w:rsidR="009B140C" w:rsidRPr="009B140C">
        <w:t xml:space="preserve"> i</w:t>
      </w:r>
      <w:r w:rsidR="009B140C">
        <w:t> </w:t>
      </w:r>
      <w:r w:rsidR="009B140C" w:rsidRPr="009B140C">
        <w:t>wyn</w:t>
      </w:r>
      <w:r w:rsidRPr="009B140C">
        <w:t>iku</w:t>
      </w:r>
      <w:r w:rsidR="009B140C" w:rsidRPr="009B140C">
        <w:t xml:space="preserve"> z</w:t>
      </w:r>
      <w:r w:rsidR="009B140C">
        <w:t> </w:t>
      </w:r>
      <w:r w:rsidR="009B140C" w:rsidRPr="009B140C">
        <w:t>tyt</w:t>
      </w:r>
      <w:r w:rsidRPr="009B140C">
        <w:t>ułu odsetek, jak zgłoszono zgodnie</w:t>
      </w:r>
      <w:r w:rsidR="009B140C" w:rsidRPr="009B140C">
        <w:t xml:space="preserve"> z</w:t>
      </w:r>
      <w:r w:rsidR="009B140C">
        <w:t> </w:t>
      </w:r>
      <w:r w:rsidR="009B140C" w:rsidRPr="009B140C">
        <w:t>zał</w:t>
      </w:r>
      <w:r w:rsidRPr="009B140C">
        <w:t>ącznikiem IV część 1 wzór 2 –</w:t>
      </w:r>
      <w:r w:rsidR="009B140C" w:rsidRPr="009B140C">
        <w:t xml:space="preserve"> z</w:t>
      </w:r>
      <w:r w:rsidR="009B140C">
        <w:t> </w:t>
      </w:r>
      <w:r w:rsidR="009B140C" w:rsidRPr="009B140C">
        <w:t>czę</w:t>
      </w:r>
      <w:r w:rsidRPr="009B140C">
        <w:t>stotliwością kwartalną;</w:t>
      </w:r>
    </w:p>
    <w:p w14:paraId="1A7AAB4F" w14:textId="500FB095" w:rsidR="00FE0C02" w:rsidRPr="009B140C" w:rsidRDefault="00FE0C02" w:rsidP="00FE0C02">
      <w:pPr>
        <w:pStyle w:val="Point1"/>
      </w:pPr>
      <w:r w:rsidRPr="009B140C">
        <w:t>g)</w:t>
      </w:r>
      <w:r w:rsidRPr="009B140C">
        <w:tab/>
        <w:t>informacje określone</w:t>
      </w:r>
      <w:r w:rsidR="009B140C" w:rsidRPr="009B140C">
        <w:t xml:space="preserve"> w</w:t>
      </w:r>
      <w:r w:rsidR="009B140C">
        <w:t> </w:t>
      </w:r>
      <w:r w:rsidR="009B140C" w:rsidRPr="009B140C">
        <w:t>zał</w:t>
      </w:r>
      <w:r w:rsidRPr="009B140C">
        <w:t>ączniku IV część 2 wzory 23–26 –</w:t>
      </w:r>
      <w:r w:rsidR="009B140C" w:rsidRPr="009B140C">
        <w:t xml:space="preserve"> z</w:t>
      </w:r>
      <w:r w:rsidR="009B140C">
        <w:t> </w:t>
      </w:r>
      <w:r w:rsidR="009B140C" w:rsidRPr="009B140C">
        <w:t>czę</w:t>
      </w:r>
      <w:r w:rsidRPr="009B140C">
        <w:t>stotliwością kwartalną,</w:t>
      </w:r>
      <w:r w:rsidR="009B140C" w:rsidRPr="009B140C">
        <w:t xml:space="preserve"> w</w:t>
      </w:r>
      <w:r w:rsidR="009B140C">
        <w:t> </w:t>
      </w:r>
      <w:r w:rsidR="009B140C" w:rsidRPr="009B140C">
        <w:t>prz</w:t>
      </w:r>
      <w:r w:rsidRPr="009B140C">
        <w:t>ypadku gdy spełnione są oba następujące warunki:</w:t>
      </w:r>
    </w:p>
    <w:p w14:paraId="6F0AB516" w14:textId="447D78F9" w:rsidR="00FE0C02" w:rsidRPr="009B140C" w:rsidRDefault="00FE0C02" w:rsidP="00FE0C02">
      <w:pPr>
        <w:pStyle w:val="Point2"/>
      </w:pPr>
      <w:r w:rsidRPr="009B140C">
        <w:t>(i)</w:t>
      </w:r>
      <w:r w:rsidRPr="009B140C">
        <w:tab/>
        <w:t>instytucja nie jest małą</w:t>
      </w:r>
      <w:r w:rsidR="009B140C" w:rsidRPr="009B140C">
        <w:t xml:space="preserve"> i</w:t>
      </w:r>
      <w:r w:rsidR="009B140C">
        <w:t> </w:t>
      </w:r>
      <w:r w:rsidR="009B140C" w:rsidRPr="009B140C">
        <w:t>nie</w:t>
      </w:r>
      <w:r w:rsidRPr="009B140C">
        <w:t>złożoną instytucją;</w:t>
      </w:r>
    </w:p>
    <w:p w14:paraId="08D20076" w14:textId="4A8193A2" w:rsidR="00FE0C02" w:rsidRPr="009B140C" w:rsidRDefault="00FE0C02" w:rsidP="00FE0C02">
      <w:pPr>
        <w:pStyle w:val="Point1"/>
        <w:ind w:firstLine="0"/>
      </w:pPr>
      <w:r w:rsidRPr="009B140C">
        <w:lastRenderedPageBreak/>
        <w:t>(ii)</w:t>
      </w:r>
      <w:r w:rsidRPr="009B140C">
        <w:tab/>
        <w:t>współczynnik instytucji określony</w:t>
      </w:r>
      <w:r w:rsidR="009B140C" w:rsidRPr="009B140C">
        <w:t xml:space="preserve"> w</w:t>
      </w:r>
      <w:r w:rsidR="009B140C">
        <w:t> </w:t>
      </w:r>
      <w:r w:rsidR="009B140C" w:rsidRPr="009B140C">
        <w:t>art</w:t>
      </w:r>
      <w:r w:rsidRPr="009B140C">
        <w:t>.</w:t>
      </w:r>
      <w:r w:rsidR="009B140C" w:rsidRPr="009B140C">
        <w:t> </w:t>
      </w:r>
      <w:r w:rsidRPr="009B140C">
        <w:t>11 ust.</w:t>
      </w:r>
      <w:r w:rsidR="009B140C" w:rsidRPr="009B140C">
        <w:t> </w:t>
      </w:r>
      <w:r w:rsidRPr="009B140C">
        <w:t>2 lit.</w:t>
      </w:r>
      <w:r w:rsidR="009B140C" w:rsidRPr="009B140C">
        <w:t> </w:t>
      </w:r>
      <w:r w:rsidRPr="009B140C">
        <w:t>g) ppkt (ii) wynosi co najmniej 5</w:t>
      </w:r>
      <w:r w:rsidR="009B140C" w:rsidRPr="009B140C">
        <w:t> </w:t>
      </w:r>
      <w:r w:rsidRPr="009B140C">
        <w:t>%;</w:t>
      </w:r>
      <w:r w:rsidR="009B140C" w:rsidRPr="009B140C">
        <w:t xml:space="preserve"> </w:t>
      </w:r>
    </w:p>
    <w:p w14:paraId="7B685EE5" w14:textId="087DA47F" w:rsidR="00FE0C02" w:rsidRPr="009B140C" w:rsidRDefault="00FE0C02" w:rsidP="00FE0C02">
      <w:pPr>
        <w:pStyle w:val="Point1"/>
      </w:pPr>
      <w:r w:rsidRPr="009B140C">
        <w:t>h)</w:t>
      </w:r>
      <w:r w:rsidRPr="009B140C">
        <w:tab/>
        <w:t>informacje określone</w:t>
      </w:r>
      <w:r w:rsidR="009B140C" w:rsidRPr="009B140C">
        <w:t xml:space="preserve"> w</w:t>
      </w:r>
      <w:r w:rsidR="009B140C">
        <w:t> </w:t>
      </w:r>
      <w:r w:rsidR="009B140C" w:rsidRPr="009B140C">
        <w:t>zał</w:t>
      </w:r>
      <w:r w:rsidRPr="009B140C">
        <w:t>ączniku IV część 4 wzór 47,</w:t>
      </w:r>
      <w:r w:rsidR="009B140C" w:rsidRPr="009B140C">
        <w:t xml:space="preserve"> w</w:t>
      </w:r>
      <w:r w:rsidR="009B140C">
        <w:t> </w:t>
      </w:r>
      <w:r w:rsidR="009B140C" w:rsidRPr="009B140C">
        <w:t>prz</w:t>
      </w:r>
      <w:r w:rsidRPr="009B140C">
        <w:t>ypadku gdy spełnione są oba warunki określone</w:t>
      </w:r>
      <w:r w:rsidR="009B140C" w:rsidRPr="009B140C">
        <w:t xml:space="preserve"> w</w:t>
      </w:r>
      <w:r w:rsidR="009B140C">
        <w:t> </w:t>
      </w:r>
      <w:r w:rsidR="009B140C" w:rsidRPr="009B140C">
        <w:t>lit</w:t>
      </w:r>
      <w:r w:rsidRPr="009B140C">
        <w:t>.</w:t>
      </w:r>
      <w:r w:rsidR="009B140C" w:rsidRPr="009B140C">
        <w:t> </w:t>
      </w:r>
      <w:r w:rsidRPr="009B140C">
        <w:t>g) niniejszego ustępu –</w:t>
      </w:r>
      <w:r w:rsidR="009B140C" w:rsidRPr="009B140C">
        <w:t xml:space="preserve"> z</w:t>
      </w:r>
      <w:r w:rsidR="009B140C">
        <w:t> </w:t>
      </w:r>
      <w:r w:rsidR="009B140C" w:rsidRPr="009B140C">
        <w:t>czę</w:t>
      </w:r>
      <w:r w:rsidRPr="009B140C">
        <w:t xml:space="preserve">stotliwością roczną. </w:t>
      </w:r>
    </w:p>
    <w:p w14:paraId="6E0D6196" w14:textId="3A93123A" w:rsidR="00FE0C02" w:rsidRPr="009B140C" w:rsidRDefault="00FE0C02" w:rsidP="00FE0C02">
      <w:pPr>
        <w:pStyle w:val="Point1"/>
      </w:pPr>
      <w:r w:rsidRPr="009B140C">
        <w:t>Do celów lit.</w:t>
      </w:r>
      <w:r w:rsidR="009B140C" w:rsidRPr="009B140C">
        <w:t> </w:t>
      </w:r>
      <w:r w:rsidRPr="009B140C">
        <w:t>d)–h) niniejszego ustępu stosuje się kryteria wejściowe</w:t>
      </w:r>
      <w:r w:rsidR="009B140C" w:rsidRPr="009B140C">
        <w:t xml:space="preserve"> i</w:t>
      </w:r>
      <w:r w:rsidR="009B140C">
        <w:t> </w:t>
      </w:r>
      <w:r w:rsidR="009B140C" w:rsidRPr="009B140C">
        <w:t>wyj</w:t>
      </w:r>
      <w:r w:rsidRPr="009B140C">
        <w:t>ściowe,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 xml:space="preserve">3. </w:t>
      </w:r>
    </w:p>
    <w:p w14:paraId="1265B500"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13</w:t>
      </w:r>
      <w:r w:rsidR="00D90D81" w:rsidRPr="009B140C">
        <w:fldChar w:fldCharType="end"/>
      </w:r>
    </w:p>
    <w:p w14:paraId="62DD7E11" w14:textId="59A80412" w:rsidR="00FE0C02" w:rsidRPr="009B140C" w:rsidRDefault="00FE0C02" w:rsidP="00FE0C02">
      <w:pPr>
        <w:pStyle w:val="Text1"/>
      </w:pPr>
      <w:r w:rsidRPr="009B140C">
        <w:rPr>
          <w:b/>
        </w:rPr>
        <w:t>Sprawozdawczość</w:t>
      </w:r>
      <w:r w:rsidR="009B140C" w:rsidRPr="009B140C">
        <w:rPr>
          <w:b/>
        </w:rPr>
        <w:t xml:space="preserve"> w</w:t>
      </w:r>
      <w:r w:rsidR="009B140C">
        <w:rPr>
          <w:b/>
        </w:rPr>
        <w:t> </w:t>
      </w:r>
      <w:r w:rsidR="009B140C" w:rsidRPr="009B140C">
        <w:rPr>
          <w:b/>
        </w:rPr>
        <w:t>zak</w:t>
      </w:r>
      <w:r w:rsidRPr="009B140C">
        <w:rPr>
          <w:b/>
        </w:rPr>
        <w:t>resie strat</w:t>
      </w:r>
      <w:r w:rsidR="009B140C" w:rsidRPr="009B140C">
        <w:rPr>
          <w:b/>
        </w:rPr>
        <w:t xml:space="preserve"> z</w:t>
      </w:r>
      <w:r w:rsidR="009B140C">
        <w:rPr>
          <w:b/>
        </w:rPr>
        <w:t> </w:t>
      </w:r>
      <w:r w:rsidR="009B140C" w:rsidRPr="009B140C">
        <w:rPr>
          <w:b/>
        </w:rPr>
        <w:t>tyt</w:t>
      </w:r>
      <w:r w:rsidRPr="009B140C">
        <w:rPr>
          <w:b/>
        </w:rPr>
        <w:t>ułu udzielonych kredytów zabezpieczonych nieruchomościami zgodnie</w:t>
      </w:r>
      <w:r w:rsidR="009B140C" w:rsidRPr="009B140C">
        <w:rPr>
          <w:b/>
        </w:rPr>
        <w:t xml:space="preserve"> z</w:t>
      </w:r>
      <w:r w:rsidR="009B140C">
        <w:rPr>
          <w:b/>
        </w:rPr>
        <w:t> </w:t>
      </w:r>
      <w:r w:rsidR="009B140C" w:rsidRPr="009B140C">
        <w:rPr>
          <w:b/>
        </w:rPr>
        <w:t>art</w:t>
      </w:r>
      <w:r w:rsidRPr="009B140C">
        <w:rPr>
          <w:b/>
        </w:rPr>
        <w:t>.</w:t>
      </w:r>
      <w:r w:rsidR="009B140C" w:rsidRPr="009B140C">
        <w:rPr>
          <w:b/>
        </w:rPr>
        <w:t> </w:t>
      </w:r>
      <w:r w:rsidRPr="009B140C">
        <w:rPr>
          <w:b/>
        </w:rPr>
        <w:t>430 ust.</w:t>
      </w:r>
      <w:r w:rsidR="009B140C" w:rsidRPr="009B140C">
        <w:rPr>
          <w:b/>
        </w:rPr>
        <w:t> </w:t>
      </w:r>
      <w:r w:rsidRPr="009B140C">
        <w:rPr>
          <w:b/>
        </w:rPr>
        <w:t>1 rozporządzenia (UE) nr</w:t>
      </w:r>
      <w:r w:rsidR="009B140C" w:rsidRPr="009B140C">
        <w:rPr>
          <w:b/>
        </w:rPr>
        <w:t> </w:t>
      </w:r>
      <w:r w:rsidRPr="009B140C">
        <w:rPr>
          <w:b/>
        </w:rPr>
        <w:t>575/2013 na zasadzie indywidualnej</w:t>
      </w:r>
      <w:r w:rsidR="009B140C" w:rsidRPr="009B140C">
        <w:rPr>
          <w:b/>
        </w:rPr>
        <w:t xml:space="preserve"> i</w:t>
      </w:r>
      <w:r w:rsidR="009B140C">
        <w:rPr>
          <w:b/>
        </w:rPr>
        <w:t> </w:t>
      </w:r>
      <w:r w:rsidR="009B140C" w:rsidRPr="009B140C">
        <w:rPr>
          <w:b/>
        </w:rPr>
        <w:t>sko</w:t>
      </w:r>
      <w:r w:rsidRPr="009B140C">
        <w:rPr>
          <w:b/>
        </w:rPr>
        <w:t>nsolidowanej</w:t>
      </w:r>
    </w:p>
    <w:p w14:paraId="663A2D70" w14:textId="21F90D2D" w:rsidR="00FE0C02" w:rsidRPr="009B140C" w:rsidRDefault="00FE0C02" w:rsidP="005F180D">
      <w:pPr>
        <w:pStyle w:val="NumPar1"/>
        <w:numPr>
          <w:ilvl w:val="0"/>
          <w:numId w:val="21"/>
        </w:numPr>
      </w:pPr>
      <w:r w:rsidRPr="009B140C">
        <w:t>Instytucje przedstawiają informacje określone</w:t>
      </w:r>
      <w:r w:rsidR="009B140C" w:rsidRPr="009B140C">
        <w:t xml:space="preserve"> w</w:t>
      </w:r>
      <w:r w:rsidR="009B140C">
        <w:t> </w:t>
      </w:r>
      <w:r w:rsidR="009B140C" w:rsidRPr="009B140C">
        <w:t>zał</w:t>
      </w:r>
      <w:r w:rsidRPr="009B140C">
        <w:t>ączniku VI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VII na zasadzie skonsolidowanej</w:t>
      </w:r>
      <w:r w:rsidR="009B140C" w:rsidRPr="009B140C">
        <w:t xml:space="preserve"> z</w:t>
      </w:r>
      <w:r w:rsidR="009B140C">
        <w:t> </w:t>
      </w:r>
      <w:r w:rsidR="009B140C" w:rsidRPr="009B140C">
        <w:t>czę</w:t>
      </w:r>
      <w:r w:rsidRPr="009B140C">
        <w:t>stotliwością roczną.</w:t>
      </w:r>
    </w:p>
    <w:p w14:paraId="60EE04AB" w14:textId="51698388" w:rsidR="00FE0C02" w:rsidRPr="009B140C" w:rsidRDefault="00FE0C02" w:rsidP="00FE0C02">
      <w:pPr>
        <w:pStyle w:val="NumPar1"/>
        <w:numPr>
          <w:ilvl w:val="0"/>
          <w:numId w:val="10"/>
        </w:numPr>
      </w:pPr>
      <w:r w:rsidRPr="009B140C">
        <w:t>Instytucje przedstawiają informacje określone</w:t>
      </w:r>
      <w:r w:rsidR="009B140C" w:rsidRPr="009B140C">
        <w:t xml:space="preserve"> w</w:t>
      </w:r>
      <w:r w:rsidR="009B140C">
        <w:t> </w:t>
      </w:r>
      <w:r w:rsidR="009B140C" w:rsidRPr="009B140C">
        <w:t>zał</w:t>
      </w:r>
      <w:r w:rsidRPr="009B140C">
        <w:t>ączniku VI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VII na zasadzie indywidualnej</w:t>
      </w:r>
      <w:r w:rsidR="009B140C" w:rsidRPr="009B140C">
        <w:t xml:space="preserve"> z</w:t>
      </w:r>
      <w:r w:rsidR="009B140C">
        <w:t> </w:t>
      </w:r>
      <w:r w:rsidR="009B140C" w:rsidRPr="009B140C">
        <w:t>czę</w:t>
      </w:r>
      <w:r w:rsidRPr="009B140C">
        <w:t>stotliwością roczną.</w:t>
      </w:r>
    </w:p>
    <w:p w14:paraId="2635EBF0" w14:textId="28156999" w:rsidR="00FE0C02" w:rsidRPr="009B140C" w:rsidRDefault="00FE0C02" w:rsidP="00FE0C02">
      <w:pPr>
        <w:pStyle w:val="NumPar1"/>
        <w:numPr>
          <w:ilvl w:val="0"/>
          <w:numId w:val="10"/>
        </w:numPr>
      </w:pPr>
      <w:r w:rsidRPr="009B140C">
        <w:t>Jeżeli instytucja posiada oddział znajdujący się</w:t>
      </w:r>
      <w:r w:rsidR="009B140C" w:rsidRPr="009B140C">
        <w:t xml:space="preserve"> w</w:t>
      </w:r>
      <w:r w:rsidR="009B140C">
        <w:t> </w:t>
      </w:r>
      <w:r w:rsidR="009B140C" w:rsidRPr="009B140C">
        <w:t>inn</w:t>
      </w:r>
      <w:r w:rsidRPr="009B140C">
        <w:t>ym państwie członkowskim, oddział ten przedstawia właściwemu organowi przyjmującego państwa członkowskiego informacje dotyczące tego oddziału określone</w:t>
      </w:r>
      <w:r w:rsidR="009B140C" w:rsidRPr="009B140C">
        <w:t xml:space="preserve"> w</w:t>
      </w:r>
      <w:r w:rsidR="009B140C">
        <w:t> </w:t>
      </w:r>
      <w:r w:rsidR="009B140C" w:rsidRPr="009B140C">
        <w:t>zał</w:t>
      </w:r>
      <w:r w:rsidRPr="009B140C">
        <w:t>ączniku VI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VII</w:t>
      </w:r>
      <w:r w:rsidR="009B140C" w:rsidRPr="009B140C">
        <w:t xml:space="preserve"> z</w:t>
      </w:r>
      <w:r w:rsidR="009B140C">
        <w:t> </w:t>
      </w:r>
      <w:r w:rsidR="009B140C" w:rsidRPr="009B140C">
        <w:t>czę</w:t>
      </w:r>
      <w:r w:rsidRPr="009B140C">
        <w:t>stotliwością roczną.</w:t>
      </w:r>
    </w:p>
    <w:p w14:paraId="7DA92B87" w14:textId="77777777" w:rsidR="00FE0C02" w:rsidRPr="009B140C" w:rsidRDefault="00FE0C02" w:rsidP="00FE0C02">
      <w:pPr>
        <w:pStyle w:val="Titrearticle"/>
      </w:pPr>
      <w:r w:rsidRPr="009B140C">
        <w:t>Artykuł 14</w:t>
      </w:r>
    </w:p>
    <w:p w14:paraId="5DF7D5F9" w14:textId="578C91A2" w:rsidR="00FE0C02" w:rsidRPr="009B140C" w:rsidRDefault="00FE0C02" w:rsidP="00FE0C02">
      <w:pPr>
        <w:pStyle w:val="Titrearticle"/>
        <w:spacing w:before="120"/>
        <w:rPr>
          <w:b/>
          <w:i w:val="0"/>
        </w:rPr>
      </w:pPr>
      <w:r w:rsidRPr="009B140C">
        <w:rPr>
          <w:b/>
          <w:i w:val="0"/>
        </w:rPr>
        <w:t>Sprawozdawczość dotycząca dużych ekspozycji na zasadzie indywidualnej</w:t>
      </w:r>
      <w:r w:rsidR="009B140C" w:rsidRPr="009B140C">
        <w:rPr>
          <w:b/>
          <w:i w:val="0"/>
        </w:rPr>
        <w:t xml:space="preserve"> i</w:t>
      </w:r>
      <w:r w:rsidR="009B140C">
        <w:rPr>
          <w:b/>
          <w:i w:val="0"/>
        </w:rPr>
        <w:t> </w:t>
      </w:r>
      <w:r w:rsidR="009B140C" w:rsidRPr="009B140C">
        <w:rPr>
          <w:b/>
          <w:i w:val="0"/>
        </w:rPr>
        <w:t>sko</w:t>
      </w:r>
      <w:r w:rsidRPr="009B140C">
        <w:rPr>
          <w:b/>
          <w:i w:val="0"/>
        </w:rPr>
        <w:t>nsolidowanej</w:t>
      </w:r>
    </w:p>
    <w:p w14:paraId="07D89C15" w14:textId="33D59255" w:rsidR="00FE0C02" w:rsidRPr="009B140C" w:rsidRDefault="00FE0C02" w:rsidP="005F180D">
      <w:pPr>
        <w:pStyle w:val="NumPar1"/>
        <w:numPr>
          <w:ilvl w:val="0"/>
          <w:numId w:val="22"/>
        </w:numPr>
      </w:pPr>
      <w:r w:rsidRPr="009B140C">
        <w:t>Do celów sprawozdawczości dotyczącej dużych ekspozycji wobec klientów</w:t>
      </w:r>
      <w:r w:rsidR="009B140C" w:rsidRPr="009B140C">
        <w:t xml:space="preserve"> i</w:t>
      </w:r>
      <w:r w:rsidR="009B140C">
        <w:t> </w:t>
      </w:r>
      <w:r w:rsidR="009B140C" w:rsidRPr="009B140C">
        <w:t>gru</w:t>
      </w:r>
      <w:r w:rsidRPr="009B140C">
        <w:t>p powiązanych klientów zgodnie</w:t>
      </w:r>
      <w:r w:rsidR="009B140C" w:rsidRPr="009B140C">
        <w:t xml:space="preserve"> z</w:t>
      </w:r>
      <w:r w:rsidR="009B140C">
        <w:t> </w:t>
      </w:r>
      <w:r w:rsidR="009B140C" w:rsidRPr="009B140C">
        <w:t>art</w:t>
      </w:r>
      <w:r w:rsidRPr="009B140C">
        <w:t>.</w:t>
      </w:r>
      <w:r w:rsidR="009B140C" w:rsidRPr="009B140C">
        <w:t> </w:t>
      </w:r>
      <w:r w:rsidRPr="009B140C">
        <w:t>394 rozporządzenia (UE) nr</w:t>
      </w:r>
      <w:r w:rsidR="009B140C" w:rsidRPr="009B140C">
        <w:t> </w:t>
      </w:r>
      <w:r w:rsidRPr="009B140C">
        <w:t>575/2013 na zasadzie indywidualnej</w:t>
      </w:r>
      <w:r w:rsidR="009B140C" w:rsidRPr="009B140C">
        <w:t xml:space="preserve"> i</w:t>
      </w:r>
      <w:r w:rsidR="009B140C">
        <w:t> </w:t>
      </w:r>
      <w:r w:rsidR="009B140C" w:rsidRPr="009B140C">
        <w:t>sko</w:t>
      </w:r>
      <w:r w:rsidRPr="009B140C">
        <w:t>nsolidowanej instytucje przedstawiają informacje określone</w:t>
      </w:r>
      <w:r w:rsidR="009B140C" w:rsidRPr="009B140C">
        <w:t xml:space="preserve"> w</w:t>
      </w:r>
      <w:r w:rsidR="009B140C">
        <w:t> </w:t>
      </w:r>
      <w:r w:rsidR="009B140C" w:rsidRPr="009B140C">
        <w:t>zał</w:t>
      </w:r>
      <w:r w:rsidRPr="009B140C">
        <w:t>ączniku VIII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IX</w:t>
      </w:r>
      <w:r w:rsidR="009B140C" w:rsidRPr="009B140C">
        <w:t xml:space="preserve"> z</w:t>
      </w:r>
      <w:r w:rsidR="009B140C">
        <w:t> </w:t>
      </w:r>
      <w:r w:rsidR="009B140C" w:rsidRPr="009B140C">
        <w:t>czę</w:t>
      </w:r>
      <w:r w:rsidRPr="009B140C">
        <w:t>stotliwością kwartalną.</w:t>
      </w:r>
    </w:p>
    <w:p w14:paraId="1BE89751" w14:textId="3A317438" w:rsidR="00FE0C02" w:rsidRPr="009B140C" w:rsidRDefault="00FE0C02" w:rsidP="00FE0C02">
      <w:pPr>
        <w:pStyle w:val="NumPar1"/>
        <w:numPr>
          <w:ilvl w:val="0"/>
          <w:numId w:val="10"/>
        </w:numPr>
      </w:pPr>
      <w:r w:rsidRPr="009B140C">
        <w:t>Do celów sprawozdawczości dotyczącej 20 największych ekspozycji wobec klientów lub grup powiązanych klientów zgodnie</w:t>
      </w:r>
      <w:r w:rsidR="009B140C" w:rsidRPr="009B140C">
        <w:t xml:space="preserve"> z</w:t>
      </w:r>
      <w:r w:rsidR="009B140C">
        <w:t> </w:t>
      </w:r>
      <w:r w:rsidR="009B140C" w:rsidRPr="009B140C">
        <w:t>art</w:t>
      </w:r>
      <w:r w:rsidRPr="009B140C">
        <w:t>.</w:t>
      </w:r>
      <w:r w:rsidR="009B140C" w:rsidRPr="009B140C">
        <w:t> </w:t>
      </w:r>
      <w:r w:rsidRPr="009B140C">
        <w:t>394 ust.</w:t>
      </w:r>
      <w:r w:rsidR="009B140C" w:rsidRPr="009B140C">
        <w:t> </w:t>
      </w:r>
      <w:r w:rsidRPr="009B140C">
        <w:t>1 rozporządzenia (UE) nr</w:t>
      </w:r>
      <w:r w:rsidR="009B140C" w:rsidRPr="009B140C">
        <w:t> </w:t>
      </w:r>
      <w:r w:rsidRPr="009B140C">
        <w:t>575/2013 na zasadzie skonsolidowanej instytucje, które są objęte zakresem części trzeciej tytuł II rozdział 3 rozporządzenia (UE) nr</w:t>
      </w:r>
      <w:r w:rsidR="009B140C" w:rsidRPr="009B140C">
        <w:t> </w:t>
      </w:r>
      <w:r w:rsidRPr="009B140C">
        <w:t>575/2013, przedstawiają informacje określone</w:t>
      </w:r>
      <w:r w:rsidR="009B140C" w:rsidRPr="009B140C">
        <w:t xml:space="preserve"> w</w:t>
      </w:r>
      <w:r w:rsidR="009B140C">
        <w:t> </w:t>
      </w:r>
      <w:r w:rsidR="009B140C" w:rsidRPr="009B140C">
        <w:t>zał</w:t>
      </w:r>
      <w:r w:rsidRPr="009B140C">
        <w:t>ączniku VIII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IX</w:t>
      </w:r>
      <w:r w:rsidR="009B140C" w:rsidRPr="009B140C">
        <w:t xml:space="preserve"> z</w:t>
      </w:r>
      <w:r w:rsidR="009B140C">
        <w:t> </w:t>
      </w:r>
      <w:r w:rsidR="009B140C" w:rsidRPr="009B140C">
        <w:t>czę</w:t>
      </w:r>
      <w:r w:rsidRPr="009B140C">
        <w:t>stotliwością kwartalną.</w:t>
      </w:r>
    </w:p>
    <w:p w14:paraId="4501AF0E" w14:textId="0937D795" w:rsidR="00FE0C02" w:rsidRPr="009B140C" w:rsidRDefault="00FE0C02" w:rsidP="00FE0C02">
      <w:pPr>
        <w:pStyle w:val="NumPar1"/>
        <w:numPr>
          <w:ilvl w:val="0"/>
          <w:numId w:val="10"/>
        </w:numPr>
      </w:pPr>
      <w:r w:rsidRPr="009B140C">
        <w:t>Do celów sprawozdawczości dotyczącej ekspozycji</w:t>
      </w:r>
      <w:r w:rsidR="009B140C" w:rsidRPr="009B140C">
        <w:t xml:space="preserve"> o</w:t>
      </w:r>
      <w:r w:rsidR="009B140C">
        <w:t> </w:t>
      </w:r>
      <w:r w:rsidR="009B140C" w:rsidRPr="009B140C">
        <w:t>war</w:t>
      </w:r>
      <w:r w:rsidRPr="009B140C">
        <w:t>tości co najmniej 300 mln EUR, ale poniżej 10</w:t>
      </w:r>
      <w:r w:rsidR="009B140C" w:rsidRPr="009B140C">
        <w:t> </w:t>
      </w:r>
      <w:r w:rsidRPr="009B140C">
        <w:t>% kapitału Tier I instytucji, zgodnie</w:t>
      </w:r>
      <w:r w:rsidR="009B140C" w:rsidRPr="009B140C">
        <w:t xml:space="preserve"> z</w:t>
      </w:r>
      <w:r w:rsidR="009B140C">
        <w:t> </w:t>
      </w:r>
      <w:r w:rsidR="009B140C" w:rsidRPr="009B140C">
        <w:t>art</w:t>
      </w:r>
      <w:r w:rsidRPr="009B140C">
        <w:t>.</w:t>
      </w:r>
      <w:r w:rsidR="009B140C" w:rsidRPr="009B140C">
        <w:t> </w:t>
      </w:r>
      <w:r w:rsidRPr="009B140C">
        <w:t>394 ust.</w:t>
      </w:r>
      <w:r w:rsidR="009B140C" w:rsidRPr="009B140C">
        <w:t> </w:t>
      </w:r>
      <w:r w:rsidRPr="009B140C">
        <w:t>1 rozporządzenia (UE) nr</w:t>
      </w:r>
      <w:r w:rsidR="009B140C" w:rsidRPr="009B140C">
        <w:t> </w:t>
      </w:r>
      <w:r w:rsidRPr="009B140C">
        <w:t>575/2013 na zasadzie skonsolidowanej, instytucje przedstawiają informacje określone</w:t>
      </w:r>
      <w:r w:rsidR="009B140C" w:rsidRPr="009B140C">
        <w:t xml:space="preserve"> w</w:t>
      </w:r>
      <w:r w:rsidR="009B140C">
        <w:t> </w:t>
      </w:r>
      <w:r w:rsidR="009B140C" w:rsidRPr="009B140C">
        <w:t>zał</w:t>
      </w:r>
      <w:r w:rsidRPr="009B140C">
        <w:t>ączniku VIII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IX</w:t>
      </w:r>
      <w:r w:rsidR="009B140C" w:rsidRPr="009B140C">
        <w:t xml:space="preserve"> z</w:t>
      </w:r>
      <w:r w:rsidR="009B140C">
        <w:t> </w:t>
      </w:r>
      <w:r w:rsidR="009B140C" w:rsidRPr="009B140C">
        <w:t>czę</w:t>
      </w:r>
      <w:r w:rsidRPr="009B140C">
        <w:t>stotliwością kwartalną.</w:t>
      </w:r>
    </w:p>
    <w:p w14:paraId="6CA58180" w14:textId="653685EA" w:rsidR="00FE0C02" w:rsidRPr="009B140C" w:rsidRDefault="00FE0C02" w:rsidP="00FE0C02">
      <w:pPr>
        <w:pStyle w:val="NumPar1"/>
        <w:numPr>
          <w:ilvl w:val="0"/>
          <w:numId w:val="10"/>
        </w:numPr>
      </w:pPr>
      <w:r w:rsidRPr="009B140C">
        <w:t xml:space="preserve">Do celów sprawozdawczości dotyczącej 10 największych ekspozycji wobec instytucji na zasadzie skonsolidowanej oraz 10 największych ekspozycji wobec podmiotów prowadzących działalność parabankową, które prowadzą także </w:t>
      </w:r>
      <w:r w:rsidRPr="009B140C">
        <w:lastRenderedPageBreak/>
        <w:t>działalność bankową poza rynkiem regulowanym, na zasadzie skonsolidowanej zgodnie</w:t>
      </w:r>
      <w:r w:rsidR="009B140C" w:rsidRPr="009B140C">
        <w:t xml:space="preserve"> z</w:t>
      </w:r>
      <w:r w:rsidR="009B140C">
        <w:t> </w:t>
      </w:r>
      <w:r w:rsidR="009B140C" w:rsidRPr="009B140C">
        <w:t>art</w:t>
      </w:r>
      <w:r w:rsidRPr="009B140C">
        <w:t>.</w:t>
      </w:r>
      <w:r w:rsidR="009B140C" w:rsidRPr="009B140C">
        <w:t> </w:t>
      </w:r>
      <w:r w:rsidRPr="009B140C">
        <w:t>394 ust.</w:t>
      </w:r>
      <w:r w:rsidR="009B140C" w:rsidRPr="009B140C">
        <w:t> </w:t>
      </w:r>
      <w:r w:rsidRPr="009B140C">
        <w:t>2 rozporządzenia (UE) nr</w:t>
      </w:r>
      <w:r w:rsidR="009B140C" w:rsidRPr="009B140C">
        <w:t> </w:t>
      </w:r>
      <w:r w:rsidRPr="009B140C">
        <w:t>575/2013, instytucje przedstawiają informacje określone</w:t>
      </w:r>
      <w:r w:rsidR="009B140C" w:rsidRPr="009B140C">
        <w:t xml:space="preserve"> w</w:t>
      </w:r>
      <w:r w:rsidR="009B140C">
        <w:t> </w:t>
      </w:r>
      <w:r w:rsidR="009B140C" w:rsidRPr="009B140C">
        <w:t>zał</w:t>
      </w:r>
      <w:r w:rsidRPr="009B140C">
        <w:t>ączniku VIII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IX</w:t>
      </w:r>
      <w:r w:rsidR="009B140C" w:rsidRPr="009B140C">
        <w:t xml:space="preserve"> z</w:t>
      </w:r>
      <w:r w:rsidR="009B140C">
        <w:t> </w:t>
      </w:r>
      <w:r w:rsidR="009B140C" w:rsidRPr="009B140C">
        <w:t>czę</w:t>
      </w:r>
      <w:r w:rsidRPr="009B140C">
        <w:t>stotliwością kwartalną.</w:t>
      </w:r>
    </w:p>
    <w:p w14:paraId="24660E67"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15</w:t>
      </w:r>
      <w:r w:rsidR="00D90D81" w:rsidRPr="009B140C">
        <w:fldChar w:fldCharType="end"/>
      </w:r>
    </w:p>
    <w:p w14:paraId="7A43457A" w14:textId="74AB3B5A" w:rsidR="00FE0C02" w:rsidRPr="009B140C" w:rsidRDefault="00FE0C02" w:rsidP="00FE0C02">
      <w:pPr>
        <w:pStyle w:val="Titrearticle"/>
        <w:spacing w:before="120"/>
        <w:rPr>
          <w:b/>
          <w:i w:val="0"/>
        </w:rPr>
      </w:pPr>
      <w:r w:rsidRPr="009B140C">
        <w:rPr>
          <w:b/>
          <w:i w:val="0"/>
        </w:rPr>
        <w:t>Sprawozdawczość</w:t>
      </w:r>
      <w:r w:rsidR="009B140C" w:rsidRPr="009B140C">
        <w:rPr>
          <w:b/>
          <w:i w:val="0"/>
        </w:rPr>
        <w:t xml:space="preserve"> w</w:t>
      </w:r>
      <w:r w:rsidR="009B140C">
        <w:rPr>
          <w:b/>
          <w:i w:val="0"/>
        </w:rPr>
        <w:t> </w:t>
      </w:r>
      <w:r w:rsidR="009B140C" w:rsidRPr="009B140C">
        <w:rPr>
          <w:b/>
          <w:i w:val="0"/>
        </w:rPr>
        <w:t>zak</w:t>
      </w:r>
      <w:r w:rsidRPr="009B140C">
        <w:rPr>
          <w:b/>
          <w:i w:val="0"/>
        </w:rPr>
        <w:t>resie wskaźnika dźwigni na zasadzie indywidualnej</w:t>
      </w:r>
      <w:r w:rsidR="009B140C" w:rsidRPr="009B140C">
        <w:rPr>
          <w:b/>
          <w:i w:val="0"/>
        </w:rPr>
        <w:t xml:space="preserve"> i</w:t>
      </w:r>
      <w:r w:rsidR="009B140C">
        <w:rPr>
          <w:b/>
          <w:i w:val="0"/>
        </w:rPr>
        <w:t> </w:t>
      </w:r>
      <w:r w:rsidR="009B140C" w:rsidRPr="009B140C">
        <w:rPr>
          <w:b/>
          <w:i w:val="0"/>
        </w:rPr>
        <w:t>sko</w:t>
      </w:r>
      <w:r w:rsidRPr="009B140C">
        <w:rPr>
          <w:b/>
          <w:i w:val="0"/>
        </w:rPr>
        <w:t>nsolidowanej</w:t>
      </w:r>
    </w:p>
    <w:p w14:paraId="01CD6524" w14:textId="63FC3343" w:rsidR="00FE0C02" w:rsidRPr="009B140C" w:rsidRDefault="00FE0C02" w:rsidP="005F180D">
      <w:pPr>
        <w:pStyle w:val="NumPar1"/>
        <w:numPr>
          <w:ilvl w:val="0"/>
          <w:numId w:val="23"/>
        </w:numPr>
      </w:pPr>
      <w:r w:rsidRPr="009B140C">
        <w:t>Do celów sprawozdawczości dotyczącej wskaźnika dźwigni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a) rozporządzenia (UE) nr</w:t>
      </w:r>
      <w:r w:rsidR="009B140C" w:rsidRPr="009B140C">
        <w:t> </w:t>
      </w:r>
      <w:r w:rsidRPr="009B140C">
        <w:t>575/2013 na zasadzie indywidualnej</w:t>
      </w:r>
      <w:r w:rsidR="009B140C" w:rsidRPr="009B140C">
        <w:t xml:space="preserve"> i</w:t>
      </w:r>
      <w:r w:rsidR="009B140C">
        <w:t> </w:t>
      </w:r>
      <w:r w:rsidR="009B140C" w:rsidRPr="009B140C">
        <w:t>sko</w:t>
      </w:r>
      <w:r w:rsidRPr="009B140C">
        <w:t>nsolidowanej instytucje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XI</w:t>
      </w:r>
      <w:r w:rsidR="009B140C" w:rsidRPr="009B140C">
        <w:t xml:space="preserve"> z</w:t>
      </w:r>
      <w:r w:rsidR="009B140C">
        <w:t> </w:t>
      </w:r>
      <w:r w:rsidR="009B140C" w:rsidRPr="009B140C">
        <w:t>czę</w:t>
      </w:r>
      <w:r w:rsidRPr="009B140C">
        <w:t>stotliwością kwartalną. Tylko duże instytucje przedkładają wzór 48.00 załącznika X.</w:t>
      </w:r>
    </w:p>
    <w:p w14:paraId="3FADC775" w14:textId="75A60DD7" w:rsidR="00FE0C02" w:rsidRPr="009B140C" w:rsidRDefault="00FE0C02" w:rsidP="00FE0C02">
      <w:pPr>
        <w:pStyle w:val="NumPar1"/>
        <w:numPr>
          <w:ilvl w:val="0"/>
          <w:numId w:val="10"/>
        </w:numPr>
      </w:pPr>
      <w:r w:rsidRPr="009B140C">
        <w:t>Informacje określone</w:t>
      </w:r>
      <w:r w:rsidR="009B140C" w:rsidRPr="009B140C">
        <w:t xml:space="preserve"> w</w:t>
      </w:r>
      <w:r w:rsidR="009B140C">
        <w:t> </w:t>
      </w:r>
      <w:r w:rsidR="009B140C" w:rsidRPr="009B140C">
        <w:t>zał</w:t>
      </w:r>
      <w:r w:rsidRPr="009B140C">
        <w:t>ączniku X wzór 40.00 komórka {r0410;c0010} zgłaszają wyłącznie:</w:t>
      </w:r>
    </w:p>
    <w:p w14:paraId="08C9A1E3" w14:textId="0882072A" w:rsidR="00FE0C02" w:rsidRPr="009B140C" w:rsidRDefault="00FE0C02" w:rsidP="00FE0C02">
      <w:pPr>
        <w:pStyle w:val="Point2"/>
      </w:pPr>
      <w:r w:rsidRPr="009B140C">
        <w:t>a)</w:t>
      </w:r>
      <w:r w:rsidRPr="009B140C">
        <w:tab/>
        <w:t>duże instytucje, które są globalnymi instytucjami</w:t>
      </w:r>
      <w:r w:rsidR="009B140C" w:rsidRPr="009B140C">
        <w:t xml:space="preserve"> o</w:t>
      </w:r>
      <w:r w:rsidR="009B140C">
        <w:t> </w:t>
      </w:r>
      <w:r w:rsidR="009B140C" w:rsidRPr="009B140C">
        <w:t>zna</w:t>
      </w:r>
      <w:r w:rsidRPr="009B140C">
        <w:t>czeniu systemowym albo wyemitowały papiery wartościowe dopuszczane do obrotu na rynku regulowanym</w:t>
      </w:r>
      <w:r w:rsidR="009B140C" w:rsidRPr="009B140C">
        <w:t xml:space="preserve"> z</w:t>
      </w:r>
      <w:r w:rsidR="009B140C">
        <w:t> </w:t>
      </w:r>
      <w:r w:rsidR="009B140C" w:rsidRPr="009B140C">
        <w:t>czę</w:t>
      </w:r>
      <w:r w:rsidRPr="009B140C">
        <w:t xml:space="preserve">stotliwością półroczną; </w:t>
      </w:r>
    </w:p>
    <w:p w14:paraId="3A54256E" w14:textId="656867F7" w:rsidR="00FE0C02" w:rsidRPr="009B140C" w:rsidRDefault="00FE0C02" w:rsidP="00FE0C02">
      <w:pPr>
        <w:pStyle w:val="Point2"/>
      </w:pPr>
      <w:r w:rsidRPr="009B140C">
        <w:t>b)</w:t>
      </w:r>
      <w:r w:rsidRPr="009B140C">
        <w:tab/>
        <w:t>duże instytucje inne niż globalne instytucje</w:t>
      </w:r>
      <w:r w:rsidR="009B140C" w:rsidRPr="009B140C">
        <w:t xml:space="preserve"> o</w:t>
      </w:r>
      <w:r w:rsidR="009B140C">
        <w:t> </w:t>
      </w:r>
      <w:r w:rsidR="009B140C" w:rsidRPr="009B140C">
        <w:t>zna</w:t>
      </w:r>
      <w:r w:rsidRPr="009B140C">
        <w:t>czeniu systemowym, które nie emitują papierów dopuszczalnych do obrotu</w:t>
      </w:r>
      <w:r w:rsidR="009B140C" w:rsidRPr="009B140C">
        <w:t xml:space="preserve"> z</w:t>
      </w:r>
      <w:r w:rsidR="009B140C">
        <w:t> </w:t>
      </w:r>
      <w:r w:rsidR="009B140C" w:rsidRPr="009B140C">
        <w:t>czę</w:t>
      </w:r>
      <w:r w:rsidRPr="009B140C">
        <w:t>stotliwością roczną,</w:t>
      </w:r>
    </w:p>
    <w:p w14:paraId="492CCDFE" w14:textId="3547233D" w:rsidR="00FE0C02" w:rsidRPr="009B140C" w:rsidRDefault="00FE0C02" w:rsidP="00FE0C02">
      <w:pPr>
        <w:pStyle w:val="Point2"/>
      </w:pPr>
      <w:r w:rsidRPr="009B140C">
        <w:t>c)</w:t>
      </w:r>
      <w:r w:rsidRPr="009B140C">
        <w:tab/>
        <w:t>instytucje inne niż duże instytucje oraz małe</w:t>
      </w:r>
      <w:r w:rsidR="009B140C" w:rsidRPr="009B140C">
        <w:t xml:space="preserve"> i</w:t>
      </w:r>
      <w:r w:rsidR="009B140C">
        <w:t> </w:t>
      </w:r>
      <w:r w:rsidR="009B140C" w:rsidRPr="009B140C">
        <w:t>nie</w:t>
      </w:r>
      <w:r w:rsidRPr="009B140C">
        <w:t>złożone instytucje, które wyemitowały papiery wartościowe dopuszczane do obrotu na rynku regulowanym</w:t>
      </w:r>
      <w:r w:rsidR="009B140C" w:rsidRPr="009B140C">
        <w:t xml:space="preserve"> z</w:t>
      </w:r>
      <w:r w:rsidR="009B140C">
        <w:t> </w:t>
      </w:r>
      <w:r w:rsidR="009B140C" w:rsidRPr="009B140C">
        <w:t>czę</w:t>
      </w:r>
      <w:r w:rsidRPr="009B140C">
        <w:t xml:space="preserve">stotliwością roczną. </w:t>
      </w:r>
    </w:p>
    <w:p w14:paraId="56E76BBA" w14:textId="69DB9599" w:rsidR="00FE0C02" w:rsidRPr="009B140C" w:rsidRDefault="00FE0C02" w:rsidP="00FE0C02">
      <w:pPr>
        <w:pStyle w:val="NumPar1"/>
        <w:numPr>
          <w:ilvl w:val="0"/>
          <w:numId w:val="10"/>
        </w:numPr>
      </w:pPr>
      <w:r w:rsidRPr="009B140C">
        <w:t>Instytucje obliczają wskaźnik dźwigni</w:t>
      </w:r>
      <w:r w:rsidR="009B140C" w:rsidRPr="009B140C">
        <w:t xml:space="preserve"> w</w:t>
      </w:r>
      <w:r w:rsidR="009B140C">
        <w:t> </w:t>
      </w:r>
      <w:r w:rsidR="009B140C" w:rsidRPr="009B140C">
        <w:t>spr</w:t>
      </w:r>
      <w:r w:rsidRPr="009B140C">
        <w:t>awozdawczym dniu odniesienia zgodnie</w:t>
      </w:r>
      <w:r w:rsidR="009B140C" w:rsidRPr="009B140C">
        <w:t xml:space="preserve"> z</w:t>
      </w:r>
      <w:r w:rsidR="009B140C">
        <w:t> </w:t>
      </w:r>
      <w:r w:rsidR="009B140C" w:rsidRPr="009B140C">
        <w:t>art</w:t>
      </w:r>
      <w:r w:rsidRPr="009B140C">
        <w:t>.</w:t>
      </w:r>
      <w:r w:rsidR="009B140C" w:rsidRPr="009B140C">
        <w:t> </w:t>
      </w:r>
      <w:r w:rsidRPr="009B140C">
        <w:t>429 rozporządzenia (UE) nr</w:t>
      </w:r>
      <w:r w:rsidR="009B140C" w:rsidRPr="009B140C">
        <w:t> </w:t>
      </w:r>
      <w:r w:rsidRPr="009B140C">
        <w:t>575/2013.</w:t>
      </w:r>
    </w:p>
    <w:p w14:paraId="071CB257" w14:textId="3998923F" w:rsidR="00FE0C02" w:rsidRPr="009B140C" w:rsidRDefault="00FE0C02" w:rsidP="00FE0C02">
      <w:pPr>
        <w:pStyle w:val="NumPar1"/>
        <w:numPr>
          <w:ilvl w:val="0"/>
          <w:numId w:val="10"/>
        </w:numPr>
      </w:pPr>
      <w:r w:rsidRPr="009B140C">
        <w:t>Instytucje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13,</w:t>
      </w:r>
      <w:r w:rsidR="009B140C" w:rsidRPr="009B140C">
        <w:t xml:space="preserve"> w</w:t>
      </w:r>
      <w:r w:rsidR="009B140C">
        <w:t> </w:t>
      </w:r>
      <w:r w:rsidR="009B140C" w:rsidRPr="009B140C">
        <w:t>prz</w:t>
      </w:r>
      <w:r w:rsidRPr="009B140C">
        <w:t>ypadku spełnienia co najmniej jednego</w:t>
      </w:r>
      <w:r w:rsidR="009B140C" w:rsidRPr="009B140C">
        <w:t xml:space="preserve"> z</w:t>
      </w:r>
      <w:r w:rsidR="009B140C">
        <w:t> </w:t>
      </w:r>
      <w:r w:rsidR="009B140C" w:rsidRPr="009B140C">
        <w:t>pon</w:t>
      </w:r>
      <w:r w:rsidRPr="009B140C">
        <w:t>iższych warunków:</w:t>
      </w:r>
    </w:p>
    <w:p w14:paraId="72F25911" w14:textId="7BC95468" w:rsidR="00FE0C02" w:rsidRPr="009B140C" w:rsidRDefault="00FE0C02" w:rsidP="00FE0C02">
      <w:pPr>
        <w:pStyle w:val="Point1"/>
      </w:pPr>
      <w:r w:rsidRPr="009B140C">
        <w:t>a)</w:t>
      </w:r>
      <w:r w:rsidRPr="009B140C">
        <w:tab/>
        <w:t>udział instrumentów pochodnych,</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5, przekracza 1,5</w:t>
      </w:r>
      <w:r w:rsidR="009B140C" w:rsidRPr="009B140C">
        <w:t> </w:t>
      </w:r>
      <w:r w:rsidRPr="009B140C">
        <w:t>%;</w:t>
      </w:r>
    </w:p>
    <w:p w14:paraId="564FDA7C" w14:textId="6A265E82" w:rsidR="00FE0C02" w:rsidRPr="009B140C" w:rsidRDefault="00FE0C02" w:rsidP="00FE0C02">
      <w:pPr>
        <w:pStyle w:val="Point1"/>
      </w:pPr>
      <w:r w:rsidRPr="009B140C">
        <w:t>b)</w:t>
      </w:r>
      <w:r w:rsidRPr="009B140C">
        <w:tab/>
        <w:t>udział instrumentów pochodnych,</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5, przekracza 2</w:t>
      </w:r>
      <w:r w:rsidR="009B140C" w:rsidRPr="009B140C">
        <w:t> </w:t>
      </w:r>
      <w:r w:rsidRPr="009B140C">
        <w:t>%.</w:t>
      </w:r>
    </w:p>
    <w:p w14:paraId="507DA3E2" w14:textId="4D605AA7" w:rsidR="00FE0C02" w:rsidRPr="009B140C" w:rsidRDefault="00FE0C02" w:rsidP="00FE0C02">
      <w:pPr>
        <w:pStyle w:val="Text1"/>
        <w:rPr>
          <w:szCs w:val="24"/>
        </w:rPr>
      </w:pPr>
      <w:r w:rsidRPr="009B140C">
        <w:t>Jeżeli instytucja spełnia jedynie warunek określony</w:t>
      </w:r>
      <w:r w:rsidR="009B140C" w:rsidRPr="009B140C">
        <w:t xml:space="preserve"> w</w:t>
      </w:r>
      <w:r w:rsidR="009B140C">
        <w:t> </w:t>
      </w:r>
      <w:r w:rsidR="009B140C" w:rsidRPr="009B140C">
        <w:t>lit</w:t>
      </w:r>
      <w:r w:rsidRPr="009B140C">
        <w:t>.</w:t>
      </w:r>
      <w:r w:rsidR="009B140C" w:rsidRPr="009B140C">
        <w:t> </w:t>
      </w:r>
      <w:r w:rsidRPr="009B140C">
        <w:t>a), stosuje się kryteria wejściowe</w:t>
      </w:r>
      <w:r w:rsidR="009B140C" w:rsidRPr="009B140C">
        <w:t xml:space="preserve"> i</w:t>
      </w:r>
      <w:r w:rsidR="009B140C">
        <w:t> </w:t>
      </w:r>
      <w:r w:rsidR="009B140C" w:rsidRPr="009B140C">
        <w:t>wyj</w:t>
      </w:r>
      <w:r w:rsidRPr="009B140C">
        <w:t>ściowe,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 xml:space="preserve">3. </w:t>
      </w:r>
    </w:p>
    <w:p w14:paraId="7F04F0F6" w14:textId="7D95CB72" w:rsidR="00FE0C02" w:rsidRPr="009B140C" w:rsidRDefault="00FE0C02" w:rsidP="00FE0C02">
      <w:pPr>
        <w:pStyle w:val="Text1"/>
      </w:pPr>
      <w:r w:rsidRPr="009B140C">
        <w:t>Jeżeli instytucja spełnia zarówno warunek określony</w:t>
      </w:r>
      <w:r w:rsidR="009B140C" w:rsidRPr="009B140C">
        <w:t xml:space="preserve"> w</w:t>
      </w:r>
      <w:r w:rsidR="009B140C">
        <w:t> </w:t>
      </w:r>
      <w:r w:rsidR="009B140C" w:rsidRPr="009B140C">
        <w:t>lit</w:t>
      </w:r>
      <w:r w:rsidRPr="009B140C">
        <w:t>.</w:t>
      </w:r>
      <w:r w:rsidR="009B140C" w:rsidRPr="009B140C">
        <w:t> </w:t>
      </w:r>
      <w:r w:rsidRPr="009B140C">
        <w:t>a), jak</w:t>
      </w:r>
      <w:r w:rsidR="009B140C" w:rsidRPr="009B140C">
        <w:t xml:space="preserve"> i</w:t>
      </w:r>
      <w:r w:rsidR="009B140C">
        <w:t> </w:t>
      </w:r>
      <w:r w:rsidR="009B140C" w:rsidRPr="009B140C">
        <w:t>war</w:t>
      </w:r>
      <w:r w:rsidRPr="009B140C">
        <w:t>unek określony</w:t>
      </w:r>
      <w:r w:rsidR="009B140C" w:rsidRPr="009B140C">
        <w:t xml:space="preserve"> w</w:t>
      </w:r>
      <w:r w:rsidR="009B140C">
        <w:t> </w:t>
      </w:r>
      <w:r w:rsidR="009B140C" w:rsidRPr="009B140C">
        <w:t>lit</w:t>
      </w:r>
      <w:r w:rsidRPr="009B140C">
        <w:t>.</w:t>
      </w:r>
      <w:r w:rsidR="009B140C" w:rsidRPr="009B140C">
        <w:t> </w:t>
      </w:r>
      <w:r w:rsidRPr="009B140C">
        <w:t>b), rozpoczyna przedstawianie tych informacji</w:t>
      </w:r>
      <w:r w:rsidR="009B140C" w:rsidRPr="009B140C">
        <w:t xml:space="preserve"> w</w:t>
      </w:r>
      <w:r w:rsidR="009B140C">
        <w:t> </w:t>
      </w:r>
      <w:r w:rsidR="009B140C" w:rsidRPr="009B140C">
        <w:t>odn</w:t>
      </w:r>
      <w:r w:rsidRPr="009B140C">
        <w:t>iesieniu do dnia odniesienia następującego po sprawozdawczym dniu odniesienia,</w:t>
      </w:r>
      <w:r w:rsidR="009B140C" w:rsidRPr="009B140C">
        <w:t xml:space="preserve"> w</w:t>
      </w:r>
      <w:r w:rsidR="009B140C">
        <w:t> </w:t>
      </w:r>
      <w:r w:rsidR="009B140C" w:rsidRPr="009B140C">
        <w:t>któ</w:t>
      </w:r>
      <w:r w:rsidRPr="009B140C">
        <w:t>rym przekroczyła próg.</w:t>
      </w:r>
    </w:p>
    <w:p w14:paraId="7B9D01BA" w14:textId="2D0C5462" w:rsidR="00FE0C02" w:rsidRPr="009B140C" w:rsidRDefault="00FE0C02" w:rsidP="00FE0C02">
      <w:pPr>
        <w:pStyle w:val="NumPar1"/>
        <w:numPr>
          <w:ilvl w:val="0"/>
          <w:numId w:val="10"/>
        </w:numPr>
      </w:pPr>
      <w:r w:rsidRPr="009B140C">
        <w:t>Instytucje,</w:t>
      </w:r>
      <w:r w:rsidR="009B140C" w:rsidRPr="009B140C">
        <w:t xml:space="preserve"> w</w:t>
      </w:r>
      <w:r w:rsidR="009B140C">
        <w:t> </w:t>
      </w:r>
      <w:r w:rsidR="009B140C" w:rsidRPr="009B140C">
        <w:t>prz</w:t>
      </w:r>
      <w:r w:rsidRPr="009B140C">
        <w:t>ypadku których całkowita wartość nominalna instrumentów pochodnych zdefiniowana</w:t>
      </w:r>
      <w:r w:rsidR="009B140C" w:rsidRPr="009B140C">
        <w:t xml:space="preserve"> w</w:t>
      </w:r>
      <w:r w:rsidR="009B140C">
        <w:t> </w:t>
      </w:r>
      <w:r w:rsidR="009B140C" w:rsidRPr="009B140C">
        <w:t>zał</w:t>
      </w:r>
      <w:r w:rsidRPr="009B140C">
        <w:t>ączniku XI część II pkt</w:t>
      </w:r>
      <w:r w:rsidR="009B140C" w:rsidRPr="009B140C">
        <w:t> </w:t>
      </w:r>
      <w:r w:rsidRPr="009B140C">
        <w:t>8 przekracza kwotę 10 000 mln EUR,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13, nawet jeśli udział instrumentów pochodnych</w:t>
      </w:r>
      <w:r w:rsidR="009B140C" w:rsidRPr="009B140C">
        <w:t xml:space="preserve"> w</w:t>
      </w:r>
      <w:r w:rsidR="009B140C">
        <w:t> </w:t>
      </w:r>
      <w:r w:rsidR="009B140C" w:rsidRPr="009B140C">
        <w:t>ich</w:t>
      </w:r>
      <w:r w:rsidRPr="009B140C">
        <w:t xml:space="preserve"> przypadku nie spełnia warunków opisanych</w:t>
      </w:r>
      <w:r w:rsidR="009B140C" w:rsidRPr="009B140C">
        <w:t xml:space="preserve"> w</w:t>
      </w:r>
      <w:r w:rsidR="009B140C">
        <w:t> </w:t>
      </w:r>
      <w:r w:rsidR="009B140C" w:rsidRPr="009B140C">
        <w:t>ust</w:t>
      </w:r>
      <w:r w:rsidRPr="009B140C">
        <w:t>.</w:t>
      </w:r>
      <w:r w:rsidR="009B140C" w:rsidRPr="009B140C">
        <w:t> </w:t>
      </w:r>
      <w:r w:rsidRPr="009B140C">
        <w:t>4 niniejszego artykułu.</w:t>
      </w:r>
    </w:p>
    <w:p w14:paraId="51584038" w14:textId="3A0C2B23" w:rsidR="00FE0C02" w:rsidRPr="009B140C" w:rsidRDefault="00FE0C02" w:rsidP="00FE0C02">
      <w:pPr>
        <w:pStyle w:val="Text1"/>
      </w:pPr>
      <w:r w:rsidRPr="009B140C">
        <w:lastRenderedPageBreak/>
        <w:t>Do celów niniejszego ustępu nie stosuje się kryteriów wejściowych określonych</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3. Instytucje rozpoczynają przekazywanie informacji, począwszy od kolejnego sprawozdawczego dnia odniesienia, jeżeli przekroczyły próg sprawozdawczości</w:t>
      </w:r>
      <w:r w:rsidR="009B140C" w:rsidRPr="009B140C">
        <w:t xml:space="preserve"> w</w:t>
      </w:r>
      <w:r w:rsidR="009B140C">
        <w:t> </w:t>
      </w:r>
      <w:r w:rsidR="009B140C" w:rsidRPr="009B140C">
        <w:t>odn</w:t>
      </w:r>
      <w:r w:rsidRPr="009B140C">
        <w:t>iesieniu do jednego takiego dnia.</w:t>
      </w:r>
    </w:p>
    <w:p w14:paraId="41A483BA" w14:textId="761DAFB3" w:rsidR="00FE0C02" w:rsidRPr="009B140C" w:rsidRDefault="00FE0C02" w:rsidP="00FE0C02">
      <w:pPr>
        <w:pStyle w:val="NumPar1"/>
        <w:numPr>
          <w:ilvl w:val="0"/>
          <w:numId w:val="10"/>
        </w:numPr>
      </w:pPr>
      <w:r w:rsidRPr="009B140C">
        <w:t>Instytucje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14,</w:t>
      </w:r>
      <w:r w:rsidR="009B140C" w:rsidRPr="009B140C">
        <w:t xml:space="preserve"> w</w:t>
      </w:r>
      <w:r w:rsidR="009B140C">
        <w:t> </w:t>
      </w:r>
      <w:r w:rsidR="009B140C" w:rsidRPr="009B140C">
        <w:t>prz</w:t>
      </w:r>
      <w:r w:rsidRPr="009B140C">
        <w:t>ypadku spełnienia co najmniej jednego</w:t>
      </w:r>
      <w:r w:rsidR="009B140C" w:rsidRPr="009B140C">
        <w:t xml:space="preserve"> z</w:t>
      </w:r>
      <w:r w:rsidR="009B140C">
        <w:t> </w:t>
      </w:r>
      <w:r w:rsidR="009B140C" w:rsidRPr="009B140C">
        <w:t>pon</w:t>
      </w:r>
      <w:r w:rsidRPr="009B140C">
        <w:t>iższych warunków:</w:t>
      </w:r>
    </w:p>
    <w:p w14:paraId="5F5E592D" w14:textId="689BD9DE" w:rsidR="00FE0C02" w:rsidRPr="009B140C" w:rsidRDefault="00FE0C02" w:rsidP="00FE0C02">
      <w:pPr>
        <w:pStyle w:val="Point1"/>
      </w:pPr>
      <w:r w:rsidRPr="009B140C">
        <w:t>a)</w:t>
      </w:r>
      <w:r w:rsidRPr="009B140C">
        <w:tab/>
        <w:t>wolumen kredytowych instrumentów pochodnych,</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9, przekracza 300 mln EUR;</w:t>
      </w:r>
    </w:p>
    <w:p w14:paraId="418FEEAF" w14:textId="789FA65A" w:rsidR="00FE0C02" w:rsidRPr="009B140C" w:rsidRDefault="00FE0C02" w:rsidP="00FE0C02">
      <w:pPr>
        <w:pStyle w:val="Point1"/>
      </w:pPr>
      <w:r w:rsidRPr="009B140C">
        <w:t>b)</w:t>
      </w:r>
      <w:r w:rsidRPr="009B140C">
        <w:tab/>
        <w:t>wolumen kredytowych instrumentów pochodnych,</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 część II pkt</w:t>
      </w:r>
      <w:r w:rsidR="009B140C" w:rsidRPr="009B140C">
        <w:t> </w:t>
      </w:r>
      <w:r w:rsidRPr="009B140C">
        <w:t>9, przekracza 500 mln EUR.</w:t>
      </w:r>
    </w:p>
    <w:p w14:paraId="49C49986" w14:textId="215B7EF9" w:rsidR="00FE0C02" w:rsidRPr="009B140C" w:rsidRDefault="00FE0C02" w:rsidP="00FE0C02">
      <w:pPr>
        <w:pStyle w:val="Text1"/>
      </w:pPr>
      <w:r w:rsidRPr="009B140C">
        <w:t>Jeżeli instytucja spełnia jedynie warunek określony</w:t>
      </w:r>
      <w:r w:rsidR="009B140C" w:rsidRPr="009B140C">
        <w:t xml:space="preserve"> w</w:t>
      </w:r>
      <w:r w:rsidR="009B140C">
        <w:t> </w:t>
      </w:r>
      <w:r w:rsidR="009B140C" w:rsidRPr="009B140C">
        <w:t>lit</w:t>
      </w:r>
      <w:r w:rsidRPr="009B140C">
        <w:t>.</w:t>
      </w:r>
      <w:r w:rsidR="009B140C" w:rsidRPr="009B140C">
        <w:t> </w:t>
      </w:r>
      <w:r w:rsidRPr="009B140C">
        <w:t>a), stosuje się kryteria wejściowe</w:t>
      </w:r>
      <w:r w:rsidR="009B140C" w:rsidRPr="009B140C">
        <w:t xml:space="preserve"> i</w:t>
      </w:r>
      <w:r w:rsidR="009B140C">
        <w:t> </w:t>
      </w:r>
      <w:r w:rsidR="009B140C" w:rsidRPr="009B140C">
        <w:t>wyj</w:t>
      </w:r>
      <w:r w:rsidRPr="009B140C">
        <w:t>ściowe,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3. Jeżeli instytucja spełnia zarówno warunek określony</w:t>
      </w:r>
      <w:r w:rsidR="009B140C" w:rsidRPr="009B140C">
        <w:t xml:space="preserve"> w</w:t>
      </w:r>
      <w:r w:rsidR="009B140C">
        <w:t> </w:t>
      </w:r>
      <w:r w:rsidR="009B140C" w:rsidRPr="009B140C">
        <w:t>lit</w:t>
      </w:r>
      <w:r w:rsidRPr="009B140C">
        <w:t>.</w:t>
      </w:r>
      <w:r w:rsidR="009B140C" w:rsidRPr="009B140C">
        <w:t> </w:t>
      </w:r>
      <w:r w:rsidRPr="009B140C">
        <w:t>a), jak</w:t>
      </w:r>
      <w:r w:rsidR="009B140C" w:rsidRPr="009B140C">
        <w:t xml:space="preserve"> i</w:t>
      </w:r>
      <w:r w:rsidR="009B140C">
        <w:t> </w:t>
      </w:r>
      <w:r w:rsidR="009B140C" w:rsidRPr="009B140C">
        <w:t>war</w:t>
      </w:r>
      <w:r w:rsidRPr="009B140C">
        <w:t>unek określony</w:t>
      </w:r>
      <w:r w:rsidR="009B140C" w:rsidRPr="009B140C">
        <w:t xml:space="preserve"> w</w:t>
      </w:r>
      <w:r w:rsidR="009B140C">
        <w:t> </w:t>
      </w:r>
      <w:r w:rsidR="009B140C" w:rsidRPr="009B140C">
        <w:t>lit</w:t>
      </w:r>
      <w:r w:rsidRPr="009B140C">
        <w:t>.</w:t>
      </w:r>
      <w:r w:rsidR="009B140C" w:rsidRPr="009B140C">
        <w:t> </w:t>
      </w:r>
      <w:r w:rsidRPr="009B140C">
        <w:t>b), rozpoczyna przekazywanie tych informacji</w:t>
      </w:r>
      <w:r w:rsidR="009B140C" w:rsidRPr="009B140C">
        <w:t xml:space="preserve"> w</w:t>
      </w:r>
      <w:r w:rsidR="009B140C">
        <w:t> </w:t>
      </w:r>
      <w:r w:rsidR="009B140C" w:rsidRPr="009B140C">
        <w:t>odn</w:t>
      </w:r>
      <w:r w:rsidRPr="009B140C">
        <w:t>iesieniu do dnia odniesienia następującego po sprawozdawczym dniu odniesienia,</w:t>
      </w:r>
      <w:r w:rsidR="009B140C" w:rsidRPr="009B140C">
        <w:t xml:space="preserve"> w</w:t>
      </w:r>
      <w:r w:rsidR="009B140C">
        <w:t> </w:t>
      </w:r>
      <w:r w:rsidR="009B140C" w:rsidRPr="009B140C">
        <w:t>któ</w:t>
      </w:r>
      <w:r w:rsidRPr="009B140C">
        <w:t>rym przekroczyła próg.</w:t>
      </w:r>
    </w:p>
    <w:p w14:paraId="16427D61"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16</w:t>
      </w:r>
      <w:r w:rsidR="00D90D81" w:rsidRPr="009B140C">
        <w:fldChar w:fldCharType="end"/>
      </w:r>
    </w:p>
    <w:p w14:paraId="0FD0A199" w14:textId="4FF468A7" w:rsidR="00FE0C02" w:rsidRPr="009B140C" w:rsidRDefault="00FE0C02" w:rsidP="00FE0C02">
      <w:pPr>
        <w:pStyle w:val="Titrearticle"/>
        <w:spacing w:before="120"/>
        <w:rPr>
          <w:b/>
          <w:i w:val="0"/>
        </w:rPr>
      </w:pPr>
      <w:r w:rsidRPr="009B140C">
        <w:rPr>
          <w:b/>
          <w:i w:val="0"/>
        </w:rPr>
        <w:t>Sprawozdawczość</w:t>
      </w:r>
      <w:r w:rsidR="009B140C" w:rsidRPr="009B140C">
        <w:rPr>
          <w:b/>
          <w:i w:val="0"/>
        </w:rPr>
        <w:t xml:space="preserve"> w</w:t>
      </w:r>
      <w:r w:rsidR="009B140C">
        <w:rPr>
          <w:b/>
          <w:i w:val="0"/>
        </w:rPr>
        <w:t> </w:t>
      </w:r>
      <w:r w:rsidR="009B140C" w:rsidRPr="009B140C">
        <w:rPr>
          <w:b/>
          <w:i w:val="0"/>
        </w:rPr>
        <w:t>zak</w:t>
      </w:r>
      <w:r w:rsidRPr="009B140C">
        <w:rPr>
          <w:b/>
          <w:i w:val="0"/>
        </w:rPr>
        <w:t>resie wymogu pokrycia wypływów netto na zasadzie indywidualnej</w:t>
      </w:r>
      <w:r w:rsidR="009B140C" w:rsidRPr="009B140C">
        <w:rPr>
          <w:b/>
          <w:i w:val="0"/>
        </w:rPr>
        <w:t xml:space="preserve"> i</w:t>
      </w:r>
      <w:r w:rsidR="009B140C">
        <w:rPr>
          <w:b/>
          <w:i w:val="0"/>
        </w:rPr>
        <w:t> </w:t>
      </w:r>
      <w:r w:rsidR="009B140C" w:rsidRPr="009B140C">
        <w:rPr>
          <w:b/>
          <w:i w:val="0"/>
        </w:rPr>
        <w:t>sko</w:t>
      </w:r>
      <w:r w:rsidRPr="009B140C">
        <w:rPr>
          <w:b/>
          <w:i w:val="0"/>
        </w:rPr>
        <w:t>nsolidowanej</w:t>
      </w:r>
    </w:p>
    <w:p w14:paraId="51D41644" w14:textId="2BB19861" w:rsidR="00FE0C02" w:rsidRPr="009B140C" w:rsidRDefault="00FE0C02" w:rsidP="005F180D">
      <w:pPr>
        <w:pStyle w:val="NumPar1"/>
        <w:numPr>
          <w:ilvl w:val="0"/>
          <w:numId w:val="24"/>
        </w:numPr>
      </w:pPr>
      <w:r w:rsidRPr="009B140C">
        <w:t>Do celów sprawozdawczości dotyczącej wymogu pokrycia wypływów netto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d) rozporządzenia (UE) nr</w:t>
      </w:r>
      <w:r w:rsidR="009B140C" w:rsidRPr="009B140C">
        <w:t> </w:t>
      </w:r>
      <w:r w:rsidRPr="009B140C">
        <w:t>575/2013 na zasadzie indywidualnej</w:t>
      </w:r>
      <w:r w:rsidR="009B140C" w:rsidRPr="009B140C">
        <w:t xml:space="preserve"> i</w:t>
      </w:r>
      <w:r w:rsidR="009B140C">
        <w:t> </w:t>
      </w:r>
      <w:r w:rsidR="009B140C" w:rsidRPr="009B140C">
        <w:t>sko</w:t>
      </w:r>
      <w:r w:rsidRPr="009B140C">
        <w:t>nsolidowanej instytucje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XXIV do niniejszego rozporządzenia,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XXV do niniejszego rozporządzenia</w:t>
      </w:r>
      <w:r w:rsidR="009B140C" w:rsidRPr="009B140C">
        <w:t xml:space="preserve"> z</w:t>
      </w:r>
      <w:r w:rsidR="009B140C">
        <w:t> </w:t>
      </w:r>
      <w:r w:rsidR="009B140C" w:rsidRPr="009B140C">
        <w:t>czę</w:t>
      </w:r>
      <w:r w:rsidRPr="009B140C">
        <w:t>stotliwością miesięczną.</w:t>
      </w:r>
    </w:p>
    <w:p w14:paraId="50670492" w14:textId="41C37866" w:rsidR="00FE0C02" w:rsidRPr="009B140C" w:rsidRDefault="00FE0C02" w:rsidP="00FE0C02">
      <w:pPr>
        <w:pStyle w:val="NumPar1"/>
        <w:numPr>
          <w:ilvl w:val="0"/>
          <w:numId w:val="10"/>
        </w:numPr>
      </w:pPr>
      <w:r w:rsidRPr="009B140C">
        <w:t>W informacjach określonych</w:t>
      </w:r>
      <w:r w:rsidR="009B140C" w:rsidRPr="009B140C">
        <w:t xml:space="preserve"> w</w:t>
      </w:r>
      <w:r w:rsidR="009B140C">
        <w:t> </w:t>
      </w:r>
      <w:r w:rsidR="009B140C" w:rsidRPr="009B140C">
        <w:t>zał</w:t>
      </w:r>
      <w:r w:rsidRPr="009B140C">
        <w:t>ączniku XXIV uwzględnia się informacje przedstawiane zgodnie</w:t>
      </w:r>
      <w:r w:rsidR="009B140C" w:rsidRPr="009B140C">
        <w:t xml:space="preserve"> z</w:t>
      </w:r>
      <w:r w:rsidR="009B140C">
        <w:t> </w:t>
      </w:r>
      <w:r w:rsidR="009B140C" w:rsidRPr="009B140C">
        <w:t>dni</w:t>
      </w:r>
      <w:r w:rsidRPr="009B140C">
        <w:t>em odniesienia oraz informacje dotyczące przepływów gotówkowych instytucji</w:t>
      </w:r>
      <w:r w:rsidR="009B140C" w:rsidRPr="009B140C">
        <w:t xml:space="preserve"> w</w:t>
      </w:r>
      <w:r w:rsidR="009B140C">
        <w:t> </w:t>
      </w:r>
      <w:r w:rsidR="009B140C" w:rsidRPr="009B140C">
        <w:t>cią</w:t>
      </w:r>
      <w:r w:rsidRPr="009B140C">
        <w:t>gu kolejnych 30 dni kalendarzowych.</w:t>
      </w:r>
    </w:p>
    <w:p w14:paraId="1B273506"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17</w:t>
      </w:r>
      <w:r w:rsidR="00D90D81" w:rsidRPr="009B140C">
        <w:fldChar w:fldCharType="end"/>
      </w:r>
    </w:p>
    <w:p w14:paraId="4A29F4CE" w14:textId="2A713910" w:rsidR="00FE0C02" w:rsidRPr="009B140C" w:rsidRDefault="00FE0C02" w:rsidP="00FE0C02">
      <w:pPr>
        <w:pStyle w:val="Titrearticle"/>
        <w:spacing w:before="120"/>
        <w:rPr>
          <w:b/>
          <w:i w:val="0"/>
        </w:rPr>
      </w:pPr>
      <w:r w:rsidRPr="009B140C">
        <w:rPr>
          <w:b/>
          <w:i w:val="0"/>
        </w:rPr>
        <w:t>Sprawozdawczość</w:t>
      </w:r>
      <w:r w:rsidR="009B140C" w:rsidRPr="009B140C">
        <w:rPr>
          <w:b/>
          <w:i w:val="0"/>
        </w:rPr>
        <w:t xml:space="preserve"> w</w:t>
      </w:r>
      <w:r w:rsidR="009B140C">
        <w:rPr>
          <w:b/>
          <w:i w:val="0"/>
        </w:rPr>
        <w:t> </w:t>
      </w:r>
      <w:r w:rsidR="009B140C" w:rsidRPr="009B140C">
        <w:rPr>
          <w:b/>
          <w:i w:val="0"/>
        </w:rPr>
        <w:t>zak</w:t>
      </w:r>
      <w:r w:rsidRPr="009B140C">
        <w:rPr>
          <w:b/>
          <w:i w:val="0"/>
        </w:rPr>
        <w:t>resie stabilnego finansowania na zasadzie indywidualnej</w:t>
      </w:r>
      <w:r w:rsidR="009B140C" w:rsidRPr="009B140C">
        <w:rPr>
          <w:b/>
          <w:i w:val="0"/>
        </w:rPr>
        <w:t xml:space="preserve"> i</w:t>
      </w:r>
      <w:r w:rsidR="009B140C">
        <w:rPr>
          <w:b/>
          <w:i w:val="0"/>
        </w:rPr>
        <w:t> </w:t>
      </w:r>
      <w:r w:rsidR="009B140C" w:rsidRPr="009B140C">
        <w:rPr>
          <w:b/>
          <w:i w:val="0"/>
        </w:rPr>
        <w:t>sko</w:t>
      </w:r>
      <w:r w:rsidRPr="009B140C">
        <w:rPr>
          <w:b/>
          <w:i w:val="0"/>
        </w:rPr>
        <w:t>nsolidowanej</w:t>
      </w:r>
    </w:p>
    <w:p w14:paraId="46A16391" w14:textId="31FF3F33" w:rsidR="00FE0C02" w:rsidRPr="009B140C" w:rsidRDefault="00FE0C02" w:rsidP="00FE0C02">
      <w:r w:rsidRPr="009B140C">
        <w:t>Do celów sprawozdawczości</w:t>
      </w:r>
      <w:r w:rsidR="009B140C" w:rsidRPr="009B140C">
        <w:t xml:space="preserve"> w</w:t>
      </w:r>
      <w:r w:rsidR="009B140C">
        <w:t> </w:t>
      </w:r>
      <w:r w:rsidR="009B140C" w:rsidRPr="009B140C">
        <w:t>zak</w:t>
      </w:r>
      <w:r w:rsidRPr="009B140C">
        <w:t>resie stabilnego finansowania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d) rozporządzenia (UE) nr</w:t>
      </w:r>
      <w:r w:rsidR="009B140C" w:rsidRPr="009B140C">
        <w:t> </w:t>
      </w:r>
      <w:r w:rsidRPr="009B140C">
        <w:t>575/2013 na zasadzie indywidualnej</w:t>
      </w:r>
      <w:r w:rsidR="009B140C" w:rsidRPr="009B140C">
        <w:t xml:space="preserve"> i</w:t>
      </w:r>
      <w:r w:rsidR="009B140C">
        <w:t> </w:t>
      </w:r>
      <w:r w:rsidR="009B140C" w:rsidRPr="009B140C">
        <w:t>sko</w:t>
      </w:r>
      <w:r w:rsidRPr="009B140C">
        <w:t>nsolidowanej instytucje przedstawiają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XIII</w:t>
      </w:r>
      <w:r w:rsidR="009B140C" w:rsidRPr="009B140C">
        <w:t xml:space="preserve"> z</w:t>
      </w:r>
      <w:r w:rsidR="009B140C">
        <w:t> </w:t>
      </w:r>
      <w:r w:rsidR="009B140C" w:rsidRPr="009B140C">
        <w:t>czę</w:t>
      </w:r>
      <w:r w:rsidRPr="009B140C">
        <w:t>stotliwością kwartalną</w:t>
      </w:r>
      <w:r w:rsidR="009B140C" w:rsidRPr="009B140C">
        <w:t xml:space="preserve"> w</w:t>
      </w:r>
      <w:r w:rsidR="009B140C">
        <w:t> </w:t>
      </w:r>
      <w:r w:rsidR="009B140C" w:rsidRPr="009B140C">
        <w:t>nas</w:t>
      </w:r>
      <w:r w:rsidRPr="009B140C">
        <w:t>tępujący sposób:</w:t>
      </w:r>
    </w:p>
    <w:p w14:paraId="38759E9F" w14:textId="29D4BA4F" w:rsidR="00FE0C02" w:rsidRPr="009B140C" w:rsidRDefault="00FE0C02" w:rsidP="00FE0C02">
      <w:pPr>
        <w:pStyle w:val="Point1"/>
      </w:pPr>
      <w:r w:rsidRPr="009B140C">
        <w:t>a)</w:t>
      </w:r>
      <w:r w:rsidRPr="009B140C">
        <w:tab/>
        <w:t>małe</w:t>
      </w:r>
      <w:r w:rsidR="009B140C" w:rsidRPr="009B140C">
        <w:t xml:space="preserve"> i</w:t>
      </w:r>
      <w:r w:rsidR="009B140C">
        <w:t> </w:t>
      </w:r>
      <w:r w:rsidR="009B140C" w:rsidRPr="009B140C">
        <w:t>nie</w:t>
      </w:r>
      <w:r w:rsidRPr="009B140C">
        <w:t>złożone instytucje, które zdecydowały, że będą obliczać swój wskaźnik stabilnego finansowania netto przy użyciu metody określonej</w:t>
      </w:r>
      <w:r w:rsidR="009B140C" w:rsidRPr="009B140C">
        <w:t xml:space="preserve"> w</w:t>
      </w:r>
      <w:r w:rsidR="009B140C">
        <w:t> </w:t>
      </w:r>
      <w:r w:rsidR="009B140C" w:rsidRPr="009B140C">
        <w:t>czę</w:t>
      </w:r>
      <w:r w:rsidRPr="009B140C">
        <w:t xml:space="preserve">ści szóstej tytuł IV </w:t>
      </w:r>
      <w:r w:rsidRPr="009B140C">
        <w:rPr>
          <w:color w:val="000000"/>
          <w:szCs w:val="24"/>
        </w:rPr>
        <w:t>rozdziały 6</w:t>
      </w:r>
      <w:r w:rsidR="009B140C" w:rsidRPr="009B140C">
        <w:t xml:space="preserve"> i</w:t>
      </w:r>
      <w:r w:rsidR="009B140C">
        <w:t> </w:t>
      </w:r>
      <w:r w:rsidR="009B140C" w:rsidRPr="009B140C">
        <w:t>7</w:t>
      </w:r>
      <w:r w:rsidRPr="009B140C">
        <w:t xml:space="preserve"> rozporządzenia (UE) nr</w:t>
      </w:r>
      <w:r w:rsidR="009B140C" w:rsidRPr="009B140C">
        <w:t> </w:t>
      </w:r>
      <w:r w:rsidRPr="009B140C">
        <w:t>575/2013, po uprzednim uzyskaniu zezwolenia swojego właściwego organu zgodnie</w:t>
      </w:r>
      <w:r w:rsidR="009B140C" w:rsidRPr="009B140C">
        <w:t xml:space="preserve"> z</w:t>
      </w:r>
      <w:r w:rsidR="009B140C">
        <w:t> </w:t>
      </w:r>
      <w:r w:rsidR="009B140C" w:rsidRPr="009B140C">
        <w:t>art</w:t>
      </w:r>
      <w:r w:rsidRPr="009B140C">
        <w:t>.</w:t>
      </w:r>
      <w:r w:rsidR="009B140C" w:rsidRPr="009B140C">
        <w:t> </w:t>
      </w:r>
      <w:r w:rsidRPr="009B140C">
        <w:t>428ai tego rozporządzenia, składają wzory 82</w:t>
      </w:r>
      <w:r w:rsidR="009B140C" w:rsidRPr="009B140C">
        <w:t xml:space="preserve"> i</w:t>
      </w:r>
      <w:r w:rsidR="009B140C">
        <w:t> </w:t>
      </w:r>
      <w:r w:rsidR="009B140C" w:rsidRPr="009B140C">
        <w:t>8</w:t>
      </w:r>
      <w:r w:rsidRPr="009B140C">
        <w:t>3 określone</w:t>
      </w:r>
      <w:r w:rsidR="009B140C" w:rsidRPr="009B140C">
        <w:t xml:space="preserve"> w</w:t>
      </w:r>
      <w:r w:rsidR="009B140C">
        <w:t> </w:t>
      </w:r>
      <w:r w:rsidR="009B140C" w:rsidRPr="009B140C">
        <w:t>zał</w:t>
      </w:r>
      <w:r w:rsidRPr="009B140C">
        <w:t>ączniku XII do niniejszego rozporządzenia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XIII do niniejszego rozporządzenia;</w:t>
      </w:r>
    </w:p>
    <w:p w14:paraId="135317A6" w14:textId="76C94FB3" w:rsidR="00FE0C02" w:rsidRPr="009B140C" w:rsidRDefault="00FE0C02" w:rsidP="00FE0C02">
      <w:pPr>
        <w:pStyle w:val="Point1"/>
      </w:pPr>
      <w:r w:rsidRPr="009B140C">
        <w:lastRenderedPageBreak/>
        <w:t>b)</w:t>
      </w:r>
      <w:r w:rsidRPr="009B140C">
        <w:tab/>
        <w:t>instytucje inne niż te wymienione</w:t>
      </w:r>
      <w:r w:rsidR="009B140C" w:rsidRPr="009B140C">
        <w:t xml:space="preserve"> w</w:t>
      </w:r>
      <w:r w:rsidR="009B140C">
        <w:t> </w:t>
      </w:r>
      <w:r w:rsidR="009B140C" w:rsidRPr="009B140C">
        <w:t>lit</w:t>
      </w:r>
      <w:r w:rsidRPr="009B140C">
        <w:t>.</w:t>
      </w:r>
      <w:r w:rsidR="009B140C" w:rsidRPr="009B140C">
        <w:t> </w:t>
      </w:r>
      <w:r w:rsidRPr="009B140C">
        <w:t>a) składają wzory 80</w:t>
      </w:r>
      <w:r w:rsidR="009B140C" w:rsidRPr="009B140C">
        <w:t xml:space="preserve"> i</w:t>
      </w:r>
      <w:r w:rsidR="009B140C">
        <w:t> </w:t>
      </w:r>
      <w:r w:rsidR="009B140C" w:rsidRPr="009B140C">
        <w:t>8</w:t>
      </w:r>
      <w:r w:rsidRPr="009B140C">
        <w:t>1 przedstawione</w:t>
      </w:r>
      <w:r w:rsidR="009B140C" w:rsidRPr="009B140C">
        <w:t xml:space="preserve"> w</w:t>
      </w:r>
      <w:r w:rsidR="009B140C">
        <w:t> </w:t>
      </w:r>
      <w:r w:rsidR="009B140C" w:rsidRPr="009B140C">
        <w:t>zał</w:t>
      </w:r>
      <w:r w:rsidRPr="009B140C">
        <w:t>ączniku XII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 xml:space="preserve">ączniku XIII; </w:t>
      </w:r>
    </w:p>
    <w:p w14:paraId="75BF05A1" w14:textId="06E1430B" w:rsidR="00FE0C02" w:rsidRPr="009B140C" w:rsidRDefault="00FE0C02" w:rsidP="00FE0C02">
      <w:pPr>
        <w:pStyle w:val="Point1"/>
      </w:pPr>
      <w:r w:rsidRPr="009B140C">
        <w:t>c)</w:t>
      </w:r>
      <w:r w:rsidRPr="009B140C">
        <w:tab/>
        <w:t>wszystkie instytucje składają wzór 84 określony</w:t>
      </w:r>
      <w:r w:rsidR="009B140C" w:rsidRPr="009B140C">
        <w:t xml:space="preserve"> w</w:t>
      </w:r>
      <w:r w:rsidR="009B140C">
        <w:t> </w:t>
      </w:r>
      <w:r w:rsidR="009B140C" w:rsidRPr="009B140C">
        <w:t>zał</w:t>
      </w:r>
      <w:r w:rsidRPr="009B140C">
        <w:t>ączniku XII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XIII.</w:t>
      </w:r>
    </w:p>
    <w:p w14:paraId="3C47F8E2" w14:textId="77777777" w:rsidR="00FE0C02" w:rsidRPr="009B140C" w:rsidRDefault="00FE0C02" w:rsidP="00FE0C02">
      <w:pPr>
        <w:pStyle w:val="Titrearticle"/>
      </w:pPr>
      <w:r w:rsidRPr="009B140C">
        <w:t xml:space="preserve">Artykuł </w:t>
      </w:r>
      <w:r w:rsidR="00D90D81" w:rsidRPr="009B140C">
        <w:fldChar w:fldCharType="begin"/>
      </w:r>
      <w:r w:rsidR="00D90D81" w:rsidRPr="009B140C">
        <w:instrText xml:space="preserve"> seq article </w:instrText>
      </w:r>
      <w:r w:rsidR="00D90D81" w:rsidRPr="009B140C">
        <w:fldChar w:fldCharType="separate"/>
      </w:r>
      <w:r w:rsidRPr="009B140C">
        <w:t>18</w:t>
      </w:r>
      <w:r w:rsidR="00D90D81" w:rsidRPr="009B140C">
        <w:fldChar w:fldCharType="end"/>
      </w:r>
    </w:p>
    <w:p w14:paraId="3023D8A2" w14:textId="677A3702" w:rsidR="00FE0C02" w:rsidRPr="009B140C" w:rsidRDefault="00FE0C02" w:rsidP="00FE0C02">
      <w:pPr>
        <w:pStyle w:val="Titrearticle"/>
        <w:spacing w:before="120"/>
        <w:rPr>
          <w:b/>
          <w:i w:val="0"/>
        </w:rPr>
      </w:pPr>
      <w:r w:rsidRPr="009B140C">
        <w:rPr>
          <w:b/>
          <w:i w:val="0"/>
        </w:rPr>
        <w:t>Sprawozdawczość</w:t>
      </w:r>
      <w:r w:rsidR="009B140C" w:rsidRPr="009B140C">
        <w:rPr>
          <w:b/>
          <w:i w:val="0"/>
        </w:rPr>
        <w:t xml:space="preserve"> w</w:t>
      </w:r>
      <w:r w:rsidR="009B140C">
        <w:rPr>
          <w:b/>
          <w:i w:val="0"/>
        </w:rPr>
        <w:t> </w:t>
      </w:r>
      <w:r w:rsidR="009B140C" w:rsidRPr="009B140C">
        <w:rPr>
          <w:b/>
          <w:i w:val="0"/>
        </w:rPr>
        <w:t>zak</w:t>
      </w:r>
      <w:r w:rsidRPr="009B140C">
        <w:rPr>
          <w:b/>
          <w:i w:val="0"/>
        </w:rPr>
        <w:t>resie dodatkowych wskaźników monitorowania płynności na zasadzie indywidualnej</w:t>
      </w:r>
      <w:r w:rsidR="009B140C" w:rsidRPr="009B140C">
        <w:rPr>
          <w:b/>
          <w:i w:val="0"/>
        </w:rPr>
        <w:t xml:space="preserve"> i</w:t>
      </w:r>
      <w:r w:rsidR="009B140C">
        <w:rPr>
          <w:b/>
          <w:i w:val="0"/>
        </w:rPr>
        <w:t> </w:t>
      </w:r>
      <w:r w:rsidR="009B140C" w:rsidRPr="009B140C">
        <w:rPr>
          <w:b/>
          <w:i w:val="0"/>
        </w:rPr>
        <w:t>sko</w:t>
      </w:r>
      <w:r w:rsidRPr="009B140C">
        <w:rPr>
          <w:b/>
          <w:i w:val="0"/>
        </w:rPr>
        <w:t>nsolidowanej</w:t>
      </w:r>
    </w:p>
    <w:p w14:paraId="6A3A9338" w14:textId="4BFD829D" w:rsidR="00FE0C02" w:rsidRPr="009B140C" w:rsidRDefault="00FE0C02" w:rsidP="005F180D">
      <w:pPr>
        <w:pStyle w:val="NumPar1"/>
        <w:numPr>
          <w:ilvl w:val="0"/>
          <w:numId w:val="25"/>
        </w:numPr>
      </w:pPr>
      <w:r w:rsidRPr="009B140C">
        <w:t>Do celów sprawozdawczości</w:t>
      </w:r>
      <w:r w:rsidR="009B140C" w:rsidRPr="009B140C">
        <w:t xml:space="preserve"> w</w:t>
      </w:r>
      <w:r w:rsidR="009B140C">
        <w:t> </w:t>
      </w:r>
      <w:r w:rsidR="009B140C" w:rsidRPr="009B140C">
        <w:t>zak</w:t>
      </w:r>
      <w:r w:rsidRPr="009B140C">
        <w:t>resie dodatkowych wskaźników monitorowania płynności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d) rozporządzenia (UE) nr</w:t>
      </w:r>
      <w:r w:rsidR="009B140C" w:rsidRPr="009B140C">
        <w:t> </w:t>
      </w:r>
      <w:r w:rsidRPr="009B140C">
        <w:t>575/2013 na zasadzie indywidualnej</w:t>
      </w:r>
      <w:r w:rsidR="009B140C" w:rsidRPr="009B140C">
        <w:t xml:space="preserve"> i</w:t>
      </w:r>
      <w:r w:rsidR="009B140C">
        <w:t> </w:t>
      </w:r>
      <w:r w:rsidR="009B140C" w:rsidRPr="009B140C">
        <w:t>sko</w:t>
      </w:r>
      <w:r w:rsidRPr="009B140C">
        <w:t>nsolidowanej instytucje przedstawiają</w:t>
      </w:r>
      <w:r w:rsidR="009B140C" w:rsidRPr="009B140C">
        <w:t xml:space="preserve"> z</w:t>
      </w:r>
      <w:r w:rsidR="009B140C">
        <w:t> </w:t>
      </w:r>
      <w:r w:rsidR="009B140C" w:rsidRPr="009B140C">
        <w:t>czę</w:t>
      </w:r>
      <w:r w:rsidRPr="009B140C">
        <w:t xml:space="preserve">stotliwością miesięczną wszystkie następujące informacje: </w:t>
      </w:r>
    </w:p>
    <w:p w14:paraId="642EB969" w14:textId="1FF98C96" w:rsidR="00FE0C02" w:rsidRPr="009B140C" w:rsidRDefault="00FE0C02" w:rsidP="00FE0C02">
      <w:pPr>
        <w:pStyle w:val="Point1"/>
      </w:pPr>
      <w:r w:rsidRPr="009B140C">
        <w:t>a)</w:t>
      </w:r>
      <w:r w:rsidRPr="009B140C">
        <w:tab/>
        <w:t>informacje określone</w:t>
      </w:r>
      <w:r w:rsidR="009B140C" w:rsidRPr="009B140C">
        <w:t xml:space="preserve"> w</w:t>
      </w:r>
      <w:r w:rsidR="009B140C">
        <w:t> </w:t>
      </w:r>
      <w:r w:rsidR="009B140C" w:rsidRPr="009B140C">
        <w:t>zał</w:t>
      </w:r>
      <w:r w:rsidRPr="009B140C">
        <w:t>ączniku XVIII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 xml:space="preserve">ączniku XIX; </w:t>
      </w:r>
    </w:p>
    <w:p w14:paraId="6F8BEAD3" w14:textId="4802ADDB" w:rsidR="00FE0C02" w:rsidRPr="009B140C" w:rsidRDefault="00FE0C02" w:rsidP="00FE0C02">
      <w:pPr>
        <w:pStyle w:val="Point1"/>
      </w:pPr>
      <w:r w:rsidRPr="009B140C">
        <w:t>b)</w:t>
      </w:r>
      <w:r w:rsidRPr="009B140C">
        <w:tab/>
        <w:t>informacje określone</w:t>
      </w:r>
      <w:r w:rsidR="009B140C" w:rsidRPr="009B140C">
        <w:t xml:space="preserve"> w</w:t>
      </w:r>
      <w:r w:rsidR="009B140C">
        <w:t> </w:t>
      </w:r>
      <w:r w:rsidR="009B140C" w:rsidRPr="009B140C">
        <w:t>zał</w:t>
      </w:r>
      <w:r w:rsidRPr="009B140C">
        <w:t>ączniku XX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 xml:space="preserve">ączniku XXI; </w:t>
      </w:r>
    </w:p>
    <w:p w14:paraId="65BCA041" w14:textId="6D61653D" w:rsidR="00FE0C02" w:rsidRPr="009B140C" w:rsidRDefault="00FE0C02" w:rsidP="00FE0C02">
      <w:pPr>
        <w:pStyle w:val="Point1"/>
      </w:pPr>
      <w:r w:rsidRPr="009B140C">
        <w:t>c)</w:t>
      </w:r>
      <w:r w:rsidRPr="009B140C">
        <w:tab/>
        <w:t>informacje określone</w:t>
      </w:r>
      <w:r w:rsidR="009B140C" w:rsidRPr="009B140C">
        <w:t xml:space="preserve"> w</w:t>
      </w:r>
      <w:r w:rsidR="009B140C">
        <w:t> </w:t>
      </w:r>
      <w:r w:rsidR="009B140C" w:rsidRPr="009B140C">
        <w:t>zał</w:t>
      </w:r>
      <w:r w:rsidRPr="009B140C">
        <w:t>ączniku XXII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 xml:space="preserve">ączniku XXIII. </w:t>
      </w:r>
    </w:p>
    <w:p w14:paraId="105CC458" w14:textId="684FF1B9" w:rsidR="00FE0C02" w:rsidRPr="009B140C" w:rsidRDefault="00FE0C02" w:rsidP="00FE0C02">
      <w:pPr>
        <w:pStyle w:val="NumPar1"/>
        <w:rPr>
          <w:szCs w:val="32"/>
        </w:rPr>
      </w:pPr>
      <w:r w:rsidRPr="009B140C">
        <w:t>Na zasadzie odstępstwa od przepisów ust.</w:t>
      </w:r>
      <w:r w:rsidR="009B140C" w:rsidRPr="009B140C">
        <w:t> </w:t>
      </w:r>
      <w:r w:rsidRPr="009B140C">
        <w:t>1 instytucja, która spełnia wszystkie warunki określone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1 pkt</w:t>
      </w:r>
      <w:r w:rsidR="009B140C" w:rsidRPr="009B140C">
        <w:t> </w:t>
      </w:r>
      <w:r w:rsidRPr="009B140C">
        <w:t>145 rozporządzenia (UE) nr</w:t>
      </w:r>
      <w:r w:rsidR="009B140C" w:rsidRPr="009B140C">
        <w:t> </w:t>
      </w:r>
      <w:r w:rsidRPr="009B140C">
        <w:t>575/2013, może przekazywać informacje dotyczące dodatkowych wskaźników monitorowania płynności</w:t>
      </w:r>
      <w:r w:rsidR="009B140C" w:rsidRPr="009B140C">
        <w:t xml:space="preserve"> z</w:t>
      </w:r>
      <w:r w:rsidR="009B140C">
        <w:t> </w:t>
      </w:r>
      <w:r w:rsidR="009B140C" w:rsidRPr="009B140C">
        <w:t>czę</w:t>
      </w:r>
      <w:r w:rsidRPr="009B140C">
        <w:t>stotliwością kwartalną.</w:t>
      </w:r>
    </w:p>
    <w:p w14:paraId="51E51891" w14:textId="77777777" w:rsidR="00FE0C02" w:rsidRPr="009B140C" w:rsidRDefault="00FE0C02" w:rsidP="00FE0C02">
      <w:pPr>
        <w:pStyle w:val="Titrearticle"/>
      </w:pPr>
      <w:r w:rsidRPr="009B140C">
        <w:t>Artykuł 19</w:t>
      </w:r>
    </w:p>
    <w:p w14:paraId="5CEC6025" w14:textId="1D2A38E6" w:rsidR="00FE0C02" w:rsidRPr="009B140C" w:rsidRDefault="00FE0C02" w:rsidP="00FE0C02">
      <w:pPr>
        <w:pStyle w:val="Text1"/>
      </w:pPr>
      <w:r w:rsidRPr="009B140C">
        <w:rPr>
          <w:b/>
        </w:rPr>
        <w:t>Sprawozdawczość</w:t>
      </w:r>
      <w:r w:rsidR="009B140C" w:rsidRPr="009B140C">
        <w:rPr>
          <w:b/>
        </w:rPr>
        <w:t xml:space="preserve"> w</w:t>
      </w:r>
      <w:r w:rsidR="009B140C">
        <w:rPr>
          <w:b/>
        </w:rPr>
        <w:t> </w:t>
      </w:r>
      <w:r w:rsidR="009B140C" w:rsidRPr="009B140C">
        <w:rPr>
          <w:b/>
        </w:rPr>
        <w:t>zak</w:t>
      </w:r>
      <w:r w:rsidRPr="009B140C">
        <w:rPr>
          <w:b/>
        </w:rPr>
        <w:t>resie obciążenia aktywów na zasadzie indywidualnej</w:t>
      </w:r>
      <w:r w:rsidR="009B140C" w:rsidRPr="009B140C">
        <w:rPr>
          <w:b/>
        </w:rPr>
        <w:t xml:space="preserve"> i</w:t>
      </w:r>
      <w:r w:rsidR="009B140C">
        <w:rPr>
          <w:b/>
        </w:rPr>
        <w:t> </w:t>
      </w:r>
      <w:r w:rsidR="009B140C" w:rsidRPr="009B140C">
        <w:rPr>
          <w:b/>
        </w:rPr>
        <w:t>sko</w:t>
      </w:r>
      <w:r w:rsidRPr="009B140C">
        <w:rPr>
          <w:b/>
        </w:rPr>
        <w:t>nsolidowanej</w:t>
      </w:r>
    </w:p>
    <w:p w14:paraId="733153BD" w14:textId="59B885B6" w:rsidR="00FE0C02" w:rsidRPr="009B140C" w:rsidRDefault="00FE0C02" w:rsidP="005F180D">
      <w:pPr>
        <w:pStyle w:val="NumPar1"/>
        <w:numPr>
          <w:ilvl w:val="0"/>
          <w:numId w:val="26"/>
        </w:numPr>
      </w:pPr>
      <w:r w:rsidRPr="009B140C">
        <w:t>Do celów sprawozdawczości dotyczącej obciążenia aktywów zgodnie</w:t>
      </w:r>
      <w:r w:rsidR="009B140C" w:rsidRPr="009B140C">
        <w:t xml:space="preserve"> z</w:t>
      </w:r>
      <w:r w:rsidR="009B140C">
        <w:t> </w:t>
      </w:r>
      <w:r w:rsidR="009B140C" w:rsidRPr="009B140C">
        <w:t>art</w:t>
      </w:r>
      <w:r w:rsidRPr="009B140C">
        <w:t>.</w:t>
      </w:r>
      <w:r w:rsidR="009B140C" w:rsidRPr="009B140C">
        <w:t> </w:t>
      </w:r>
      <w:r w:rsidRPr="009B140C">
        <w:t>430 ust.</w:t>
      </w:r>
      <w:r w:rsidR="009B140C" w:rsidRPr="009B140C">
        <w:t> </w:t>
      </w:r>
      <w:r w:rsidRPr="009B140C">
        <w:t>1 lit.</w:t>
      </w:r>
      <w:r w:rsidR="009B140C" w:rsidRPr="009B140C">
        <w:t> </w:t>
      </w:r>
      <w:r w:rsidRPr="009B140C">
        <w:t>g) rozporządzenia (UE) nr</w:t>
      </w:r>
      <w:r w:rsidR="009B140C" w:rsidRPr="009B140C">
        <w:t> </w:t>
      </w:r>
      <w:r w:rsidRPr="009B140C">
        <w:t>575/2013 na zasadzie indywidualnej</w:t>
      </w:r>
      <w:r w:rsidR="009B140C" w:rsidRPr="009B140C">
        <w:t xml:space="preserve"> i</w:t>
      </w:r>
      <w:r w:rsidR="009B140C">
        <w:t> </w:t>
      </w:r>
      <w:r w:rsidR="009B140C" w:rsidRPr="009B140C">
        <w:t>sko</w:t>
      </w:r>
      <w:r w:rsidRPr="009B140C">
        <w:t>nsolidowanej instytucje przedstawiają informacje określone</w:t>
      </w:r>
      <w:r w:rsidR="009B140C" w:rsidRPr="009B140C">
        <w:t xml:space="preserve"> w</w:t>
      </w:r>
      <w:r w:rsidR="009B140C">
        <w:t> </w:t>
      </w:r>
      <w:r w:rsidR="009B140C" w:rsidRPr="009B140C">
        <w:t>zał</w:t>
      </w:r>
      <w:r w:rsidRPr="009B140C">
        <w:t>ączniku XVI do niniejszego rozporządzenia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 xml:space="preserve">ączniku XVII do niniejszego rozporządzenia. </w:t>
      </w:r>
    </w:p>
    <w:p w14:paraId="466673DE" w14:textId="3EF0692D" w:rsidR="00FE0C02" w:rsidRPr="009B140C" w:rsidRDefault="00FE0C02" w:rsidP="00FE0C02">
      <w:pPr>
        <w:pStyle w:val="NumPar1"/>
        <w:numPr>
          <w:ilvl w:val="0"/>
          <w:numId w:val="10"/>
        </w:numPr>
      </w:pPr>
      <w:r w:rsidRPr="009B140C">
        <w:t>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ust</w:t>
      </w:r>
      <w:r w:rsidRPr="009B140C">
        <w:t>.</w:t>
      </w:r>
      <w:r w:rsidR="009B140C" w:rsidRPr="009B140C">
        <w:t> </w:t>
      </w:r>
      <w:r w:rsidRPr="009B140C">
        <w:t xml:space="preserve">1, przekazuje się następująco: </w:t>
      </w:r>
    </w:p>
    <w:p w14:paraId="6377EF60" w14:textId="4CD764A3" w:rsidR="00FE0C02" w:rsidRPr="009B140C" w:rsidRDefault="00FE0C02" w:rsidP="00FE0C02">
      <w:pPr>
        <w:pStyle w:val="Point1"/>
      </w:pPr>
      <w:r w:rsidRPr="009B140C">
        <w:t>a)</w:t>
      </w:r>
      <w:r w:rsidRPr="009B140C">
        <w:tab/>
        <w:t>informacje określone</w:t>
      </w:r>
      <w:r w:rsidR="009B140C" w:rsidRPr="009B140C">
        <w:t xml:space="preserve"> w</w:t>
      </w:r>
      <w:r w:rsidR="009B140C">
        <w:t> </w:t>
      </w:r>
      <w:r w:rsidR="009B140C" w:rsidRPr="009B140C">
        <w:t>zał</w:t>
      </w:r>
      <w:r w:rsidRPr="009B140C">
        <w:t>ączniku XVI części A, B i D przekazuje się</w:t>
      </w:r>
      <w:r w:rsidR="009B140C" w:rsidRPr="009B140C">
        <w:t xml:space="preserve"> z</w:t>
      </w:r>
      <w:r w:rsidR="009B140C">
        <w:t> </w:t>
      </w:r>
      <w:r w:rsidR="009B140C" w:rsidRPr="009B140C">
        <w:t>czę</w:t>
      </w:r>
      <w:r w:rsidRPr="009B140C">
        <w:t xml:space="preserve">stotliwością kwartalną; </w:t>
      </w:r>
    </w:p>
    <w:p w14:paraId="0B272D04" w14:textId="5985C10B" w:rsidR="00FE0C02" w:rsidRPr="009B140C" w:rsidRDefault="00FE0C02" w:rsidP="00FE0C02">
      <w:pPr>
        <w:pStyle w:val="Point1"/>
      </w:pPr>
      <w:r w:rsidRPr="009B140C">
        <w:t>b)</w:t>
      </w:r>
      <w:r w:rsidRPr="009B140C">
        <w:tab/>
        <w:t>informacje określone</w:t>
      </w:r>
      <w:r w:rsidR="009B140C" w:rsidRPr="009B140C">
        <w:t xml:space="preserve"> w</w:t>
      </w:r>
      <w:r w:rsidR="009B140C">
        <w:t> </w:t>
      </w:r>
      <w:r w:rsidR="009B140C" w:rsidRPr="009B140C">
        <w:t>zał</w:t>
      </w:r>
      <w:r w:rsidRPr="009B140C">
        <w:t>ączniku XVI część C przekazuje się</w:t>
      </w:r>
      <w:r w:rsidR="009B140C" w:rsidRPr="009B140C">
        <w:t xml:space="preserve"> z</w:t>
      </w:r>
      <w:r w:rsidR="009B140C">
        <w:t> </w:t>
      </w:r>
      <w:r w:rsidR="009B140C" w:rsidRPr="009B140C">
        <w:t>czę</w:t>
      </w:r>
      <w:r w:rsidRPr="009B140C">
        <w:t xml:space="preserve">stotliwością roczną; </w:t>
      </w:r>
    </w:p>
    <w:p w14:paraId="78F69E95" w14:textId="3BED48F6" w:rsidR="00FE0C02" w:rsidRPr="009B140C" w:rsidRDefault="00FE0C02" w:rsidP="00FE0C02">
      <w:pPr>
        <w:pStyle w:val="Point1"/>
      </w:pPr>
      <w:r w:rsidRPr="009B140C">
        <w:t>c)</w:t>
      </w:r>
      <w:r w:rsidRPr="009B140C">
        <w:tab/>
        <w:t>informacje określone</w:t>
      </w:r>
      <w:r w:rsidR="009B140C" w:rsidRPr="009B140C">
        <w:t xml:space="preserve"> w</w:t>
      </w:r>
      <w:r w:rsidR="009B140C">
        <w:t> </w:t>
      </w:r>
      <w:r w:rsidR="009B140C" w:rsidRPr="009B140C">
        <w:t>zał</w:t>
      </w:r>
      <w:r w:rsidRPr="009B140C">
        <w:t>ączniku XVI część E przekazuje się</w:t>
      </w:r>
      <w:r w:rsidR="009B140C" w:rsidRPr="009B140C">
        <w:t xml:space="preserve"> z</w:t>
      </w:r>
      <w:r w:rsidR="009B140C">
        <w:t> </w:t>
      </w:r>
      <w:r w:rsidR="009B140C" w:rsidRPr="009B140C">
        <w:t>czę</w:t>
      </w:r>
      <w:r w:rsidRPr="009B140C">
        <w:t xml:space="preserve">stotliwością półroczną. </w:t>
      </w:r>
    </w:p>
    <w:p w14:paraId="282EB9CF" w14:textId="05EB42A3" w:rsidR="00FE0C02" w:rsidRPr="009B140C" w:rsidRDefault="00FE0C02" w:rsidP="00FE0C02">
      <w:pPr>
        <w:pStyle w:val="NumPar1"/>
        <w:numPr>
          <w:ilvl w:val="0"/>
          <w:numId w:val="10"/>
        </w:numPr>
      </w:pPr>
      <w:r w:rsidRPr="009B140C">
        <w:t>Instytucje nie są zobowiązane do przekazywania informacji określonych</w:t>
      </w:r>
      <w:r w:rsidR="009B140C" w:rsidRPr="009B140C">
        <w:t xml:space="preserve"> w</w:t>
      </w:r>
      <w:r w:rsidR="009B140C">
        <w:t> </w:t>
      </w:r>
      <w:r w:rsidR="009B140C" w:rsidRPr="009B140C">
        <w:t>zał</w:t>
      </w:r>
      <w:r w:rsidRPr="009B140C">
        <w:t xml:space="preserve">ączniku XVI części B, C lub E, jeżeli spełnione są oba następujące warunki: </w:t>
      </w:r>
    </w:p>
    <w:p w14:paraId="239B0175" w14:textId="77777777" w:rsidR="00FE0C02" w:rsidRPr="009B140C" w:rsidRDefault="00FE0C02" w:rsidP="00FE0C02">
      <w:pPr>
        <w:pStyle w:val="Point1"/>
      </w:pPr>
      <w:r w:rsidRPr="009B140C">
        <w:t>a)</w:t>
      </w:r>
      <w:r w:rsidRPr="009B140C">
        <w:tab/>
        <w:t>instytucji nie uznaje się za dużą instytucję;</w:t>
      </w:r>
    </w:p>
    <w:p w14:paraId="0C93B562" w14:textId="79C81BB9" w:rsidR="00FE0C02" w:rsidRPr="009B140C" w:rsidRDefault="00FE0C02" w:rsidP="00FE0C02">
      <w:pPr>
        <w:pStyle w:val="Point1"/>
      </w:pPr>
      <w:r w:rsidRPr="009B140C">
        <w:lastRenderedPageBreak/>
        <w:t>b)</w:t>
      </w:r>
      <w:r w:rsidRPr="009B140C">
        <w:tab/>
        <w:t>poziom obciążenia aktywów instytucji obliczony zgodnie</w:t>
      </w:r>
      <w:r w:rsidR="009B140C" w:rsidRPr="009B140C">
        <w:t xml:space="preserve"> z</w:t>
      </w:r>
      <w:r w:rsidR="009B140C">
        <w:t> </w:t>
      </w:r>
      <w:r w:rsidR="009B140C" w:rsidRPr="009B140C">
        <w:t>zał</w:t>
      </w:r>
      <w:r w:rsidRPr="009B140C">
        <w:t>ącznikiem XVII pkt</w:t>
      </w:r>
      <w:r w:rsidR="009B140C" w:rsidRPr="009B140C">
        <w:t> </w:t>
      </w:r>
      <w:r w:rsidRPr="009B140C">
        <w:t>1.6 ppkt 9 jest mniejszy niż 15</w:t>
      </w:r>
      <w:r w:rsidR="009B140C" w:rsidRPr="009B140C">
        <w:t> </w:t>
      </w:r>
      <w:r w:rsidRPr="009B140C">
        <w:t>%.</w:t>
      </w:r>
    </w:p>
    <w:p w14:paraId="19A215D8" w14:textId="0F1C3D66" w:rsidR="00FE0C02" w:rsidRPr="009B140C" w:rsidRDefault="00FE0C02" w:rsidP="00FE0C02">
      <w:pPr>
        <w:pStyle w:val="Text1"/>
      </w:pPr>
      <w:r w:rsidRPr="009B140C">
        <w:t>Stosuje się kryteria wejściowe</w:t>
      </w:r>
      <w:r w:rsidR="009B140C" w:rsidRPr="009B140C">
        <w:t xml:space="preserve"> i</w:t>
      </w:r>
      <w:r w:rsidR="009B140C">
        <w:t> </w:t>
      </w:r>
      <w:r w:rsidR="009B140C" w:rsidRPr="009B140C">
        <w:t>wyj</w:t>
      </w:r>
      <w:r w:rsidRPr="009B140C">
        <w:t>ściowe opisane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 xml:space="preserve">3. </w:t>
      </w:r>
    </w:p>
    <w:p w14:paraId="7A2CBD82" w14:textId="4356E748" w:rsidR="00FE0C02" w:rsidRPr="009B140C" w:rsidRDefault="00FE0C02" w:rsidP="00FE0C02">
      <w:pPr>
        <w:pStyle w:val="NumPar1"/>
        <w:numPr>
          <w:ilvl w:val="0"/>
          <w:numId w:val="10"/>
        </w:numPr>
      </w:pPr>
      <w:r w:rsidRPr="009B140C">
        <w:t>Instytucje przedstawiają informacje określone</w:t>
      </w:r>
      <w:r w:rsidR="009B140C" w:rsidRPr="009B140C">
        <w:t xml:space="preserve"> w</w:t>
      </w:r>
      <w:r w:rsidR="009B140C">
        <w:t> </w:t>
      </w:r>
      <w:r w:rsidR="009B140C" w:rsidRPr="009B140C">
        <w:t>zał</w:t>
      </w:r>
      <w:r w:rsidRPr="009B140C">
        <w:t>ączniku XVI część D wyłącznie wtedy, gdy emitują obligacje,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art</w:t>
      </w:r>
      <w:r w:rsidRPr="009B140C">
        <w:t>.</w:t>
      </w:r>
      <w:r w:rsidR="009B140C" w:rsidRPr="009B140C">
        <w:t> </w:t>
      </w:r>
      <w:r w:rsidRPr="009B140C">
        <w:t>52 ust.</w:t>
      </w:r>
      <w:r w:rsidR="009B140C" w:rsidRPr="009B140C">
        <w:t> </w:t>
      </w:r>
      <w:r w:rsidRPr="009B140C">
        <w:t>4 akapit pierwszy dyrektywy Parlamentu Europejskiego</w:t>
      </w:r>
      <w:r w:rsidR="009B140C" w:rsidRPr="009B140C">
        <w:t xml:space="preserve"> i</w:t>
      </w:r>
      <w:r w:rsidR="009B140C">
        <w:t> </w:t>
      </w:r>
      <w:r w:rsidR="009B140C" w:rsidRPr="009B140C">
        <w:t>Rad</w:t>
      </w:r>
      <w:r w:rsidRPr="009B140C">
        <w:t>y 2009/65/WE</w:t>
      </w:r>
      <w:r w:rsidRPr="009B140C">
        <w:rPr>
          <w:rStyle w:val="FootnoteReference"/>
        </w:rPr>
        <w:footnoteReference w:id="11"/>
      </w:r>
      <w:r w:rsidRPr="009B140C">
        <w:t xml:space="preserve">. </w:t>
      </w:r>
    </w:p>
    <w:p w14:paraId="216F0D5A" w14:textId="32564E9A" w:rsidR="00FE0C02" w:rsidRPr="009B140C" w:rsidRDefault="00FE0C02" w:rsidP="00FE0C02">
      <w:pPr>
        <w:pStyle w:val="Text1"/>
      </w:pPr>
      <w:r w:rsidRPr="009B140C">
        <w:t>Stosuje się kryteria wejściowe</w:t>
      </w:r>
      <w:r w:rsidR="009B140C" w:rsidRPr="009B140C">
        <w:t xml:space="preserve"> i</w:t>
      </w:r>
      <w:r w:rsidR="009B140C">
        <w:t> </w:t>
      </w:r>
      <w:r w:rsidR="009B140C" w:rsidRPr="009B140C">
        <w:t>wyj</w:t>
      </w:r>
      <w:r w:rsidRPr="009B140C">
        <w:t>ściowe opisane</w:t>
      </w:r>
      <w:r w:rsidR="009B140C" w:rsidRPr="009B140C">
        <w:t xml:space="preserve"> w</w:t>
      </w:r>
      <w:r w:rsidR="009B140C">
        <w:t> </w:t>
      </w:r>
      <w:r w:rsidR="009B140C" w:rsidRPr="009B140C">
        <w:t>art</w:t>
      </w:r>
      <w:r w:rsidRPr="009B140C">
        <w:t>.</w:t>
      </w:r>
      <w:r w:rsidR="009B140C" w:rsidRPr="009B140C">
        <w:t> </w:t>
      </w:r>
      <w:r w:rsidRPr="009B140C">
        <w:t>4 ust.</w:t>
      </w:r>
      <w:r w:rsidR="009B140C" w:rsidRPr="009B140C">
        <w:t> </w:t>
      </w:r>
      <w:r w:rsidRPr="009B140C">
        <w:t>3.</w:t>
      </w:r>
    </w:p>
    <w:p w14:paraId="3C60098A" w14:textId="77777777" w:rsidR="00FE0C02" w:rsidRPr="009B140C" w:rsidRDefault="00FE0C02" w:rsidP="00FE0C02">
      <w:pPr>
        <w:pStyle w:val="Titrearticle"/>
      </w:pPr>
      <w:r w:rsidRPr="009B140C">
        <w:t>Artykuł 20</w:t>
      </w:r>
    </w:p>
    <w:p w14:paraId="4B5AD6C9" w14:textId="4366F6E4" w:rsidR="00FE0C02" w:rsidRPr="009B140C" w:rsidRDefault="00FE0C02" w:rsidP="00FE0C02">
      <w:pPr>
        <w:pStyle w:val="Text1"/>
      </w:pPr>
      <w:r w:rsidRPr="009B140C">
        <w:rPr>
          <w:b/>
        </w:rPr>
        <w:t>Dodatkowe wymogi sprawozdawcze na zasadzie skonsolidowanej do celów określania globalnych instytucji</w:t>
      </w:r>
      <w:r w:rsidR="009B140C" w:rsidRPr="009B140C">
        <w:rPr>
          <w:b/>
        </w:rPr>
        <w:t xml:space="preserve"> o</w:t>
      </w:r>
      <w:r w:rsidR="009B140C">
        <w:rPr>
          <w:b/>
        </w:rPr>
        <w:t> </w:t>
      </w:r>
      <w:r w:rsidR="009B140C" w:rsidRPr="009B140C">
        <w:rPr>
          <w:b/>
        </w:rPr>
        <w:t>zna</w:t>
      </w:r>
      <w:r w:rsidRPr="009B140C">
        <w:rPr>
          <w:b/>
        </w:rPr>
        <w:t>czeniu systemowym</w:t>
      </w:r>
      <w:r w:rsidR="009B140C" w:rsidRPr="009B140C">
        <w:rPr>
          <w:b/>
        </w:rPr>
        <w:t xml:space="preserve"> i</w:t>
      </w:r>
      <w:r w:rsidR="009B140C">
        <w:rPr>
          <w:b/>
        </w:rPr>
        <w:t> </w:t>
      </w:r>
      <w:r w:rsidR="009B140C" w:rsidRPr="009B140C">
        <w:rPr>
          <w:b/>
        </w:rPr>
        <w:t>prz</w:t>
      </w:r>
      <w:r w:rsidRPr="009B140C">
        <w:rPr>
          <w:b/>
        </w:rPr>
        <w:t>ypisywania wskaźników bufora globalnych instytucji</w:t>
      </w:r>
      <w:r w:rsidR="009B140C" w:rsidRPr="009B140C">
        <w:rPr>
          <w:b/>
        </w:rPr>
        <w:t xml:space="preserve"> o</w:t>
      </w:r>
      <w:r w:rsidR="009B140C">
        <w:rPr>
          <w:b/>
        </w:rPr>
        <w:t> </w:t>
      </w:r>
      <w:r w:rsidR="009B140C" w:rsidRPr="009B140C">
        <w:rPr>
          <w:b/>
        </w:rPr>
        <w:t>zna</w:t>
      </w:r>
      <w:r w:rsidRPr="009B140C">
        <w:rPr>
          <w:b/>
        </w:rPr>
        <w:t>czeniu systemowym</w:t>
      </w:r>
    </w:p>
    <w:p w14:paraId="76EECD2F" w14:textId="06A78924" w:rsidR="00FE0C02" w:rsidRPr="009B140C" w:rsidRDefault="00FE0C02" w:rsidP="005F180D">
      <w:pPr>
        <w:pStyle w:val="NumPar1"/>
        <w:numPr>
          <w:ilvl w:val="0"/>
          <w:numId w:val="27"/>
        </w:numPr>
      </w:pPr>
      <w:r w:rsidRPr="009B140C">
        <w:t>Aby przekazać dodatkowe informacje do celów określania globalnych instytucji</w:t>
      </w:r>
      <w:r w:rsidR="009B140C" w:rsidRPr="009B140C">
        <w:t xml:space="preserve"> o</w:t>
      </w:r>
      <w:r w:rsidR="009B140C">
        <w:t> </w:t>
      </w:r>
      <w:r w:rsidR="009B140C" w:rsidRPr="009B140C">
        <w:t>zna</w:t>
      </w:r>
      <w:r w:rsidRPr="009B140C">
        <w:t>czeniu systemowym</w:t>
      </w:r>
      <w:r w:rsidR="009B140C" w:rsidRPr="009B140C">
        <w:t xml:space="preserve"> i</w:t>
      </w:r>
      <w:r w:rsidR="009B140C">
        <w:t> </w:t>
      </w:r>
      <w:r w:rsidR="009B140C" w:rsidRPr="009B140C">
        <w:t>prz</w:t>
      </w:r>
      <w:r w:rsidRPr="009B140C">
        <w:t>ypisywania wskaźników bufora globalnych instytucji</w:t>
      </w:r>
      <w:r w:rsidR="009B140C" w:rsidRPr="009B140C">
        <w:t xml:space="preserve"> o</w:t>
      </w:r>
      <w:r w:rsidR="009B140C">
        <w:t> </w:t>
      </w:r>
      <w:r w:rsidR="009B140C" w:rsidRPr="009B140C">
        <w:t>zna</w:t>
      </w:r>
      <w:r w:rsidRPr="009B140C">
        <w:t>czeniu systemowym zgodnie</w:t>
      </w:r>
      <w:r w:rsidR="009B140C" w:rsidRPr="009B140C">
        <w:t xml:space="preserve"> z</w:t>
      </w:r>
      <w:r w:rsidR="009B140C">
        <w:t> </w:t>
      </w:r>
      <w:r w:rsidR="009B140C" w:rsidRPr="009B140C">
        <w:t>art</w:t>
      </w:r>
      <w:r w:rsidRPr="009B140C">
        <w:t>.</w:t>
      </w:r>
      <w:r w:rsidR="009B140C" w:rsidRPr="009B140C">
        <w:t> </w:t>
      </w:r>
      <w:r w:rsidRPr="009B140C">
        <w:t>131 dyrektywy 2013/36/UE, unijne instytucje dominujące, unijne dominujące finansowe spółki holdingowe oraz unijne dominujące finansowe spółki holdingowe</w:t>
      </w:r>
      <w:r w:rsidR="009B140C" w:rsidRPr="009B140C">
        <w:t xml:space="preserve"> o</w:t>
      </w:r>
      <w:r w:rsidR="009B140C">
        <w:t> </w:t>
      </w:r>
      <w:r w:rsidR="009B140C" w:rsidRPr="009B140C">
        <w:t>dzi</w:t>
      </w:r>
      <w:r w:rsidRPr="009B140C">
        <w:t>ałalności mieszanej przekazują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XXVI, zgodnie</w:t>
      </w:r>
      <w:r w:rsidR="009B140C" w:rsidRPr="009B140C">
        <w:t xml:space="preserve"> z</w:t>
      </w:r>
      <w:r w:rsidR="009B140C">
        <w:t> </w:t>
      </w:r>
      <w:r w:rsidR="009B140C" w:rsidRPr="009B140C">
        <w:t>ins</w:t>
      </w:r>
      <w:r w:rsidRPr="009B140C">
        <w:t>trukcjami zawartymi</w:t>
      </w:r>
      <w:r w:rsidR="009B140C" w:rsidRPr="009B140C">
        <w:t xml:space="preserve"> w</w:t>
      </w:r>
      <w:r w:rsidR="009B140C">
        <w:t> </w:t>
      </w:r>
      <w:r w:rsidR="009B140C" w:rsidRPr="009B140C">
        <w:t>zał</w:t>
      </w:r>
      <w:r w:rsidRPr="009B140C">
        <w:t>ączniku XXVII, na zasadzie skonsolidowanej,</w:t>
      </w:r>
      <w:r w:rsidR="009B140C" w:rsidRPr="009B140C">
        <w:t xml:space="preserve"> z</w:t>
      </w:r>
      <w:r w:rsidR="009B140C">
        <w:t> </w:t>
      </w:r>
      <w:r w:rsidR="009B140C" w:rsidRPr="009B140C">
        <w:t>czę</w:t>
      </w:r>
      <w:r w:rsidRPr="009B140C">
        <w:t>stotliwością kwartalną.</w:t>
      </w:r>
    </w:p>
    <w:p w14:paraId="4242810E" w14:textId="00916F06" w:rsidR="00FE0C02" w:rsidRPr="009B140C" w:rsidRDefault="00FE0C02" w:rsidP="00FE0C02">
      <w:pPr>
        <w:pStyle w:val="NumPar1"/>
        <w:numPr>
          <w:ilvl w:val="0"/>
          <w:numId w:val="10"/>
        </w:numPr>
      </w:pPr>
      <w:r w:rsidRPr="009B140C">
        <w:t>Unijne instytucje dominujące, unijne dominujące finansowe spółki holdingowe oraz unijne dominujące finansowe spółki holdingowe</w:t>
      </w:r>
      <w:r w:rsidR="009B140C" w:rsidRPr="009B140C">
        <w:t xml:space="preserve"> o</w:t>
      </w:r>
      <w:r w:rsidR="009B140C">
        <w:t> </w:t>
      </w:r>
      <w:r w:rsidR="009B140C" w:rsidRPr="009B140C">
        <w:t>dzi</w:t>
      </w:r>
      <w:r w:rsidRPr="009B140C">
        <w:t>ałalności mieszanej przekazują wyłącznie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ust</w:t>
      </w:r>
      <w:r w:rsidRPr="009B140C">
        <w:t>.</w:t>
      </w:r>
      <w:r w:rsidR="009B140C" w:rsidRPr="009B140C">
        <w:t> </w:t>
      </w:r>
      <w:r w:rsidRPr="009B140C">
        <w:t>1,</w:t>
      </w:r>
      <w:r w:rsidR="009B140C" w:rsidRPr="009B140C">
        <w:t xml:space="preserve"> w</w:t>
      </w:r>
      <w:r w:rsidR="009B140C">
        <w:t> </w:t>
      </w:r>
      <w:r w:rsidR="009B140C" w:rsidRPr="009B140C">
        <w:t>prz</w:t>
      </w:r>
      <w:r w:rsidRPr="009B140C">
        <w:t>ypadku spełnienia obu poniższych warunków:</w:t>
      </w:r>
    </w:p>
    <w:p w14:paraId="0C5DCF08" w14:textId="72135066" w:rsidR="00FE0C02" w:rsidRPr="009B140C" w:rsidRDefault="00FE0C02" w:rsidP="00FE0C02">
      <w:pPr>
        <w:pStyle w:val="Point1"/>
      </w:pPr>
      <w:r w:rsidRPr="009B140C">
        <w:t>a)</w:t>
      </w:r>
      <w:r w:rsidRPr="009B140C">
        <w:tab/>
        <w:t>miara ekspozycji całkowitej grupy,</w:t>
      </w:r>
      <w:r w:rsidR="009B140C" w:rsidRPr="009B140C">
        <w:t xml:space="preserve"> w</w:t>
      </w:r>
      <w:r w:rsidR="009B140C">
        <w:t> </w:t>
      </w:r>
      <w:r w:rsidR="009B140C" w:rsidRPr="009B140C">
        <w:t>tym</w:t>
      </w:r>
      <w:r w:rsidRPr="009B140C">
        <w:t xml:space="preserve"> ubezpieczeniowych spółek zależnych, wynosi co najmniej 125 000 mln EUR;</w:t>
      </w:r>
    </w:p>
    <w:p w14:paraId="05DC0A53" w14:textId="079F39A9" w:rsidR="00FE0C02" w:rsidRPr="009B140C" w:rsidRDefault="00FE0C02" w:rsidP="00FE0C02">
      <w:pPr>
        <w:pStyle w:val="Point1"/>
      </w:pPr>
      <w:r w:rsidRPr="009B140C">
        <w:t>b)</w:t>
      </w:r>
      <w:r w:rsidRPr="009B140C">
        <w:tab/>
        <w:t>unijna spółka dominująca lub którakolwiek</w:t>
      </w:r>
      <w:r w:rsidR="009B140C" w:rsidRPr="009B140C">
        <w:t xml:space="preserve"> z</w:t>
      </w:r>
      <w:r w:rsidR="009B140C">
        <w:t> </w:t>
      </w:r>
      <w:r w:rsidR="009B140C" w:rsidRPr="009B140C">
        <w:t>jej</w:t>
      </w:r>
      <w:r w:rsidRPr="009B140C">
        <w:t xml:space="preserve"> spółek zależnych lub oddział prowadzony przez spółkę dominującą lub zależną są zlokalizowane</w:t>
      </w:r>
      <w:r w:rsidR="009B140C" w:rsidRPr="009B140C">
        <w:t xml:space="preserve"> w</w:t>
      </w:r>
      <w:r w:rsidR="009B140C">
        <w:t> </w:t>
      </w:r>
      <w:r w:rsidR="009B140C" w:rsidRPr="009B140C">
        <w:t>ucz</w:t>
      </w:r>
      <w:r w:rsidRPr="009B140C">
        <w:t>estniczącym państwie członkowskim,</w:t>
      </w:r>
      <w:r w:rsidR="009B140C" w:rsidRPr="009B140C">
        <w:t xml:space="preserve"> o</w:t>
      </w:r>
      <w:r w:rsidR="009B140C">
        <w:t> </w:t>
      </w:r>
      <w:r w:rsidR="009B140C" w:rsidRPr="009B140C">
        <w:t>któ</w:t>
      </w:r>
      <w:r w:rsidRPr="009B140C">
        <w:t>rym mowa</w:t>
      </w:r>
      <w:r w:rsidR="009B140C" w:rsidRPr="009B140C">
        <w:t xml:space="preserve"> w</w:t>
      </w:r>
      <w:r w:rsidR="009B140C">
        <w:t> </w:t>
      </w:r>
      <w:r w:rsidR="009B140C" w:rsidRPr="009B140C">
        <w:t>art</w:t>
      </w:r>
      <w:r w:rsidRPr="009B140C">
        <w:t>.</w:t>
      </w:r>
      <w:r w:rsidR="009B140C" w:rsidRPr="009B140C">
        <w:t> </w:t>
      </w:r>
      <w:r w:rsidRPr="009B140C">
        <w:t>4 rozporządzenia Parlamentu Europejskiego</w:t>
      </w:r>
      <w:r w:rsidR="009B140C" w:rsidRPr="009B140C">
        <w:t xml:space="preserve"> i</w:t>
      </w:r>
      <w:r w:rsidR="009B140C">
        <w:t> </w:t>
      </w:r>
      <w:r w:rsidR="009B140C" w:rsidRPr="009B140C">
        <w:t>Rad</w:t>
      </w:r>
      <w:r w:rsidRPr="009B140C">
        <w:t>y (UE) nr</w:t>
      </w:r>
      <w:r w:rsidR="009B140C" w:rsidRPr="009B140C">
        <w:t> </w:t>
      </w:r>
      <w:r w:rsidRPr="009B140C">
        <w:t>806/2014</w:t>
      </w:r>
      <w:r w:rsidRPr="009B140C">
        <w:rPr>
          <w:rStyle w:val="FootnoteReference"/>
        </w:rPr>
        <w:footnoteReference w:id="12"/>
      </w:r>
      <w:r w:rsidRPr="009B140C">
        <w:t>.</w:t>
      </w:r>
    </w:p>
    <w:p w14:paraId="6584D044" w14:textId="25C6653B" w:rsidR="00FE0C02" w:rsidRPr="009B140C" w:rsidRDefault="00FE0C02" w:rsidP="00FE0C02">
      <w:pPr>
        <w:pStyle w:val="NumPar1"/>
        <w:numPr>
          <w:ilvl w:val="0"/>
          <w:numId w:val="10"/>
        </w:numPr>
      </w:pPr>
      <w:r w:rsidRPr="009B140C">
        <w:t>Na zasadzie odstępstwa od przepisów art.</w:t>
      </w:r>
      <w:r w:rsidR="009B140C" w:rsidRPr="009B140C">
        <w:t> </w:t>
      </w:r>
      <w:r w:rsidRPr="009B140C">
        <w:t>3 ust.</w:t>
      </w:r>
      <w:r w:rsidR="009B140C" w:rsidRPr="009B140C">
        <w:t> </w:t>
      </w:r>
      <w:r w:rsidRPr="009B140C">
        <w:t>1 lit.</w:t>
      </w:r>
      <w:r w:rsidR="009B140C" w:rsidRPr="009B140C">
        <w:t> </w:t>
      </w:r>
      <w:r w:rsidRPr="009B140C">
        <w:t>b) informacje,</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ust</w:t>
      </w:r>
      <w:r w:rsidRPr="009B140C">
        <w:t>.</w:t>
      </w:r>
      <w:r w:rsidR="009B140C" w:rsidRPr="009B140C">
        <w:t> </w:t>
      </w:r>
      <w:r w:rsidRPr="009B140C">
        <w:t>1 niniejszego artykułu, przekazuje się przed zakończeniem dnia roboczego</w:t>
      </w:r>
      <w:r w:rsidR="009B140C" w:rsidRPr="009B140C">
        <w:t xml:space="preserve"> w</w:t>
      </w:r>
      <w:r w:rsidR="009B140C">
        <w:t> </w:t>
      </w:r>
      <w:r w:rsidR="009B140C" w:rsidRPr="009B140C">
        <w:t>nas</w:t>
      </w:r>
      <w:r w:rsidRPr="009B140C">
        <w:t>tępujących dniach przekazania formularzy: 1 lipca, 1 października, 2 stycznia</w:t>
      </w:r>
      <w:r w:rsidR="009B140C" w:rsidRPr="009B140C">
        <w:t xml:space="preserve"> i</w:t>
      </w:r>
      <w:r w:rsidR="009B140C">
        <w:t> </w:t>
      </w:r>
      <w:r w:rsidR="009B140C" w:rsidRPr="009B140C">
        <w:t>1</w:t>
      </w:r>
      <w:r w:rsidRPr="009B140C">
        <w:t xml:space="preserve"> kwietnia.</w:t>
      </w:r>
    </w:p>
    <w:p w14:paraId="3336B0CC" w14:textId="765EB2A6" w:rsidR="00FE0C02" w:rsidRPr="009B140C" w:rsidRDefault="00FE0C02" w:rsidP="00FE0C02">
      <w:pPr>
        <w:pStyle w:val="NumPar1"/>
        <w:numPr>
          <w:ilvl w:val="0"/>
          <w:numId w:val="10"/>
        </w:numPr>
      </w:pPr>
      <w:r w:rsidRPr="009B140C">
        <w:t>Na zasadzie odstępstwa od art.</w:t>
      </w:r>
      <w:r w:rsidR="009B140C" w:rsidRPr="009B140C">
        <w:t> </w:t>
      </w:r>
      <w:r w:rsidRPr="009B140C">
        <w:t>4</w:t>
      </w:r>
      <w:r w:rsidR="009B140C" w:rsidRPr="009B140C">
        <w:t xml:space="preserve"> w</w:t>
      </w:r>
      <w:r w:rsidR="009B140C">
        <w:t> </w:t>
      </w:r>
      <w:r w:rsidR="009B140C" w:rsidRPr="009B140C">
        <w:t>odn</w:t>
      </w:r>
      <w:r w:rsidRPr="009B140C">
        <w:t>iesieniu do progu określonego</w:t>
      </w:r>
      <w:r w:rsidR="009B140C" w:rsidRPr="009B140C">
        <w:t xml:space="preserve"> w</w:t>
      </w:r>
      <w:r w:rsidR="009B140C">
        <w:t> </w:t>
      </w:r>
      <w:r w:rsidR="009B140C" w:rsidRPr="009B140C">
        <w:t>ust</w:t>
      </w:r>
      <w:r w:rsidRPr="009B140C">
        <w:t>.</w:t>
      </w:r>
      <w:r w:rsidR="009B140C" w:rsidRPr="009B140C">
        <w:t> </w:t>
      </w:r>
      <w:r w:rsidRPr="009B140C">
        <w:t>2 lit.</w:t>
      </w:r>
      <w:r w:rsidR="009B140C" w:rsidRPr="009B140C">
        <w:t> </w:t>
      </w:r>
      <w:r w:rsidRPr="009B140C">
        <w:t>a) niniejszego artykułu zastosowanie ma, co następuje:</w:t>
      </w:r>
    </w:p>
    <w:p w14:paraId="542951C2" w14:textId="517D40A9" w:rsidR="00FE0C02" w:rsidRPr="009B140C" w:rsidRDefault="00FE0C02" w:rsidP="00FE0C02">
      <w:pPr>
        <w:pStyle w:val="Point1"/>
      </w:pPr>
      <w:r w:rsidRPr="009B140C">
        <w:lastRenderedPageBreak/>
        <w:t>a)</w:t>
      </w:r>
      <w:r w:rsidRPr="009B140C">
        <w:tab/>
        <w:t>unijna instytucja dominująca, unijna dominująca finansowa spółka holdingowa lub unijna dominująca finansowa spółka holdingowa</w:t>
      </w:r>
      <w:r w:rsidR="009B140C" w:rsidRPr="009B140C">
        <w:t xml:space="preserve"> o</w:t>
      </w:r>
      <w:r w:rsidR="009B140C">
        <w:t> </w:t>
      </w:r>
      <w:r w:rsidR="009B140C" w:rsidRPr="009B140C">
        <w:t>dzi</w:t>
      </w:r>
      <w:r w:rsidRPr="009B140C">
        <w:t>ałalności mieszanej rozpoczyna przekazywanie informacji zgodnie</w:t>
      </w:r>
      <w:r w:rsidR="009B140C" w:rsidRPr="009B140C">
        <w:t xml:space="preserve"> z</w:t>
      </w:r>
      <w:r w:rsidR="009B140C">
        <w:t> </w:t>
      </w:r>
      <w:r w:rsidR="009B140C" w:rsidRPr="009B140C">
        <w:t>nin</w:t>
      </w:r>
      <w:r w:rsidRPr="009B140C">
        <w:t>iejszym artykułem, gdy tylko jej miara ekspozycji wskaźnika dźwigni przekroczy określony próg na dzień zakończenia roku obrotowego,</w:t>
      </w:r>
      <w:r w:rsidR="009B140C" w:rsidRPr="009B140C">
        <w:t xml:space="preserve"> i</w:t>
      </w:r>
      <w:r w:rsidR="009B140C">
        <w:t> </w:t>
      </w:r>
      <w:r w:rsidR="009B140C" w:rsidRPr="009B140C">
        <w:t>prz</w:t>
      </w:r>
      <w:r w:rsidRPr="009B140C">
        <w:t>edstawia te informacje co najmniej</w:t>
      </w:r>
      <w:r w:rsidR="009B140C" w:rsidRPr="009B140C">
        <w:t xml:space="preserve"> w</w:t>
      </w:r>
      <w:r w:rsidR="009B140C">
        <w:t> </w:t>
      </w:r>
      <w:r w:rsidR="009B140C" w:rsidRPr="009B140C">
        <w:t>odn</w:t>
      </w:r>
      <w:r w:rsidRPr="009B140C">
        <w:t>iesieniu do końca tego roku obrotowego oraz kolejnych trzech kwartalnych dni odniesienia;</w:t>
      </w:r>
    </w:p>
    <w:p w14:paraId="50325C89" w14:textId="2C6CA554" w:rsidR="00FE0C02" w:rsidRPr="009B140C" w:rsidRDefault="00FE0C02" w:rsidP="00FE0C02">
      <w:pPr>
        <w:pStyle w:val="Point1"/>
      </w:pPr>
      <w:r w:rsidRPr="009B140C">
        <w:t>b)</w:t>
      </w:r>
      <w:r w:rsidRPr="009B140C">
        <w:tab/>
        <w:t>unijna instytucja dominująca, unijna dominująca finansowa spółka holdingowa lub unijna dominująca finansowa spółka holdingowa</w:t>
      </w:r>
      <w:r w:rsidR="009B140C" w:rsidRPr="009B140C">
        <w:t xml:space="preserve"> o</w:t>
      </w:r>
      <w:r w:rsidR="009B140C">
        <w:t> </w:t>
      </w:r>
      <w:r w:rsidR="009B140C" w:rsidRPr="009B140C">
        <w:t>dzi</w:t>
      </w:r>
      <w:r w:rsidRPr="009B140C">
        <w:t>ałalności mieszanej zaprzestaje przekazywania informacji zgodnie</w:t>
      </w:r>
      <w:r w:rsidR="009B140C" w:rsidRPr="009B140C">
        <w:t xml:space="preserve"> z</w:t>
      </w:r>
      <w:r w:rsidR="009B140C">
        <w:t> </w:t>
      </w:r>
      <w:r w:rsidR="009B140C" w:rsidRPr="009B140C">
        <w:t>nin</w:t>
      </w:r>
      <w:r w:rsidRPr="009B140C">
        <w:t>iejszym artykułem, gdy tylko jej miara ekspozycji wskaźnika dźwigni spadnie poniżej określonego progu na dzień zakończenia jej roku obrotowego.</w:t>
      </w:r>
    </w:p>
    <w:p w14:paraId="3714E48A" w14:textId="77777777" w:rsidR="00FE0C02" w:rsidRPr="009B140C" w:rsidRDefault="00FE0C02" w:rsidP="00FE0C02">
      <w:pPr>
        <w:pStyle w:val="Titrearticle"/>
      </w:pPr>
      <w:r w:rsidRPr="009B140C">
        <w:t>Artykuł 21</w:t>
      </w:r>
    </w:p>
    <w:p w14:paraId="379043C5" w14:textId="77777777" w:rsidR="00FE0C02" w:rsidRPr="009B140C" w:rsidRDefault="00FE0C02" w:rsidP="00FE0C02">
      <w:pPr>
        <w:pStyle w:val="Titrearticle"/>
        <w:spacing w:before="120"/>
      </w:pPr>
      <w:r w:rsidRPr="009B140C">
        <w:rPr>
          <w:b/>
          <w:i w:val="0"/>
        </w:rPr>
        <w:t>Formaty wymiany danych oraz informacje towarzyszące przedkładanym danym</w:t>
      </w:r>
    </w:p>
    <w:p w14:paraId="3484BAE7" w14:textId="03D07C3C" w:rsidR="00FE0C02" w:rsidRPr="009B140C" w:rsidRDefault="00FE0C02" w:rsidP="005F180D">
      <w:pPr>
        <w:pStyle w:val="NumPar1"/>
        <w:numPr>
          <w:ilvl w:val="0"/>
          <w:numId w:val="28"/>
        </w:numPr>
      </w:pPr>
      <w:r w:rsidRPr="009B140C">
        <w:t>Instytucje przedstawiają informacje</w:t>
      </w:r>
      <w:r w:rsidR="009B140C" w:rsidRPr="009B140C">
        <w:t xml:space="preserve"> w</w:t>
      </w:r>
      <w:r w:rsidR="009B140C">
        <w:t> </w:t>
      </w:r>
      <w:r w:rsidR="009B140C" w:rsidRPr="009B140C">
        <w:t>for</w:t>
      </w:r>
      <w:r w:rsidRPr="009B140C">
        <w:t>matach wymiany</w:t>
      </w:r>
      <w:r w:rsidR="009B140C" w:rsidRPr="009B140C">
        <w:t xml:space="preserve"> i</w:t>
      </w:r>
      <w:r w:rsidR="009B140C">
        <w:t> </w:t>
      </w:r>
      <w:r w:rsidR="009B140C" w:rsidRPr="009B140C">
        <w:t>prz</w:t>
      </w:r>
      <w:r w:rsidRPr="009B140C">
        <w:t>edstawiania danych określonych przez właściwe organy</w:t>
      </w:r>
      <w:r w:rsidR="009B140C" w:rsidRPr="009B140C">
        <w:t xml:space="preserve"> z</w:t>
      </w:r>
      <w:r w:rsidR="009B140C">
        <w:t> </w:t>
      </w:r>
      <w:r w:rsidR="009B140C" w:rsidRPr="009B140C">
        <w:t>zac</w:t>
      </w:r>
      <w:r w:rsidRPr="009B140C">
        <w:t>howaniem definicji punktu danych podanej</w:t>
      </w:r>
      <w:r w:rsidR="009B140C" w:rsidRPr="009B140C">
        <w:t xml:space="preserve"> w</w:t>
      </w:r>
      <w:r w:rsidR="009B140C">
        <w:t> </w:t>
      </w:r>
      <w:r w:rsidR="009B140C" w:rsidRPr="009B140C">
        <w:t>mod</w:t>
      </w:r>
      <w:r w:rsidRPr="009B140C">
        <w:t>elu punktów danych,</w:t>
      </w:r>
      <w:r w:rsidR="009B140C" w:rsidRPr="009B140C">
        <w:t xml:space="preserve"> o</w:t>
      </w:r>
      <w:r w:rsidR="009B140C">
        <w:t> </w:t>
      </w:r>
      <w:r w:rsidR="009B140C" w:rsidRPr="009B140C">
        <w:t>któ</w:t>
      </w:r>
      <w:r w:rsidRPr="009B140C">
        <w:t>rym mowa</w:t>
      </w:r>
      <w:r w:rsidR="009B140C" w:rsidRPr="009B140C">
        <w:t xml:space="preserve"> w</w:t>
      </w:r>
      <w:r w:rsidR="009B140C">
        <w:t> </w:t>
      </w:r>
      <w:r w:rsidR="009B140C" w:rsidRPr="009B140C">
        <w:t>zał</w:t>
      </w:r>
      <w:r w:rsidRPr="009B140C">
        <w:t>ączniku XIV, oraz formuł walidacji,</w:t>
      </w:r>
      <w:r w:rsidR="009B140C" w:rsidRPr="009B140C">
        <w:t xml:space="preserve"> o</w:t>
      </w:r>
      <w:r w:rsidR="009B140C">
        <w:t> </w:t>
      </w:r>
      <w:r w:rsidR="009B140C" w:rsidRPr="009B140C">
        <w:t>któ</w:t>
      </w:r>
      <w:r w:rsidRPr="009B140C">
        <w:t>rych mowa</w:t>
      </w:r>
      <w:r w:rsidR="009B140C" w:rsidRPr="009B140C">
        <w:t xml:space="preserve"> w</w:t>
      </w:r>
      <w:r w:rsidR="009B140C">
        <w:t> </w:t>
      </w:r>
      <w:r w:rsidR="009B140C" w:rsidRPr="009B140C">
        <w:t>zał</w:t>
      </w:r>
      <w:r w:rsidRPr="009B140C">
        <w:t>ączniku XV,</w:t>
      </w:r>
      <w:r w:rsidR="009B140C" w:rsidRPr="009B140C">
        <w:t xml:space="preserve"> a</w:t>
      </w:r>
      <w:r w:rsidR="009B140C">
        <w:t> </w:t>
      </w:r>
      <w:r w:rsidR="009B140C" w:rsidRPr="009B140C">
        <w:t>tak</w:t>
      </w:r>
      <w:r w:rsidRPr="009B140C">
        <w:t>że następujących specyfikacji:</w:t>
      </w:r>
    </w:p>
    <w:p w14:paraId="6302FDB1" w14:textId="77777777" w:rsidR="00FE0C02" w:rsidRPr="009B140C" w:rsidRDefault="00FE0C02" w:rsidP="00FE0C02">
      <w:pPr>
        <w:pStyle w:val="Point1"/>
      </w:pPr>
      <w:r w:rsidRPr="009B140C">
        <w:t>a)</w:t>
      </w:r>
      <w:r w:rsidRPr="009B140C">
        <w:tab/>
        <w:t>w przedstawianych danych nie uwzględnia się danych, które nie są wymagane ani nie mają zastosowania;</w:t>
      </w:r>
    </w:p>
    <w:p w14:paraId="04CB5DF9" w14:textId="2E0C3B60" w:rsidR="00FE0C02" w:rsidRPr="009B140C" w:rsidRDefault="00FE0C02" w:rsidP="00FE0C02">
      <w:pPr>
        <w:pStyle w:val="Point1"/>
      </w:pPr>
      <w:r w:rsidRPr="009B140C">
        <w:t>b)</w:t>
      </w:r>
      <w:r w:rsidRPr="009B140C">
        <w:tab/>
        <w:t>wartości numeryczne przedstawia się</w:t>
      </w:r>
      <w:r w:rsidR="009B140C" w:rsidRPr="009B140C">
        <w:t xml:space="preserve"> w</w:t>
      </w:r>
      <w:r w:rsidR="009B140C">
        <w:t> </w:t>
      </w:r>
      <w:r w:rsidR="009B140C" w:rsidRPr="009B140C">
        <w:t>nas</w:t>
      </w:r>
      <w:r w:rsidRPr="009B140C">
        <w:t>tępujący sposób:</w:t>
      </w:r>
    </w:p>
    <w:p w14:paraId="08E0D7CD" w14:textId="064BBB4D" w:rsidR="00FE0C02" w:rsidRPr="009B140C" w:rsidRDefault="00FE0C02" w:rsidP="00FE0C02">
      <w:pPr>
        <w:pStyle w:val="Point2"/>
      </w:pPr>
      <w:r w:rsidRPr="009B140C">
        <w:t>(i)</w:t>
      </w:r>
      <w:r w:rsidRPr="009B140C">
        <w:tab/>
        <w:t xml:space="preserve">punkty danych obejmujące rodzaj danych </w:t>
      </w:r>
      <w:r w:rsidRPr="009B140C">
        <w:rPr>
          <w:color w:val="000000"/>
          <w:szCs w:val="24"/>
        </w:rPr>
        <w:t>„</w:t>
      </w:r>
      <w:r w:rsidRPr="009B140C">
        <w:t>monetarne</w:t>
      </w:r>
      <w:r w:rsidRPr="009B140C">
        <w:rPr>
          <w:color w:val="000000"/>
          <w:szCs w:val="24"/>
        </w:rPr>
        <w:t>”</w:t>
      </w:r>
      <w:r w:rsidRPr="009B140C">
        <w:t xml:space="preserve"> przedstawia się</w:t>
      </w:r>
      <w:r w:rsidR="009B140C" w:rsidRPr="009B140C">
        <w:t xml:space="preserve"> z</w:t>
      </w:r>
      <w:r w:rsidR="009B140C">
        <w:t> </w:t>
      </w:r>
      <w:r w:rsidR="009B140C" w:rsidRPr="009B140C">
        <w:t>zas</w:t>
      </w:r>
      <w:r w:rsidRPr="009B140C">
        <w:t>tosowaniem minimalnej dokładności odpowiadającej tysiącowi jednostek;</w:t>
      </w:r>
    </w:p>
    <w:p w14:paraId="34C38BBF" w14:textId="6ADF587D" w:rsidR="00FE0C02" w:rsidRPr="009B140C" w:rsidRDefault="00FE0C02" w:rsidP="00FE0C02">
      <w:pPr>
        <w:pStyle w:val="Point2"/>
      </w:pPr>
      <w:r w:rsidRPr="009B140C">
        <w:t>(ii)</w:t>
      </w:r>
      <w:r w:rsidRPr="009B140C">
        <w:tab/>
        <w:t>punkty danych obejmujące rodzaj danych „procentowe” wyraża się zgodnie</w:t>
      </w:r>
      <w:r w:rsidR="009B140C" w:rsidRPr="009B140C">
        <w:t xml:space="preserve"> z</w:t>
      </w:r>
      <w:r w:rsidR="009B140C">
        <w:t> </w:t>
      </w:r>
      <w:r w:rsidR="009B140C" w:rsidRPr="009B140C">
        <w:t>jed</w:t>
      </w:r>
      <w:r w:rsidRPr="009B140C">
        <w:t>nostką,</w:t>
      </w:r>
      <w:r w:rsidR="009B140C" w:rsidRPr="009B140C">
        <w:t xml:space="preserve"> z</w:t>
      </w:r>
      <w:r w:rsidR="009B140C">
        <w:t> </w:t>
      </w:r>
      <w:r w:rsidR="009B140C" w:rsidRPr="009B140C">
        <w:t>zas</w:t>
      </w:r>
      <w:r w:rsidRPr="009B140C">
        <w:t>tosowaniem minimalnej dokładności odpowiadającej czwartemu miejscu po przecinku;</w:t>
      </w:r>
    </w:p>
    <w:p w14:paraId="4CD4E1AC" w14:textId="0E584F2B" w:rsidR="00FE0C02" w:rsidRPr="009B140C" w:rsidRDefault="00FE0C02" w:rsidP="00FE0C02">
      <w:pPr>
        <w:pStyle w:val="Point2"/>
      </w:pPr>
      <w:r w:rsidRPr="009B140C">
        <w:t>(iii)</w:t>
      </w:r>
      <w:r w:rsidRPr="009B140C">
        <w:tab/>
        <w:t>punkty danych obejmujące rodzaj danych „liczby całkowite” przedstawia się bez miejsc po przecinku oraz</w:t>
      </w:r>
      <w:r w:rsidR="009B140C" w:rsidRPr="009B140C">
        <w:t xml:space="preserve"> z</w:t>
      </w:r>
      <w:r w:rsidR="009B140C">
        <w:t> </w:t>
      </w:r>
      <w:r w:rsidR="009B140C" w:rsidRPr="009B140C">
        <w:t>dok</w:t>
      </w:r>
      <w:r w:rsidRPr="009B140C">
        <w:t>ładnością odpowiadającą jednostkom;</w:t>
      </w:r>
    </w:p>
    <w:p w14:paraId="1DE261AC" w14:textId="711C9B1F" w:rsidR="00FE0C02" w:rsidRPr="009B140C" w:rsidRDefault="00FE0C02" w:rsidP="00FE0C02">
      <w:pPr>
        <w:pStyle w:val="Point1"/>
        <w:rPr>
          <w:szCs w:val="24"/>
        </w:rPr>
      </w:pPr>
      <w:r w:rsidRPr="009B140C">
        <w:t>c)</w:t>
      </w:r>
      <w:r w:rsidRPr="009B140C">
        <w:tab/>
        <w:t>instytucje</w:t>
      </w:r>
      <w:r w:rsidR="009B140C" w:rsidRPr="009B140C">
        <w:t xml:space="preserve"> i</w:t>
      </w:r>
      <w:r w:rsidR="009B140C">
        <w:t> </w:t>
      </w:r>
      <w:r w:rsidR="009B140C" w:rsidRPr="009B140C">
        <w:t>prz</w:t>
      </w:r>
      <w:r w:rsidRPr="009B140C">
        <w:t>edsiębiorstwa ubezpieczeniowe identyfikuje się wyłącznie na podstawie ich identyfikatora podmiotu prawnego (LEI);</w:t>
      </w:r>
    </w:p>
    <w:p w14:paraId="10C9C354" w14:textId="22CD3C8A" w:rsidR="00FE0C02" w:rsidRPr="009B140C" w:rsidRDefault="00FE0C02" w:rsidP="00FE0C02">
      <w:pPr>
        <w:pStyle w:val="Point1"/>
      </w:pPr>
      <w:r w:rsidRPr="009B140C">
        <w:t>d) osoby prawne</w:t>
      </w:r>
      <w:r w:rsidR="009B140C" w:rsidRPr="009B140C">
        <w:t xml:space="preserve"> i</w:t>
      </w:r>
      <w:r w:rsidR="009B140C">
        <w:t> </w:t>
      </w:r>
      <w:r w:rsidR="009B140C" w:rsidRPr="009B140C">
        <w:t>kon</w:t>
      </w:r>
      <w:r w:rsidRPr="009B140C">
        <w:t>trahentów innych niż instytucje</w:t>
      </w:r>
      <w:r w:rsidR="009B140C" w:rsidRPr="009B140C">
        <w:t xml:space="preserve"> i</w:t>
      </w:r>
      <w:r w:rsidR="009B140C">
        <w:t> </w:t>
      </w:r>
      <w:r w:rsidR="009B140C" w:rsidRPr="009B140C">
        <w:t>prz</w:t>
      </w:r>
      <w:r w:rsidRPr="009B140C">
        <w:t>edsiębiorstwa ubezpieczeniowe identyfikuje się na podstawie ich LEI, jeżeli im go nadano.</w:t>
      </w:r>
    </w:p>
    <w:p w14:paraId="275717B4" w14:textId="77777777" w:rsidR="00FE0C02" w:rsidRPr="009B140C" w:rsidRDefault="00FE0C02" w:rsidP="00FE0C02">
      <w:pPr>
        <w:pStyle w:val="NumPar1"/>
        <w:widowControl w:val="0"/>
        <w:numPr>
          <w:ilvl w:val="0"/>
          <w:numId w:val="10"/>
        </w:numPr>
        <w:autoSpaceDE w:val="0"/>
        <w:autoSpaceDN w:val="0"/>
        <w:spacing w:line="228" w:lineRule="auto"/>
        <w:rPr>
          <w:szCs w:val="24"/>
        </w:rPr>
      </w:pPr>
      <w:r w:rsidRPr="009B140C">
        <w:t>Do przekazywanych danych instytucje dołączają następujące informacje:</w:t>
      </w:r>
    </w:p>
    <w:p w14:paraId="533511FB" w14:textId="77777777" w:rsidR="00FE0C02" w:rsidRPr="009B140C" w:rsidRDefault="00FE0C02" w:rsidP="00FE0C02">
      <w:pPr>
        <w:pStyle w:val="Point1"/>
      </w:pPr>
      <w:r w:rsidRPr="009B140C">
        <w:t>a)</w:t>
      </w:r>
      <w:r w:rsidRPr="009B140C">
        <w:tab/>
        <w:t>sprawozdawczy dzień odniesienia oraz okres sprawozdawczy;</w:t>
      </w:r>
    </w:p>
    <w:p w14:paraId="35FFAFDD" w14:textId="77777777" w:rsidR="00FE0C02" w:rsidRPr="009B140C" w:rsidRDefault="00FE0C02" w:rsidP="00FE0C02">
      <w:pPr>
        <w:pStyle w:val="Point1"/>
      </w:pPr>
      <w:r w:rsidRPr="009B140C">
        <w:t>b)</w:t>
      </w:r>
      <w:r w:rsidRPr="009B140C">
        <w:tab/>
        <w:t>walutę sprawozdawczą;</w:t>
      </w:r>
    </w:p>
    <w:p w14:paraId="2D0A776B" w14:textId="77777777" w:rsidR="00FE0C02" w:rsidRPr="009B140C" w:rsidRDefault="00FE0C02" w:rsidP="00FE0C02">
      <w:pPr>
        <w:pStyle w:val="Point1"/>
      </w:pPr>
      <w:r w:rsidRPr="009B140C">
        <w:t>c)</w:t>
      </w:r>
      <w:r w:rsidRPr="009B140C">
        <w:tab/>
        <w:t>standard rachunkowości;</w:t>
      </w:r>
    </w:p>
    <w:p w14:paraId="05941E50" w14:textId="77777777" w:rsidR="00FE0C02" w:rsidRPr="009B140C" w:rsidRDefault="00FE0C02" w:rsidP="00FE0C02">
      <w:pPr>
        <w:pStyle w:val="Point1"/>
      </w:pPr>
      <w:r w:rsidRPr="009B140C">
        <w:t>d)</w:t>
      </w:r>
      <w:r w:rsidRPr="009B140C">
        <w:tab/>
        <w:t>identyfikator podmiotu prawnego (LEI) instytucji sprawozdającej;</w:t>
      </w:r>
    </w:p>
    <w:p w14:paraId="1E5B9FC2" w14:textId="77777777" w:rsidR="00FE0C02" w:rsidRPr="009B140C" w:rsidRDefault="00FE0C02" w:rsidP="00FE0C02">
      <w:pPr>
        <w:pStyle w:val="Point1"/>
      </w:pPr>
      <w:r w:rsidRPr="009B140C">
        <w:t>e)</w:t>
      </w:r>
      <w:r w:rsidRPr="009B140C">
        <w:tab/>
        <w:t>zakres konsolidacji.</w:t>
      </w:r>
    </w:p>
    <w:p w14:paraId="3C0C8DE6" w14:textId="77777777" w:rsidR="00FE0C02" w:rsidRPr="009B140C" w:rsidRDefault="00FE0C02" w:rsidP="00FE0C02">
      <w:pPr>
        <w:pStyle w:val="Titrearticle"/>
        <w:spacing w:before="120"/>
      </w:pPr>
      <w:r w:rsidRPr="009B140C">
        <w:lastRenderedPageBreak/>
        <w:t>Artykuł 22</w:t>
      </w:r>
    </w:p>
    <w:p w14:paraId="48AC81C7" w14:textId="2FA9201B" w:rsidR="00FE0C02" w:rsidRPr="009B140C" w:rsidRDefault="00FE0C02" w:rsidP="006B3AF7">
      <w:pPr>
        <w:pStyle w:val="Titrearticle"/>
      </w:pPr>
      <w:r w:rsidRPr="009B140C">
        <w:t>Uchylenie rozporządzenia wykonawczego (UE) nr</w:t>
      </w:r>
      <w:r w:rsidR="009B140C" w:rsidRPr="009B140C">
        <w:t> </w:t>
      </w:r>
      <w:r w:rsidRPr="009B140C">
        <w:t>680/2014</w:t>
      </w:r>
    </w:p>
    <w:p w14:paraId="1CFB853D" w14:textId="1A6EE5F4" w:rsidR="00FE0C02" w:rsidRPr="009B140C" w:rsidRDefault="00FE0C02" w:rsidP="006B3AF7">
      <w:r w:rsidRPr="009B140C">
        <w:t>Rozporządzenie wykonawcze (UE) nr</w:t>
      </w:r>
      <w:r w:rsidR="009B140C" w:rsidRPr="009B140C">
        <w:t> </w:t>
      </w:r>
      <w:r w:rsidRPr="009B140C">
        <w:t xml:space="preserve">680/2014 traci moc. </w:t>
      </w:r>
    </w:p>
    <w:p w14:paraId="783335BF" w14:textId="7744E337" w:rsidR="00FE0C02" w:rsidRPr="009B140C" w:rsidRDefault="00FE0C02" w:rsidP="006B3AF7">
      <w:r w:rsidRPr="009B140C">
        <w:t>Odesłania do uchylonego rozporządzenia traktuje się jako odesłania do niniejszego rozporządzenia.</w:t>
      </w:r>
    </w:p>
    <w:p w14:paraId="5FA1D041" w14:textId="77777777" w:rsidR="00FE0C02" w:rsidRPr="009B140C" w:rsidRDefault="00FE0C02" w:rsidP="00FE0C02">
      <w:pPr>
        <w:pStyle w:val="Titrearticle"/>
      </w:pPr>
      <w:r w:rsidRPr="009B140C">
        <w:t>Artykuł 23</w:t>
      </w:r>
    </w:p>
    <w:p w14:paraId="5DBF2ECB" w14:textId="6D6CECAE" w:rsidR="00FE0C02" w:rsidRPr="009B140C" w:rsidRDefault="00FE0C02" w:rsidP="00FE0C02">
      <w:pPr>
        <w:pStyle w:val="Titrearticle"/>
        <w:rPr>
          <w:b/>
          <w:i w:val="0"/>
        </w:rPr>
      </w:pPr>
      <w:r w:rsidRPr="009B140C">
        <w:rPr>
          <w:b/>
          <w:i w:val="0"/>
        </w:rPr>
        <w:t>Wejście</w:t>
      </w:r>
      <w:r w:rsidR="009B140C" w:rsidRPr="009B140C">
        <w:rPr>
          <w:b/>
          <w:i w:val="0"/>
        </w:rPr>
        <w:t xml:space="preserve"> w</w:t>
      </w:r>
      <w:r w:rsidR="009B140C">
        <w:rPr>
          <w:b/>
          <w:i w:val="0"/>
        </w:rPr>
        <w:t> </w:t>
      </w:r>
      <w:r w:rsidR="009B140C" w:rsidRPr="009B140C">
        <w:rPr>
          <w:b/>
          <w:i w:val="0"/>
        </w:rPr>
        <w:t>życ</w:t>
      </w:r>
      <w:r w:rsidRPr="009B140C">
        <w:rPr>
          <w:b/>
          <w:i w:val="0"/>
        </w:rPr>
        <w:t>ie</w:t>
      </w:r>
      <w:r w:rsidR="009B140C" w:rsidRPr="009B140C">
        <w:rPr>
          <w:b/>
          <w:i w:val="0"/>
        </w:rPr>
        <w:t xml:space="preserve"> i</w:t>
      </w:r>
      <w:r w:rsidR="009B140C">
        <w:rPr>
          <w:b/>
          <w:i w:val="0"/>
        </w:rPr>
        <w:t> </w:t>
      </w:r>
      <w:r w:rsidR="009B140C" w:rsidRPr="009B140C">
        <w:rPr>
          <w:b/>
          <w:i w:val="0"/>
        </w:rPr>
        <w:t>roz</w:t>
      </w:r>
      <w:r w:rsidRPr="009B140C">
        <w:rPr>
          <w:b/>
          <w:i w:val="0"/>
        </w:rPr>
        <w:t>poczęcie stosowania</w:t>
      </w:r>
    </w:p>
    <w:p w14:paraId="0A731224" w14:textId="5188CEC6" w:rsidR="00FE0C02" w:rsidRPr="009B140C" w:rsidRDefault="00FE0C02" w:rsidP="00FE0C02">
      <w:r w:rsidRPr="009B140C">
        <w:t>Niniejsze rozporządzenie wchodzi</w:t>
      </w:r>
      <w:r w:rsidR="009B140C" w:rsidRPr="009B140C">
        <w:t xml:space="preserve"> w</w:t>
      </w:r>
      <w:r w:rsidR="009B140C">
        <w:t> </w:t>
      </w:r>
      <w:r w:rsidR="009B140C" w:rsidRPr="009B140C">
        <w:t>życ</w:t>
      </w:r>
      <w:r w:rsidRPr="009B140C">
        <w:t>ie następnego dnia po jego opublikowaniu</w:t>
      </w:r>
      <w:r w:rsidR="009B140C" w:rsidRPr="009B140C">
        <w:t xml:space="preserve"> w</w:t>
      </w:r>
      <w:r w:rsidR="009B140C">
        <w:t> </w:t>
      </w:r>
      <w:r w:rsidR="009B140C" w:rsidRPr="009B140C">
        <w:rPr>
          <w:i/>
        </w:rPr>
        <w:t>Dzi</w:t>
      </w:r>
      <w:r w:rsidRPr="009B140C">
        <w:rPr>
          <w:i/>
        </w:rPr>
        <w:t>enniku Urzędowym Unii Europejskiej</w:t>
      </w:r>
      <w:r w:rsidRPr="009B140C">
        <w:t>.</w:t>
      </w:r>
    </w:p>
    <w:p w14:paraId="7B8BB43C" w14:textId="49D5532E" w:rsidR="00FE0C02" w:rsidRPr="009B140C" w:rsidRDefault="00FE0C02" w:rsidP="00FE0C02">
      <w:r w:rsidRPr="009B140C">
        <w:t>Niniejsze rozporządzenie stosuje się od dnia 28 czerwca 2021</w:t>
      </w:r>
      <w:r w:rsidR="009B140C" w:rsidRPr="009B140C">
        <w:t> </w:t>
      </w:r>
      <w:r w:rsidRPr="009B140C">
        <w:t>r.</w:t>
      </w:r>
    </w:p>
    <w:p w14:paraId="398E54BD" w14:textId="04CF3FE8" w:rsidR="00FE0C02" w:rsidRPr="009B140C" w:rsidRDefault="00FE0C02" w:rsidP="00FE0C02">
      <w:r w:rsidRPr="009B140C">
        <w:t>Niezależnie od przepisów akapitu drugiego niniejszego artykułu sprawozdawczość</w:t>
      </w:r>
      <w:r w:rsidR="009B140C" w:rsidRPr="009B140C">
        <w:t xml:space="preserve"> w</w:t>
      </w:r>
      <w:r w:rsidR="009B140C">
        <w:t> </w:t>
      </w:r>
      <w:r w:rsidR="009B140C" w:rsidRPr="009B140C">
        <w:t>zak</w:t>
      </w:r>
      <w:r w:rsidRPr="009B140C">
        <w:t>resie wymogu dotyczącego bufora wskaźnika dźwigni obowiązująca instytucje określone jako globalne instytucje</w:t>
      </w:r>
      <w:r w:rsidR="009B140C" w:rsidRPr="009B140C">
        <w:t xml:space="preserve"> o</w:t>
      </w:r>
      <w:r w:rsidR="009B140C">
        <w:t> </w:t>
      </w:r>
      <w:r w:rsidR="009B140C" w:rsidRPr="009B140C">
        <w:t>zna</w:t>
      </w:r>
      <w:r w:rsidRPr="009B140C">
        <w:t>czeniu systemowym, którą przewidziano we wzorze 47 przedstawionym</w:t>
      </w:r>
      <w:r w:rsidR="009B140C" w:rsidRPr="009B140C">
        <w:t xml:space="preserve"> w</w:t>
      </w:r>
      <w:r w:rsidR="009B140C">
        <w:t> </w:t>
      </w:r>
      <w:r w:rsidR="009B140C" w:rsidRPr="009B140C">
        <w:t>zał</w:t>
      </w:r>
      <w:r w:rsidRPr="009B140C">
        <w:t>ączniku X, ma zastosowanie od dnia 1 stycznia 2023</w:t>
      </w:r>
      <w:r w:rsidR="009B140C" w:rsidRPr="009B140C">
        <w:t> </w:t>
      </w:r>
      <w:r w:rsidRPr="009B140C">
        <w:t>r.</w:t>
      </w:r>
    </w:p>
    <w:p w14:paraId="077B995C" w14:textId="509F4FF7" w:rsidR="00FF364B" w:rsidRPr="009B140C" w:rsidRDefault="00FE0C02" w:rsidP="00FE0C02">
      <w:r w:rsidRPr="009B140C">
        <w:t>Art. 9</w:t>
      </w:r>
      <w:r w:rsidR="009B140C" w:rsidRPr="009B140C">
        <w:t xml:space="preserve"> i</w:t>
      </w:r>
      <w:r w:rsidR="009B140C">
        <w:t> </w:t>
      </w:r>
      <w:r w:rsidR="009B140C" w:rsidRPr="009B140C">
        <w:t>1</w:t>
      </w:r>
      <w:r w:rsidRPr="009B140C">
        <w:t>0 tracą moc</w:t>
      </w:r>
      <w:r w:rsidR="009B140C" w:rsidRPr="009B140C">
        <w:t xml:space="preserve"> z</w:t>
      </w:r>
      <w:r w:rsidR="009B140C">
        <w:t> </w:t>
      </w:r>
      <w:r w:rsidR="009B140C" w:rsidRPr="009B140C">
        <w:t>dni</w:t>
      </w:r>
      <w:r w:rsidRPr="009B140C">
        <w:t>em 26 czerwca 2026</w:t>
      </w:r>
      <w:r w:rsidR="009B140C" w:rsidRPr="009B140C">
        <w:t> </w:t>
      </w:r>
      <w:r w:rsidRPr="009B140C">
        <w:t>r.</w:t>
      </w:r>
    </w:p>
    <w:p w14:paraId="2BB71259" w14:textId="667127B1" w:rsidR="0004170D" w:rsidRPr="009B140C" w:rsidRDefault="0004170D" w:rsidP="009675DD">
      <w:pPr>
        <w:pStyle w:val="Applicationdirecte"/>
      </w:pPr>
      <w:r w:rsidRPr="009B140C">
        <w:t>Niniejsze rozporządzenie wiąże</w:t>
      </w:r>
      <w:r w:rsidR="009B140C" w:rsidRPr="009B140C">
        <w:t xml:space="preserve"> w</w:t>
      </w:r>
      <w:r w:rsidR="009B140C">
        <w:t> </w:t>
      </w:r>
      <w:r w:rsidR="009B140C" w:rsidRPr="009B140C">
        <w:t>cał</w:t>
      </w:r>
      <w:r w:rsidRPr="009B140C">
        <w:t>ości</w:t>
      </w:r>
      <w:r w:rsidR="009B140C" w:rsidRPr="009B140C">
        <w:t xml:space="preserve"> i</w:t>
      </w:r>
      <w:r w:rsidR="009B140C">
        <w:t> </w:t>
      </w:r>
      <w:r w:rsidR="009B140C" w:rsidRPr="009B140C">
        <w:t>jes</w:t>
      </w:r>
      <w:r w:rsidRPr="009B140C">
        <w:t>t bezpośrednio stosowane we wszystkich państwach członkowskich.</w:t>
      </w:r>
    </w:p>
    <w:p w14:paraId="2947B574" w14:textId="121E8EE5" w:rsidR="0004170D" w:rsidRPr="009B140C" w:rsidRDefault="009B140C" w:rsidP="009B140C">
      <w:pPr>
        <w:pStyle w:val="Fait"/>
      </w:pPr>
      <w:r w:rsidRPr="009B140C">
        <w:t xml:space="preserve">Sporządzono w Brukseli dnia </w:t>
      </w:r>
      <w:r w:rsidRPr="009B140C">
        <w:rPr>
          <w:rStyle w:val="Marker"/>
        </w:rPr>
        <w:t>[…]</w:t>
      </w:r>
      <w:r w:rsidRPr="009B140C">
        <w:t xml:space="preserve"> r.</w:t>
      </w:r>
    </w:p>
    <w:p w14:paraId="3F08E3CE" w14:textId="77777777" w:rsidR="0004170D" w:rsidRPr="009B140C" w:rsidRDefault="0004170D" w:rsidP="0004170D">
      <w:pPr>
        <w:pStyle w:val="Institutionquisigne"/>
      </w:pPr>
      <w:r w:rsidRPr="009B140C">
        <w:tab/>
        <w:t>W imieniu Komisji</w:t>
      </w:r>
    </w:p>
    <w:p w14:paraId="2100579F" w14:textId="77777777" w:rsidR="00A211D2" w:rsidRPr="009B140C" w:rsidRDefault="0004170D" w:rsidP="0004170D">
      <w:pPr>
        <w:pStyle w:val="Personnequisigne"/>
      </w:pPr>
      <w:r w:rsidRPr="009B140C">
        <w:tab/>
        <w:t>Przewodnicząca</w:t>
      </w:r>
    </w:p>
    <w:p w14:paraId="5318264F" w14:textId="632B2009" w:rsidR="0004170D" w:rsidRPr="009B140C" w:rsidRDefault="00A211D2" w:rsidP="0004170D">
      <w:pPr>
        <w:pStyle w:val="Personnequisigne"/>
      </w:pPr>
      <w:r w:rsidRPr="009B140C">
        <w:tab/>
        <w:t xml:space="preserve">Ursula von der Leyen </w:t>
      </w:r>
      <w:r w:rsidRPr="009B140C">
        <w:br/>
      </w:r>
      <w:r w:rsidRPr="009B140C">
        <w:tab/>
        <w:t xml:space="preserve"> </w:t>
      </w:r>
      <w:r w:rsidRPr="009B140C">
        <w:br/>
      </w:r>
      <w:r w:rsidRPr="009B140C">
        <w:tab/>
        <w:t xml:space="preserve"> </w:t>
      </w:r>
      <w:r w:rsidRPr="009B140C">
        <w:br/>
      </w:r>
    </w:p>
    <w:sectPr w:rsidR="0004170D" w:rsidRPr="009B140C" w:rsidSect="009B140C">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Pr="009B140C" w:rsidRDefault="007E5F66" w:rsidP="0004170D">
      <w:pPr>
        <w:spacing w:before="0" w:after="0"/>
      </w:pPr>
      <w:r w:rsidRPr="009B140C">
        <w:separator/>
      </w:r>
    </w:p>
  </w:endnote>
  <w:endnote w:type="continuationSeparator" w:id="0">
    <w:p w14:paraId="5326C0A8" w14:textId="77777777" w:rsidR="007E5F66" w:rsidRPr="009B140C" w:rsidRDefault="007E5F66" w:rsidP="0004170D">
      <w:pPr>
        <w:spacing w:before="0" w:after="0"/>
      </w:pPr>
      <w:r w:rsidRPr="009B14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7E9E3B49" w:rsidR="007E5F66" w:rsidRPr="009B140C" w:rsidRDefault="009B140C" w:rsidP="009B140C">
    <w:pPr>
      <w:pStyle w:val="Footer"/>
      <w:rPr>
        <w:rFonts w:ascii="Arial" w:hAnsi="Arial" w:cs="Arial"/>
        <w:b/>
        <w:sz w:val="48"/>
      </w:rPr>
    </w:pPr>
    <w:r w:rsidRPr="009B140C">
      <w:rPr>
        <w:rFonts w:ascii="Arial" w:hAnsi="Arial" w:cs="Arial"/>
        <w:b/>
        <w:sz w:val="48"/>
      </w:rPr>
      <w:t>PL</w:t>
    </w:r>
    <w:r w:rsidRPr="009B140C">
      <w:rPr>
        <w:rFonts w:ascii="Arial" w:hAnsi="Arial" w:cs="Arial"/>
        <w:b/>
        <w:sz w:val="48"/>
      </w:rPr>
      <w:tab/>
    </w:r>
    <w:r w:rsidRPr="009B140C">
      <w:rPr>
        <w:rFonts w:ascii="Arial" w:hAnsi="Arial" w:cs="Arial"/>
        <w:b/>
        <w:sz w:val="48"/>
      </w:rPr>
      <w:tab/>
    </w:r>
    <w:r w:rsidRPr="009B140C">
      <w:tab/>
    </w:r>
    <w:r w:rsidRPr="009B140C">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097A2" w14:textId="2DF0ABCD" w:rsidR="009B140C" w:rsidRPr="009B140C" w:rsidRDefault="009B140C" w:rsidP="009B140C">
    <w:pPr>
      <w:pStyle w:val="Footer"/>
      <w:rPr>
        <w:rFonts w:ascii="Arial" w:hAnsi="Arial" w:cs="Arial"/>
        <w:b/>
        <w:sz w:val="48"/>
      </w:rPr>
    </w:pPr>
    <w:r w:rsidRPr="009B140C">
      <w:rPr>
        <w:rFonts w:ascii="Arial" w:hAnsi="Arial" w:cs="Arial"/>
        <w:b/>
        <w:sz w:val="48"/>
      </w:rPr>
      <w:t>PL</w:t>
    </w:r>
    <w:r w:rsidRPr="009B140C">
      <w:rPr>
        <w:rFonts w:ascii="Arial" w:hAnsi="Arial" w:cs="Arial"/>
        <w:b/>
        <w:sz w:val="48"/>
      </w:rPr>
      <w:tab/>
    </w:r>
    <w:r>
      <w:fldChar w:fldCharType="begin"/>
    </w:r>
    <w:r>
      <w:instrText xml:space="preserve"> PAGE  \* MERGEFORMAT </w:instrText>
    </w:r>
    <w:r>
      <w:fldChar w:fldCharType="separate"/>
    </w:r>
    <w:r w:rsidR="00061ECF">
      <w:rPr>
        <w:noProof/>
      </w:rPr>
      <w:t>20</w:t>
    </w:r>
    <w:r>
      <w:fldChar w:fldCharType="end"/>
    </w:r>
    <w:r>
      <w:tab/>
    </w:r>
    <w:r w:rsidRPr="009B140C">
      <w:tab/>
    </w:r>
    <w:r w:rsidRPr="009B140C">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A760B" w14:textId="77777777" w:rsidR="009B140C" w:rsidRPr="009B140C" w:rsidRDefault="009B140C" w:rsidP="009B1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Pr="009B140C" w:rsidRDefault="007E5F66" w:rsidP="0004170D">
      <w:pPr>
        <w:spacing w:before="0" w:after="0"/>
      </w:pPr>
      <w:r w:rsidRPr="009B140C">
        <w:separator/>
      </w:r>
    </w:p>
  </w:footnote>
  <w:footnote w:type="continuationSeparator" w:id="0">
    <w:p w14:paraId="2DCC1F88" w14:textId="77777777" w:rsidR="007E5F66" w:rsidRPr="009B140C" w:rsidRDefault="007E5F66" w:rsidP="0004170D">
      <w:pPr>
        <w:spacing w:before="0" w:after="0"/>
      </w:pPr>
      <w:r w:rsidRPr="009B140C">
        <w:continuationSeparator/>
      </w:r>
    </w:p>
  </w:footnote>
  <w:footnote w:id="1">
    <w:p w14:paraId="5E809637" w14:textId="51B1108E" w:rsidR="00AD21AA" w:rsidRPr="009B140C" w:rsidRDefault="00AD21AA" w:rsidP="00AD21AA">
      <w:pPr>
        <w:pStyle w:val="FootnoteText"/>
      </w:pPr>
      <w:r w:rsidRPr="009B140C">
        <w:rPr>
          <w:rStyle w:val="FootnoteReference"/>
        </w:rPr>
        <w:footnoteRef/>
      </w:r>
      <w:r w:rsidRPr="009B140C">
        <w:tab/>
        <w:t>Dz.U. L 176</w:t>
      </w:r>
      <w:r w:rsidR="009B140C" w:rsidRPr="009B140C">
        <w:t xml:space="preserve"> z</w:t>
      </w:r>
      <w:r w:rsidR="009B140C">
        <w:t> </w:t>
      </w:r>
      <w:r w:rsidR="009B140C" w:rsidRPr="009B140C">
        <w:t>2</w:t>
      </w:r>
      <w:r w:rsidRPr="009B140C">
        <w:t>7.6.2013, s. 1.</w:t>
      </w:r>
    </w:p>
  </w:footnote>
  <w:footnote w:id="2">
    <w:p w14:paraId="433B5035" w14:textId="4875CE44" w:rsidR="00AD21AA" w:rsidRPr="009B140C" w:rsidRDefault="00AD21AA" w:rsidP="00AD21AA">
      <w:pPr>
        <w:pStyle w:val="FootnoteText"/>
      </w:pPr>
      <w:r w:rsidRPr="009B140C">
        <w:rPr>
          <w:rStyle w:val="FootnoteReference"/>
        </w:rPr>
        <w:footnoteRef/>
      </w:r>
      <w:r w:rsidRPr="009B140C">
        <w:tab/>
        <w:t>Dyrektywa Parlamentu Europejskiego</w:t>
      </w:r>
      <w:r w:rsidR="009B140C" w:rsidRPr="009B140C">
        <w:t xml:space="preserve"> i</w:t>
      </w:r>
      <w:r w:rsidR="009B140C">
        <w:t> </w:t>
      </w:r>
      <w:r w:rsidR="009B140C" w:rsidRPr="009B140C">
        <w:t>Rad</w:t>
      </w:r>
      <w:r w:rsidRPr="009B140C">
        <w:t>y 2013/36/UE</w:t>
      </w:r>
      <w:r w:rsidR="009B140C" w:rsidRPr="009B140C">
        <w:t xml:space="preserve"> z</w:t>
      </w:r>
      <w:r w:rsidR="009B140C">
        <w:t> </w:t>
      </w:r>
      <w:r w:rsidR="009B140C" w:rsidRPr="009B140C">
        <w:t>dni</w:t>
      </w:r>
      <w:r w:rsidRPr="009B140C">
        <w:t>a 26 czerwca 2013</w:t>
      </w:r>
      <w:r w:rsidR="009B140C" w:rsidRPr="009B140C">
        <w:t> </w:t>
      </w:r>
      <w:r w:rsidRPr="009B140C">
        <w:t>r.</w:t>
      </w:r>
      <w:r w:rsidR="009B140C" w:rsidRPr="009B140C">
        <w:t xml:space="preserve"> w</w:t>
      </w:r>
      <w:r w:rsidR="009B140C">
        <w:t> </w:t>
      </w:r>
      <w:r w:rsidR="009B140C" w:rsidRPr="009B140C">
        <w:t>spr</w:t>
      </w:r>
      <w:r w:rsidRPr="009B140C">
        <w:t>awie warunków dopuszczenia instytucji kredytowych do działalności oraz nadzoru ostrożnościowego nad instytucjami kredytowymi</w:t>
      </w:r>
      <w:r w:rsidR="009B140C" w:rsidRPr="009B140C">
        <w:t xml:space="preserve"> i</w:t>
      </w:r>
      <w:r w:rsidR="009B140C">
        <w:t> </w:t>
      </w:r>
      <w:r w:rsidR="009B140C" w:rsidRPr="009B140C">
        <w:t>fir</w:t>
      </w:r>
      <w:r w:rsidRPr="009B140C">
        <w:t>mami inwestycyjnymi, zmieniająca dyrektywę 2002/87/WE</w:t>
      </w:r>
      <w:r w:rsidR="009B140C" w:rsidRPr="009B140C">
        <w:t xml:space="preserve"> i</w:t>
      </w:r>
      <w:r w:rsidR="009B140C">
        <w:t> </w:t>
      </w:r>
      <w:r w:rsidR="009B140C" w:rsidRPr="009B140C">
        <w:t>uch</w:t>
      </w:r>
      <w:r w:rsidRPr="009B140C">
        <w:t>ylająca dyrektywy 2006/48/WE oraz 2006/49/WE (Dz.U. L 176</w:t>
      </w:r>
      <w:r w:rsidR="009B140C" w:rsidRPr="009B140C">
        <w:t xml:space="preserve"> z</w:t>
      </w:r>
      <w:r w:rsidR="009B140C">
        <w:t> </w:t>
      </w:r>
      <w:r w:rsidR="009B140C" w:rsidRPr="009B140C">
        <w:t>2</w:t>
      </w:r>
      <w:r w:rsidRPr="009B140C">
        <w:t>7.6.2013, s. 338).</w:t>
      </w:r>
    </w:p>
  </w:footnote>
  <w:footnote w:id="3">
    <w:p w14:paraId="5580D4CD" w14:textId="59497382" w:rsidR="00AD21AA" w:rsidRPr="009B140C" w:rsidRDefault="00AD21AA" w:rsidP="00AD21AA">
      <w:pPr>
        <w:pStyle w:val="FootnoteText"/>
      </w:pPr>
      <w:r w:rsidRPr="009B140C">
        <w:rPr>
          <w:rStyle w:val="FootnoteReference"/>
        </w:rPr>
        <w:footnoteRef/>
      </w:r>
      <w:r w:rsidRPr="009B140C">
        <w:tab/>
        <w:t>Rozporządzenie wykonawcze Komisji (UE) nr</w:t>
      </w:r>
      <w:r w:rsidR="009B140C" w:rsidRPr="009B140C">
        <w:t> </w:t>
      </w:r>
      <w:r w:rsidRPr="009B140C">
        <w:t>680/2014 ustanawiające wykonawcze standardy techniczne dotyczące sprawozdawczości nadzorczej instytucji zgodnie</w:t>
      </w:r>
      <w:r w:rsidR="009B140C" w:rsidRPr="009B140C">
        <w:t xml:space="preserve"> z</w:t>
      </w:r>
      <w:r w:rsidR="009B140C">
        <w:t> </w:t>
      </w:r>
      <w:r w:rsidR="009B140C" w:rsidRPr="009B140C">
        <w:t>roz</w:t>
      </w:r>
      <w:r w:rsidRPr="009B140C">
        <w:t>porządzeniem (UE) nr</w:t>
      </w:r>
      <w:r w:rsidR="009B140C" w:rsidRPr="009B140C">
        <w:t> </w:t>
      </w:r>
      <w:r w:rsidRPr="009B140C">
        <w:t>575/2013 (Dz.U. L 191</w:t>
      </w:r>
      <w:r w:rsidR="009B140C" w:rsidRPr="009B140C">
        <w:t xml:space="preserve"> z</w:t>
      </w:r>
      <w:r w:rsidR="009B140C">
        <w:t> </w:t>
      </w:r>
      <w:r w:rsidR="009B140C" w:rsidRPr="009B140C">
        <w:t>2</w:t>
      </w:r>
      <w:r w:rsidRPr="009B140C">
        <w:t>8.6.2014, s. 1).</w:t>
      </w:r>
    </w:p>
  </w:footnote>
  <w:footnote w:id="4">
    <w:p w14:paraId="4A709B42" w14:textId="3252FE42" w:rsidR="00AD21AA" w:rsidRPr="009B140C" w:rsidRDefault="00AD21AA" w:rsidP="00AD21AA">
      <w:pPr>
        <w:pStyle w:val="FootnoteText"/>
      </w:pPr>
      <w:r w:rsidRPr="009B140C">
        <w:rPr>
          <w:rStyle w:val="FootnoteReference"/>
        </w:rPr>
        <w:footnoteRef/>
      </w:r>
      <w:r w:rsidRPr="009B140C">
        <w:tab/>
        <w:t>Rozporządzenie Parlamentu Europejskiego</w:t>
      </w:r>
      <w:r w:rsidR="009B140C" w:rsidRPr="009B140C">
        <w:t xml:space="preserve"> i</w:t>
      </w:r>
      <w:r w:rsidR="009B140C">
        <w:t> </w:t>
      </w:r>
      <w:r w:rsidR="009B140C" w:rsidRPr="009B140C">
        <w:t>Rad</w:t>
      </w:r>
      <w:r w:rsidRPr="009B140C">
        <w:t>y (UE) 2019/876</w:t>
      </w:r>
      <w:r w:rsidR="009B140C" w:rsidRPr="009B140C">
        <w:t xml:space="preserve"> z</w:t>
      </w:r>
      <w:r w:rsidR="009B140C">
        <w:t> </w:t>
      </w:r>
      <w:r w:rsidR="009B140C" w:rsidRPr="009B140C">
        <w:t>dni</w:t>
      </w:r>
      <w:r w:rsidRPr="009B140C">
        <w:t>a 20 maja 2019</w:t>
      </w:r>
      <w:r w:rsidR="009B140C" w:rsidRPr="009B140C">
        <w:t> </w:t>
      </w:r>
      <w:r w:rsidRPr="009B140C">
        <w:t>r. zmieniające rozporządzenie (UE) nr</w:t>
      </w:r>
      <w:r w:rsidR="009B140C" w:rsidRPr="009B140C">
        <w:t> </w:t>
      </w:r>
      <w:r w:rsidRPr="009B140C">
        <w:t>575/2013</w:t>
      </w:r>
      <w:r w:rsidR="009B140C" w:rsidRPr="009B140C">
        <w:t xml:space="preserve"> w</w:t>
      </w:r>
      <w:r w:rsidR="009B140C">
        <w:t> </w:t>
      </w:r>
      <w:r w:rsidR="009B140C" w:rsidRPr="009B140C">
        <w:t>odn</w:t>
      </w:r>
      <w:r w:rsidRPr="009B140C">
        <w:t>iesieniu do wskaźnika dźwigni, wskaźnika stabilnego finansowania netto, wymogów</w:t>
      </w:r>
      <w:r w:rsidR="009B140C" w:rsidRPr="009B140C">
        <w:t xml:space="preserve"> w</w:t>
      </w:r>
      <w:r w:rsidR="009B140C">
        <w:t> </w:t>
      </w:r>
      <w:r w:rsidR="009B140C" w:rsidRPr="009B140C">
        <w:t>zak</w:t>
      </w:r>
      <w:r w:rsidRPr="009B140C">
        <w:t>resie funduszy własnych</w:t>
      </w:r>
      <w:r w:rsidR="009B140C" w:rsidRPr="009B140C">
        <w:t xml:space="preserve"> i</w:t>
      </w:r>
      <w:r w:rsidR="009B140C">
        <w:t> </w:t>
      </w:r>
      <w:r w:rsidR="009B140C" w:rsidRPr="009B140C">
        <w:t>zob</w:t>
      </w:r>
      <w:r w:rsidRPr="009B140C">
        <w:t>owiązań kwalifikowalnych, ryzyka kredytowego kontrahenta, ryzyka rynkowego, ekspozycji wobec kontrahentów centralnych, ekspozycji wobec przedsiębiorstw zbiorowego inwestowania, dużych ekspozycji, wymogów dotyczących sprawozdawczości</w:t>
      </w:r>
      <w:r w:rsidR="009B140C" w:rsidRPr="009B140C">
        <w:t xml:space="preserve"> i</w:t>
      </w:r>
      <w:r w:rsidR="009B140C">
        <w:t> </w:t>
      </w:r>
      <w:r w:rsidR="009B140C" w:rsidRPr="009B140C">
        <w:t>uja</w:t>
      </w:r>
      <w:r w:rsidRPr="009B140C">
        <w:t>wniania informacji,</w:t>
      </w:r>
      <w:r w:rsidR="009B140C" w:rsidRPr="009B140C">
        <w:t xml:space="preserve"> a</w:t>
      </w:r>
      <w:r w:rsidR="009B140C">
        <w:t> </w:t>
      </w:r>
      <w:r w:rsidR="009B140C" w:rsidRPr="009B140C">
        <w:t>tak</w:t>
      </w:r>
      <w:r w:rsidRPr="009B140C">
        <w:t>że rozporządzenie (UE) nr</w:t>
      </w:r>
      <w:r w:rsidR="009B140C" w:rsidRPr="009B140C">
        <w:t> </w:t>
      </w:r>
      <w:r w:rsidRPr="009B140C">
        <w:t>648/2012 (Dz.U. L 150</w:t>
      </w:r>
      <w:r w:rsidR="009B140C" w:rsidRPr="009B140C">
        <w:t xml:space="preserve"> z</w:t>
      </w:r>
      <w:r w:rsidR="009B140C">
        <w:t> </w:t>
      </w:r>
      <w:r w:rsidR="009B140C" w:rsidRPr="009B140C">
        <w:t>7</w:t>
      </w:r>
      <w:r w:rsidRPr="009B140C">
        <w:t>.6.2019, s. 1).</w:t>
      </w:r>
    </w:p>
  </w:footnote>
  <w:footnote w:id="5">
    <w:p w14:paraId="5D010433" w14:textId="52D67FC5" w:rsidR="00AD21AA" w:rsidRPr="009B140C" w:rsidRDefault="00AD21AA" w:rsidP="00AD21AA">
      <w:pPr>
        <w:pStyle w:val="FootnoteText"/>
      </w:pPr>
      <w:r w:rsidRPr="009B140C">
        <w:rPr>
          <w:rStyle w:val="FootnoteReference"/>
        </w:rPr>
        <w:footnoteRef/>
      </w:r>
      <w:r w:rsidRPr="009B140C">
        <w:tab/>
        <w:t>Rozporządzenie Parlamentu Europejskiego</w:t>
      </w:r>
      <w:r w:rsidR="009B140C" w:rsidRPr="009B140C">
        <w:t xml:space="preserve"> i</w:t>
      </w:r>
      <w:r w:rsidR="009B140C">
        <w:t> </w:t>
      </w:r>
      <w:r w:rsidR="009B140C" w:rsidRPr="009B140C">
        <w:t>Rad</w:t>
      </w:r>
      <w:r w:rsidRPr="009B140C">
        <w:t>y (UE) 2019/630</w:t>
      </w:r>
      <w:r w:rsidR="009B140C" w:rsidRPr="009B140C">
        <w:t xml:space="preserve"> z</w:t>
      </w:r>
      <w:r w:rsidR="009B140C">
        <w:t> </w:t>
      </w:r>
      <w:r w:rsidR="009B140C" w:rsidRPr="009B140C">
        <w:t>dni</w:t>
      </w:r>
      <w:r w:rsidRPr="009B140C">
        <w:t>a 17 kwietnia 2019</w:t>
      </w:r>
      <w:r w:rsidR="009B140C" w:rsidRPr="009B140C">
        <w:t> </w:t>
      </w:r>
      <w:r w:rsidRPr="009B140C">
        <w:t>r. zmieniające rozporządzenie (UE) nr</w:t>
      </w:r>
      <w:r w:rsidR="009B140C" w:rsidRPr="009B140C">
        <w:t> </w:t>
      </w:r>
      <w:r w:rsidRPr="009B140C">
        <w:t>575/2013</w:t>
      </w:r>
      <w:r w:rsidR="009B140C" w:rsidRPr="009B140C">
        <w:t xml:space="preserve"> w</w:t>
      </w:r>
      <w:r w:rsidR="009B140C">
        <w:t> </w:t>
      </w:r>
      <w:r w:rsidR="009B140C" w:rsidRPr="009B140C">
        <w:t>odn</w:t>
      </w:r>
      <w:r w:rsidRPr="009B140C">
        <w:t>iesieniu do minimalnego pokrycia strat</w:t>
      </w:r>
      <w:r w:rsidR="009B140C" w:rsidRPr="009B140C">
        <w:t xml:space="preserve"> z</w:t>
      </w:r>
      <w:r w:rsidR="009B140C">
        <w:t> </w:t>
      </w:r>
      <w:r w:rsidR="009B140C" w:rsidRPr="009B140C">
        <w:t>tyt</w:t>
      </w:r>
      <w:r w:rsidRPr="009B140C">
        <w:t>ułu ekspozycji nieobsługiwanych (Dz.U. L 111</w:t>
      </w:r>
      <w:r w:rsidR="009B140C" w:rsidRPr="009B140C">
        <w:t xml:space="preserve"> z</w:t>
      </w:r>
      <w:r w:rsidR="009B140C">
        <w:t> </w:t>
      </w:r>
      <w:r w:rsidR="009B140C" w:rsidRPr="009B140C">
        <w:t>2</w:t>
      </w:r>
      <w:r w:rsidRPr="009B140C">
        <w:t xml:space="preserve">5.4.2019, s. 4). </w:t>
      </w:r>
    </w:p>
  </w:footnote>
  <w:footnote w:id="6">
    <w:p w14:paraId="0B0AEE79" w14:textId="365B783F" w:rsidR="00AD21AA" w:rsidRPr="009B140C" w:rsidRDefault="00AD21AA" w:rsidP="00AD21AA">
      <w:pPr>
        <w:pStyle w:val="FootnoteText"/>
      </w:pPr>
      <w:r w:rsidRPr="009B140C">
        <w:rPr>
          <w:rStyle w:val="FootnoteReference"/>
        </w:rPr>
        <w:footnoteRef/>
      </w:r>
      <w:r w:rsidRPr="009B140C">
        <w:tab/>
        <w:t>Rozporządzenie Parlamentu Europejskiego</w:t>
      </w:r>
      <w:r w:rsidR="009B140C" w:rsidRPr="009B140C">
        <w:t xml:space="preserve"> i</w:t>
      </w:r>
      <w:r w:rsidR="009B140C">
        <w:t> </w:t>
      </w:r>
      <w:r w:rsidR="009B140C" w:rsidRPr="009B140C">
        <w:t>Rad</w:t>
      </w:r>
      <w:r w:rsidRPr="009B140C">
        <w:t>y (UE) 2019/2033</w:t>
      </w:r>
      <w:r w:rsidR="009B140C" w:rsidRPr="009B140C">
        <w:t xml:space="preserve"> z</w:t>
      </w:r>
      <w:r w:rsidR="009B140C">
        <w:t> </w:t>
      </w:r>
      <w:r w:rsidR="009B140C" w:rsidRPr="009B140C">
        <w:t>dni</w:t>
      </w:r>
      <w:r w:rsidRPr="009B140C">
        <w:t>a 27 listopada 2019</w:t>
      </w:r>
      <w:r w:rsidR="009B140C" w:rsidRPr="009B140C">
        <w:t> </w:t>
      </w:r>
      <w:r w:rsidRPr="009B140C">
        <w:t>r.</w:t>
      </w:r>
      <w:r w:rsidR="009B140C" w:rsidRPr="009B140C">
        <w:t xml:space="preserve"> w</w:t>
      </w:r>
      <w:r w:rsidR="009B140C">
        <w:t> </w:t>
      </w:r>
      <w:r w:rsidR="009B140C" w:rsidRPr="009B140C">
        <w:t>spr</w:t>
      </w:r>
      <w:r w:rsidRPr="009B140C">
        <w:t>awie wymogów ostrożnościowych dla firm inwestycyjnych oraz zmieniające rozporządzenia (UE) nr</w:t>
      </w:r>
      <w:r w:rsidR="009B140C" w:rsidRPr="009B140C">
        <w:t> </w:t>
      </w:r>
      <w:r w:rsidRPr="009B140C">
        <w:t>1093/2010, (UE) nr</w:t>
      </w:r>
      <w:r w:rsidR="009B140C" w:rsidRPr="009B140C">
        <w:t> </w:t>
      </w:r>
      <w:r w:rsidRPr="009B140C">
        <w:t>575/2013, (UE) nr</w:t>
      </w:r>
      <w:r w:rsidR="009B140C" w:rsidRPr="009B140C">
        <w:t> </w:t>
      </w:r>
      <w:r w:rsidRPr="009B140C">
        <w:t>600/2014 i (UE) nr</w:t>
      </w:r>
      <w:r w:rsidR="009B140C" w:rsidRPr="009B140C">
        <w:t> </w:t>
      </w:r>
      <w:r w:rsidRPr="009B140C">
        <w:t>806/2014 (Dz.U. L 314</w:t>
      </w:r>
      <w:r w:rsidR="009B140C" w:rsidRPr="009B140C">
        <w:t xml:space="preserve"> z</w:t>
      </w:r>
      <w:r w:rsidR="009B140C">
        <w:t> </w:t>
      </w:r>
      <w:r w:rsidR="009B140C" w:rsidRPr="009B140C">
        <w:t>5</w:t>
      </w:r>
      <w:r w:rsidRPr="009B140C">
        <w:t>.12.2019, s. 1).</w:t>
      </w:r>
    </w:p>
  </w:footnote>
  <w:footnote w:id="7">
    <w:p w14:paraId="3D6B588C" w14:textId="17AC53F4" w:rsidR="00AD21AA" w:rsidRPr="009B140C" w:rsidRDefault="00AD21AA" w:rsidP="00AD21AA">
      <w:pPr>
        <w:pStyle w:val="FootnoteText"/>
      </w:pPr>
      <w:r w:rsidRPr="009B140C">
        <w:rPr>
          <w:rStyle w:val="FootnoteReference"/>
        </w:rPr>
        <w:footnoteRef/>
      </w:r>
      <w:r w:rsidRPr="009B140C">
        <w:tab/>
        <w:t>Rozporządzenie Parlamentu Europejskiego</w:t>
      </w:r>
      <w:r w:rsidR="009B140C" w:rsidRPr="009B140C">
        <w:t xml:space="preserve"> i</w:t>
      </w:r>
      <w:r w:rsidR="009B140C">
        <w:t> </w:t>
      </w:r>
      <w:r w:rsidR="009B140C" w:rsidRPr="009B140C">
        <w:t>Rad</w:t>
      </w:r>
      <w:r w:rsidRPr="009B140C">
        <w:t>y (UE) 2020/873</w:t>
      </w:r>
      <w:r w:rsidR="009B140C" w:rsidRPr="009B140C">
        <w:t xml:space="preserve"> z</w:t>
      </w:r>
      <w:r w:rsidR="009B140C">
        <w:t> </w:t>
      </w:r>
      <w:r w:rsidR="009B140C" w:rsidRPr="009B140C">
        <w:t>dni</w:t>
      </w:r>
      <w:r w:rsidRPr="009B140C">
        <w:t>a 24 czerwca 2020</w:t>
      </w:r>
      <w:r w:rsidR="009B140C" w:rsidRPr="009B140C">
        <w:t> </w:t>
      </w:r>
      <w:r w:rsidRPr="009B140C">
        <w:t>r. zmieniające rozporządzenia (UE) nr</w:t>
      </w:r>
      <w:r w:rsidR="009B140C" w:rsidRPr="009B140C">
        <w:t> </w:t>
      </w:r>
      <w:r w:rsidRPr="009B140C">
        <w:t>575/2013 i (UE) 2019/876</w:t>
      </w:r>
      <w:r w:rsidR="009B140C" w:rsidRPr="009B140C">
        <w:t xml:space="preserve"> w</w:t>
      </w:r>
      <w:r w:rsidR="009B140C">
        <w:t> </w:t>
      </w:r>
      <w:r w:rsidR="009B140C" w:rsidRPr="009B140C">
        <w:t>odn</w:t>
      </w:r>
      <w:r w:rsidRPr="009B140C">
        <w:t>iesieniu do niektórych dostosowań</w:t>
      </w:r>
      <w:r w:rsidR="009B140C" w:rsidRPr="009B140C">
        <w:t xml:space="preserve"> w</w:t>
      </w:r>
      <w:r w:rsidR="009B140C">
        <w:t> </w:t>
      </w:r>
      <w:r w:rsidR="009B140C" w:rsidRPr="009B140C">
        <w:t>odp</w:t>
      </w:r>
      <w:r w:rsidRPr="009B140C">
        <w:t>owiedzi na pandemię COVID-19 (Dz.U. L 204</w:t>
      </w:r>
      <w:r w:rsidR="009B140C" w:rsidRPr="009B140C">
        <w:t xml:space="preserve"> z</w:t>
      </w:r>
      <w:r w:rsidR="009B140C">
        <w:t> </w:t>
      </w:r>
      <w:r w:rsidR="009B140C" w:rsidRPr="009B140C">
        <w:t>2</w:t>
      </w:r>
      <w:r w:rsidRPr="009B140C">
        <w:t>6.6.2020, s. 4).</w:t>
      </w:r>
    </w:p>
  </w:footnote>
  <w:footnote w:id="8">
    <w:p w14:paraId="5A30BC5D" w14:textId="4C1386EF" w:rsidR="00AD21AA" w:rsidRPr="009B140C" w:rsidRDefault="00AD21AA" w:rsidP="00AD21AA">
      <w:pPr>
        <w:pStyle w:val="FootnoteText"/>
      </w:pPr>
      <w:r w:rsidRPr="009B140C">
        <w:rPr>
          <w:rStyle w:val="FootnoteReference"/>
        </w:rPr>
        <w:footnoteRef/>
      </w:r>
      <w:r w:rsidRPr="009B140C">
        <w:tab/>
        <w:t>Rozporządzenie Parlamentu Europejskiego</w:t>
      </w:r>
      <w:r w:rsidR="009B140C" w:rsidRPr="009B140C">
        <w:t xml:space="preserve"> i</w:t>
      </w:r>
      <w:r w:rsidR="009B140C">
        <w:t> </w:t>
      </w:r>
      <w:r w:rsidR="009B140C" w:rsidRPr="009B140C">
        <w:t>Rad</w:t>
      </w:r>
      <w:r w:rsidRPr="009B140C">
        <w:t>y (UE) nr</w:t>
      </w:r>
      <w:r w:rsidR="009B140C" w:rsidRPr="009B140C">
        <w:t> </w:t>
      </w:r>
      <w:r w:rsidRPr="009B140C">
        <w:t>1093/2010</w:t>
      </w:r>
      <w:r w:rsidR="009B140C" w:rsidRPr="009B140C">
        <w:t xml:space="preserve"> z</w:t>
      </w:r>
      <w:r w:rsidR="009B140C">
        <w:t> </w:t>
      </w:r>
      <w:r w:rsidR="009B140C" w:rsidRPr="009B140C">
        <w:t>dni</w:t>
      </w:r>
      <w:r w:rsidRPr="009B140C">
        <w:t>a 24 listopada 2010</w:t>
      </w:r>
      <w:r w:rsidR="009B140C" w:rsidRPr="009B140C">
        <w:t> </w:t>
      </w:r>
      <w:r w:rsidRPr="009B140C">
        <w:t>r.</w:t>
      </w:r>
      <w:r w:rsidR="009B140C" w:rsidRPr="009B140C">
        <w:t xml:space="preserve"> w</w:t>
      </w:r>
      <w:r w:rsidR="009B140C">
        <w:t> </w:t>
      </w:r>
      <w:r w:rsidR="009B140C" w:rsidRPr="009B140C">
        <w:t>spr</w:t>
      </w:r>
      <w:r w:rsidRPr="009B140C">
        <w:t>awie ustanowienia Europejskiego Urzędu Nadzoru (Europejskiego Urzędu Nadzoru Bankowego), zmiany decyzji nr</w:t>
      </w:r>
      <w:r w:rsidR="009B140C" w:rsidRPr="009B140C">
        <w:t> </w:t>
      </w:r>
      <w:r w:rsidRPr="009B140C">
        <w:t>716/2009/WE oraz uchylenia decyzji Komisji 2009/78/WE (Dz.U. L 331</w:t>
      </w:r>
      <w:r w:rsidR="009B140C" w:rsidRPr="009B140C">
        <w:t xml:space="preserve"> z</w:t>
      </w:r>
      <w:r w:rsidR="009B140C">
        <w:t> </w:t>
      </w:r>
      <w:r w:rsidR="009B140C" w:rsidRPr="009B140C">
        <w:t>1</w:t>
      </w:r>
      <w:r w:rsidRPr="009B140C">
        <w:t>5.12.2020, s. 12).</w:t>
      </w:r>
    </w:p>
  </w:footnote>
  <w:footnote w:id="9">
    <w:p w14:paraId="2F6DC588" w14:textId="0FF39CC5" w:rsidR="0014552F" w:rsidRPr="009B140C" w:rsidRDefault="0014552F" w:rsidP="0014552F">
      <w:pPr>
        <w:pStyle w:val="FootnoteText"/>
      </w:pPr>
      <w:r w:rsidRPr="009B140C">
        <w:rPr>
          <w:rStyle w:val="FootnoteReference"/>
        </w:rPr>
        <w:footnoteRef/>
      </w:r>
      <w:r w:rsidRPr="009B140C">
        <w:tab/>
        <w:t>Rozporządzenie delegowane Komisji (UE) 2016/101</w:t>
      </w:r>
      <w:r w:rsidR="009B140C" w:rsidRPr="009B140C">
        <w:t xml:space="preserve"> z</w:t>
      </w:r>
      <w:r w:rsidR="009B140C">
        <w:t> </w:t>
      </w:r>
      <w:r w:rsidR="009B140C" w:rsidRPr="009B140C">
        <w:t>dni</w:t>
      </w:r>
      <w:r w:rsidRPr="009B140C">
        <w:t>a 26 października 2015</w:t>
      </w:r>
      <w:r w:rsidR="009B140C" w:rsidRPr="009B140C">
        <w:t> </w:t>
      </w:r>
      <w:r w:rsidRPr="009B140C">
        <w:t>r. uzupełniające rozporządzenie Parlamentu Europejskiego</w:t>
      </w:r>
      <w:r w:rsidR="009B140C" w:rsidRPr="009B140C">
        <w:t xml:space="preserve"> i</w:t>
      </w:r>
      <w:r w:rsidR="009B140C">
        <w:t> </w:t>
      </w:r>
      <w:r w:rsidR="009B140C" w:rsidRPr="009B140C">
        <w:t>Rad</w:t>
      </w:r>
      <w:r w:rsidRPr="009B140C">
        <w:t>y (UE) nr</w:t>
      </w:r>
      <w:r w:rsidR="009B140C" w:rsidRPr="009B140C">
        <w:t> </w:t>
      </w:r>
      <w:r w:rsidRPr="009B140C">
        <w:t>575/2013</w:t>
      </w:r>
      <w:r w:rsidR="009B140C" w:rsidRPr="009B140C">
        <w:t xml:space="preserve"> w</w:t>
      </w:r>
      <w:r w:rsidR="009B140C">
        <w:t> </w:t>
      </w:r>
      <w:r w:rsidR="009B140C" w:rsidRPr="009B140C">
        <w:t>odn</w:t>
      </w:r>
      <w:r w:rsidRPr="009B140C">
        <w:t>iesieniu do regulacyjnych standardów technicznych dotyczących ostrożnej wyceny zgodnie</w:t>
      </w:r>
      <w:r w:rsidR="009B140C" w:rsidRPr="009B140C">
        <w:t xml:space="preserve"> z</w:t>
      </w:r>
      <w:r w:rsidR="009B140C">
        <w:t> </w:t>
      </w:r>
      <w:r w:rsidR="009B140C" w:rsidRPr="009B140C">
        <w:t>art</w:t>
      </w:r>
      <w:r w:rsidRPr="009B140C">
        <w:t>.</w:t>
      </w:r>
      <w:r w:rsidR="009B140C" w:rsidRPr="009B140C">
        <w:t> </w:t>
      </w:r>
      <w:r w:rsidRPr="009B140C">
        <w:t>105 ust.</w:t>
      </w:r>
      <w:r w:rsidR="009B140C" w:rsidRPr="009B140C">
        <w:t> </w:t>
      </w:r>
      <w:r w:rsidRPr="009B140C">
        <w:t>14 (Dz.U. L 21</w:t>
      </w:r>
      <w:r w:rsidR="009B140C" w:rsidRPr="009B140C">
        <w:t xml:space="preserve"> z</w:t>
      </w:r>
      <w:r w:rsidR="009B140C">
        <w:t> </w:t>
      </w:r>
      <w:r w:rsidR="009B140C" w:rsidRPr="009B140C">
        <w:t>2</w:t>
      </w:r>
      <w:r w:rsidRPr="009B140C">
        <w:t>8.1.2016, s. 54).</w:t>
      </w:r>
    </w:p>
  </w:footnote>
  <w:footnote w:id="10">
    <w:p w14:paraId="0D4E857F" w14:textId="512EF51E" w:rsidR="00FE0C02" w:rsidRPr="009B140C" w:rsidRDefault="00FE0C02" w:rsidP="00FE0C02">
      <w:pPr>
        <w:pStyle w:val="FootnoteText"/>
      </w:pPr>
      <w:r w:rsidRPr="009B140C">
        <w:rPr>
          <w:rStyle w:val="FootnoteReference"/>
        </w:rPr>
        <w:footnoteRef/>
      </w:r>
      <w:r w:rsidRPr="009B140C">
        <w:tab/>
        <w:t>Rozporządzenie (WE) nr</w:t>
      </w:r>
      <w:r w:rsidR="009B140C" w:rsidRPr="009B140C">
        <w:t> </w:t>
      </w:r>
      <w:r w:rsidRPr="009B140C">
        <w:t>1606/2002 Parlamentu Europejskiego</w:t>
      </w:r>
      <w:r w:rsidR="009B140C" w:rsidRPr="009B140C">
        <w:t xml:space="preserve"> i</w:t>
      </w:r>
      <w:r w:rsidR="009B140C">
        <w:t> </w:t>
      </w:r>
      <w:r w:rsidR="009B140C" w:rsidRPr="009B140C">
        <w:t>Rad</w:t>
      </w:r>
      <w:r w:rsidRPr="009B140C">
        <w:t>y</w:t>
      </w:r>
      <w:r w:rsidR="009B140C" w:rsidRPr="009B140C">
        <w:t xml:space="preserve"> z</w:t>
      </w:r>
      <w:r w:rsidR="009B140C">
        <w:t> </w:t>
      </w:r>
      <w:r w:rsidR="009B140C" w:rsidRPr="009B140C">
        <w:t>dni</w:t>
      </w:r>
      <w:r w:rsidRPr="009B140C">
        <w:t>a 19 lipca 2002</w:t>
      </w:r>
      <w:r w:rsidR="009B140C" w:rsidRPr="009B140C">
        <w:t> </w:t>
      </w:r>
      <w:r w:rsidRPr="009B140C">
        <w:t>r.</w:t>
      </w:r>
      <w:r w:rsidR="009B140C" w:rsidRPr="009B140C">
        <w:t xml:space="preserve"> w</w:t>
      </w:r>
      <w:r w:rsidR="009B140C">
        <w:t> </w:t>
      </w:r>
      <w:r w:rsidR="009B140C" w:rsidRPr="009B140C">
        <w:t>spr</w:t>
      </w:r>
      <w:r w:rsidRPr="009B140C">
        <w:t>awie stosowania międzynarodowych standardów rachunkowości (Dz.U. L 243</w:t>
      </w:r>
      <w:r w:rsidR="009B140C" w:rsidRPr="009B140C">
        <w:t xml:space="preserve"> z</w:t>
      </w:r>
      <w:r w:rsidR="009B140C">
        <w:t> </w:t>
      </w:r>
      <w:r w:rsidR="009B140C" w:rsidRPr="009B140C">
        <w:t>1</w:t>
      </w:r>
      <w:r w:rsidRPr="009B140C">
        <w:t>1.9.2002, s. 1).</w:t>
      </w:r>
    </w:p>
  </w:footnote>
  <w:footnote w:id="11">
    <w:p w14:paraId="186408CB" w14:textId="751ADDC1" w:rsidR="00FE0C02" w:rsidRPr="009B140C" w:rsidRDefault="00FE0C02" w:rsidP="00FE0C02">
      <w:pPr>
        <w:pStyle w:val="FootnoteText"/>
      </w:pPr>
      <w:r w:rsidRPr="009B140C">
        <w:rPr>
          <w:rStyle w:val="FootnoteReference"/>
        </w:rPr>
        <w:footnoteRef/>
      </w:r>
      <w:r w:rsidRPr="009B140C">
        <w:tab/>
        <w:t>Dyrektywa Parlamentu Europejskiego</w:t>
      </w:r>
      <w:r w:rsidR="009B140C" w:rsidRPr="009B140C">
        <w:t xml:space="preserve"> i</w:t>
      </w:r>
      <w:r w:rsidR="009B140C">
        <w:t> </w:t>
      </w:r>
      <w:r w:rsidR="009B140C" w:rsidRPr="009B140C">
        <w:t>Rad</w:t>
      </w:r>
      <w:r w:rsidRPr="009B140C">
        <w:t>y 2009/65/WE</w:t>
      </w:r>
      <w:r w:rsidR="009B140C" w:rsidRPr="009B140C">
        <w:t xml:space="preserve"> z</w:t>
      </w:r>
      <w:r w:rsidR="009B140C">
        <w:t> </w:t>
      </w:r>
      <w:r w:rsidR="009B140C" w:rsidRPr="009B140C">
        <w:t>dni</w:t>
      </w:r>
      <w:r w:rsidRPr="009B140C">
        <w:t>a 13 lipca 2009</w:t>
      </w:r>
      <w:r w:rsidR="009B140C" w:rsidRPr="009B140C">
        <w:t> </w:t>
      </w:r>
      <w:r w:rsidRPr="009B140C">
        <w:t>r.</w:t>
      </w:r>
      <w:r w:rsidR="009B140C" w:rsidRPr="009B140C">
        <w:t xml:space="preserve"> w</w:t>
      </w:r>
      <w:r w:rsidR="009B140C">
        <w:t> </w:t>
      </w:r>
      <w:r w:rsidR="009B140C" w:rsidRPr="009B140C">
        <w:t>spr</w:t>
      </w:r>
      <w:r w:rsidRPr="009B140C">
        <w:t>awie koordynacji przepisów ustawowych, wykonawczych</w:t>
      </w:r>
      <w:r w:rsidR="009B140C" w:rsidRPr="009B140C">
        <w:t xml:space="preserve"> i</w:t>
      </w:r>
      <w:r w:rsidR="009B140C">
        <w:t> </w:t>
      </w:r>
      <w:r w:rsidR="009B140C" w:rsidRPr="009B140C">
        <w:t>adm</w:t>
      </w:r>
      <w:r w:rsidRPr="009B140C">
        <w:t>inistracyjnych odnoszących się do przedsiębiorstw zbiorowego inwestowania</w:t>
      </w:r>
      <w:r w:rsidR="009B140C" w:rsidRPr="009B140C">
        <w:t xml:space="preserve"> w</w:t>
      </w:r>
      <w:r w:rsidR="009B140C">
        <w:t> </w:t>
      </w:r>
      <w:r w:rsidR="009B140C" w:rsidRPr="009B140C">
        <w:t>zby</w:t>
      </w:r>
      <w:r w:rsidRPr="009B140C">
        <w:t>walne papiery wartościowe (UCITS) (Dz.U. L 302</w:t>
      </w:r>
      <w:r w:rsidR="009B140C" w:rsidRPr="009B140C">
        <w:t xml:space="preserve"> z</w:t>
      </w:r>
      <w:r w:rsidR="009B140C">
        <w:t> </w:t>
      </w:r>
      <w:r w:rsidR="009B140C" w:rsidRPr="009B140C">
        <w:t>1</w:t>
      </w:r>
      <w:r w:rsidRPr="009B140C">
        <w:t>7.11.2009, s. 32).</w:t>
      </w:r>
    </w:p>
  </w:footnote>
  <w:footnote w:id="12">
    <w:p w14:paraId="50B21B4D" w14:textId="5E04E860" w:rsidR="00FE0C02" w:rsidRPr="009B140C" w:rsidRDefault="00FE0C02" w:rsidP="00FE0C02">
      <w:pPr>
        <w:pStyle w:val="FootnoteText"/>
      </w:pPr>
      <w:r w:rsidRPr="009B140C">
        <w:rPr>
          <w:rStyle w:val="FootnoteReference"/>
        </w:rPr>
        <w:footnoteRef/>
      </w:r>
      <w:r w:rsidRPr="009B140C">
        <w:tab/>
        <w:t>Rozporządzenie Parlamentu Europejskiego</w:t>
      </w:r>
      <w:r w:rsidR="009B140C" w:rsidRPr="009B140C">
        <w:t xml:space="preserve"> i</w:t>
      </w:r>
      <w:r w:rsidR="009B140C">
        <w:t> </w:t>
      </w:r>
      <w:r w:rsidR="009B140C" w:rsidRPr="009B140C">
        <w:t>Rad</w:t>
      </w:r>
      <w:r w:rsidRPr="009B140C">
        <w:t>y (UE) nr</w:t>
      </w:r>
      <w:r w:rsidR="009B140C" w:rsidRPr="009B140C">
        <w:t> </w:t>
      </w:r>
      <w:r w:rsidRPr="009B140C">
        <w:t>806/2014</w:t>
      </w:r>
      <w:r w:rsidR="009B140C" w:rsidRPr="009B140C">
        <w:t xml:space="preserve"> z</w:t>
      </w:r>
      <w:r w:rsidR="009B140C">
        <w:t> </w:t>
      </w:r>
      <w:r w:rsidR="009B140C" w:rsidRPr="009B140C">
        <w:t>dni</w:t>
      </w:r>
      <w:r w:rsidRPr="009B140C">
        <w:t>a 15 lipca 2014</w:t>
      </w:r>
      <w:r w:rsidR="009B140C" w:rsidRPr="009B140C">
        <w:t> </w:t>
      </w:r>
      <w:r w:rsidRPr="009B140C">
        <w:t>r. ustanawiające jednolite zasady</w:t>
      </w:r>
      <w:r w:rsidR="009B140C" w:rsidRPr="009B140C">
        <w:t xml:space="preserve"> i</w:t>
      </w:r>
      <w:r w:rsidR="009B140C">
        <w:t> </w:t>
      </w:r>
      <w:r w:rsidR="009B140C" w:rsidRPr="009B140C">
        <w:t>jed</w:t>
      </w:r>
      <w:r w:rsidRPr="009B140C">
        <w:t>nolitą procedurę restrukturyzacji</w:t>
      </w:r>
      <w:r w:rsidR="009B140C" w:rsidRPr="009B140C">
        <w:t xml:space="preserve"> i</w:t>
      </w:r>
      <w:r w:rsidR="009B140C">
        <w:t> </w:t>
      </w:r>
      <w:r w:rsidR="009B140C" w:rsidRPr="009B140C">
        <w:t>upo</w:t>
      </w:r>
      <w:r w:rsidRPr="009B140C">
        <w:t>rządkowanej likwidacji instytucji kredytowych</w:t>
      </w:r>
      <w:r w:rsidR="009B140C" w:rsidRPr="009B140C">
        <w:t xml:space="preserve"> i</w:t>
      </w:r>
      <w:r w:rsidR="009B140C">
        <w:t> </w:t>
      </w:r>
      <w:r w:rsidR="009B140C" w:rsidRPr="009B140C">
        <w:t>nie</w:t>
      </w:r>
      <w:r w:rsidRPr="009B140C">
        <w:t>których firm inwestycyjnych</w:t>
      </w:r>
      <w:r w:rsidR="009B140C" w:rsidRPr="009B140C">
        <w:t xml:space="preserve"> w</w:t>
      </w:r>
      <w:r w:rsidR="009B140C">
        <w:t> </w:t>
      </w:r>
      <w:r w:rsidR="009B140C" w:rsidRPr="009B140C">
        <w:t>ram</w:t>
      </w:r>
      <w:r w:rsidRPr="009B140C">
        <w:t>ach jednolitego mechanizmu restrukturyzacji</w:t>
      </w:r>
      <w:r w:rsidR="009B140C" w:rsidRPr="009B140C">
        <w:t xml:space="preserve"> i</w:t>
      </w:r>
      <w:r w:rsidR="009B140C">
        <w:t> </w:t>
      </w:r>
      <w:r w:rsidR="009B140C" w:rsidRPr="009B140C">
        <w:t>upo</w:t>
      </w:r>
      <w:r w:rsidRPr="009B140C">
        <w:t>rządkowanej likwidacji oraz jednolitego funduszu restrukturyzacji</w:t>
      </w:r>
      <w:r w:rsidR="009B140C" w:rsidRPr="009B140C">
        <w:t xml:space="preserve"> i</w:t>
      </w:r>
      <w:r w:rsidR="009B140C">
        <w:t> </w:t>
      </w:r>
      <w:r w:rsidR="009B140C" w:rsidRPr="009B140C">
        <w:t>upo</w:t>
      </w:r>
      <w:r w:rsidRPr="009B140C">
        <w:t>rządkowanej likwidacji oraz zmieniające rozporządzenie (UE) nr</w:t>
      </w:r>
      <w:r w:rsidR="009B140C" w:rsidRPr="009B140C">
        <w:t> </w:t>
      </w:r>
      <w:r w:rsidRPr="009B140C">
        <w:t>1093/2010 (Dz.U. L 225</w:t>
      </w:r>
      <w:r w:rsidR="009B140C" w:rsidRPr="009B140C">
        <w:t xml:space="preserve"> z</w:t>
      </w:r>
      <w:r w:rsidR="009B140C">
        <w:t> </w:t>
      </w:r>
      <w:r w:rsidR="009B140C" w:rsidRPr="009B140C">
        <w:t>3</w:t>
      </w:r>
      <w:r w:rsidRPr="009B140C">
        <w:t>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1:02:32"/>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4C8810B3-9815-4A10-801E-54530FC40E69"/>
    <w:docVar w:name="LW_COVERPAGE_TYPE" w:val="1"/>
    <w:docVar w:name="LW_CROSSREFERENCE" w:val="&lt;UNUSED&gt;"/>
    <w:docVar w:name="LW_DATE.ADOPT.CP" w:val="z dnia XXX r."/>
    <w:docVar w:name="LW_DATE.ADOPT.CP_DATEFORMAT" w:val="z dnia %DATE% r."/>
    <w:docVar w:name="LW_DATE.ADOPT.CP_ISODATE" w:val="&lt;EMPTY&gt;"/>
    <w:docVar w:name="LW_DocType" w:val="COM"/>
    <w:docVar w:name="LW_EMISSION" w:val="&lt;EMPTY&gt;"/>
    <w:docVar w:name="LW_EMISSION_ISODATE" w:val="&lt;EMPTY&gt;"/>
    <w:docVar w:name="LW_EMISSION_LOCATION" w:val="BRX"/>
    <w:docVar w:name="LW_EMISSION_PREFIX" w:val="Bruksela, dnia "/>
    <w:docVar w:name="LW_EMISSION_SUFFIX" w:val="&lt;EMPTY&gt;"/>
    <w:docVar w:name="LW_ID_DOCMODEL" w:val="SJ-004"/>
    <w:docVar w:name="LW_ID_DOCSIGNATURE" w:val="SJ-004"/>
    <w:docVar w:name="LW_ID_DOCSTRUCTURE" w:val="COM/AA"/>
    <w:docVar w:name="LW_ID_DOCTYPE" w:val="SJ-004"/>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stanawiaj\u261?ce wykonawcze standardy techniczne do celów stosowania rozporz\u261?dzenia Parlamentu Europejskiego i Rady (UE) nr 575/2013 w odniesieniu do sprawozda\u324? nadzorczych instytucji oraz uchylaj\u261?ce rozporz\u261?dzenie wykonawcze (UE) nr 680/2014 _x000b_"/>
    <w:docVar w:name="LW_TYPE.DOC.CP" w:val="ROZPORZ\u260?DZENIE WYKONAWCZE KOMISJI (UE) \u8230?/\u8230?"/>
  </w:docVars>
  <w:rsids>
    <w:rsidRoot w:val="0004170D"/>
    <w:rsid w:val="00023622"/>
    <w:rsid w:val="00036497"/>
    <w:rsid w:val="0004170D"/>
    <w:rsid w:val="00061ECF"/>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73DD0"/>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C7046"/>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55F8"/>
    <w:rsid w:val="008B78EA"/>
    <w:rsid w:val="008D699F"/>
    <w:rsid w:val="008E7112"/>
    <w:rsid w:val="008F2BE5"/>
    <w:rsid w:val="008F7BAF"/>
    <w:rsid w:val="009074CD"/>
    <w:rsid w:val="009224FE"/>
    <w:rsid w:val="00951C31"/>
    <w:rsid w:val="00954BF9"/>
    <w:rsid w:val="00965716"/>
    <w:rsid w:val="009675DD"/>
    <w:rsid w:val="00977656"/>
    <w:rsid w:val="009A56F4"/>
    <w:rsid w:val="009B140C"/>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C7EF8"/>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0D81"/>
    <w:rsid w:val="00D9176D"/>
    <w:rsid w:val="00DC2475"/>
    <w:rsid w:val="00DF0E0C"/>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pl-PL"/>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pl-PL"/>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pl-PL"/>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pl-PL"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F64BA-43A8-47A8-9B50-851F5075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6977</Words>
  <Characters>44448</Characters>
  <Application>Microsoft Office Word</Application>
  <DocSecurity>0</DocSecurity>
  <Lines>808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2020-12-21T08:12:00Z</dcterms:created>
  <dcterms:modified xsi:type="dcterms:W3CDTF">2020-12-21T08:12:00Z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