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21EAC" w14:textId="01355024" w:rsidR="00C36E0D" w:rsidRPr="002A0333" w:rsidRDefault="00F91160" w:rsidP="002A0333">
      <w:pPr>
        <w:pStyle w:val="Pagedecouverture"/>
      </w:pPr>
      <w:r>
        <w:pict w14:anchorId="707D1A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4CDEC60F-6CEF-4AF1-99E4-D684051EA693" style="width:450.2pt;height:408.6pt">
            <v:imagedata r:id="rId8" o:title=""/>
          </v:shape>
        </w:pict>
      </w:r>
    </w:p>
    <w:p w14:paraId="703F7C0E" w14:textId="77777777" w:rsidR="0004170D" w:rsidRPr="002A0333" w:rsidRDefault="0004170D">
      <w:pPr>
        <w:sectPr w:rsidR="0004170D" w:rsidRPr="002A0333" w:rsidSect="002A0333">
          <w:footerReference w:type="default" r:id="rId9"/>
          <w:pgSz w:w="11907" w:h="16839"/>
          <w:pgMar w:top="1134" w:right="1417" w:bottom="1134" w:left="1417" w:header="709" w:footer="709" w:gutter="0"/>
          <w:pgNumType w:start="0"/>
          <w:cols w:space="720"/>
          <w:docGrid w:linePitch="360"/>
        </w:sectPr>
      </w:pPr>
    </w:p>
    <w:p w14:paraId="4E87218B" w14:textId="291B3D30" w:rsidR="0004170D" w:rsidRPr="002A0333" w:rsidRDefault="002A0333" w:rsidP="002A0333">
      <w:pPr>
        <w:pStyle w:val="Typedudocument"/>
      </w:pPr>
      <w:r w:rsidRPr="002A0333">
        <w:lastRenderedPageBreak/>
        <w:t>IZVEDB</w:t>
      </w:r>
      <w:bookmarkStart w:id="0" w:name="_GoBack"/>
      <w:bookmarkEnd w:id="0"/>
      <w:r w:rsidRPr="002A0333">
        <w:t>ENA UREDBA KOMISIJE (EU) …/…</w:t>
      </w:r>
    </w:p>
    <w:p w14:paraId="311EA019" w14:textId="455216D7" w:rsidR="0004170D" w:rsidRPr="002A0333" w:rsidRDefault="002A0333" w:rsidP="002A0333">
      <w:pPr>
        <w:pStyle w:val="Datedadoption"/>
      </w:pPr>
      <w:r w:rsidRPr="002A0333">
        <w:t xml:space="preserve">z dne </w:t>
      </w:r>
      <w:r w:rsidRPr="002A0333">
        <w:rPr>
          <w:rStyle w:val="Marker2"/>
        </w:rPr>
        <w:t>XXX</w:t>
      </w:r>
    </w:p>
    <w:p w14:paraId="7EF0A74F" w14:textId="64247F7B" w:rsidR="0004170D" w:rsidRPr="002A0333" w:rsidRDefault="002A0333" w:rsidP="002A0333">
      <w:pPr>
        <w:pStyle w:val="Titreobjet"/>
      </w:pPr>
      <w:r w:rsidRPr="002A0333">
        <w:t xml:space="preserve">o določitvi izvedbenih tehničnih standardov za uporabo Uredbe (EU) št. 575/2013 Evropskega parlamenta in Sveta v zvezi z nadzorniškim poročanjem institucij in razveljavitvi Izvedbene uredbe (EU) št. 680/2014 </w:t>
      </w:r>
      <w:r w:rsidRPr="002A0333">
        <w:br/>
      </w:r>
    </w:p>
    <w:p w14:paraId="714F85CC" w14:textId="5D7EEC26" w:rsidR="0004170D" w:rsidRPr="002A0333" w:rsidRDefault="002A0333" w:rsidP="002A0333">
      <w:pPr>
        <w:pStyle w:val="IntrtEEE"/>
      </w:pPr>
      <w:r w:rsidRPr="002A0333">
        <w:t>(Besedilo velja za EGP)</w:t>
      </w:r>
    </w:p>
    <w:p w14:paraId="12CCC5F1" w14:textId="77777777" w:rsidR="0004170D" w:rsidRPr="002A0333" w:rsidRDefault="0004170D" w:rsidP="009675DD">
      <w:pPr>
        <w:pStyle w:val="Institutionquiagit"/>
      </w:pPr>
      <w:r w:rsidRPr="002A0333">
        <w:t>EVROPSKA KOMISIJA JE –</w:t>
      </w:r>
    </w:p>
    <w:p w14:paraId="54D27881" w14:textId="77777777" w:rsidR="0004170D" w:rsidRPr="002A0333" w:rsidRDefault="0004170D" w:rsidP="009675DD">
      <w:r w:rsidRPr="002A0333">
        <w:rPr>
          <w:color w:val="000000"/>
        </w:rPr>
        <w:t>ob upoštevanju Pogodbe o delovanju Evropske unije</w:t>
      </w:r>
      <w:r w:rsidRPr="002A0333">
        <w:t>,</w:t>
      </w:r>
    </w:p>
    <w:p w14:paraId="2965D16B" w14:textId="4EFD17A3" w:rsidR="0004170D" w:rsidRPr="002A0333" w:rsidRDefault="00AD21AA" w:rsidP="009675DD">
      <w:pPr>
        <w:rPr>
          <w:rFonts w:eastAsia="Times New Roman"/>
          <w:noProof/>
          <w:color w:val="000000"/>
        </w:rPr>
      </w:pPr>
      <w:r w:rsidRPr="002A0333">
        <w:t>ob upoštevanju Uredbe (EU) št. 575/2013 Evropskega parlamenta in Sveta z dne 26. junija 2013 o bonitetnih zahtevah za kreditne institucije in investicijska podjetja ter o spremembi Uredbe (EU) št. 648/2012</w:t>
      </w:r>
      <w:r w:rsidRPr="002A0333">
        <w:rPr>
          <w:rStyle w:val="FootnoteReference"/>
        </w:rPr>
        <w:footnoteReference w:id="1"/>
      </w:r>
      <w:r w:rsidRPr="002A0333">
        <w:t xml:space="preserve"> in zlasti prvega pododstavka člena 415(3), prvega pododstavka člena 415(3a), prvega pododstavka člena 430(7) in drugega pododstavka člena 430(9) Uredbe,</w:t>
      </w:r>
    </w:p>
    <w:p w14:paraId="421FC692" w14:textId="77777777" w:rsidR="0004170D" w:rsidRPr="002A0333" w:rsidRDefault="0004170D" w:rsidP="009675DD">
      <w:r w:rsidRPr="002A0333">
        <w:t>ob upoštevanju naslednjega:</w:t>
      </w:r>
    </w:p>
    <w:p w14:paraId="0A7D0586" w14:textId="77777777" w:rsidR="00AD21AA" w:rsidRPr="002A0333" w:rsidRDefault="00AD21AA" w:rsidP="0047317A">
      <w:pPr>
        <w:pStyle w:val="Considrant"/>
        <w:numPr>
          <w:ilvl w:val="0"/>
          <w:numId w:val="11"/>
        </w:numPr>
      </w:pPr>
      <w:r w:rsidRPr="002A0333">
        <w:t>Izvedbena uredba Komisije (EU) št. 680/2014</w:t>
      </w:r>
      <w:r w:rsidRPr="002A0333">
        <w:rPr>
          <w:rStyle w:val="FootnoteReference"/>
        </w:rPr>
        <w:footnoteReference w:id="2"/>
      </w:r>
      <w:r w:rsidRPr="002A0333">
        <w:t xml:space="preserve"> na podlagi člena 430 Uredbe (EU) št. 575/2013, brez poseganja v pooblastila pristojnih organov iz člena 104(1)(j) Direktive 2013/36/EU Evropskega parlamenta in Sveta</w:t>
      </w:r>
      <w:r w:rsidRPr="002A0333">
        <w:rPr>
          <w:rStyle w:val="FootnoteReference"/>
        </w:rPr>
        <w:footnoteReference w:id="3"/>
      </w:r>
      <w:r w:rsidRPr="002A0333">
        <w:t>, določa jasen okvir za poročanje. Izvedbena uredba (EU) št. 680/2014 je bila večkrat spremenjena po spremembah Uredbe (EU) št. 575/2013, sprejetih z namenom uvedbe, nadaljnjega razvoja ali prilagoditve bonitetnih elementov.</w:t>
      </w:r>
    </w:p>
    <w:p w14:paraId="7949AA03" w14:textId="77777777" w:rsidR="00AD21AA" w:rsidRPr="002A0333" w:rsidRDefault="00AD21AA" w:rsidP="0047317A">
      <w:pPr>
        <w:pStyle w:val="Considrant"/>
        <w:numPr>
          <w:ilvl w:val="0"/>
          <w:numId w:val="11"/>
        </w:numPr>
      </w:pPr>
      <w:r w:rsidRPr="002A0333">
        <w:t>Določbe v tej uredbi so tesno povezane, saj obravnavajo poročevalske zahteve institucij. Za zagotovitev skladnosti med temi določbami, ki bi morale začeti veljati hkrati, in za omogočanje celovitega pregleda nad določbami in enotnega dostopa do njih za osebe, za katere veljajo navedene obveznosti, je zaželeno, da se vsi povezani izvedbeni tehnični standardi, ki se zahtevajo z Uredbo (EU) št. 575/2013, vključijo v eno uredbo.</w:t>
      </w:r>
    </w:p>
    <w:p w14:paraId="1A0C281B" w14:textId="77777777" w:rsidR="00AD21AA" w:rsidRPr="002A0333" w:rsidRDefault="00AD21AA" w:rsidP="00AD21AA">
      <w:pPr>
        <w:pStyle w:val="Considrant"/>
      </w:pPr>
      <w:r w:rsidRPr="002A0333">
        <w:t>Ob upoštevanju mednarodnih standardov Baselskega odbora za bančni nadzor je bila z Uredbo (EU) 2019/876 Evropskega parlamenta in Sveta</w:t>
      </w:r>
      <w:r w:rsidRPr="002A0333">
        <w:rPr>
          <w:rStyle w:val="FootnoteReference"/>
        </w:rPr>
        <w:footnoteReference w:id="4"/>
      </w:r>
      <w:r w:rsidRPr="002A0333">
        <w:t xml:space="preserve"> Uredba (EU) št. 575/2013 </w:t>
      </w:r>
      <w:r w:rsidRPr="002A0333">
        <w:lastRenderedPageBreak/>
        <w:t>spremenjena v več vidikih, kot so količnik finančnega vzvoda, zahteva glede neto stabilnega financiranja, zahteve glede kapitala in kvalificiranih obveznosti, kreditno tveganje nasprotne stranke, tržno tveganje, izpostavljenosti do centralnih nasprotnih strank, izpostavljenosti do kolektivnih naložbenih podjemov, velike izpostavljenosti ter zahteve glede poročanja in razkritij. Okvir za poročanje iz Izvedbene uredbe (EU) št. 680/2014 bi bilo zato treba revidirati in posodobiti sklop predlog za zbiranje informacij za namene nadzorniškega poročanja.</w:t>
      </w:r>
    </w:p>
    <w:p w14:paraId="5F6B66C1" w14:textId="77777777" w:rsidR="00AD21AA" w:rsidRPr="002A0333" w:rsidRDefault="00AD21AA" w:rsidP="00AD21AA">
      <w:pPr>
        <w:pStyle w:val="Considrant"/>
      </w:pPr>
      <w:r w:rsidRPr="002A0333">
        <w:t>Uredba (EU) 2019/876 je v Uredbo (EU) št. 575/2013 uvedla zahtevo za količnik finančnega vzvoda za temeljni kapital, umerjeno na 3 %, vrsto prilagoditev izračuna izpostavljenosti količnika finančnega vzvoda in zahtevo po blažilniku količnika finančnega vzvoda za institucije, določene za globalne sistemsko pomembne institucije (GSPI) v skladu z Direktivo 2013/36/EU. Poročanje o količniku finančnega vzvoda bi bilo zato treba posodobiti, da bo odražalo navedene zahteve in prilagoditve pri izračunu izpostavljenosti.</w:t>
      </w:r>
    </w:p>
    <w:p w14:paraId="3651D6E0" w14:textId="77777777" w:rsidR="00AD21AA" w:rsidRPr="002A0333" w:rsidRDefault="00AD21AA" w:rsidP="00AD21AA">
      <w:pPr>
        <w:pStyle w:val="Considrant"/>
      </w:pPr>
      <w:r w:rsidRPr="002A0333">
        <w:t>Uredba (EU) 2019/876 je v Uredbo (EU) št. 575/2013 uvedla zahteve glede poročanja o količniku neto stabilnega financiranja, vključno s poenostavljenimi zahtevami. Zato je treba določiti nov sklop predlog in navodil za poročanje.</w:t>
      </w:r>
    </w:p>
    <w:p w14:paraId="7CAD2444" w14:textId="77777777" w:rsidR="00AD21AA" w:rsidRPr="002A0333" w:rsidRDefault="00AD21AA" w:rsidP="00AD21AA">
      <w:pPr>
        <w:pStyle w:val="Considrant"/>
      </w:pPr>
      <w:r w:rsidRPr="002A0333">
        <w:t>Uredba (EU) 2019/876 je v Uredbo (EU) št. 575/2013 uvedla nov faktor za podporo, ki se uporablja za izpostavljenosti infrastrukturnih projektov, in posodobljene pristope za izračun zneskov tveganju prilagojenih izpostavljenosti za kolektivne naložbene podjeme. Zato je treba, tudi v skladu z okvirom za razkritja, določiti nove predloge in navodila za poročanje o kreditnem tveganju ter posodobiti obstoječa navodila.</w:t>
      </w:r>
    </w:p>
    <w:p w14:paraId="19553D31" w14:textId="77777777" w:rsidR="00AD21AA" w:rsidRPr="002A0333" w:rsidRDefault="00AD21AA" w:rsidP="00AD21AA">
      <w:pPr>
        <w:pStyle w:val="Considrant"/>
      </w:pPr>
      <w:r w:rsidRPr="002A0333">
        <w:t>Uredba (EU) 2019/876 je v Uredbi (EU) št. 575/2013 standardizirani pristop nadomestila s standardiziranim pristopom za kreditno tveganje nasprotne stranke, ki bolj upošteva tveganja, in s poenostavljeno različico tega pristopa za institucije, ki izpolnjujejo vnaprej določena merila primernosti. Čeprav je bila metoda originalne izpostavljenosti spremenjena, ostaja na voljo institucijam, ki izpolnjujejo vnaprej določena merila. Zato je treba dodati nove predloge in navodila za poročanje o kreditnem tveganju nasprotne stranke ter posodobiti obstoječa navodila.</w:t>
      </w:r>
    </w:p>
    <w:p w14:paraId="76193745" w14:textId="77777777" w:rsidR="00AD21AA" w:rsidRPr="002A0333" w:rsidRDefault="00AD21AA" w:rsidP="00AD21AA">
      <w:pPr>
        <w:pStyle w:val="Considrant"/>
      </w:pPr>
      <w:r w:rsidRPr="002A0333">
        <w:t>Uredba (EU) 2019/876 je v Uredbi (EU) št. 575/2013 sklicevanja na „sprejemljiv kapital“ v izračunu velikih izpostavljenosti nadomestila s sklicevanjem na „temeljni kapital“ in uvedla še en prag za poročanje velikih izpostavljenosti na konsolidirani podlagi. Poročanje o velikih izpostavljenostih bi bilo zato treba posodobiti.</w:t>
      </w:r>
    </w:p>
    <w:p w14:paraId="406A544B" w14:textId="77777777" w:rsidR="00AD21AA" w:rsidRPr="002A0333" w:rsidRDefault="00AD21AA" w:rsidP="00AD21AA">
      <w:pPr>
        <w:pStyle w:val="Considrant"/>
      </w:pPr>
      <w:r w:rsidRPr="002A0333">
        <w:t>Z Uredbo (EU) 2019/630 Evropskega parlamenta in Sveta</w:t>
      </w:r>
      <w:r w:rsidRPr="002A0333">
        <w:rPr>
          <w:rStyle w:val="FootnoteReference"/>
        </w:rPr>
        <w:footnoteReference w:id="5"/>
      </w:r>
      <w:r w:rsidRPr="002A0333">
        <w:t xml:space="preserve"> je bil v Uredbo (EU) št. 575/2013 uveden bonitetni varovalni mehanizem za nedonosne izpostavljenosti, ki zahteva odbitke od kapitala institucij, kadar nedonosne izpostavljenosti niso v zadostni meri krite z rezervacijami ali drugimi prilagoditvami, in sicer po vnaprej določenem časovnem razporedu, da se čez čas zagotovi polno kritje. Ta bonitetni varovalni mehanizem temelji na opredelitvah pojmov „nedonosna izpostavljenost“ in „ukrepi restrukturiranja“ iz Izvedbene uredbe (EU) št. 680/2014. Zato je treba spremeniti predloge in navodila, da se zagotovi enotna opredelitev pojmov „nedonosna izpostavljenost“ in „ukrepi restrukturiranja“ za namene poročanja in bonitetnega varovalnega mehanizma. Nove predloge so potrebne tudi za zbiranje informacij za izračun varovalnega mehanizma.</w:t>
      </w:r>
    </w:p>
    <w:p w14:paraId="4A308F65" w14:textId="77777777" w:rsidR="00AD21AA" w:rsidRPr="002A0333" w:rsidRDefault="00AD21AA" w:rsidP="00AD21AA">
      <w:pPr>
        <w:pStyle w:val="Considrant"/>
      </w:pPr>
      <w:r w:rsidRPr="002A0333">
        <w:lastRenderedPageBreak/>
        <w:t>Uredba (EU) 2019/2033 Evropskega parlamenta in Sveta</w:t>
      </w:r>
      <w:r w:rsidRPr="002A0333">
        <w:rPr>
          <w:rStyle w:val="FootnoteReference"/>
        </w:rPr>
        <w:footnoteReference w:id="6"/>
      </w:r>
      <w:r w:rsidRPr="002A0333">
        <w:t xml:space="preserve"> z učinkom od 26. junija 2026 razveljavlja oddelek 2 (členi 95 do 98) poglavja 1 naslova I dela 3 Uredbe (EU) št. 575/2013. Zato bi se morale 26. junija 2026 prenehati uporabljati določbe o poročanju za skupine, ki jih sestavljajo samo investicijska podjetja, za katera veljata člena 95 in 96 Uredbe (EU) št. 575/2013 na posamični ali konsolidirani podlagi.</w:t>
      </w:r>
    </w:p>
    <w:p w14:paraId="43FA00D7" w14:textId="77777777" w:rsidR="00AD21AA" w:rsidRPr="002A0333" w:rsidRDefault="00AD21AA" w:rsidP="00AD21AA">
      <w:pPr>
        <w:pStyle w:val="Considrant"/>
      </w:pPr>
      <w:r w:rsidRPr="002A0333">
        <w:t>Glede na obseg navedenih sprememb in zaradi jasnosti je primerno razveljaviti Izvedbeno uredbo (EU) št. 680/2014 in jo nadomestiti s to uredbo.</w:t>
      </w:r>
    </w:p>
    <w:p w14:paraId="68FF0834" w14:textId="77777777" w:rsidR="00AD21AA" w:rsidRPr="002A0333" w:rsidRDefault="00AD21AA" w:rsidP="00AD21AA">
      <w:pPr>
        <w:pStyle w:val="Considrant"/>
      </w:pPr>
      <w:r w:rsidRPr="002A0333">
        <w:t>Uredba (EU) 2020/873 Evropskega parlamenta in Sveta</w:t>
      </w:r>
      <w:r w:rsidRPr="002A0333">
        <w:rPr>
          <w:rStyle w:val="FootnoteReference"/>
        </w:rPr>
        <w:footnoteReference w:id="7"/>
      </w:r>
      <w:r w:rsidRPr="002A0333">
        <w:t xml:space="preserve"> je eden od vrste ukrepov za ublažitev posledic pandemije COVID-19 za institucije v Uniji. Z navedeno uredbo so bile uvedene nekatere spremembe uredb (EU) št. 575/2013 in (EU) 2019/876, ki vplivajo na nadzorniško poročanje. Te spremembe bi se zato morale odražati v okviru za poročanje. </w:t>
      </w:r>
    </w:p>
    <w:p w14:paraId="1AEA9367" w14:textId="77777777" w:rsidR="00AD21AA" w:rsidRPr="002A0333" w:rsidRDefault="00AD21AA" w:rsidP="00AD21AA">
      <w:pPr>
        <w:pStyle w:val="Considrant"/>
      </w:pPr>
      <w:r w:rsidRPr="002A0333">
        <w:t>Institucije bi morale začeti z nadzorniškim poročanjem s koncem drugega četrtletja leta 2021. Vendar bi se moralo poročanje o blažilniku količnika finančnega vzvoda začeti z januarjem 2023, saj je bila uporaba zahtev glede blažilnika količnika finančnega vzvoda z Uredbo (EU) 2020/873 preložena na januar 2023.</w:t>
      </w:r>
    </w:p>
    <w:p w14:paraId="34258819" w14:textId="77777777" w:rsidR="00AD21AA" w:rsidRPr="002A0333" w:rsidRDefault="00AD21AA" w:rsidP="00AD21AA">
      <w:pPr>
        <w:pStyle w:val="Considrant"/>
      </w:pPr>
      <w:r w:rsidRPr="002A0333">
        <w:t>Ta uredba temelji na osnutku izvedbenih tehničnih standardov, ki ga je Komisiji predložil Evropski bančni organ (EBA).</w:t>
      </w:r>
    </w:p>
    <w:p w14:paraId="1EE2EAF8" w14:textId="77777777" w:rsidR="00AD21AA" w:rsidRPr="002A0333" w:rsidRDefault="00AD21AA" w:rsidP="00AD21AA">
      <w:pPr>
        <w:pStyle w:val="Considrant"/>
        <w:rPr>
          <w:noProof/>
        </w:rPr>
      </w:pPr>
      <w:r w:rsidRPr="002A0333">
        <w:t>EBA je v zvezi z osnutkom izvedbenih tehničnih standardov, na katerem temelji ta uredba, opravil odprta javna posvetovanja, analiziral morebitne povezane stroške in koristi ter zaprosil za mnenje interesno skupino za bančništvo, ustanovljeno v skladu s členom 37 Uredbe (EU) št. 1093/2010 Evropskega parlamenta in Sveta</w:t>
      </w:r>
      <w:r w:rsidRPr="002A0333">
        <w:rPr>
          <w:rStyle w:val="FootnoteReference"/>
        </w:rPr>
        <w:footnoteReference w:id="8"/>
      </w:r>
      <w:r w:rsidRPr="002A0333">
        <w:t>, z izjemo določb, ki odražajo spremembe Uredbe (EU) št. 575/2013 na podlagi Uredbe (EU) 2020/873. EBA je sklenil, da bi bilo v zvezi s temi določbami zelo nesorazmerno izvesti javna posvetovanja ali analizo stroškov in koristi, saj se nanašajo na zelo malo vrstic v predlogah za poročanje o kapitalski ustreznosti in finančnem vzvodu ter ni verjetno, da bi pomembno vplivale na stroške poročanja. Poleg tega bi takšno javno posvetovanje ali analiza stroškov in koristi nadzornikom preprečila pravočasno in dosledno zbiranje ustreznih podatkov.</w:t>
      </w:r>
    </w:p>
    <w:p w14:paraId="38285338" w14:textId="5E242B95" w:rsidR="0004170D" w:rsidRPr="002A0333" w:rsidRDefault="00AD21AA" w:rsidP="00AD21AA">
      <w:pPr>
        <w:pStyle w:val="Considrant"/>
        <w:rPr>
          <w:noProof/>
        </w:rPr>
      </w:pPr>
      <w:r w:rsidRPr="002A0333">
        <w:t xml:space="preserve">Da bi imele institucije dovolj časa za pripravo na poročanje v skladu s to uredbo, bi morala ta uredba začeti veljati dan po objavi v </w:t>
      </w:r>
      <w:r w:rsidRPr="002A0333">
        <w:rPr>
          <w:i/>
        </w:rPr>
        <w:t>Uradnem listu Evropske unije</w:t>
      </w:r>
      <w:r w:rsidRPr="002A0333">
        <w:t xml:space="preserve"> – </w:t>
      </w:r>
    </w:p>
    <w:p w14:paraId="7E0D596A" w14:textId="77777777" w:rsidR="0004170D" w:rsidRPr="002A0333" w:rsidRDefault="0004170D" w:rsidP="009675DD">
      <w:pPr>
        <w:pStyle w:val="Formuledadoption"/>
      </w:pPr>
      <w:r w:rsidRPr="002A0333">
        <w:t>SPREJELA NASLEDNJO UREDBO:</w:t>
      </w:r>
    </w:p>
    <w:p w14:paraId="576F9D8E" w14:textId="77777777" w:rsidR="0004170D" w:rsidRPr="002A0333" w:rsidRDefault="0004170D" w:rsidP="009675DD">
      <w:pPr>
        <w:pStyle w:val="Titrearticle"/>
      </w:pPr>
      <w:r w:rsidRPr="002A0333">
        <w:t>Člen 1</w:t>
      </w:r>
    </w:p>
    <w:p w14:paraId="288B3999" w14:textId="77777777" w:rsidR="006B61AF" w:rsidRPr="002A0333" w:rsidRDefault="006B61AF" w:rsidP="006B61AF">
      <w:pPr>
        <w:pStyle w:val="Titrearticle"/>
        <w:spacing w:before="120"/>
        <w:rPr>
          <w:b/>
          <w:i w:val="0"/>
        </w:rPr>
      </w:pPr>
      <w:r w:rsidRPr="002A0333">
        <w:rPr>
          <w:b/>
          <w:i w:val="0"/>
        </w:rPr>
        <w:t>Predmet urejanja in področje uporabe</w:t>
      </w:r>
    </w:p>
    <w:p w14:paraId="37986D69" w14:textId="774022E5" w:rsidR="0004170D" w:rsidRPr="002A0333" w:rsidRDefault="006B61AF" w:rsidP="00BC75BD">
      <w:r w:rsidRPr="002A0333">
        <w:t xml:space="preserve">Ta uredba določa enotne obrazce in predloge za poročanje, navodila in metodologijo za uporabo teh predlog, pogostost in datume poročanja, opredelitve pojmov in rešitve IT za </w:t>
      </w:r>
      <w:r w:rsidRPr="002A0333">
        <w:lastRenderedPageBreak/>
        <w:t xml:space="preserve">poročanje institucij njihovim pristojnim organom v skladu z odstavkoma 3 in 3a člena 415 Uredbe (EU) št. 575/2013 ter odstavki 1 do 4, 7 in 9 člena 430 navedene uredbe. </w:t>
      </w:r>
    </w:p>
    <w:p w14:paraId="46D6B4CF" w14:textId="77777777" w:rsidR="00FF364B" w:rsidRPr="002A0333" w:rsidRDefault="00FF364B" w:rsidP="00FF364B">
      <w:pPr>
        <w:pStyle w:val="Titrearticle"/>
      </w:pPr>
      <w:r w:rsidRPr="002A0333">
        <w:t xml:space="preserve">Člen </w:t>
      </w:r>
      <w:r w:rsidR="004C5180">
        <w:fldChar w:fldCharType="begin"/>
      </w:r>
      <w:r w:rsidR="004C5180">
        <w:instrText xml:space="preserve"> seq article </w:instrText>
      </w:r>
      <w:r w:rsidR="004C5180">
        <w:fldChar w:fldCharType="separate"/>
      </w:r>
      <w:r w:rsidRPr="002A0333">
        <w:t>2</w:t>
      </w:r>
      <w:r w:rsidR="004C5180">
        <w:fldChar w:fldCharType="end"/>
      </w:r>
    </w:p>
    <w:p w14:paraId="35E34B0E" w14:textId="1A25917F" w:rsidR="00FF364B" w:rsidRPr="002A0333" w:rsidRDefault="006B61AF" w:rsidP="00FF364B">
      <w:pPr>
        <w:pStyle w:val="Titrearticle"/>
        <w:spacing w:before="120"/>
        <w:rPr>
          <w:b/>
          <w:i w:val="0"/>
        </w:rPr>
      </w:pPr>
      <w:r w:rsidRPr="002A0333">
        <w:rPr>
          <w:b/>
          <w:i w:val="0"/>
        </w:rPr>
        <w:t>Referenčni datumi poročanja</w:t>
      </w:r>
    </w:p>
    <w:p w14:paraId="10AD0363" w14:textId="77777777" w:rsidR="006B61AF" w:rsidRPr="002A0333" w:rsidRDefault="006B61AF" w:rsidP="006B61AF">
      <w:pPr>
        <w:pStyle w:val="NumPar1"/>
        <w:numPr>
          <w:ilvl w:val="0"/>
          <w:numId w:val="10"/>
        </w:numPr>
      </w:pPr>
      <w:r w:rsidRPr="002A0333">
        <w:t>Institucije pristojnim organom predložijo informacije glede na stanje na naslednje referenčne datume poročanja:</w:t>
      </w:r>
    </w:p>
    <w:p w14:paraId="7FC44D08" w14:textId="2BC9CD43" w:rsidR="006B61AF" w:rsidRPr="002A0333" w:rsidRDefault="00D9176D" w:rsidP="006B61AF">
      <w:pPr>
        <w:pStyle w:val="Point1"/>
      </w:pPr>
      <w:r w:rsidRPr="002A0333">
        <w:t>(a)</w:t>
      </w:r>
      <w:r w:rsidRPr="002A0333">
        <w:tab/>
        <w:t>mesečno poročanje: zadnji dan vsakega meseca;</w:t>
      </w:r>
    </w:p>
    <w:p w14:paraId="28CC3121" w14:textId="77777777" w:rsidR="006B61AF" w:rsidRPr="002A0333" w:rsidRDefault="006B61AF" w:rsidP="006B61AF">
      <w:pPr>
        <w:pStyle w:val="Point1"/>
      </w:pPr>
      <w:r w:rsidRPr="002A0333">
        <w:t>(b)</w:t>
      </w:r>
      <w:r w:rsidRPr="002A0333">
        <w:tab/>
        <w:t>četrtletno poročanje: 31. marca, 30. junija, 30. septembra in 31. decembra;</w:t>
      </w:r>
    </w:p>
    <w:p w14:paraId="3C859754" w14:textId="77777777" w:rsidR="006B61AF" w:rsidRPr="002A0333" w:rsidRDefault="006B61AF" w:rsidP="006B61AF">
      <w:pPr>
        <w:pStyle w:val="Point1"/>
      </w:pPr>
      <w:r w:rsidRPr="002A0333">
        <w:t>(c)</w:t>
      </w:r>
      <w:r w:rsidRPr="002A0333">
        <w:tab/>
        <w:t>polletno poročanje: 30. junija in 31. decembra;</w:t>
      </w:r>
    </w:p>
    <w:p w14:paraId="03865441" w14:textId="5E46B259" w:rsidR="00FF364B" w:rsidRPr="002A0333" w:rsidRDefault="006B61AF" w:rsidP="006B61AF">
      <w:pPr>
        <w:pStyle w:val="Point1"/>
      </w:pPr>
      <w:r w:rsidRPr="002A0333">
        <w:t>(d)</w:t>
      </w:r>
      <w:r w:rsidRPr="002A0333">
        <w:tab/>
        <w:t>letno poročanje: 31. decembra.</w:t>
      </w:r>
    </w:p>
    <w:p w14:paraId="40A4E6AA" w14:textId="77777777" w:rsidR="006B61AF" w:rsidRPr="002A0333" w:rsidRDefault="006B61AF" w:rsidP="006B61AF">
      <w:pPr>
        <w:pStyle w:val="NumPar1"/>
      </w:pPr>
      <w:r w:rsidRPr="002A0333">
        <w:t>Informacije, predložene v skladu s predlogami iz Priloge III in Priloge IV ter v skladu z navodili iz Priloge V, ki se nanašajo na določeno obdobje, se poročajo kumulativno od prvega dne računovodskega leta do referenčnega datuma.</w:t>
      </w:r>
    </w:p>
    <w:p w14:paraId="65D209FF" w14:textId="1131E63F" w:rsidR="00FF364B" w:rsidRPr="002A0333" w:rsidRDefault="006B61AF" w:rsidP="006B61AF">
      <w:pPr>
        <w:pStyle w:val="NumPar1"/>
      </w:pPr>
      <w:r w:rsidRPr="002A0333">
        <w:t>Če nacionalna zakonodaja institucijam dovoljuje poročanje finančnih informacij na podlagi njihovega računovodskega leta, ki se razlikuje od koledarskega, se lahko referenčni datumi poročanja ustrezno prilagodijo, tako da se finančne informacije in informacije za namene določitve globalnih sistemsko pomembnih institucij (GSPI) in dodelitve stopenj blažilnika za GSPI poročajo vsake tri, šest oziroma dvanajst mesecev od konca njihovega računovodskega leta.</w:t>
      </w:r>
    </w:p>
    <w:p w14:paraId="45D66A15" w14:textId="77777777" w:rsidR="00725875" w:rsidRPr="002A0333" w:rsidRDefault="00725875" w:rsidP="00725875">
      <w:pPr>
        <w:pStyle w:val="Titrearticle"/>
      </w:pPr>
      <w:r w:rsidRPr="002A0333">
        <w:t>Člen 3</w:t>
      </w:r>
    </w:p>
    <w:p w14:paraId="19D84E1B" w14:textId="77777777" w:rsidR="0014552F" w:rsidRPr="002A0333" w:rsidRDefault="0014552F" w:rsidP="0014552F">
      <w:pPr>
        <w:pStyle w:val="Titrearticle"/>
        <w:spacing w:before="120"/>
        <w:rPr>
          <w:b/>
          <w:i w:val="0"/>
        </w:rPr>
      </w:pPr>
      <w:r w:rsidRPr="002A0333">
        <w:rPr>
          <w:b/>
          <w:i w:val="0"/>
        </w:rPr>
        <w:t>Datumi predložitve</w:t>
      </w:r>
    </w:p>
    <w:p w14:paraId="1A3916EF" w14:textId="77777777" w:rsidR="0014552F" w:rsidRPr="002A0333" w:rsidRDefault="0014552F" w:rsidP="0047317A">
      <w:pPr>
        <w:pStyle w:val="NumPar1"/>
        <w:numPr>
          <w:ilvl w:val="0"/>
          <w:numId w:val="12"/>
        </w:numPr>
      </w:pPr>
      <w:r w:rsidRPr="002A0333">
        <w:t>Institucije pristojnim organom predložijo informacije do zaključka delovnega dne na naslednje datume predložitve:</w:t>
      </w:r>
    </w:p>
    <w:p w14:paraId="1B31A059" w14:textId="77777777" w:rsidR="0014552F" w:rsidRPr="002A0333" w:rsidRDefault="0014552F" w:rsidP="0014552F">
      <w:pPr>
        <w:pStyle w:val="Point1"/>
      </w:pPr>
      <w:r w:rsidRPr="002A0333">
        <w:t>(a)</w:t>
      </w:r>
      <w:r w:rsidRPr="002A0333">
        <w:tab/>
        <w:t>mesečno poročanje: 15. koledarski dan po referenčnem datumu poročanja;</w:t>
      </w:r>
    </w:p>
    <w:p w14:paraId="59E141C9" w14:textId="77777777" w:rsidR="0014552F" w:rsidRPr="002A0333" w:rsidRDefault="0014552F" w:rsidP="0014552F">
      <w:pPr>
        <w:pStyle w:val="Point1"/>
      </w:pPr>
      <w:r w:rsidRPr="002A0333">
        <w:t>(b)</w:t>
      </w:r>
      <w:r w:rsidRPr="002A0333">
        <w:tab/>
        <w:t>četrtletno poročanje: 12. maja, 11. avgusta, 11. novembra in 11. februarja;</w:t>
      </w:r>
    </w:p>
    <w:p w14:paraId="31A5927D" w14:textId="77777777" w:rsidR="0014552F" w:rsidRPr="002A0333" w:rsidRDefault="0014552F" w:rsidP="0014552F">
      <w:pPr>
        <w:pStyle w:val="Point1"/>
      </w:pPr>
      <w:r w:rsidRPr="002A0333">
        <w:t>(c)</w:t>
      </w:r>
      <w:r w:rsidRPr="002A0333">
        <w:tab/>
        <w:t>polletno poročanje: 11. avgusta in 11. februarja;</w:t>
      </w:r>
    </w:p>
    <w:p w14:paraId="37F1906A" w14:textId="77777777" w:rsidR="0014552F" w:rsidRPr="002A0333" w:rsidRDefault="0014552F" w:rsidP="0014552F">
      <w:pPr>
        <w:pStyle w:val="Point1"/>
      </w:pPr>
      <w:r w:rsidRPr="002A0333">
        <w:t>(d)</w:t>
      </w:r>
      <w:r w:rsidRPr="002A0333">
        <w:tab/>
        <w:t>letno poročanje: 11. februarja.</w:t>
      </w:r>
    </w:p>
    <w:p w14:paraId="493E0587" w14:textId="77777777" w:rsidR="0014552F" w:rsidRPr="002A0333" w:rsidRDefault="0014552F" w:rsidP="0014552F">
      <w:pPr>
        <w:pStyle w:val="NumPar1"/>
        <w:numPr>
          <w:ilvl w:val="0"/>
          <w:numId w:val="10"/>
        </w:numPr>
      </w:pPr>
      <w:r w:rsidRPr="002A0333">
        <w:t>Če je datum predložitve državni praznik v državi članici pristojnega organa, ki mu je treba predložiti poročilo, oziroma sobota ali nedelja, se podatki predložijo na prvi naslednji delovni dan.</w:t>
      </w:r>
    </w:p>
    <w:p w14:paraId="6B66EFC5" w14:textId="77777777" w:rsidR="0014552F" w:rsidRPr="002A0333" w:rsidRDefault="0014552F" w:rsidP="0014552F">
      <w:pPr>
        <w:pStyle w:val="NumPar1"/>
        <w:numPr>
          <w:ilvl w:val="0"/>
          <w:numId w:val="10"/>
        </w:numPr>
      </w:pPr>
      <w:r w:rsidRPr="002A0333">
        <w:t>Če institucije poročajo finančne informacije ali informacije za namene določitve GSPI in dodelitve stopenj blažilnika za GSPI z uporabo prilagojenih referenčnih datumov poročanja na podlagi svojega računovodskega leta, kot je določeno v odstavku 3 člena 2, se lahko datumi predložitve prav tako ustrezno prilagodijo, tako da se ohrani isto obdobje predložitve od prilagojenega referenčnega datuma poročanja.</w:t>
      </w:r>
    </w:p>
    <w:p w14:paraId="67094FB3" w14:textId="77777777" w:rsidR="0014552F" w:rsidRPr="002A0333" w:rsidRDefault="0014552F" w:rsidP="0014552F">
      <w:pPr>
        <w:pStyle w:val="NumPar1"/>
        <w:numPr>
          <w:ilvl w:val="0"/>
          <w:numId w:val="10"/>
        </w:numPr>
      </w:pPr>
      <w:r w:rsidRPr="002A0333">
        <w:t>Institucije lahko predložijo nerevidirane podatke. Če revidirani podatki odstopajo od predloženih nerevidiranih podatkov, se brez nepotrebnega odlašanja predložijo revidirani podatki. Nerevidirani podatki so podatki, za katere ni bilo podano mnenje zunanjega revizorja, revidirani podatki pa so podatki, ki jih revidiral zunanji revizor, ki je podal revizijsko mnenje.</w:t>
      </w:r>
    </w:p>
    <w:p w14:paraId="758E2E74" w14:textId="6B437F09" w:rsidR="00725875" w:rsidRPr="002A0333" w:rsidRDefault="0014552F" w:rsidP="0014552F">
      <w:pPr>
        <w:pStyle w:val="NumPar1"/>
        <w:numPr>
          <w:ilvl w:val="0"/>
          <w:numId w:val="10"/>
        </w:numPr>
      </w:pPr>
      <w:r w:rsidRPr="002A0333">
        <w:lastRenderedPageBreak/>
        <w:t>Pristojnim organom se brez odlašanja predložijo tudi drugi popravki predloženih poročil.</w:t>
      </w:r>
    </w:p>
    <w:p w14:paraId="60D8A63C" w14:textId="77777777" w:rsidR="0014552F" w:rsidRPr="002A0333" w:rsidRDefault="0014552F" w:rsidP="0014552F">
      <w:pPr>
        <w:pStyle w:val="Titrearticle"/>
      </w:pPr>
      <w:r w:rsidRPr="002A0333">
        <w:t xml:space="preserve">Člen </w:t>
      </w:r>
      <w:r w:rsidR="004C5180">
        <w:fldChar w:fldCharType="begin"/>
      </w:r>
      <w:r w:rsidR="004C5180">
        <w:instrText xml:space="preserve"> seq article </w:instrText>
      </w:r>
      <w:r w:rsidR="004C5180">
        <w:fldChar w:fldCharType="separate"/>
      </w:r>
      <w:r w:rsidRPr="002A0333">
        <w:t>4</w:t>
      </w:r>
      <w:r w:rsidR="004C5180">
        <w:fldChar w:fldCharType="end"/>
      </w:r>
    </w:p>
    <w:p w14:paraId="726E257C" w14:textId="77777777" w:rsidR="0014552F" w:rsidRPr="002A0333" w:rsidRDefault="0014552F" w:rsidP="0014552F">
      <w:pPr>
        <w:pStyle w:val="Titrearticle"/>
        <w:spacing w:before="120"/>
        <w:rPr>
          <w:b/>
          <w:i w:val="0"/>
        </w:rPr>
      </w:pPr>
      <w:r w:rsidRPr="002A0333">
        <w:rPr>
          <w:b/>
          <w:i w:val="0"/>
        </w:rPr>
        <w:t>Pragovi za poročanje – vstopna in izstopna merila</w:t>
      </w:r>
    </w:p>
    <w:p w14:paraId="06A0F026" w14:textId="77777777" w:rsidR="0014552F" w:rsidRPr="002A0333" w:rsidRDefault="0014552F" w:rsidP="0047317A">
      <w:pPr>
        <w:pStyle w:val="NumPar1"/>
        <w:numPr>
          <w:ilvl w:val="0"/>
          <w:numId w:val="13"/>
        </w:numPr>
      </w:pPr>
      <w:r w:rsidRPr="002A0333">
        <w:t>Institucije, ki izpolnjujejo pogoje iz člena 4(1)(145) Uredbe (EU) št. 575/2013, začnejo poročati informacije kot majhne in nekompleksne institucije na prvi referenčni datum poročanja po izpolnitvi navedenih pogojev. Če institucije navedenih pogojev ne izpolnjujejo več, prenehajo poročati informacije na prvi referenčni datum poročanja po tem.</w:t>
      </w:r>
    </w:p>
    <w:p w14:paraId="67299D12" w14:textId="77777777" w:rsidR="0014552F" w:rsidRPr="002A0333" w:rsidRDefault="0014552F" w:rsidP="0014552F">
      <w:pPr>
        <w:pStyle w:val="NumPar1"/>
        <w:numPr>
          <w:ilvl w:val="0"/>
          <w:numId w:val="10"/>
        </w:numPr>
      </w:pPr>
      <w:r w:rsidRPr="002A0333">
        <w:t>Institucije, ki izpolnjujejo pogoje iz člena 4(1)(146) Uredbe (EU) št. 575/2013, začnejo poročati informacije kot velike institucije na prvi referenčni datum poročanja po izpolnitvi navedenih pogojev. Če institucije navedenih pogojev ne izpolnjujejo več, prenehajo poročati informacije na prvi referenčni datum poročanja po tem.</w:t>
      </w:r>
    </w:p>
    <w:p w14:paraId="427BAF61" w14:textId="77777777" w:rsidR="0014552F" w:rsidRPr="002A0333" w:rsidRDefault="0014552F" w:rsidP="0014552F">
      <w:pPr>
        <w:pStyle w:val="NumPar1"/>
        <w:numPr>
          <w:ilvl w:val="0"/>
          <w:numId w:val="10"/>
        </w:numPr>
      </w:pPr>
      <w:r w:rsidRPr="002A0333">
        <w:t>Institucije začnejo poročati informacije, za katere veljajo pragovi iz te uredbe, na naslednji referenčni datum poročanja po tistem, ko so bili ti pragovi prekoračeni na dva referenčna datuma poročanja zapored. Institucije lahko prenehajo poročati informacije, za katere veljajo pragovi iz te uredbe, od naslednjega referenčnega datuma poročanja po tistem, ko so na tri referenčne datume poročanja zapored padle pod prag za poročanje.</w:t>
      </w:r>
    </w:p>
    <w:p w14:paraId="1E03EF09" w14:textId="77777777" w:rsidR="0014552F" w:rsidRPr="002A0333" w:rsidRDefault="0014552F" w:rsidP="0014552F">
      <w:pPr>
        <w:pStyle w:val="Titrearticle"/>
      </w:pPr>
      <w:r w:rsidRPr="002A0333">
        <w:t xml:space="preserve">Člen </w:t>
      </w:r>
      <w:r w:rsidR="004C5180">
        <w:fldChar w:fldCharType="begin"/>
      </w:r>
      <w:r w:rsidR="004C5180">
        <w:instrText xml:space="preserve"> seq article </w:instrText>
      </w:r>
      <w:r w:rsidR="004C5180">
        <w:fldChar w:fldCharType="separate"/>
      </w:r>
      <w:r w:rsidRPr="002A0333">
        <w:t>5</w:t>
      </w:r>
      <w:r w:rsidR="004C5180">
        <w:fldChar w:fldCharType="end"/>
      </w:r>
    </w:p>
    <w:p w14:paraId="17F5FB19" w14:textId="77777777" w:rsidR="0014552F" w:rsidRPr="002A0333" w:rsidRDefault="0014552F" w:rsidP="0014552F">
      <w:pPr>
        <w:pStyle w:val="Titrearticle"/>
        <w:spacing w:before="120"/>
        <w:rPr>
          <w:b/>
          <w:i w:val="0"/>
        </w:rPr>
      </w:pPr>
      <w:r w:rsidRPr="002A0333">
        <w:rPr>
          <w:b/>
          <w:i w:val="0"/>
        </w:rPr>
        <w:t xml:space="preserve">Poročanje o kapitalu in kapitalskih zahtevah na posamični podlagi – četrtletno poročanje </w:t>
      </w:r>
    </w:p>
    <w:p w14:paraId="52AEA4DB" w14:textId="77777777" w:rsidR="0014552F" w:rsidRPr="002A0333" w:rsidRDefault="0014552F" w:rsidP="0047317A">
      <w:pPr>
        <w:pStyle w:val="NumPar1"/>
        <w:numPr>
          <w:ilvl w:val="0"/>
          <w:numId w:val="14"/>
        </w:numPr>
      </w:pPr>
      <w:r w:rsidRPr="002A0333">
        <w:t>Za poročanje informacij o kapitalu in kapitalskih zahtevah v skladu s členom 430(1)(a) Uredbe (EU) št. 575/2013 na posamični podlagi institucije informacije iz tega člena predložijo vsako četrtletje.</w:t>
      </w:r>
    </w:p>
    <w:p w14:paraId="10F736EF" w14:textId="77777777" w:rsidR="0014552F" w:rsidRPr="002A0333" w:rsidRDefault="0014552F" w:rsidP="0014552F">
      <w:pPr>
        <w:pStyle w:val="NumPar1"/>
      </w:pPr>
      <w:r w:rsidRPr="002A0333">
        <w:t>Institucije predložijo informacije o kapitalu in kapitalskih zahtevah, kot so določene v predlogah 1 do 5 Priloge I, v skladu z navodili iz točke 1 dela II Priloge II.</w:t>
      </w:r>
    </w:p>
    <w:p w14:paraId="77032C56" w14:textId="77777777" w:rsidR="0014552F" w:rsidRPr="002A0333" w:rsidRDefault="0014552F" w:rsidP="0014552F">
      <w:pPr>
        <w:pStyle w:val="NumPar1"/>
      </w:pPr>
      <w:r w:rsidRPr="002A0333">
        <w:t>Institucije predložijo informacije o izpostavljenostih kreditnemu tveganju in kreditnemu tveganju nasprotne stranke, ki se obravnavajo s standardiziranim pristopom, kot so določene v predlogi 7 Priloge I, v skladu z navodili iz točke 3.2 dela II Priloge II.</w:t>
      </w:r>
    </w:p>
    <w:p w14:paraId="4FC8E450" w14:textId="77777777" w:rsidR="0014552F" w:rsidRPr="002A0333" w:rsidRDefault="0014552F" w:rsidP="0014552F">
      <w:pPr>
        <w:pStyle w:val="NumPar1"/>
      </w:pPr>
      <w:r w:rsidRPr="002A0333">
        <w:t>Institucije predložijo informacije o izpostavljenostih kreditnemu tveganju in kreditnemu tveganju nasprotne stranke, ki se obravnavajo s pristopom na podlagi notranjih bonitetnih ocen, kot so določene v predlogah 8.1 in 8.2 Priloge I, v skladu z navodili iz točke 3.3 dela II Priloge II.</w:t>
      </w:r>
    </w:p>
    <w:p w14:paraId="68EBC1AD" w14:textId="77777777" w:rsidR="0014552F" w:rsidRPr="002A0333" w:rsidRDefault="0014552F" w:rsidP="0014552F">
      <w:pPr>
        <w:pStyle w:val="NumPar1"/>
      </w:pPr>
      <w:r w:rsidRPr="002A0333">
        <w:t xml:space="preserve">Institucije predložijo informacije o geografski porazdelitvi izpostavljenosti po državah in o združenih izpostavljenostih na skupni ravni, kot so določene v predlogi 9 Priloge I, v skladu z navodili iz točke 3.4 dela II Priloge II. </w:t>
      </w:r>
    </w:p>
    <w:p w14:paraId="37720A47" w14:textId="380C1EA6" w:rsidR="0014552F" w:rsidRPr="002A0333" w:rsidRDefault="0014552F" w:rsidP="006B3AF7">
      <w:pPr>
        <w:pStyle w:val="Text1"/>
      </w:pPr>
      <w:r w:rsidRPr="002A0333">
        <w:t xml:space="preserve">Institucije predložijo informacije, določene v predlogah 9.1 in 9.2, zlasti informacije o geografski porazdelitvi izpostavljenosti po državah, kadar so tuje originalne izpostavljenosti v vseh tujih državah v vseh kategorijah izpostavljenosti, kot se poročajo v skladu z vrstico 0850 predloge 4 Priloge I, enake ali večje od 10 % domačih in tujih originalnih izpostavljenosti skupaj, kot se poročajo v skladu z </w:t>
      </w:r>
      <w:r w:rsidRPr="002A0333">
        <w:lastRenderedPageBreak/>
        <w:t xml:space="preserve">vrstico 0860 predloge 4 Priloge I. Izpostavljenosti se obravnavajo kot domače, kadar gre za izpostavljenosti do nasprotnih strank v državi članici, v kateri ima institucija sedež. </w:t>
      </w:r>
    </w:p>
    <w:p w14:paraId="2D010602" w14:textId="678AF76C" w:rsidR="0014552F" w:rsidRPr="002A0333" w:rsidRDefault="0014552F" w:rsidP="006B3AF7">
      <w:pPr>
        <w:pStyle w:val="Text1"/>
      </w:pPr>
      <w:r w:rsidRPr="002A0333">
        <w:t>Uporabljajo se vstopna in izstopna merila iz člena 4.</w:t>
      </w:r>
    </w:p>
    <w:p w14:paraId="1B5047C1" w14:textId="77777777" w:rsidR="0014552F" w:rsidRPr="002A0333" w:rsidRDefault="0014552F" w:rsidP="0014552F">
      <w:pPr>
        <w:pStyle w:val="NumPar1"/>
      </w:pPr>
      <w:r w:rsidRPr="002A0333">
        <w:t>Institucije predložijo informacije o kreditnem tveganju nasprotne stranke, kot so določene v predlogah 34.01 do 34.05 in 34.08 do 34.10 Priloge I, v skladu z navodili iz točke 3.9 dela II Priloge II.</w:t>
      </w:r>
    </w:p>
    <w:p w14:paraId="71DD8676" w14:textId="77777777" w:rsidR="0014552F" w:rsidRPr="002A0333" w:rsidRDefault="0014552F" w:rsidP="0014552F">
      <w:pPr>
        <w:pStyle w:val="NumPar1"/>
      </w:pPr>
      <w:r w:rsidRPr="002A0333">
        <w:t>Institucije, ki za izračun izpostavljenosti kreditnemu tveganju nasprotne stranke uporabljajo standardizirani pristop ali metodo notranjih modelov v skladu z oddelkoma 3 in 6 poglavja 6 naslova II dela 3 Uredbe (EU) št. 575/2013, predložijo informacije o kreditnem tveganju nasprotne stranke, kot so določene v predlogi 34.06 Priloge I, v skladu z navodili iz točke 3.9.7 dela II Priloge II.</w:t>
      </w:r>
    </w:p>
    <w:p w14:paraId="5A7C446B" w14:textId="77777777" w:rsidR="0014552F" w:rsidRPr="002A0333" w:rsidRDefault="0014552F" w:rsidP="0014552F">
      <w:pPr>
        <w:pStyle w:val="NumPar1"/>
      </w:pPr>
      <w:r w:rsidRPr="002A0333">
        <w:t>Institucije predložijo informacije o izpostavljenostih iz naslova lastniških instrumentov, ki se obravnavajo s pristopom na podlagi notranjih bonitetnih ocen, kot so določene v predlogi 10 Priloge I, v skladu z navodili iz točke 3.5 dela II Priloge II.</w:t>
      </w:r>
    </w:p>
    <w:p w14:paraId="6C5997E8" w14:textId="77777777" w:rsidR="0014552F" w:rsidRPr="002A0333" w:rsidRDefault="0014552F" w:rsidP="0014552F">
      <w:pPr>
        <w:pStyle w:val="NumPar1"/>
      </w:pPr>
      <w:r w:rsidRPr="002A0333">
        <w:t>Institucije predložijo informacije o tveganju poravnave, kot so določene v predlogi 11 Priloge I, v skladu z navodili iz točke 3.6 dela II Priloge II.</w:t>
      </w:r>
    </w:p>
    <w:p w14:paraId="442593B8" w14:textId="77777777" w:rsidR="0014552F" w:rsidRPr="002A0333" w:rsidRDefault="0014552F" w:rsidP="0014552F">
      <w:pPr>
        <w:pStyle w:val="NumPar1"/>
      </w:pPr>
      <w:r w:rsidRPr="002A0333">
        <w:t>Institucije predložijo informacije o izpostavljenostih iz naslova listinjenja, kot so določene v predlogi 13.01 Priloge I, v skladu z navodili iz točke 3.7 dela II Priloge II.</w:t>
      </w:r>
    </w:p>
    <w:p w14:paraId="70A0DE2C" w14:textId="77777777" w:rsidR="0014552F" w:rsidRPr="002A0333" w:rsidRDefault="0014552F" w:rsidP="0014552F">
      <w:pPr>
        <w:pStyle w:val="NumPar1"/>
      </w:pPr>
      <w:r w:rsidRPr="002A0333">
        <w:t>Institucije predložijo informacije o kapitalskih zahtevah in izgubah, ki se nanašajo na operativno tveganje, kot so določene v predlogi 16 Priloge I, v skladu z navodili iz točke 4.1 dela II Priloge II.</w:t>
      </w:r>
    </w:p>
    <w:p w14:paraId="66782023" w14:textId="77777777" w:rsidR="0014552F" w:rsidRPr="002A0333" w:rsidRDefault="0014552F" w:rsidP="0014552F">
      <w:pPr>
        <w:pStyle w:val="NumPar1"/>
      </w:pPr>
      <w:r w:rsidRPr="002A0333">
        <w:t>Institucije predložijo informacije o kapitalskih zahtevah, ki se nanašajo na tržno tveganje, kot so določene v predlogah 18 do 24 Priloge I, v skladu z navodili iz točk 5.1 do 5.7 dela II Priloge II.</w:t>
      </w:r>
    </w:p>
    <w:p w14:paraId="2975DD1F" w14:textId="77777777" w:rsidR="0014552F" w:rsidRPr="002A0333" w:rsidRDefault="0014552F" w:rsidP="0014552F">
      <w:pPr>
        <w:pStyle w:val="NumPar1"/>
      </w:pPr>
      <w:r w:rsidRPr="002A0333">
        <w:t>Institucije predložijo informacije o kapitalskih zahtevah, ki se nanašajo na tveganje prilagoditve kreditnega vrednotenja, kot so določene v predlogi 25 Priloge I, v skladu z navodili iz točke 5.8 dela II Priloge II.</w:t>
      </w:r>
    </w:p>
    <w:p w14:paraId="29B0B226" w14:textId="5F3CD6D2" w:rsidR="0014552F" w:rsidRPr="002A0333" w:rsidRDefault="0014552F" w:rsidP="0014552F">
      <w:pPr>
        <w:pStyle w:val="NumPar1"/>
      </w:pPr>
      <w:r w:rsidRPr="002A0333">
        <w:t>Institucije predložijo informacije o preudarnem vrednotenju, kot so določene v predlogi 32 Priloge I, v skladu z navodili iz točke 6 dela II Priloge II, kot sledi:</w:t>
      </w:r>
    </w:p>
    <w:p w14:paraId="7AAF2502" w14:textId="77777777" w:rsidR="0014552F" w:rsidRPr="002A0333" w:rsidRDefault="0014552F" w:rsidP="0014552F">
      <w:pPr>
        <w:pStyle w:val="Point1"/>
      </w:pPr>
      <w:r w:rsidRPr="002A0333">
        <w:t>(a)</w:t>
      </w:r>
      <w:r w:rsidRPr="002A0333">
        <w:tab/>
        <w:t>vse institucije predložijo informacije, določene v predlogi 32.1 Priloge I, v skladu z navodili iz točke 6 dela II Priloge II;</w:t>
      </w:r>
    </w:p>
    <w:p w14:paraId="2C2BA953" w14:textId="77777777" w:rsidR="0014552F" w:rsidRPr="002A0333" w:rsidRDefault="0014552F" w:rsidP="0014552F">
      <w:pPr>
        <w:pStyle w:val="Point1"/>
      </w:pPr>
      <w:r w:rsidRPr="002A0333">
        <w:t>(b)</w:t>
      </w:r>
      <w:r w:rsidRPr="002A0333">
        <w:tab/>
        <w:t>institucije, ki uporabljajo temeljni pristop v skladu z Delegirano uredbo Komisije (EU) 2016/101</w:t>
      </w:r>
      <w:r w:rsidRPr="002A0333">
        <w:rPr>
          <w:rStyle w:val="FootnoteReference"/>
        </w:rPr>
        <w:footnoteReference w:id="9"/>
      </w:r>
      <w:r w:rsidRPr="002A0333">
        <w:t>, poleg informacij iz točke (a) tega odstavka poročajo informacije, določene v predlogi 32.2 Priloge I, v skladu z navodili iz točke 6 dela II Priloge II;</w:t>
      </w:r>
    </w:p>
    <w:p w14:paraId="220BA8B3" w14:textId="5DCF7134" w:rsidR="0014552F" w:rsidRPr="002A0333" w:rsidRDefault="0014552F" w:rsidP="0014552F">
      <w:pPr>
        <w:pStyle w:val="Point1"/>
      </w:pPr>
      <w:r w:rsidRPr="002A0333">
        <w:t>(c)</w:t>
      </w:r>
      <w:r w:rsidRPr="002A0333">
        <w:tab/>
        <w:t xml:space="preserve">institucije, ki uporabljajo temeljni pristop v skladu z Delegirano uredbo Komisije (EU) 2016/101 in presegajo prag iz člena 4(1) navedene uredbe, poleg informacij iz točk (a) in (b) tega odstavka poročajo informacije, določene </w:t>
      </w:r>
      <w:r w:rsidRPr="002A0333">
        <w:lastRenderedPageBreak/>
        <w:t>v predlogah 32.3 in 32.4 Priloge I, v skladu z navodili iz točke 6 dela II Priloge</w:t>
      </w:r>
      <w:r w:rsidR="002A0333">
        <w:t> </w:t>
      </w:r>
      <w:r w:rsidRPr="002A0333">
        <w:t>II.</w:t>
      </w:r>
    </w:p>
    <w:p w14:paraId="3453A2CF" w14:textId="77777777" w:rsidR="0014552F" w:rsidRPr="002A0333" w:rsidRDefault="0014552F" w:rsidP="0014552F">
      <w:pPr>
        <w:pStyle w:val="Text1"/>
      </w:pPr>
      <w:r w:rsidRPr="002A0333">
        <w:t>Za namene tega odstavka se vstopna in izstopna merila iz člena 4 ne uporabljajo.</w:t>
      </w:r>
    </w:p>
    <w:p w14:paraId="3329EA93" w14:textId="0799B97E" w:rsidR="00725875" w:rsidRPr="002A0333" w:rsidRDefault="0014552F" w:rsidP="0014552F">
      <w:pPr>
        <w:pStyle w:val="NumPar1"/>
      </w:pPr>
      <w:r w:rsidRPr="002A0333">
        <w:t>Institucije predložijo informacije o bonitetnem varovalnem mehanizmu za nedonosne izpostavljenosti, kot so določene v predlogah 35.01, 35.02 in 35.03 Priloge I, v skladu z navodili iz točke 8 dela II Priloge II.</w:t>
      </w:r>
    </w:p>
    <w:p w14:paraId="2263BAFA" w14:textId="77777777" w:rsidR="004A4E65" w:rsidRPr="002A0333" w:rsidRDefault="004A4E65" w:rsidP="004A4E65">
      <w:pPr>
        <w:pStyle w:val="Titrearticle"/>
      </w:pPr>
      <w:r w:rsidRPr="002A0333">
        <w:t xml:space="preserve">Člen </w:t>
      </w:r>
      <w:r w:rsidR="004C5180">
        <w:fldChar w:fldCharType="begin"/>
      </w:r>
      <w:r w:rsidR="004C5180">
        <w:instrText xml:space="preserve"> seq article </w:instrText>
      </w:r>
      <w:r w:rsidR="004C5180">
        <w:fldChar w:fldCharType="separate"/>
      </w:r>
      <w:r w:rsidRPr="002A0333">
        <w:t>6</w:t>
      </w:r>
      <w:r w:rsidR="004C5180">
        <w:fldChar w:fldCharType="end"/>
      </w:r>
      <w:r w:rsidRPr="002A0333">
        <w:t xml:space="preserve"> </w:t>
      </w:r>
    </w:p>
    <w:p w14:paraId="6708BD45" w14:textId="77777777" w:rsidR="004A4E65" w:rsidRPr="002A0333" w:rsidRDefault="004A4E65" w:rsidP="004A4E65">
      <w:pPr>
        <w:pStyle w:val="Titrearticle"/>
        <w:rPr>
          <w:b/>
          <w:i w:val="0"/>
        </w:rPr>
      </w:pPr>
      <w:r w:rsidRPr="002A0333">
        <w:rPr>
          <w:b/>
          <w:i w:val="0"/>
        </w:rPr>
        <w:t xml:space="preserve">Poročanje o kapitalu in kapitalskih zahtevah na posamični podlagi – polletno poročanje </w:t>
      </w:r>
    </w:p>
    <w:p w14:paraId="5551DF99" w14:textId="77777777" w:rsidR="004A4E65" w:rsidRPr="002A0333" w:rsidRDefault="004A4E65" w:rsidP="005F180D">
      <w:pPr>
        <w:pStyle w:val="NumPar1"/>
        <w:numPr>
          <w:ilvl w:val="0"/>
          <w:numId w:val="15"/>
        </w:numPr>
      </w:pPr>
      <w:r w:rsidRPr="002A0333">
        <w:t xml:space="preserve">Za poročanje informacij o kapitalu in kapitalskih zahtevah v skladu s členom 430(1)(a) Uredbe (EU) št. 575/2013 na posamični podlagi institucije informacije iz tega člena predložijo vsake pol leta. </w:t>
      </w:r>
    </w:p>
    <w:p w14:paraId="40FBE120" w14:textId="77777777" w:rsidR="004A4E65" w:rsidRPr="002A0333" w:rsidRDefault="004A4E65" w:rsidP="004A4E65">
      <w:pPr>
        <w:pStyle w:val="NumPar1"/>
      </w:pPr>
      <w:r w:rsidRPr="002A0333">
        <w:t>Institucije predložijo informacije o vseh izpostavljenostih iz naslova listinjenja, kot so določene v predlogah 14 in 14.01 Priloge I, v skladu z navodili iz točke 3.8 dela II Priloge II, razen če so del skupine v isti državi, v kateri so predmet kapitalskih zahtev.</w:t>
      </w:r>
    </w:p>
    <w:p w14:paraId="19F85BB9" w14:textId="77777777" w:rsidR="004A4E65" w:rsidRPr="002A0333" w:rsidRDefault="004A4E65" w:rsidP="004A4E65">
      <w:pPr>
        <w:pStyle w:val="NumPar1"/>
      </w:pPr>
      <w:r w:rsidRPr="002A0333">
        <w:t>Institucije predložijo informacije o izpostavljenostih do držav, kot sledi:</w:t>
      </w:r>
    </w:p>
    <w:p w14:paraId="67E38C8A" w14:textId="77777777" w:rsidR="004A4E65" w:rsidRPr="002A0333" w:rsidRDefault="004A4E65" w:rsidP="004A4E65">
      <w:pPr>
        <w:pStyle w:val="Point1"/>
      </w:pPr>
      <w:r w:rsidRPr="002A0333">
        <w:t>(a)</w:t>
      </w:r>
      <w:r w:rsidRPr="002A0333">
        <w:tab/>
        <w:t>če je skupna knjigovodska vrednost finančnih sredstev sektorja nasprotne stranke „sektor država“ enaka ali višja od 1 % vsote skupne knjigovodske vrednosti za „dolžniške vrednostne papirje“ ter „kredite in druga finančna sredstva“, institucije predložijo informacije, kot so določene v predlogi 33 Priloge I, v skladu z navodili iz točke 7 dela II Priloge II in upoštevajo navodila iz Priloge V v zvezi s predlogo 4 v Prilogi III oziroma Prilogi IV, kot je ustrezno, za izračun ustreznih vrednosti;</w:t>
      </w:r>
    </w:p>
    <w:p w14:paraId="1F937D26" w14:textId="77777777" w:rsidR="004A4E65" w:rsidRPr="002A0333" w:rsidRDefault="004A4E65" w:rsidP="004A4E65">
      <w:pPr>
        <w:pStyle w:val="Point1"/>
      </w:pPr>
      <w:r w:rsidRPr="002A0333">
        <w:t>(b)</w:t>
      </w:r>
      <w:r w:rsidRPr="002A0333">
        <w:tab/>
        <w:t>če je vrednost, sporočena za domače izpostavljenosti neizvedenih finančnih sredstev, kot je določena v vrstici 0010 stolpca 0010 predloge 33 Priloge I, manjša od 90 % vrednosti, sporočene za domače in tuje izpostavljenosti za isto podatkovno točko, institucije, ki izpolnjujejo pogoj iz točke (a), predložijo informacije, kot so določene v predlogi 33 Priloge I, v skladu z navodili iz točke 7 dela II Priloge II, s polno razčlenitvijo po državah;</w:t>
      </w:r>
    </w:p>
    <w:p w14:paraId="7834EDAC" w14:textId="77777777" w:rsidR="004A4E65" w:rsidRPr="002A0333" w:rsidRDefault="004A4E65" w:rsidP="004A4E65">
      <w:pPr>
        <w:pStyle w:val="Point1"/>
      </w:pPr>
      <w:r w:rsidRPr="002A0333">
        <w:t>(c)</w:t>
      </w:r>
      <w:r w:rsidRPr="002A0333">
        <w:tab/>
        <w:t>institucije, ki izpolnjujejo pogoje iz točke (a), ne izpolnjujejo pa pogoja iz točke (b), predložijo informacije, določene v predlogi 33, v skladu z navodili iz točke 7 dela II Priloge II, pri čemer se izpostavljenosti združijo na:</w:t>
      </w:r>
    </w:p>
    <w:p w14:paraId="218EDBA5" w14:textId="77777777" w:rsidR="004A4E65" w:rsidRPr="002A0333" w:rsidRDefault="004A4E65" w:rsidP="004A4E65">
      <w:pPr>
        <w:pStyle w:val="Point1"/>
        <w:ind w:firstLine="0"/>
      </w:pPr>
      <w:r w:rsidRPr="002A0333">
        <w:t>(i) skupni ravni in</w:t>
      </w:r>
    </w:p>
    <w:p w14:paraId="008CFBAC" w14:textId="77777777" w:rsidR="004A4E65" w:rsidRPr="002A0333" w:rsidRDefault="004A4E65" w:rsidP="004A4E65">
      <w:pPr>
        <w:pStyle w:val="Point1"/>
        <w:ind w:firstLine="0"/>
      </w:pPr>
      <w:r w:rsidRPr="002A0333">
        <w:t>(ii) domači ravni.</w:t>
      </w:r>
    </w:p>
    <w:p w14:paraId="3B9FA7D6" w14:textId="77777777" w:rsidR="004A4E65" w:rsidRPr="002A0333" w:rsidRDefault="004A4E65" w:rsidP="004A4E65">
      <w:pPr>
        <w:pStyle w:val="Text1"/>
      </w:pPr>
      <w:r w:rsidRPr="002A0333">
        <w:t>Uporabljajo se vstopna in izstopna merila iz člena 4(3).</w:t>
      </w:r>
    </w:p>
    <w:p w14:paraId="76F698FA" w14:textId="77777777" w:rsidR="004A4E65" w:rsidRPr="002A0333" w:rsidRDefault="004A4E65" w:rsidP="004A4E65">
      <w:pPr>
        <w:pStyle w:val="NumPar1"/>
      </w:pPr>
      <w:r w:rsidRPr="002A0333">
        <w:t>Informacije o pomembnih izgubah v zvezi z operativnim tveganjem se poročajo, kot sledi:</w:t>
      </w:r>
    </w:p>
    <w:p w14:paraId="6D57AB20" w14:textId="77777777" w:rsidR="004A4E65" w:rsidRPr="002A0333" w:rsidRDefault="004A4E65" w:rsidP="004A4E65">
      <w:pPr>
        <w:pStyle w:val="Point1"/>
      </w:pPr>
      <w:r w:rsidRPr="002A0333">
        <w:t>(a)</w:t>
      </w:r>
      <w:r w:rsidRPr="002A0333">
        <w:tab/>
        <w:t>institucije, ki izračunavajo kapitalske zahteve v zvezi z operativnim tveganjem v skladu s poglavjem 4 naslova III dela 3 Uredbe (EU) št. 575/2013, te informacije, kot so določene v predlogah 17.01 in 17.02 Priloge I, poročajo v skladu z navodili iz točke 4.2 dela II Priloge II;</w:t>
      </w:r>
    </w:p>
    <w:p w14:paraId="574CD1A6" w14:textId="77777777" w:rsidR="004A4E65" w:rsidRPr="002A0333" w:rsidRDefault="004A4E65" w:rsidP="004A4E65">
      <w:pPr>
        <w:pStyle w:val="Point1"/>
      </w:pPr>
      <w:r w:rsidRPr="002A0333">
        <w:lastRenderedPageBreak/>
        <w:t>(b)</w:t>
      </w:r>
      <w:r w:rsidRPr="002A0333">
        <w:tab/>
        <w:t>velike institucije, ki izračunavajo kapitalske zahteve v zvezi z operativnim tveganjem v skladu s poglavjem 3 naslova III dela 3 Uredbe (EU) št. 575/2013, te informacije, kot so določene v predlogah 17.01 in 17.02 Priloge I, poročajo v skladu z navodili iz točke 4.2 dela II Priloge II;</w:t>
      </w:r>
    </w:p>
    <w:p w14:paraId="3913C437" w14:textId="77777777" w:rsidR="004A4E65" w:rsidRPr="002A0333" w:rsidRDefault="004A4E65" w:rsidP="004A4E65">
      <w:pPr>
        <w:pStyle w:val="Point1"/>
      </w:pPr>
      <w:r w:rsidRPr="002A0333">
        <w:t>(c)</w:t>
      </w:r>
      <w:r w:rsidRPr="002A0333">
        <w:tab/>
        <w:t>institucije, ki niso velike institucije, ki izračunavajo kapitalske zahteve v zvezi z operativnim tveganjem v skladu s poglavjem 3 naslova III dela 3 Uredbe (EU) št. 575/2013, poročajo naslednje informacije v skladu z navodili iz točke 4.2 dela II Priloge II:</w:t>
      </w:r>
    </w:p>
    <w:p w14:paraId="465B55EF" w14:textId="77777777" w:rsidR="004A4E65" w:rsidRPr="002A0333" w:rsidRDefault="004A4E65" w:rsidP="004A4E65">
      <w:pPr>
        <w:pStyle w:val="Point2"/>
      </w:pPr>
      <w:r w:rsidRPr="002A0333">
        <w:t>(i)</w:t>
      </w:r>
      <w:r w:rsidRPr="002A0333">
        <w:tab/>
        <w:t>informacije, kot so določene v stolpcu 0080 predloge 17.01 Priloge I, za naslednje vrstice:</w:t>
      </w:r>
    </w:p>
    <w:p w14:paraId="38FC9781" w14:textId="77777777" w:rsidR="004A4E65" w:rsidRPr="002A0333" w:rsidRDefault="004A4E65" w:rsidP="004A4E65">
      <w:pPr>
        <w:pStyle w:val="Point3"/>
      </w:pPr>
      <w:r w:rsidRPr="002A0333">
        <w:t>–</w:t>
      </w:r>
      <w:r w:rsidRPr="002A0333">
        <w:tab/>
        <w:t>število dogodkov (novi dogodki) (vrstica 0910);</w:t>
      </w:r>
    </w:p>
    <w:p w14:paraId="4D4CF5FF" w14:textId="77777777" w:rsidR="004A4E65" w:rsidRPr="002A0333" w:rsidRDefault="004A4E65" w:rsidP="004A4E65">
      <w:pPr>
        <w:pStyle w:val="Point3"/>
      </w:pPr>
      <w:r w:rsidRPr="002A0333">
        <w:t>–</w:t>
      </w:r>
      <w:r w:rsidRPr="002A0333">
        <w:tab/>
        <w:t>bruto znesek izgube (novi dogodki) (vrstica 0920);</w:t>
      </w:r>
    </w:p>
    <w:p w14:paraId="1C861214" w14:textId="77777777" w:rsidR="004A4E65" w:rsidRPr="002A0333" w:rsidRDefault="004A4E65" w:rsidP="004A4E65">
      <w:pPr>
        <w:pStyle w:val="Point3"/>
      </w:pPr>
      <w:r w:rsidRPr="002A0333">
        <w:t>–</w:t>
      </w:r>
      <w:r w:rsidRPr="002A0333">
        <w:tab/>
        <w:t>število dogodkov, pri katerih se prilagodijo izgube (vrstica 0930);</w:t>
      </w:r>
    </w:p>
    <w:p w14:paraId="5E7045F5" w14:textId="77777777" w:rsidR="004A4E65" w:rsidRPr="002A0333" w:rsidRDefault="004A4E65" w:rsidP="004A4E65">
      <w:pPr>
        <w:pStyle w:val="Point3"/>
      </w:pPr>
      <w:r w:rsidRPr="002A0333">
        <w:t>–</w:t>
      </w:r>
      <w:r w:rsidRPr="002A0333">
        <w:tab/>
        <w:t>prilagoditve izgub, ki se nanašajo na prejšnja poročevalska obdobja (vrstica 0940);</w:t>
      </w:r>
    </w:p>
    <w:p w14:paraId="1438A6CB" w14:textId="77777777" w:rsidR="004A4E65" w:rsidRPr="002A0333" w:rsidRDefault="004A4E65" w:rsidP="004A4E65">
      <w:pPr>
        <w:pStyle w:val="Point3"/>
      </w:pPr>
      <w:r w:rsidRPr="002A0333">
        <w:t>–</w:t>
      </w:r>
      <w:r w:rsidRPr="002A0333">
        <w:tab/>
        <w:t xml:space="preserve">največja posamezna izguba (vrstica 0950); </w:t>
      </w:r>
    </w:p>
    <w:p w14:paraId="5C63649B" w14:textId="77777777" w:rsidR="004A4E65" w:rsidRPr="002A0333" w:rsidRDefault="004A4E65" w:rsidP="004A4E65">
      <w:pPr>
        <w:pStyle w:val="Point3"/>
      </w:pPr>
      <w:r w:rsidRPr="002A0333">
        <w:t>–</w:t>
      </w:r>
      <w:r w:rsidRPr="002A0333">
        <w:tab/>
        <w:t>vsota petih največjih izgub (vrstica 0960);</w:t>
      </w:r>
    </w:p>
    <w:p w14:paraId="6C176440" w14:textId="77777777" w:rsidR="004A4E65" w:rsidRPr="002A0333" w:rsidRDefault="004A4E65" w:rsidP="004A4E65">
      <w:pPr>
        <w:pStyle w:val="Point3"/>
      </w:pPr>
      <w:r w:rsidRPr="002A0333">
        <w:t>–</w:t>
      </w:r>
      <w:r w:rsidRPr="002A0333">
        <w:tab/>
        <w:t>povrnjena neposredna izguba skupaj (razen zavarovanja in drugih mehanizmov za prenos tveganja) (vrstica 0970);</w:t>
      </w:r>
    </w:p>
    <w:p w14:paraId="586DD233" w14:textId="77777777" w:rsidR="004A4E65" w:rsidRPr="002A0333" w:rsidRDefault="004A4E65" w:rsidP="004A4E65">
      <w:pPr>
        <w:pStyle w:val="Point3"/>
      </w:pPr>
      <w:r w:rsidRPr="002A0333">
        <w:t>–</w:t>
      </w:r>
      <w:r w:rsidRPr="002A0333">
        <w:tab/>
        <w:t xml:space="preserve">skupaj povrnjena sredstva iz zavarovanja in drugih mehanizmov za prenos tveganja (vrstica 0980); </w:t>
      </w:r>
    </w:p>
    <w:p w14:paraId="0825DE8D" w14:textId="77777777" w:rsidR="004A4E65" w:rsidRPr="002A0333" w:rsidRDefault="004A4E65" w:rsidP="004A4E65">
      <w:pPr>
        <w:pStyle w:val="Point2"/>
      </w:pPr>
      <w:r w:rsidRPr="002A0333">
        <w:t>(ii)</w:t>
      </w:r>
      <w:r w:rsidRPr="002A0333">
        <w:tab/>
        <w:t>informacije, kot so določene v predlogi 17.02 Priloge I;</w:t>
      </w:r>
    </w:p>
    <w:p w14:paraId="2FD7698B" w14:textId="77777777" w:rsidR="004A4E65" w:rsidRPr="002A0333" w:rsidRDefault="004A4E65" w:rsidP="004A4E65">
      <w:pPr>
        <w:pStyle w:val="Point1"/>
      </w:pPr>
      <w:r w:rsidRPr="002A0333">
        <w:t>(d)</w:t>
      </w:r>
      <w:r w:rsidRPr="002A0333">
        <w:tab/>
        <w:t>institucije iz točke (c) lahko poročajo popoln sklop informacij, določenih v predlogah 17.01 in 17.02 Priloge I, v skladu z navodili iz točke 4.2 dela II Priloge II;</w:t>
      </w:r>
    </w:p>
    <w:p w14:paraId="75F8B450" w14:textId="77777777" w:rsidR="004A4E65" w:rsidRPr="002A0333" w:rsidRDefault="004A4E65" w:rsidP="004A4E65">
      <w:pPr>
        <w:pStyle w:val="Point1"/>
      </w:pPr>
      <w:r w:rsidRPr="002A0333">
        <w:t>(e)</w:t>
      </w:r>
      <w:r w:rsidRPr="002A0333">
        <w:tab/>
        <w:t>velike institucije, ki izračunavajo kapitalske zahteve v zvezi z operativnim tveganjem v skladu s poglavjem 2 naslova III dela 3 Uredbe (EU) št. 575/2013, informacije, kot so določene v predlogah 17.01 in 17.02 Priloge I, poročajo v skladu z navodili iz točke 4.2 dela II Priloge II;</w:t>
      </w:r>
    </w:p>
    <w:p w14:paraId="612A5174" w14:textId="77777777" w:rsidR="004A4E65" w:rsidRPr="002A0333" w:rsidRDefault="004A4E65" w:rsidP="004A4E65">
      <w:pPr>
        <w:pStyle w:val="Point1"/>
      </w:pPr>
      <w:r w:rsidRPr="002A0333">
        <w:t>(f)</w:t>
      </w:r>
      <w:r w:rsidRPr="002A0333">
        <w:tab/>
        <w:t>institucije, ki niso velike institucije, ki izračunavajo kapitalske zahteve v zvezi z operativnim tveganjem v skladu s poglavjem 2 naslova III dela 3 Uredbe (EU) št. 575/2013, lahko poročajo informacije, kot so določene v predlogah 17.01 in 17.02 Priloge I, v skladu z navodili iz točke 4.2 dela II Priloge II.</w:t>
      </w:r>
    </w:p>
    <w:p w14:paraId="2F83BAAA" w14:textId="77777777" w:rsidR="004A4E65" w:rsidRPr="002A0333" w:rsidRDefault="004A4E65" w:rsidP="004A4E65">
      <w:pPr>
        <w:pStyle w:val="Text1"/>
      </w:pPr>
      <w:r w:rsidRPr="002A0333">
        <w:t>Uporabljajo se vstopna in izstopna merila iz člena 4(3).</w:t>
      </w:r>
    </w:p>
    <w:p w14:paraId="490166B3" w14:textId="6B9CD855" w:rsidR="00496B08" w:rsidRPr="002A0333" w:rsidRDefault="004A4E65" w:rsidP="004A4E65">
      <w:pPr>
        <w:pStyle w:val="NumPar1"/>
      </w:pPr>
      <w:r w:rsidRPr="002A0333">
        <w:t>Institucije, ki za izračun izpostavljenosti kreditnemu tveganju nasprotne stranke uporabljajo poenostavljeni standardizirani pristop ali metodo originalne izpostavljenosti v skladu z oddelkoma 4 in 5 poglavja 6 naslova II dela 3 Uredbe (EU) št. 575/2013, predložijo informacije o kreditnem tveganju nasprotne stranke, kot so določene v predlogi 34.06 Priloge I, v skladu z navodili iz točke 3.9.7 dela II Priloge II.</w:t>
      </w:r>
    </w:p>
    <w:p w14:paraId="6414DB48" w14:textId="77777777" w:rsidR="00FE0C02" w:rsidRPr="002A0333" w:rsidRDefault="00FE0C02" w:rsidP="00FE0C02">
      <w:pPr>
        <w:pStyle w:val="Titrearticle"/>
      </w:pPr>
      <w:r w:rsidRPr="002A0333">
        <w:lastRenderedPageBreak/>
        <w:t xml:space="preserve">Člen </w:t>
      </w:r>
      <w:r w:rsidR="004C5180">
        <w:fldChar w:fldCharType="begin"/>
      </w:r>
      <w:r w:rsidR="004C5180">
        <w:instrText xml:space="preserve"> seq article </w:instrText>
      </w:r>
      <w:r w:rsidR="004C5180">
        <w:fldChar w:fldCharType="separate"/>
      </w:r>
      <w:r w:rsidRPr="002A0333">
        <w:t>7</w:t>
      </w:r>
      <w:r w:rsidR="004C5180">
        <w:fldChar w:fldCharType="end"/>
      </w:r>
    </w:p>
    <w:p w14:paraId="0F2D57CA" w14:textId="77777777" w:rsidR="00FE0C02" w:rsidRPr="002A0333" w:rsidRDefault="00FE0C02" w:rsidP="00FE0C02">
      <w:pPr>
        <w:pStyle w:val="Titrearticle"/>
        <w:spacing w:before="120"/>
        <w:rPr>
          <w:b/>
          <w:i w:val="0"/>
        </w:rPr>
      </w:pPr>
      <w:r w:rsidRPr="002A0333">
        <w:rPr>
          <w:b/>
          <w:i w:val="0"/>
        </w:rPr>
        <w:t>Poročanje o kapitalu in kapitalskih zahtevah na konsolidirani podlagi</w:t>
      </w:r>
    </w:p>
    <w:p w14:paraId="598D92CF" w14:textId="77777777" w:rsidR="00FE0C02" w:rsidRPr="002A0333" w:rsidRDefault="00FE0C02" w:rsidP="00FE0C02">
      <w:pPr>
        <w:widowControl w:val="0"/>
        <w:autoSpaceDE w:val="0"/>
        <w:autoSpaceDN w:val="0"/>
        <w:spacing w:line="228" w:lineRule="auto"/>
      </w:pPr>
      <w:r w:rsidRPr="002A0333">
        <w:t>Za poročanje informacij o kapitalu in kapitalskih zahtevah v skladu s členom 430(1)(a) Uredbe (EU) št. 575/2013 na konsolidirani podlagi institucije predložijo informacije, določene v:</w:t>
      </w:r>
    </w:p>
    <w:p w14:paraId="2745F268" w14:textId="77777777" w:rsidR="00FE0C02" w:rsidRPr="002A0333" w:rsidRDefault="00FE0C02" w:rsidP="00FE0C02">
      <w:pPr>
        <w:pStyle w:val="Point1"/>
      </w:pPr>
      <w:r w:rsidRPr="002A0333">
        <w:t>(a)</w:t>
      </w:r>
      <w:r w:rsidRPr="002A0333">
        <w:tab/>
        <w:t>členih 5 in 6 te izvedbene uredbe, na konsolidirani podlagi tako pogosto, kot je določeno tam, in</w:t>
      </w:r>
    </w:p>
    <w:p w14:paraId="41714624" w14:textId="77777777" w:rsidR="00FE0C02" w:rsidRPr="002A0333" w:rsidRDefault="00FE0C02" w:rsidP="00FE0C02">
      <w:pPr>
        <w:pStyle w:val="Point1"/>
      </w:pPr>
      <w:r w:rsidRPr="002A0333">
        <w:t>(b)</w:t>
      </w:r>
      <w:r w:rsidRPr="002A0333">
        <w:tab/>
        <w:t>predlogi 6 Priloge I, v skladu z navodili iz točke 2 dela II Priloge II v zvezi s subjekti, vključenimi v obseg konsolidacije, vsake pol leta.</w:t>
      </w:r>
    </w:p>
    <w:p w14:paraId="319C9C0F" w14:textId="77777777" w:rsidR="00FE0C02" w:rsidRPr="002A0333" w:rsidRDefault="00FE0C02" w:rsidP="00FE0C02">
      <w:pPr>
        <w:pStyle w:val="Titrearticle"/>
      </w:pPr>
      <w:r w:rsidRPr="002A0333">
        <w:t>Člen 8</w:t>
      </w:r>
    </w:p>
    <w:p w14:paraId="601BC224" w14:textId="77777777" w:rsidR="00FE0C02" w:rsidRPr="002A0333" w:rsidRDefault="00FE0C02" w:rsidP="00FE0C02">
      <w:pPr>
        <w:pStyle w:val="Titrearticle"/>
        <w:rPr>
          <w:b/>
          <w:i w:val="0"/>
        </w:rPr>
      </w:pPr>
      <w:r w:rsidRPr="002A0333">
        <w:rPr>
          <w:b/>
          <w:i w:val="0"/>
        </w:rPr>
        <w:t>Poročanje o kapitalu in kapitalskih zahtevah – dodatne zahteve glede poročanja na posamični in konsolidirani podlagi</w:t>
      </w:r>
    </w:p>
    <w:p w14:paraId="23F3BEFD" w14:textId="596DDC34" w:rsidR="00FE0C02" w:rsidRPr="002A0333" w:rsidRDefault="00125634" w:rsidP="005F180D">
      <w:pPr>
        <w:pStyle w:val="NumPar1"/>
        <w:numPr>
          <w:ilvl w:val="0"/>
          <w:numId w:val="16"/>
        </w:numPr>
      </w:pPr>
      <w:r w:rsidRPr="002A0333">
        <w:t>Institucije, za katere velja zahteva po razkritju informacij iz člena 438(e) ali (h) ali člena 452(b), (g) ali (h) Uredbe (EU) št. 575/2013 s pogostostjo iz člena 433a oziroma 433c, kot je ustrezno, na posamični podlagi v skladu s členom 6 ali na konsolidirani podlagi v skladu s členom 13, kot je ustrezno, navedene uredbe, informacije o kreditnem tveganju in kreditnem tveganju nasprotne stranke, kot so določene v predlogah 8.3, 8.4, 8.5, 8.5.1, 8.6, 8.7 in 34.11 Priloge I k tej uredbi, poročajo enako pogosto in na enaki podlagi ob upoštevanju navodil iz točke 3.3 in 3.9.12 dela II Priloge II k tej uredbi.</w:t>
      </w:r>
    </w:p>
    <w:p w14:paraId="58F2B691" w14:textId="6662E4F8" w:rsidR="00FE0C02" w:rsidRPr="002A0333" w:rsidRDefault="00977656" w:rsidP="00FE0C02">
      <w:pPr>
        <w:pStyle w:val="NumPar1"/>
      </w:pPr>
      <w:r w:rsidRPr="002A0333">
        <w:t>Institucije, za katere velja zahteva po razkritju informacij iz člena 439(l) Uredbe (EU) št. 575/2013 s pogostostjo iz člena 433a oziroma 433c, kot je ustrezno, na posamični podlagi v skladu s členom 6 ali na konsolidirani podlagi v skladu s členom 13, kot je ustrezno, navedene uredbe, informacije o kreditnem tveganju nasprotne stranke, kot so določene v predlogi 34.07 Priloge I k tej uredbi, poročajo enako pogosto in na enaki podlagi ob upoštevanju navodil iz točke 3.9.8 dela II Priloge II k tej uredbi.</w:t>
      </w:r>
    </w:p>
    <w:p w14:paraId="7252BD87" w14:textId="77777777" w:rsidR="00FE0C02" w:rsidRPr="002A0333" w:rsidRDefault="00FE0C02" w:rsidP="00FE0C02">
      <w:pPr>
        <w:pStyle w:val="Titrearticle"/>
      </w:pPr>
      <w:r w:rsidRPr="002A0333">
        <w:t xml:space="preserve">Člen </w:t>
      </w:r>
      <w:r w:rsidR="004C5180">
        <w:fldChar w:fldCharType="begin"/>
      </w:r>
      <w:r w:rsidR="004C5180">
        <w:instrText xml:space="preserve"> seq article </w:instrText>
      </w:r>
      <w:r w:rsidR="004C5180">
        <w:fldChar w:fldCharType="separate"/>
      </w:r>
      <w:r w:rsidRPr="002A0333">
        <w:t>9</w:t>
      </w:r>
      <w:r w:rsidR="004C5180">
        <w:fldChar w:fldCharType="end"/>
      </w:r>
    </w:p>
    <w:p w14:paraId="6B3DD09D" w14:textId="77777777" w:rsidR="00FE0C02" w:rsidRPr="002A0333" w:rsidRDefault="00FE0C02" w:rsidP="00FE0C02">
      <w:pPr>
        <w:pStyle w:val="Titrearticle"/>
        <w:spacing w:before="120"/>
        <w:rPr>
          <w:b/>
          <w:i w:val="0"/>
        </w:rPr>
      </w:pPr>
      <w:r w:rsidRPr="002A0333">
        <w:rPr>
          <w:b/>
          <w:i w:val="0"/>
        </w:rPr>
        <w:t>Poročanje o kapitalu in kapitalskih zahtevah na posamični podlagi za investicijska podjetja, za katera se uporabljata člena 95 in 96 Uredbe (EU) št. 575/2013</w:t>
      </w:r>
    </w:p>
    <w:p w14:paraId="3D78F884" w14:textId="77777777" w:rsidR="00FE0C02" w:rsidRPr="002A0333" w:rsidRDefault="00FE0C02" w:rsidP="005F180D">
      <w:pPr>
        <w:pStyle w:val="NumPar1"/>
        <w:numPr>
          <w:ilvl w:val="0"/>
          <w:numId w:val="17"/>
        </w:numPr>
      </w:pPr>
      <w:r w:rsidRPr="002A0333">
        <w:t>Investicijska podjetja, ki uporabljajo prehodne določbe iz člena 57(3) Uredbe (EU) 2019/2033, predložijo informacije, kot je določeno v tem členu.</w:t>
      </w:r>
    </w:p>
    <w:p w14:paraId="64E2C5EE" w14:textId="77777777" w:rsidR="00FE0C02" w:rsidRPr="002A0333" w:rsidRDefault="00FE0C02" w:rsidP="00FE0C02">
      <w:pPr>
        <w:pStyle w:val="NumPar1"/>
      </w:pPr>
      <w:r w:rsidRPr="002A0333">
        <w:t>Za poročanje informacij o kapitalu in kapitalskih zahtevah v skladu s členom 430(1)(a) Uredbe (EU) št. 575/2013 na posamični podlagi, z izjemo informacij o količniku finančnega vzvoda, investicijska podjetja, ki uporabljajo člen 57(3) Uredbe (EU) 2019/2033 v povezavi s členom 95 Uredbe (EU) št. 575/2013, vsako četrtletje predložijo informacije iz predlog 1 do 5 Priloge I v skladu z navodili iz točke 1 dela II Priloge II.</w:t>
      </w:r>
    </w:p>
    <w:p w14:paraId="6AD01D77" w14:textId="77777777" w:rsidR="00FE0C02" w:rsidRPr="002A0333" w:rsidRDefault="00FE0C02" w:rsidP="00FE0C02">
      <w:pPr>
        <w:pStyle w:val="NumPar1"/>
      </w:pPr>
      <w:r w:rsidRPr="002A0333">
        <w:t xml:space="preserve">Za poročanje informacij o kapitalu in kapitalskih zahtevah v skladu s členom 430(1)(a) Uredbe (EU) št. 575/2013 na posamični podlagi investicijska podjetja, ki uporabljajo člen 57(3) Uredbe (EU) 2019/2033 v povezavi s členom 96 Uredbe (EU) </w:t>
      </w:r>
      <w:r w:rsidRPr="002A0333">
        <w:lastRenderedPageBreak/>
        <w:t>št. 575/2013, informacije iz člena 5(1) do (5) in (8) do (13) ter člena 6(2) te uredbe predložijo tako pogosto, kot je določeno v navedenih členih.</w:t>
      </w:r>
    </w:p>
    <w:p w14:paraId="4D074E8C" w14:textId="77777777" w:rsidR="00FE0C02" w:rsidRPr="002A0333" w:rsidRDefault="00FE0C02" w:rsidP="00FE0C02">
      <w:pPr>
        <w:pStyle w:val="Titrearticle"/>
      </w:pPr>
      <w:r w:rsidRPr="002A0333">
        <w:t xml:space="preserve">Člen </w:t>
      </w:r>
      <w:r w:rsidR="004C5180">
        <w:fldChar w:fldCharType="begin"/>
      </w:r>
      <w:r w:rsidR="004C5180">
        <w:instrText xml:space="preserve"> seq article </w:instrText>
      </w:r>
      <w:r w:rsidR="004C5180">
        <w:fldChar w:fldCharType="separate"/>
      </w:r>
      <w:r w:rsidRPr="002A0333">
        <w:t>10</w:t>
      </w:r>
      <w:r w:rsidR="004C5180">
        <w:fldChar w:fldCharType="end"/>
      </w:r>
    </w:p>
    <w:p w14:paraId="2C5D357D" w14:textId="77777777" w:rsidR="00FE0C02" w:rsidRPr="002A0333" w:rsidRDefault="00FE0C02" w:rsidP="00FE0C02">
      <w:pPr>
        <w:pStyle w:val="Titrearticle"/>
        <w:spacing w:before="120"/>
        <w:rPr>
          <w:b/>
          <w:i w:val="0"/>
        </w:rPr>
      </w:pPr>
      <w:r w:rsidRPr="002A0333">
        <w:rPr>
          <w:b/>
          <w:i w:val="0"/>
        </w:rPr>
        <w:t>Poročanje o kapitalu in kapitalskih zahtevah na konsolidirani podlagi za skupine, ki jih sestavljajo samo investicijska podjetja, za katera se uporabljata člena 95 in 96 Uredbe (EU) št. 575/2013</w:t>
      </w:r>
    </w:p>
    <w:p w14:paraId="0ED9D414" w14:textId="77777777" w:rsidR="00FE0C02" w:rsidRPr="002A0333" w:rsidRDefault="00FE0C02" w:rsidP="005F180D">
      <w:pPr>
        <w:pStyle w:val="NumPar1"/>
        <w:numPr>
          <w:ilvl w:val="0"/>
          <w:numId w:val="18"/>
        </w:numPr>
      </w:pPr>
      <w:r w:rsidRPr="002A0333">
        <w:t>Investicijska podjetja, ki uporabljajo prehodne določbe iz člena 57(3) Uredbe (EU) 2019/2033, predložijo informacije, kot je določeno v tem členu.</w:t>
      </w:r>
    </w:p>
    <w:p w14:paraId="55A9CAAC" w14:textId="77777777" w:rsidR="00FE0C02" w:rsidRPr="002A0333" w:rsidRDefault="00FE0C02" w:rsidP="00FE0C02">
      <w:pPr>
        <w:pStyle w:val="NumPar1"/>
      </w:pPr>
      <w:r w:rsidRPr="002A0333">
        <w:t>Za poročanje informacij o kapitalu in kapitalskih zahtevah v skladu s členom 430(1)(a) Uredbe (EU) št. 575/2013 na konsolidirani podlagi, z izjemo informacij o količniku finančnega vzvoda, investicijska podjetja skupin, ki jih sestavljajo samo investicijska podjetja, ki uporabljajo člen 57(3) Uredbe (EU) 2019/2033 v povezavi s členom 95 Uredbe (EU) št. 575/2013, predložijo naslednje informacije na konsolidirani podlagi:</w:t>
      </w:r>
    </w:p>
    <w:p w14:paraId="6DD1064B" w14:textId="77777777" w:rsidR="00FE0C02" w:rsidRPr="002A0333" w:rsidRDefault="00FE0C02" w:rsidP="00FE0C02">
      <w:pPr>
        <w:pStyle w:val="Point1"/>
      </w:pPr>
      <w:r w:rsidRPr="002A0333">
        <w:t>(a)</w:t>
      </w:r>
      <w:r w:rsidRPr="002A0333">
        <w:tab/>
        <w:t>vsako četrtletje informacije o kapitalu in kapitalskih zahtevah, kot so določene v predlogah 1 do 5 Priloge I, v skladu z navodili iz točke 1 dela II Priloge II;</w:t>
      </w:r>
    </w:p>
    <w:p w14:paraId="06EB54F9" w14:textId="77777777" w:rsidR="00FE0C02" w:rsidRPr="002A0333" w:rsidRDefault="00FE0C02" w:rsidP="00FE0C02">
      <w:pPr>
        <w:pStyle w:val="Point1"/>
      </w:pPr>
      <w:r w:rsidRPr="002A0333">
        <w:t>(b)</w:t>
      </w:r>
      <w:r w:rsidRPr="002A0333">
        <w:tab/>
        <w:t>vsake pol leta informacije o kapitalu in kapitalskih zahtevah v zvezi s subjekti, vključenimi v obseg konsolidacije, kot so določene v predlogi 6 Priloge I, v skladu z navodili iz točke 2 dela II Priloge II.</w:t>
      </w:r>
    </w:p>
    <w:p w14:paraId="0D279353" w14:textId="61576F44" w:rsidR="00FE0C02" w:rsidRPr="002A0333" w:rsidRDefault="00FE0C02" w:rsidP="00FE0C02">
      <w:pPr>
        <w:pStyle w:val="NumPar1"/>
      </w:pPr>
      <w:r w:rsidRPr="002A0333">
        <w:t>Za poročanje informacij o kapitalu in kapitalskih zahtevah v skladu s členom 430(1)(a) Uredbe (EU) št. 575/2013 na konsolidirani podlagi investicijska podjetja skupin, ki jih sestavljajo samo investicijska podjetja, za katera se uporablja člen 95, in investicijska podjetja, za katera se uporablja člen 96, ali skupin, ki jih sestavljajo samo investicijska podjetja, ki uporabljajo člen 57(3) Uredbe (EU) 2019/2033 v povezavi s členom 96 Uredbe (EU) št. 575/2013, predložijo naslednje informacije na konsolidirani podlagi:</w:t>
      </w:r>
    </w:p>
    <w:p w14:paraId="424B99D7" w14:textId="77777777" w:rsidR="00FE0C02" w:rsidRPr="002A0333" w:rsidRDefault="00FE0C02" w:rsidP="00FE0C02">
      <w:pPr>
        <w:pStyle w:val="Point1"/>
      </w:pPr>
      <w:r w:rsidRPr="002A0333">
        <w:t>(a)</w:t>
      </w:r>
      <w:r w:rsidRPr="002A0333">
        <w:tab/>
        <w:t>informacije iz člena 5(1) do (5) in (8) do (13) ter člena 6(2) te uredbe tako pogosto, kot je določeno v navedenih členih;</w:t>
      </w:r>
    </w:p>
    <w:p w14:paraId="695999E8" w14:textId="77777777" w:rsidR="00FE0C02" w:rsidRPr="002A0333" w:rsidRDefault="00FE0C02" w:rsidP="00FE0C02">
      <w:pPr>
        <w:pStyle w:val="Point1"/>
      </w:pPr>
      <w:r w:rsidRPr="002A0333">
        <w:t>(b)</w:t>
      </w:r>
      <w:r w:rsidRPr="002A0333">
        <w:tab/>
        <w:t>vsake pol leta informacije v zvezi s subjekti, vključenimi v obseg konsolidacije, kot so določene v predlogi 6 Priloge I, v skladu z navodili iz točke 2 dela II Priloge II.</w:t>
      </w:r>
    </w:p>
    <w:p w14:paraId="2D723A17" w14:textId="77777777" w:rsidR="00FE0C02" w:rsidRPr="002A0333" w:rsidRDefault="00FE0C02" w:rsidP="00FE0C02">
      <w:pPr>
        <w:pStyle w:val="Titrearticle"/>
      </w:pPr>
      <w:r w:rsidRPr="002A0333">
        <w:t xml:space="preserve">Člen </w:t>
      </w:r>
      <w:r w:rsidR="004C5180">
        <w:fldChar w:fldCharType="begin"/>
      </w:r>
      <w:r w:rsidR="004C5180">
        <w:instrText xml:space="preserve"> seq article </w:instrText>
      </w:r>
      <w:r w:rsidR="004C5180">
        <w:fldChar w:fldCharType="separate"/>
      </w:r>
      <w:r w:rsidRPr="002A0333">
        <w:t>11</w:t>
      </w:r>
      <w:r w:rsidR="004C5180">
        <w:fldChar w:fldCharType="end"/>
      </w:r>
    </w:p>
    <w:p w14:paraId="122B51E9" w14:textId="77777777" w:rsidR="00FE0C02" w:rsidRPr="002A0333" w:rsidRDefault="00FE0C02" w:rsidP="00FE0C02">
      <w:pPr>
        <w:pStyle w:val="Titrearticle"/>
        <w:spacing w:before="120"/>
        <w:rPr>
          <w:b/>
          <w:i w:val="0"/>
        </w:rPr>
      </w:pPr>
      <w:r w:rsidRPr="002A0333">
        <w:rPr>
          <w:b/>
          <w:i w:val="0"/>
        </w:rPr>
        <w:t>Poročanje o finančnih informacijah na konsolidirani podlagi za institucije, za katere velja Uredba (ES) št. 1606/2002 Evropskega parlamenta in Sveta</w:t>
      </w:r>
      <w:r w:rsidRPr="002A0333">
        <w:rPr>
          <w:rStyle w:val="FootnoteReference"/>
          <w:b/>
          <w:i w:val="0"/>
        </w:rPr>
        <w:footnoteReference w:id="10"/>
      </w:r>
      <w:r w:rsidRPr="002A0333">
        <w:rPr>
          <w:b/>
          <w:i w:val="0"/>
        </w:rPr>
        <w:t xml:space="preserve"> </w:t>
      </w:r>
    </w:p>
    <w:p w14:paraId="22F20B0C" w14:textId="77777777" w:rsidR="00FE0C02" w:rsidRPr="002A0333" w:rsidRDefault="00FE0C02" w:rsidP="005F180D">
      <w:pPr>
        <w:pStyle w:val="NumPar1"/>
        <w:numPr>
          <w:ilvl w:val="0"/>
          <w:numId w:val="19"/>
        </w:numPr>
      </w:pPr>
      <w:r w:rsidRPr="002A0333">
        <w:t xml:space="preserve">Za poročanje finančnih informacij na konsolidirani podlagi v skladu s členom 430(3) ali (4) Uredbe (EU) št. 575/2013 institucije predložijo informacije, kot so določene v Prilogi III, na konsolidirani podlagi v skladu z navodili iz Priloge V. </w:t>
      </w:r>
    </w:p>
    <w:p w14:paraId="3A9E9610" w14:textId="77777777" w:rsidR="00FE0C02" w:rsidRPr="002A0333" w:rsidRDefault="00FE0C02" w:rsidP="00FE0C02">
      <w:pPr>
        <w:pStyle w:val="NumPar1"/>
        <w:numPr>
          <w:ilvl w:val="0"/>
          <w:numId w:val="10"/>
        </w:numPr>
      </w:pPr>
      <w:r w:rsidRPr="002A0333">
        <w:t>Informacije iz odstavka 1 se predložijo, kot sledi:</w:t>
      </w:r>
    </w:p>
    <w:p w14:paraId="70EFC152" w14:textId="77777777" w:rsidR="00FE0C02" w:rsidRPr="002A0333" w:rsidRDefault="00FE0C02" w:rsidP="00FE0C02">
      <w:pPr>
        <w:pStyle w:val="Point1"/>
      </w:pPr>
      <w:r w:rsidRPr="002A0333">
        <w:t>(a)</w:t>
      </w:r>
      <w:r w:rsidRPr="002A0333">
        <w:tab/>
        <w:t>vsako četrtletje informacije, določene v delu 1 Priloge III;</w:t>
      </w:r>
    </w:p>
    <w:p w14:paraId="38D85B01" w14:textId="77777777" w:rsidR="00FE0C02" w:rsidRPr="002A0333" w:rsidRDefault="00FE0C02" w:rsidP="00FE0C02">
      <w:pPr>
        <w:pStyle w:val="Point1"/>
      </w:pPr>
      <w:r w:rsidRPr="002A0333">
        <w:t>(b)</w:t>
      </w:r>
      <w:r w:rsidRPr="002A0333">
        <w:tab/>
        <w:t>vsake pol leta informacije, določene v delu 3 Priloge III;</w:t>
      </w:r>
    </w:p>
    <w:p w14:paraId="5F2804B6" w14:textId="77777777" w:rsidR="00FE0C02" w:rsidRPr="002A0333" w:rsidRDefault="00FE0C02" w:rsidP="00FE0C02">
      <w:pPr>
        <w:pStyle w:val="Point1"/>
      </w:pPr>
      <w:r w:rsidRPr="002A0333">
        <w:lastRenderedPageBreak/>
        <w:t>(c)</w:t>
      </w:r>
      <w:r w:rsidRPr="002A0333">
        <w:tab/>
        <w:t>vsako leto informacije, določene v delu 4 Priloge III, z izjemo informacij, določenih v predlogi 47;</w:t>
      </w:r>
    </w:p>
    <w:p w14:paraId="1D49A1AC" w14:textId="77777777" w:rsidR="00FE0C02" w:rsidRPr="002A0333" w:rsidRDefault="00FE0C02" w:rsidP="00FE0C02">
      <w:pPr>
        <w:pStyle w:val="Point1"/>
      </w:pPr>
      <w:r w:rsidRPr="002A0333">
        <w:t>(d)</w:t>
      </w:r>
      <w:r w:rsidRPr="002A0333">
        <w:tab/>
        <w:t>vsako četrtletje informacije, določene v predlogi 20 dela 2 Priloge III, če institucija preseže prag iz drugega pododstavka člena 5(5);</w:t>
      </w:r>
    </w:p>
    <w:p w14:paraId="2CCBF803" w14:textId="77777777" w:rsidR="00FE0C02" w:rsidRPr="002A0333" w:rsidRDefault="00FE0C02" w:rsidP="00FE0C02">
      <w:pPr>
        <w:pStyle w:val="Point1"/>
      </w:pPr>
      <w:r w:rsidRPr="002A0333">
        <w:t>(e)</w:t>
      </w:r>
      <w:r w:rsidRPr="002A0333">
        <w:tab/>
        <w:t>vsako četrtletje informacije, določene v predlogi 21 dela 2 Priloge III, če predstavljajo opredmetena sredstva, ki so predmet poslovnega najema, 10 % ali več skupnih opredmetenih sredstev, kot se poročajo v skladu s predlogo 1.1 dela 1 Priloge III;</w:t>
      </w:r>
    </w:p>
    <w:p w14:paraId="27F64B3B" w14:textId="77777777" w:rsidR="00FE0C02" w:rsidRPr="002A0333" w:rsidRDefault="00FE0C02" w:rsidP="00FE0C02">
      <w:pPr>
        <w:pStyle w:val="Point1"/>
      </w:pPr>
      <w:r w:rsidRPr="002A0333">
        <w:t>(f)</w:t>
      </w:r>
      <w:r w:rsidRPr="002A0333">
        <w:tab/>
        <w:t>vsako četrtletje informacije, določene v predlogi 22 dela 2 Priloge III, če so neto prihodki iz naslova provizij in opravnin enaki ali višji od 10 % vsote neto prihodkov iz naslova provizij in opravnin ter čistih prihodkov od obresti, kot se poročajo v skladu s predlogo 2 dela 1 Priloge III;</w:t>
      </w:r>
    </w:p>
    <w:p w14:paraId="2EB0DC7E" w14:textId="77777777" w:rsidR="00FE0C02" w:rsidRPr="002A0333" w:rsidRDefault="00FE0C02" w:rsidP="00FE0C02">
      <w:pPr>
        <w:pStyle w:val="Point1"/>
      </w:pPr>
      <w:r w:rsidRPr="002A0333">
        <w:t>(g)</w:t>
      </w:r>
      <w:r w:rsidRPr="002A0333">
        <w:tab/>
        <w:t>vsako četrtletje informacije, določene v predlogah 23 do 26 dela 2 Priloge III, če sta izpolnjena oba naslednja pogoja:</w:t>
      </w:r>
    </w:p>
    <w:p w14:paraId="5207A13E" w14:textId="77777777" w:rsidR="00FE0C02" w:rsidRPr="002A0333" w:rsidRDefault="00FE0C02" w:rsidP="00FE0C02">
      <w:pPr>
        <w:pStyle w:val="Point2"/>
      </w:pPr>
      <w:r w:rsidRPr="002A0333">
        <w:t>(i)</w:t>
      </w:r>
      <w:r w:rsidRPr="002A0333">
        <w:tab/>
        <w:t>institucija ni majhna in nekompleksna institucija;</w:t>
      </w:r>
    </w:p>
    <w:p w14:paraId="09C1AEB4" w14:textId="33C5BDBB" w:rsidR="00FE0C02" w:rsidRPr="002A0333" w:rsidRDefault="00FE0C02" w:rsidP="00FE0C02">
      <w:pPr>
        <w:pStyle w:val="Point2"/>
      </w:pPr>
      <w:r w:rsidRPr="002A0333">
        <w:t>(ii)</w:t>
      </w:r>
      <w:r w:rsidRPr="002A0333">
        <w:tab/>
        <w:t xml:space="preserve">razmerje med bruto knjigovodsko vrednostjo kreditov in drugih finančnih sredstev, ki spadajo pod člen 47a(3) Uredbe (EU) št. 575/2013, in skupno bruto knjigovodsko vrednostjo kreditov in drugih finančnih sredstev, ki spadajo pod člen 47a(1) navedene uredbe, je enako ali večje od 5 %; </w:t>
      </w:r>
    </w:p>
    <w:p w14:paraId="6657E76F" w14:textId="77777777" w:rsidR="00FE0C02" w:rsidRPr="002A0333" w:rsidRDefault="00FE0C02" w:rsidP="00FE0C02">
      <w:pPr>
        <w:pStyle w:val="Point1"/>
      </w:pPr>
      <w:r w:rsidRPr="002A0333">
        <w:t xml:space="preserve"> (h)</w:t>
      </w:r>
      <w:r w:rsidRPr="002A0333">
        <w:tab/>
        <w:t>vsako leto informacije iz predloge 47 dela 4 Priloge III, če sta izpolnjena oba pogoja iz točke (g) tega odstavka.</w:t>
      </w:r>
    </w:p>
    <w:p w14:paraId="5556886E" w14:textId="77777777" w:rsidR="00FE0C02" w:rsidRPr="002A0333" w:rsidRDefault="00FE0C02" w:rsidP="00FE0C02">
      <w:pPr>
        <w:pStyle w:val="Point1"/>
      </w:pPr>
      <w:r w:rsidRPr="002A0333">
        <w:t>Za namene točke (g)(ii) razmerje tako v imenovalcu kot v števcu ne vključuje kreditov in drugih finančnih sredstev, razvrščenih kot v posesti za prodajo, stanj denarnih sredstev v centralnih bankah in drugih vlog na vpogled.</w:t>
      </w:r>
    </w:p>
    <w:p w14:paraId="73BCCE82" w14:textId="77777777" w:rsidR="00FE0C02" w:rsidRPr="002A0333" w:rsidRDefault="00FE0C02" w:rsidP="00FE0C02">
      <w:pPr>
        <w:pStyle w:val="Point1"/>
      </w:pPr>
      <w:r w:rsidRPr="002A0333">
        <w:t xml:space="preserve">Za namene točk (d) do (h) tega odstavka se uporabljajo vstopna in izstopna merila iz člena 4(3). </w:t>
      </w:r>
    </w:p>
    <w:p w14:paraId="2D4B364E" w14:textId="77777777" w:rsidR="00FE0C02" w:rsidRPr="002A0333" w:rsidRDefault="00FE0C02" w:rsidP="00FE0C02">
      <w:pPr>
        <w:pStyle w:val="Titrearticle"/>
      </w:pPr>
      <w:r w:rsidRPr="002A0333">
        <w:t xml:space="preserve">Člen </w:t>
      </w:r>
      <w:r w:rsidR="004C5180">
        <w:fldChar w:fldCharType="begin"/>
      </w:r>
      <w:r w:rsidR="004C5180">
        <w:instrText xml:space="preserve"> seq article </w:instrText>
      </w:r>
      <w:r w:rsidR="004C5180">
        <w:fldChar w:fldCharType="separate"/>
      </w:r>
      <w:r w:rsidRPr="002A0333">
        <w:t>12</w:t>
      </w:r>
      <w:r w:rsidR="004C5180">
        <w:fldChar w:fldCharType="end"/>
      </w:r>
    </w:p>
    <w:p w14:paraId="396F2986" w14:textId="77777777" w:rsidR="00FE0C02" w:rsidRPr="002A0333" w:rsidRDefault="00FE0C02" w:rsidP="00FE0C02">
      <w:pPr>
        <w:pStyle w:val="Titrearticle"/>
        <w:spacing w:before="120"/>
        <w:rPr>
          <w:b/>
          <w:i w:val="0"/>
        </w:rPr>
      </w:pPr>
      <w:r w:rsidRPr="002A0333">
        <w:rPr>
          <w:b/>
          <w:i w:val="0"/>
        </w:rPr>
        <w:t xml:space="preserve">Poročanje o finančnih informacijah na konsolidirani podlagi za institucije, ki uporabljajo nacionalne računovodske okvire </w:t>
      </w:r>
    </w:p>
    <w:p w14:paraId="7898D5B0" w14:textId="77777777" w:rsidR="00FE0C02" w:rsidRPr="002A0333" w:rsidRDefault="00FE0C02" w:rsidP="005F180D">
      <w:pPr>
        <w:pStyle w:val="NumPar1"/>
        <w:numPr>
          <w:ilvl w:val="0"/>
          <w:numId w:val="20"/>
        </w:numPr>
      </w:pPr>
      <w:r w:rsidRPr="002A0333">
        <w:t>Če je pristojni organ razširil zahteve glede poročanja o finančnih informacijah na institucije s sedežem v državi članici v skladu s členom 430(9) Uredbe (EU) št. 575/2013, institucije predložijo informacije, kot so določene v Prilogi IV k tej uredbi, na konsolidirani podlagi v skladu z navodili iz Priloge V k tej uredbi.</w:t>
      </w:r>
    </w:p>
    <w:p w14:paraId="1A4AC33E" w14:textId="77777777" w:rsidR="00FE0C02" w:rsidRPr="002A0333" w:rsidRDefault="00FE0C02" w:rsidP="00FE0C02">
      <w:pPr>
        <w:pStyle w:val="NumPar1"/>
        <w:numPr>
          <w:ilvl w:val="0"/>
          <w:numId w:val="10"/>
        </w:numPr>
      </w:pPr>
      <w:r w:rsidRPr="002A0333">
        <w:t>Informacije iz odstavka 1 se predložijo, kot sledi:</w:t>
      </w:r>
    </w:p>
    <w:p w14:paraId="4130D034" w14:textId="77777777" w:rsidR="00FE0C02" w:rsidRPr="002A0333" w:rsidRDefault="00FE0C02" w:rsidP="00FE0C02">
      <w:pPr>
        <w:pStyle w:val="Point1"/>
      </w:pPr>
      <w:r w:rsidRPr="002A0333">
        <w:t>(a)</w:t>
      </w:r>
      <w:r w:rsidRPr="002A0333">
        <w:tab/>
        <w:t>vsako četrtletje informacije, določene v delu 1 Priloge IV;</w:t>
      </w:r>
    </w:p>
    <w:p w14:paraId="08B03AF4" w14:textId="77777777" w:rsidR="00FE0C02" w:rsidRPr="002A0333" w:rsidRDefault="00FE0C02" w:rsidP="00FE0C02">
      <w:pPr>
        <w:pStyle w:val="Point1"/>
      </w:pPr>
      <w:r w:rsidRPr="002A0333">
        <w:t>(b)</w:t>
      </w:r>
      <w:r w:rsidRPr="002A0333">
        <w:tab/>
        <w:t>vsake pol leta informacije, določene v delu 3 Priloge IV;</w:t>
      </w:r>
    </w:p>
    <w:p w14:paraId="6BD250DE" w14:textId="77777777" w:rsidR="00FE0C02" w:rsidRPr="002A0333" w:rsidRDefault="00FE0C02" w:rsidP="00FE0C02">
      <w:pPr>
        <w:pStyle w:val="Point1"/>
      </w:pPr>
      <w:r w:rsidRPr="002A0333">
        <w:t>(c)</w:t>
      </w:r>
      <w:r w:rsidRPr="002A0333">
        <w:tab/>
        <w:t>vsako leto informacije, določene v delu 4 Priloge IV, z izjemo informacij, določenih v predlogi 47;</w:t>
      </w:r>
    </w:p>
    <w:p w14:paraId="7E75579F" w14:textId="77777777" w:rsidR="00FE0C02" w:rsidRPr="002A0333" w:rsidRDefault="00FE0C02" w:rsidP="00FE0C02">
      <w:pPr>
        <w:pStyle w:val="Point1"/>
      </w:pPr>
      <w:r w:rsidRPr="002A0333">
        <w:t>(d)</w:t>
      </w:r>
      <w:r w:rsidRPr="002A0333">
        <w:tab/>
        <w:t>vsako četrtletje informacije, določene v predlogi 20 dela 2 Priloge IV, če institucija preseže prag iz drugega pododstavka člena 5(5);</w:t>
      </w:r>
    </w:p>
    <w:p w14:paraId="76AF5C14" w14:textId="77777777" w:rsidR="00FE0C02" w:rsidRPr="002A0333" w:rsidRDefault="00FE0C02" w:rsidP="00FE0C02">
      <w:pPr>
        <w:pStyle w:val="Point1"/>
      </w:pPr>
      <w:r w:rsidRPr="002A0333">
        <w:t>(e)</w:t>
      </w:r>
      <w:r w:rsidRPr="002A0333">
        <w:tab/>
        <w:t xml:space="preserve">vsako četrtletje informacije, določene v predlogi 21 dela 2 Priloge IV, če predstavljajo opredmetena sredstva, ki so predmet poslovnega najema, 10 % ali </w:t>
      </w:r>
      <w:r w:rsidRPr="002A0333">
        <w:lastRenderedPageBreak/>
        <w:t>več skupnih opredmetenih sredstev, kot se poročajo v skladu s predlogo 1.1 dela 1 Priloge IV;</w:t>
      </w:r>
    </w:p>
    <w:p w14:paraId="406C6C11" w14:textId="77777777" w:rsidR="00FE0C02" w:rsidRPr="002A0333" w:rsidRDefault="00FE0C02" w:rsidP="00FE0C02">
      <w:pPr>
        <w:pStyle w:val="Point1"/>
      </w:pPr>
      <w:r w:rsidRPr="002A0333">
        <w:t>(f)</w:t>
      </w:r>
      <w:r w:rsidRPr="002A0333">
        <w:tab/>
        <w:t>vsako četrtletje informacije, določene v predlogi 22 dela 2 Priloge IV, če so neto prihodki iz naslova provizij in opravnin enaki ali višji od 10 % vsote neto prihodkov iz naslova provizij in opravnin ter čistih prihodkov od obresti, kot se poročajo v skladu s predlogo 2 dela 1 Priloge IV;</w:t>
      </w:r>
    </w:p>
    <w:p w14:paraId="1A7AAB4F" w14:textId="77777777" w:rsidR="00FE0C02" w:rsidRPr="002A0333" w:rsidRDefault="00FE0C02" w:rsidP="00FE0C02">
      <w:pPr>
        <w:pStyle w:val="Point1"/>
      </w:pPr>
      <w:r w:rsidRPr="002A0333">
        <w:t>(g)</w:t>
      </w:r>
      <w:r w:rsidRPr="002A0333">
        <w:tab/>
        <w:t>vsako četrtletje informacije, določene v predlogah 23 do 26 dela 2 Priloge IV, če sta izpolnjena oba naslednja pogoja:</w:t>
      </w:r>
    </w:p>
    <w:p w14:paraId="6F0AB516" w14:textId="77777777" w:rsidR="00FE0C02" w:rsidRPr="002A0333" w:rsidRDefault="00FE0C02" w:rsidP="00FE0C02">
      <w:pPr>
        <w:pStyle w:val="Point2"/>
      </w:pPr>
      <w:r w:rsidRPr="002A0333">
        <w:t>(i)</w:t>
      </w:r>
      <w:r w:rsidRPr="002A0333">
        <w:tab/>
        <w:t>institucija ni majhna in nekompleksna;</w:t>
      </w:r>
    </w:p>
    <w:p w14:paraId="08D20076" w14:textId="77777777" w:rsidR="00FE0C02" w:rsidRPr="002A0333" w:rsidRDefault="00FE0C02" w:rsidP="00FE0C02">
      <w:pPr>
        <w:pStyle w:val="Point1"/>
        <w:ind w:firstLine="0"/>
      </w:pPr>
      <w:r w:rsidRPr="002A0333">
        <w:t>(ii)</w:t>
      </w:r>
      <w:r w:rsidRPr="002A0333">
        <w:tab/>
        <w:t xml:space="preserve">razmerje institucije, kot je določeno v členu 11(2)(g)(ii), je enako ali večje od 5 %;  </w:t>
      </w:r>
    </w:p>
    <w:p w14:paraId="7B685EE5" w14:textId="77777777" w:rsidR="00FE0C02" w:rsidRPr="002A0333" w:rsidRDefault="00FE0C02" w:rsidP="00FE0C02">
      <w:pPr>
        <w:pStyle w:val="Point1"/>
      </w:pPr>
      <w:r w:rsidRPr="002A0333">
        <w:t>(h)</w:t>
      </w:r>
      <w:r w:rsidRPr="002A0333">
        <w:tab/>
        <w:t xml:space="preserve">vsako leto informacije iz predloge 47 dela 4 Priloge IV, če sta izpolnjena oba pogoja iz točke (g) tega odstavka. </w:t>
      </w:r>
    </w:p>
    <w:p w14:paraId="6E0D6196" w14:textId="77777777" w:rsidR="00FE0C02" w:rsidRPr="002A0333" w:rsidRDefault="00FE0C02" w:rsidP="00FE0C02">
      <w:pPr>
        <w:pStyle w:val="Point1"/>
      </w:pPr>
      <w:r w:rsidRPr="002A0333">
        <w:t xml:space="preserve">Za namene točk (d) do (h) tega odstavka se uporabljajo vstopna in izstopna merila iz člena 4(3). </w:t>
      </w:r>
    </w:p>
    <w:p w14:paraId="1265B500" w14:textId="77777777" w:rsidR="00FE0C02" w:rsidRPr="002A0333" w:rsidRDefault="00FE0C02" w:rsidP="00FE0C02">
      <w:pPr>
        <w:pStyle w:val="Titrearticle"/>
      </w:pPr>
      <w:r w:rsidRPr="002A0333">
        <w:t xml:space="preserve">Člen </w:t>
      </w:r>
      <w:r w:rsidR="004C5180">
        <w:fldChar w:fldCharType="begin"/>
      </w:r>
      <w:r w:rsidR="004C5180">
        <w:instrText xml:space="preserve"> seq article </w:instrText>
      </w:r>
      <w:r w:rsidR="004C5180">
        <w:fldChar w:fldCharType="separate"/>
      </w:r>
      <w:r w:rsidRPr="002A0333">
        <w:t>13</w:t>
      </w:r>
      <w:r w:rsidR="004C5180">
        <w:fldChar w:fldCharType="end"/>
      </w:r>
    </w:p>
    <w:p w14:paraId="62DD7E11" w14:textId="77777777" w:rsidR="00FE0C02" w:rsidRPr="002A0333" w:rsidRDefault="00FE0C02" w:rsidP="00FE0C02">
      <w:pPr>
        <w:pStyle w:val="Text1"/>
      </w:pPr>
      <w:r w:rsidRPr="002A0333">
        <w:rPr>
          <w:b/>
        </w:rPr>
        <w:t>Poročanje o izgubah iz naslova kreditov, zavarovanih z nepremičninami, na posamični in konsolidirani podlagi v skladu s členom 430a(1) Uredbe (EU) št. 575/2013</w:t>
      </w:r>
    </w:p>
    <w:p w14:paraId="663A2D70" w14:textId="77777777" w:rsidR="00FE0C02" w:rsidRPr="002A0333" w:rsidRDefault="00FE0C02" w:rsidP="005F180D">
      <w:pPr>
        <w:pStyle w:val="NumPar1"/>
        <w:numPr>
          <w:ilvl w:val="0"/>
          <w:numId w:val="21"/>
        </w:numPr>
      </w:pPr>
      <w:r w:rsidRPr="002A0333">
        <w:t>Institucije vsako leto na konsolidirani podlagi predložijo informacije, kot so določene v Prilogi VI, v skladu z navodili iz Priloge VII.</w:t>
      </w:r>
    </w:p>
    <w:p w14:paraId="60EE04AB" w14:textId="77777777" w:rsidR="00FE0C02" w:rsidRPr="002A0333" w:rsidRDefault="00FE0C02" w:rsidP="00FE0C02">
      <w:pPr>
        <w:pStyle w:val="NumPar1"/>
        <w:numPr>
          <w:ilvl w:val="0"/>
          <w:numId w:val="10"/>
        </w:numPr>
      </w:pPr>
      <w:r w:rsidRPr="002A0333">
        <w:t>Institucije vsako leto na posamični podlagi predložijo informacije, kot so določene v Prilogi VI, v skladu z navodili iz Priloge VII.</w:t>
      </w:r>
    </w:p>
    <w:p w14:paraId="2635EBF0" w14:textId="77777777" w:rsidR="00FE0C02" w:rsidRPr="002A0333" w:rsidRDefault="00FE0C02" w:rsidP="00FE0C02">
      <w:pPr>
        <w:pStyle w:val="NumPar1"/>
        <w:numPr>
          <w:ilvl w:val="0"/>
          <w:numId w:val="10"/>
        </w:numPr>
      </w:pPr>
      <w:r w:rsidRPr="002A0333">
        <w:t>Če ima institucija podružnico v drugi državi članici, ta podružnica pristojnemu organu države članice gostiteljice vsako leto predloži informacije, določene v Prilogi VI, v zvezi s to podružnico v skladu z navodili iz Priloge VII.</w:t>
      </w:r>
    </w:p>
    <w:p w14:paraId="7DA92B87" w14:textId="77777777" w:rsidR="00FE0C02" w:rsidRPr="002A0333" w:rsidRDefault="00FE0C02" w:rsidP="00FE0C02">
      <w:pPr>
        <w:pStyle w:val="Titrearticle"/>
      </w:pPr>
      <w:r w:rsidRPr="002A0333">
        <w:t>Člen 14</w:t>
      </w:r>
    </w:p>
    <w:p w14:paraId="5DF7D5F9" w14:textId="77777777" w:rsidR="00FE0C02" w:rsidRPr="002A0333" w:rsidRDefault="00FE0C02" w:rsidP="00FE0C02">
      <w:pPr>
        <w:pStyle w:val="Titrearticle"/>
        <w:spacing w:before="120"/>
        <w:rPr>
          <w:b/>
          <w:i w:val="0"/>
        </w:rPr>
      </w:pPr>
      <w:r w:rsidRPr="002A0333">
        <w:rPr>
          <w:b/>
          <w:i w:val="0"/>
        </w:rPr>
        <w:t>Poročanje o velikih izpostavljenostih na posamični in konsolidirani podlagi</w:t>
      </w:r>
    </w:p>
    <w:p w14:paraId="07D89C15" w14:textId="77777777" w:rsidR="00FE0C02" w:rsidRPr="002A0333" w:rsidRDefault="00FE0C02" w:rsidP="005F180D">
      <w:pPr>
        <w:pStyle w:val="NumPar1"/>
        <w:numPr>
          <w:ilvl w:val="0"/>
          <w:numId w:val="22"/>
        </w:numPr>
      </w:pPr>
      <w:r w:rsidRPr="002A0333">
        <w:t>Za poročanje informacij o velikih izpostavljenostih do strank in skupin povezanih strank v skladu s členom 394 Uredbe (EU) št. 575/2013 na posamični in konsolidirani podlagi institucije vsako četrtletje predložijo informacije, določene v Prilogi VIII, v skladu z navodili iz Priloge IX.</w:t>
      </w:r>
    </w:p>
    <w:p w14:paraId="1BE89751" w14:textId="77777777" w:rsidR="00FE0C02" w:rsidRPr="002A0333" w:rsidRDefault="00FE0C02" w:rsidP="00FE0C02">
      <w:pPr>
        <w:pStyle w:val="NumPar1"/>
        <w:numPr>
          <w:ilvl w:val="0"/>
          <w:numId w:val="10"/>
        </w:numPr>
      </w:pPr>
      <w:r w:rsidRPr="002A0333">
        <w:t>Za poročanje informacij o 20 največjih izpostavljenostih do strank ali skupin povezanih strank v skladu s členom 394(1) Uredbe (EU) št. 575/2013 na konsolidirani podlagi institucije, za katere se uporablja poglavje 3 naslova II dela 3 Uredbe (EU) št. 575/2013, vsako četrtletje predložijo informacije, določene v Prilogi VIII, v skladu z navodili iz Priloge IX.</w:t>
      </w:r>
    </w:p>
    <w:p w14:paraId="4501AF0E" w14:textId="77777777" w:rsidR="00FE0C02" w:rsidRPr="002A0333" w:rsidRDefault="00FE0C02" w:rsidP="00FE0C02">
      <w:pPr>
        <w:pStyle w:val="NumPar1"/>
        <w:numPr>
          <w:ilvl w:val="0"/>
          <w:numId w:val="10"/>
        </w:numPr>
      </w:pPr>
      <w:r w:rsidRPr="002A0333">
        <w:t>Za poročanje informacij o izpostavljenostih, katerih vrednost je enaka ali večja od 300 milijonov EUR, vendar manjša od 10 % temeljnega kapitala institucije, v skladu s členom 394(1) Uredbe (EU) št. 575/2013 na konsolidirani podlagi institucije vsako četrtletje predložijo informacije, določene v Prilogi VIII, v skladu z navodili iz Priloge IX.</w:t>
      </w:r>
    </w:p>
    <w:p w14:paraId="6CA58180" w14:textId="77777777" w:rsidR="00FE0C02" w:rsidRPr="002A0333" w:rsidRDefault="00FE0C02" w:rsidP="00FE0C02">
      <w:pPr>
        <w:pStyle w:val="NumPar1"/>
        <w:numPr>
          <w:ilvl w:val="0"/>
          <w:numId w:val="10"/>
        </w:numPr>
      </w:pPr>
      <w:r w:rsidRPr="002A0333">
        <w:lastRenderedPageBreak/>
        <w:t>Institucije za poročanje informacij o desetih največjih izpostavljenostih do institucij na konsolidirani podlagi in o desetih največjih izpostavljenostih do subjektov bančništva v senci, ki opravljajo bančne dejavnosti zunaj reguliranega okvira, na konsolidirani podlagi v skladu s členom 394(2) Uredbe (EU) št. 575/2013 vsako četrtletje predložijo informacije, kot so določene v Prilogi VIII, v skladu z navodili iz Priloge IX.</w:t>
      </w:r>
    </w:p>
    <w:p w14:paraId="24660E67" w14:textId="77777777" w:rsidR="00FE0C02" w:rsidRPr="002A0333" w:rsidRDefault="00FE0C02" w:rsidP="00FE0C02">
      <w:pPr>
        <w:pStyle w:val="Titrearticle"/>
      </w:pPr>
      <w:r w:rsidRPr="002A0333">
        <w:t xml:space="preserve">Člen </w:t>
      </w:r>
      <w:r w:rsidR="004C5180">
        <w:fldChar w:fldCharType="begin"/>
      </w:r>
      <w:r w:rsidR="004C5180">
        <w:instrText xml:space="preserve"> seq article </w:instrText>
      </w:r>
      <w:r w:rsidR="004C5180">
        <w:fldChar w:fldCharType="separate"/>
      </w:r>
      <w:r w:rsidRPr="002A0333">
        <w:t>15</w:t>
      </w:r>
      <w:r w:rsidR="004C5180">
        <w:fldChar w:fldCharType="end"/>
      </w:r>
    </w:p>
    <w:p w14:paraId="7A43457A" w14:textId="77777777" w:rsidR="00FE0C02" w:rsidRPr="002A0333" w:rsidRDefault="00FE0C02" w:rsidP="00FE0C02">
      <w:pPr>
        <w:pStyle w:val="Titrearticle"/>
        <w:spacing w:before="120"/>
        <w:rPr>
          <w:b/>
          <w:i w:val="0"/>
        </w:rPr>
      </w:pPr>
      <w:r w:rsidRPr="002A0333">
        <w:rPr>
          <w:b/>
          <w:i w:val="0"/>
        </w:rPr>
        <w:t>Poročanje o količniku finančnega vzvoda na posamični in konsolidirani podlagi</w:t>
      </w:r>
    </w:p>
    <w:p w14:paraId="01CD6524" w14:textId="77777777" w:rsidR="00FE0C02" w:rsidRPr="002A0333" w:rsidRDefault="00FE0C02" w:rsidP="005F180D">
      <w:pPr>
        <w:pStyle w:val="NumPar1"/>
        <w:numPr>
          <w:ilvl w:val="0"/>
          <w:numId w:val="23"/>
        </w:numPr>
      </w:pPr>
      <w:r w:rsidRPr="002A0333">
        <w:t>Za poročanje informacij o količniku finančnega vzvoda v skladu s členom 430(1)(a) Uredbe (EU) št. 575/2013 na posamični in konsolidirani podlagi institucije vsako četrtletje predložijo informacije, kot so določene v Prilogi X, v skladu z navodili iz Priloge XI. Predlogo 48.00 iz Priloge X predložijo samo velike institucije.</w:t>
      </w:r>
    </w:p>
    <w:p w14:paraId="3FADC775" w14:textId="77777777" w:rsidR="00FE0C02" w:rsidRPr="002A0333" w:rsidRDefault="00FE0C02" w:rsidP="00FE0C02">
      <w:pPr>
        <w:pStyle w:val="NumPar1"/>
        <w:numPr>
          <w:ilvl w:val="0"/>
          <w:numId w:val="10"/>
        </w:numPr>
      </w:pPr>
      <w:r w:rsidRPr="002A0333">
        <w:t>Informacije, določene v celici {v0410;s0010} predloge 40.00 iz Priloge X, poročajo samo:</w:t>
      </w:r>
    </w:p>
    <w:p w14:paraId="08C9A1E3" w14:textId="77777777" w:rsidR="00FE0C02" w:rsidRPr="002A0333" w:rsidRDefault="00FE0C02" w:rsidP="00FE0C02">
      <w:pPr>
        <w:pStyle w:val="Point2"/>
      </w:pPr>
      <w:r w:rsidRPr="002A0333">
        <w:t>(a)</w:t>
      </w:r>
      <w:r w:rsidRPr="002A0333">
        <w:tab/>
        <w:t xml:space="preserve">velike institucije, ki so GSPI ali so izdale vrednostne papirje, sprejete v trgovanje na reguliranem trgu, in sicer vsake pol leta; </w:t>
      </w:r>
    </w:p>
    <w:p w14:paraId="3A54256E" w14:textId="77777777" w:rsidR="00FE0C02" w:rsidRPr="002A0333" w:rsidRDefault="00FE0C02" w:rsidP="00FE0C02">
      <w:pPr>
        <w:pStyle w:val="Point2"/>
      </w:pPr>
      <w:r w:rsidRPr="002A0333">
        <w:t>(b)</w:t>
      </w:r>
      <w:r w:rsidRPr="002A0333">
        <w:tab/>
        <w:t>velike institucije, razen GSPI, ki ne kotirajo na borzi, in sicer enkrat letno;</w:t>
      </w:r>
    </w:p>
    <w:p w14:paraId="492CCDFE" w14:textId="77777777" w:rsidR="00FE0C02" w:rsidRPr="002A0333" w:rsidRDefault="00FE0C02" w:rsidP="00FE0C02">
      <w:pPr>
        <w:pStyle w:val="Point2"/>
      </w:pPr>
      <w:r w:rsidRPr="002A0333">
        <w:t>(c)</w:t>
      </w:r>
      <w:r w:rsidRPr="002A0333">
        <w:tab/>
        <w:t xml:space="preserve">druge institucije, razen velikih institucij ter majhnih in nekompleksnih institucij, ki so izdale vrednostne papirje, sprejete v trgovanje na reguliranem trgu, in sicer enkrat letno. </w:t>
      </w:r>
    </w:p>
    <w:p w14:paraId="56E76BBA" w14:textId="77777777" w:rsidR="00FE0C02" w:rsidRPr="002A0333" w:rsidRDefault="00FE0C02" w:rsidP="00FE0C02">
      <w:pPr>
        <w:pStyle w:val="NumPar1"/>
        <w:numPr>
          <w:ilvl w:val="0"/>
          <w:numId w:val="10"/>
        </w:numPr>
      </w:pPr>
      <w:r w:rsidRPr="002A0333">
        <w:t>Institucije izračunajo količnik finančnega vzvoda na referenčni datum poročanja v skladu s členom 429 Uredbe (EU) št. 575/2013.</w:t>
      </w:r>
    </w:p>
    <w:p w14:paraId="071CB257" w14:textId="77777777" w:rsidR="00FE0C02" w:rsidRPr="002A0333" w:rsidRDefault="00FE0C02" w:rsidP="00FE0C02">
      <w:pPr>
        <w:pStyle w:val="NumPar1"/>
        <w:numPr>
          <w:ilvl w:val="0"/>
          <w:numId w:val="10"/>
        </w:numPr>
      </w:pPr>
      <w:r w:rsidRPr="002A0333">
        <w:t>Institucije poročajo informacije iz točke 13 dela II Priloge XI, kadar je izpolnjen vsaj eden od naslednjih pogojev:</w:t>
      </w:r>
    </w:p>
    <w:p w14:paraId="72F25911" w14:textId="77777777" w:rsidR="00FE0C02" w:rsidRPr="002A0333" w:rsidRDefault="00FE0C02" w:rsidP="00FE0C02">
      <w:pPr>
        <w:pStyle w:val="Point1"/>
      </w:pPr>
      <w:r w:rsidRPr="002A0333">
        <w:t>(a)</w:t>
      </w:r>
      <w:r w:rsidRPr="002A0333">
        <w:tab/>
        <w:t>delež izvedenih finančnih instrumentov iz točke 5 dela II Priloge XI je večji od 1,5 %;</w:t>
      </w:r>
    </w:p>
    <w:p w14:paraId="564FDA7C" w14:textId="77777777" w:rsidR="00FE0C02" w:rsidRPr="002A0333" w:rsidRDefault="00FE0C02" w:rsidP="00FE0C02">
      <w:pPr>
        <w:pStyle w:val="Point1"/>
      </w:pPr>
      <w:r w:rsidRPr="002A0333">
        <w:t>(b)</w:t>
      </w:r>
      <w:r w:rsidRPr="002A0333">
        <w:tab/>
        <w:t>delež izvedenih finančnih instrumentov iz točke 5 dela II Priloge XI je večji od 2 %.</w:t>
      </w:r>
    </w:p>
    <w:p w14:paraId="507DA3E2" w14:textId="77777777" w:rsidR="00FE0C02" w:rsidRPr="002A0333" w:rsidRDefault="00FE0C02" w:rsidP="00FE0C02">
      <w:pPr>
        <w:pStyle w:val="Text1"/>
        <w:rPr>
          <w:szCs w:val="24"/>
        </w:rPr>
      </w:pPr>
      <w:r w:rsidRPr="002A0333">
        <w:t xml:space="preserve">Če institucija izpolnjuje samo pogoj iz točke (a), se uporabljajo vstopna in izstopna merila iz člena 4(3). </w:t>
      </w:r>
    </w:p>
    <w:p w14:paraId="7F04F0F6" w14:textId="77777777" w:rsidR="00FE0C02" w:rsidRPr="002A0333" w:rsidRDefault="00FE0C02" w:rsidP="00FE0C02">
      <w:pPr>
        <w:pStyle w:val="Text1"/>
      </w:pPr>
      <w:r w:rsidRPr="002A0333">
        <w:t>Če institucija izpolnjuje oba pogoja iz točk (a) in (b), začne poročati navedene informacije za referenčni datum, ki nastopi po referenčnem datumu poročanja, na katerega je presegla prag.</w:t>
      </w:r>
    </w:p>
    <w:p w14:paraId="7B9D01BA" w14:textId="77777777" w:rsidR="00FE0C02" w:rsidRPr="002A0333" w:rsidRDefault="00FE0C02" w:rsidP="00FE0C02">
      <w:pPr>
        <w:pStyle w:val="NumPar1"/>
        <w:numPr>
          <w:ilvl w:val="0"/>
          <w:numId w:val="10"/>
        </w:numPr>
      </w:pPr>
      <w:r w:rsidRPr="002A0333">
        <w:t>Institucije, za katere skupna hipotetična vrednost izvedenih finančnih instrumentov, kot je opredeljena v točki 8 dela II Priloge XI, presega 10 000 milijonov EUR, poročajo informacije iz točke 13 dela II Priloge XI, tudi če njihov delež izvedenih finančnih instrumentov ne izpolnjuje pogojev iz odstavka 4 tega člena.</w:t>
      </w:r>
    </w:p>
    <w:p w14:paraId="51584038" w14:textId="77777777" w:rsidR="00FE0C02" w:rsidRPr="002A0333" w:rsidRDefault="00FE0C02" w:rsidP="00FE0C02">
      <w:pPr>
        <w:pStyle w:val="Text1"/>
      </w:pPr>
      <w:r w:rsidRPr="002A0333">
        <w:t>Za namene tega odstavka se vstopna merila iz člena 4(3) ne uporabljajo. Institucije začnejo poročati informacije od naslednjega referenčnega datuma poročanja po tistem, ko so prekoračile prag na enega od referenčnih datumov poročanja.</w:t>
      </w:r>
    </w:p>
    <w:p w14:paraId="41A483BA" w14:textId="77777777" w:rsidR="00FE0C02" w:rsidRPr="002A0333" w:rsidRDefault="00FE0C02" w:rsidP="00FE0C02">
      <w:pPr>
        <w:pStyle w:val="NumPar1"/>
        <w:numPr>
          <w:ilvl w:val="0"/>
          <w:numId w:val="10"/>
        </w:numPr>
      </w:pPr>
      <w:r w:rsidRPr="002A0333">
        <w:t>Institucije morajo poročati informacije iz točke 14 dela II Priloge XI, kadar je izpolnjen vsaj eden od naslednjih pogojev:</w:t>
      </w:r>
    </w:p>
    <w:p w14:paraId="5F5E592D" w14:textId="77777777" w:rsidR="00FE0C02" w:rsidRPr="002A0333" w:rsidRDefault="00FE0C02" w:rsidP="00FE0C02">
      <w:pPr>
        <w:pStyle w:val="Point1"/>
      </w:pPr>
      <w:r w:rsidRPr="002A0333">
        <w:lastRenderedPageBreak/>
        <w:t>(a)</w:t>
      </w:r>
      <w:r w:rsidRPr="002A0333">
        <w:tab/>
        <w:t>obseg kreditnih izvedenih finančnih instrumentov iz točke 9 dela II Priloge XI je večji od 300 milijonov EUR;</w:t>
      </w:r>
    </w:p>
    <w:p w14:paraId="418FEEAF" w14:textId="77777777" w:rsidR="00FE0C02" w:rsidRPr="002A0333" w:rsidRDefault="00FE0C02" w:rsidP="00FE0C02">
      <w:pPr>
        <w:pStyle w:val="Point1"/>
      </w:pPr>
      <w:r w:rsidRPr="002A0333">
        <w:t>(b)</w:t>
      </w:r>
      <w:r w:rsidRPr="002A0333">
        <w:tab/>
        <w:t>obseg kreditnih izvedenih finančnih instrumentov iz točke 9 dela II Priloge XI je večji od 500 milijonov EUR.</w:t>
      </w:r>
    </w:p>
    <w:p w14:paraId="49C49986" w14:textId="77777777" w:rsidR="00FE0C02" w:rsidRPr="002A0333" w:rsidRDefault="00FE0C02" w:rsidP="00FE0C02">
      <w:pPr>
        <w:pStyle w:val="Text1"/>
      </w:pPr>
      <w:r w:rsidRPr="002A0333">
        <w:t>Če institucija izpolnjuje samo pogoj iz točke (a), se uporabljajo vstopna in izstopna merila iz člena 4(3). Če institucija izpolnjuje oba pogoja iz točk (a) in (b), začne poročati navedene informacije za referenčni datum, ki nastopi po referenčnem datumu poročanja, na katerega je presegla prag.</w:t>
      </w:r>
    </w:p>
    <w:p w14:paraId="16427D61" w14:textId="77777777" w:rsidR="00FE0C02" w:rsidRPr="002A0333" w:rsidRDefault="00FE0C02" w:rsidP="00FE0C02">
      <w:pPr>
        <w:pStyle w:val="Titrearticle"/>
      </w:pPr>
      <w:r w:rsidRPr="002A0333">
        <w:t xml:space="preserve">Člen </w:t>
      </w:r>
      <w:r w:rsidR="004C5180">
        <w:fldChar w:fldCharType="begin"/>
      </w:r>
      <w:r w:rsidR="004C5180">
        <w:instrText xml:space="preserve"> seq article </w:instrText>
      </w:r>
      <w:r w:rsidR="004C5180">
        <w:fldChar w:fldCharType="separate"/>
      </w:r>
      <w:r w:rsidRPr="002A0333">
        <w:t>16</w:t>
      </w:r>
      <w:r w:rsidR="004C5180">
        <w:fldChar w:fldCharType="end"/>
      </w:r>
    </w:p>
    <w:p w14:paraId="0FD0A199" w14:textId="77777777" w:rsidR="00FE0C02" w:rsidRPr="002A0333" w:rsidRDefault="00FE0C02" w:rsidP="00FE0C02">
      <w:pPr>
        <w:pStyle w:val="Titrearticle"/>
        <w:spacing w:before="120"/>
        <w:rPr>
          <w:b/>
          <w:i w:val="0"/>
        </w:rPr>
      </w:pPr>
      <w:r w:rsidRPr="002A0333">
        <w:rPr>
          <w:b/>
          <w:i w:val="0"/>
        </w:rPr>
        <w:t>Poročanje o zahtevi glede likvidnostnega kritja na posamični in konsolidirani podlagi</w:t>
      </w:r>
    </w:p>
    <w:p w14:paraId="51D41644" w14:textId="77777777" w:rsidR="00FE0C02" w:rsidRPr="002A0333" w:rsidRDefault="00FE0C02" w:rsidP="005F180D">
      <w:pPr>
        <w:pStyle w:val="NumPar1"/>
        <w:numPr>
          <w:ilvl w:val="0"/>
          <w:numId w:val="24"/>
        </w:numPr>
      </w:pPr>
      <w:r w:rsidRPr="002A0333">
        <w:t>Za poročanje informacij o zahtevi glede likvidnostnega kritja v skladu s členom 430(1)(d) Uredbe (EU) št. 575/2013 na posamični in konsolidirani podlagi institucije vsak mesec predložijo informacije, kot so določene v Prilogi XXIV k tej uredbi, v skladu z navodili iz Priloge XXV k tej uredbi.</w:t>
      </w:r>
    </w:p>
    <w:p w14:paraId="50670492" w14:textId="77777777" w:rsidR="00FE0C02" w:rsidRPr="002A0333" w:rsidRDefault="00FE0C02" w:rsidP="00FE0C02">
      <w:pPr>
        <w:pStyle w:val="NumPar1"/>
        <w:numPr>
          <w:ilvl w:val="0"/>
          <w:numId w:val="10"/>
        </w:numPr>
      </w:pPr>
      <w:r w:rsidRPr="002A0333">
        <w:t>Informacije iz Priloge XXIV upoštevajo informacije, predložene za referenčni datum, in informacije o denarnih tokovih institucije v naslednjih 30 koledarskih dneh.</w:t>
      </w:r>
    </w:p>
    <w:p w14:paraId="1B273506" w14:textId="77777777" w:rsidR="00FE0C02" w:rsidRPr="002A0333" w:rsidRDefault="00FE0C02" w:rsidP="00FE0C02">
      <w:pPr>
        <w:pStyle w:val="Titrearticle"/>
      </w:pPr>
      <w:r w:rsidRPr="002A0333">
        <w:t xml:space="preserve">Člen </w:t>
      </w:r>
      <w:r w:rsidR="004C5180">
        <w:fldChar w:fldCharType="begin"/>
      </w:r>
      <w:r w:rsidR="004C5180">
        <w:instrText xml:space="preserve"> seq article </w:instrText>
      </w:r>
      <w:r w:rsidR="004C5180">
        <w:fldChar w:fldCharType="separate"/>
      </w:r>
      <w:r w:rsidRPr="002A0333">
        <w:t>17</w:t>
      </w:r>
      <w:r w:rsidR="004C5180">
        <w:fldChar w:fldCharType="end"/>
      </w:r>
    </w:p>
    <w:p w14:paraId="4A29F4CE" w14:textId="77777777" w:rsidR="00FE0C02" w:rsidRPr="002A0333" w:rsidRDefault="00FE0C02" w:rsidP="00FE0C02">
      <w:pPr>
        <w:pStyle w:val="Titrearticle"/>
        <w:spacing w:before="120"/>
        <w:rPr>
          <w:b/>
          <w:i w:val="0"/>
        </w:rPr>
      </w:pPr>
      <w:r w:rsidRPr="002A0333">
        <w:rPr>
          <w:b/>
          <w:i w:val="0"/>
        </w:rPr>
        <w:t>Poročanje o stabilnem financiranju na posamični in konsolidirani podlagi</w:t>
      </w:r>
    </w:p>
    <w:p w14:paraId="46A16391" w14:textId="77777777" w:rsidR="00FE0C02" w:rsidRPr="002A0333" w:rsidRDefault="00FE0C02" w:rsidP="00FE0C02">
      <w:r w:rsidRPr="002A0333">
        <w:t>Za poročanje informacij o stabilnem financiranju v skladu s členom 430(1)(d) Uredbe (EU) št. 575/2013 na posamični in konsolidirani podlagi institucije vsako četrtletje predložijo informacije, določene v Prilogi XII, v skladu z navodili iz Priloge XIII, kot sledi:</w:t>
      </w:r>
    </w:p>
    <w:p w14:paraId="38759E9F" w14:textId="77777777" w:rsidR="00FE0C02" w:rsidRPr="002A0333" w:rsidRDefault="00FE0C02" w:rsidP="00FE0C02">
      <w:pPr>
        <w:pStyle w:val="Point1"/>
      </w:pPr>
      <w:r w:rsidRPr="002A0333">
        <w:t>(a)</w:t>
      </w:r>
      <w:r w:rsidRPr="002A0333">
        <w:tab/>
        <w:t xml:space="preserve">majhne in nekompleksne institucije, ki so se s predhodnim dovoljenjem svojega pristojnega organa v skladu s členom 428ai Uredbe (EU) št. 575/2013 odločile za izračun količnika neto stabilnega financiranja (NSFR) z uporabo metodologije iz </w:t>
      </w:r>
      <w:r w:rsidRPr="002A0333">
        <w:rPr>
          <w:color w:val="000000"/>
          <w:szCs w:val="24"/>
        </w:rPr>
        <w:t xml:space="preserve">poglavij 6 </w:t>
      </w:r>
      <w:r w:rsidRPr="002A0333">
        <w:t>in 7 naslova IV dela 6 navedene uredbe, predložijo predlogi 82 in 83 Priloge XII k tej uredbi v skladu z navodili iz Priloge XIII k tej uredbi;</w:t>
      </w:r>
    </w:p>
    <w:p w14:paraId="135317A6" w14:textId="77777777" w:rsidR="00FE0C02" w:rsidRPr="002A0333" w:rsidRDefault="00FE0C02" w:rsidP="00FE0C02">
      <w:pPr>
        <w:pStyle w:val="Point1"/>
      </w:pPr>
      <w:r w:rsidRPr="002A0333">
        <w:t>(b)</w:t>
      </w:r>
      <w:r w:rsidRPr="002A0333">
        <w:tab/>
        <w:t xml:space="preserve">institucije, ki niso tiste iz točke (a), predložijo predlogi 80 in 81 Priloge XII v skladu z navodili iz Priloge XIII; </w:t>
      </w:r>
    </w:p>
    <w:p w14:paraId="75BF05A1" w14:textId="77777777" w:rsidR="00FE0C02" w:rsidRPr="002A0333" w:rsidRDefault="00FE0C02" w:rsidP="00FE0C02">
      <w:pPr>
        <w:pStyle w:val="Point1"/>
      </w:pPr>
      <w:r w:rsidRPr="002A0333">
        <w:t>(c)</w:t>
      </w:r>
      <w:r w:rsidRPr="002A0333">
        <w:tab/>
        <w:t>vse institucije predložijo predlogo 84 Priloge XII v skladu z navodili iz Priloge XIII.</w:t>
      </w:r>
    </w:p>
    <w:p w14:paraId="3C47F8E2" w14:textId="77777777" w:rsidR="00FE0C02" w:rsidRPr="002A0333" w:rsidRDefault="00FE0C02" w:rsidP="00FE0C02">
      <w:pPr>
        <w:pStyle w:val="Titrearticle"/>
      </w:pPr>
      <w:r w:rsidRPr="002A0333">
        <w:t xml:space="preserve">Člen </w:t>
      </w:r>
      <w:r w:rsidR="004C5180">
        <w:fldChar w:fldCharType="begin"/>
      </w:r>
      <w:r w:rsidR="004C5180">
        <w:instrText xml:space="preserve"> seq article </w:instrText>
      </w:r>
      <w:r w:rsidR="004C5180">
        <w:fldChar w:fldCharType="separate"/>
      </w:r>
      <w:r w:rsidRPr="002A0333">
        <w:t>18</w:t>
      </w:r>
      <w:r w:rsidR="004C5180">
        <w:fldChar w:fldCharType="end"/>
      </w:r>
    </w:p>
    <w:p w14:paraId="3023D8A2" w14:textId="77777777" w:rsidR="00FE0C02" w:rsidRPr="002A0333" w:rsidRDefault="00FE0C02" w:rsidP="00FE0C02">
      <w:pPr>
        <w:pStyle w:val="Titrearticle"/>
        <w:spacing w:before="120"/>
        <w:rPr>
          <w:b/>
          <w:i w:val="0"/>
        </w:rPr>
      </w:pPr>
      <w:r w:rsidRPr="002A0333">
        <w:rPr>
          <w:b/>
          <w:i w:val="0"/>
        </w:rPr>
        <w:t>Poročanje o dodatnih metrikah za spremljanje likvidnosti na posamični in konsolidirani podlagi</w:t>
      </w:r>
    </w:p>
    <w:p w14:paraId="6A3A9338" w14:textId="77777777" w:rsidR="00FE0C02" w:rsidRPr="002A0333" w:rsidRDefault="00FE0C02" w:rsidP="005F180D">
      <w:pPr>
        <w:pStyle w:val="NumPar1"/>
        <w:numPr>
          <w:ilvl w:val="0"/>
          <w:numId w:val="25"/>
        </w:numPr>
      </w:pPr>
      <w:r w:rsidRPr="002A0333">
        <w:t xml:space="preserve">Za poročanje informacij o dodatnih metrikah za spremljanje likvidnosti v skladu s členom 430(1)(d) Uredbe (EU) št. 575/2013 na posamični in konsolidirani podlagi institucije vsak mesec predložijo vse naslednje informacije: </w:t>
      </w:r>
    </w:p>
    <w:p w14:paraId="642EB969" w14:textId="77777777" w:rsidR="00FE0C02" w:rsidRPr="002A0333" w:rsidRDefault="00FE0C02" w:rsidP="00FE0C02">
      <w:pPr>
        <w:pStyle w:val="Point1"/>
      </w:pPr>
      <w:r w:rsidRPr="002A0333">
        <w:t>(a)</w:t>
      </w:r>
      <w:r w:rsidRPr="002A0333">
        <w:tab/>
        <w:t xml:space="preserve">informacije, določene v Prilogi XVIII, v skladu z navodili iz Priloge XIX; </w:t>
      </w:r>
    </w:p>
    <w:p w14:paraId="6F8BEAD3" w14:textId="77777777" w:rsidR="00FE0C02" w:rsidRPr="002A0333" w:rsidRDefault="00FE0C02" w:rsidP="00FE0C02">
      <w:pPr>
        <w:pStyle w:val="Point1"/>
      </w:pPr>
      <w:r w:rsidRPr="002A0333">
        <w:t>(b)</w:t>
      </w:r>
      <w:r w:rsidRPr="002A0333">
        <w:tab/>
        <w:t xml:space="preserve">informacije, določene v Prilogi XX, v skladu z navodili iz Priloge XXI; </w:t>
      </w:r>
    </w:p>
    <w:p w14:paraId="65BCA041" w14:textId="77777777" w:rsidR="00FE0C02" w:rsidRPr="002A0333" w:rsidRDefault="00FE0C02" w:rsidP="00FE0C02">
      <w:pPr>
        <w:pStyle w:val="Point1"/>
      </w:pPr>
      <w:r w:rsidRPr="002A0333">
        <w:lastRenderedPageBreak/>
        <w:t>(c)</w:t>
      </w:r>
      <w:r w:rsidRPr="002A0333">
        <w:tab/>
        <w:t xml:space="preserve">informacije, določene v Prilogi XXII, v skladu z navodili iz Priloge XXIII. </w:t>
      </w:r>
    </w:p>
    <w:p w14:paraId="105CC458" w14:textId="77777777" w:rsidR="00FE0C02" w:rsidRPr="002A0333" w:rsidRDefault="00FE0C02" w:rsidP="00FE0C02">
      <w:pPr>
        <w:pStyle w:val="NumPar1"/>
        <w:rPr>
          <w:szCs w:val="32"/>
        </w:rPr>
      </w:pPr>
      <w:r w:rsidRPr="002A0333">
        <w:t>Z odstopanjem od odstavka 1 lahko institucija, ki izpolnjuje vse pogoje iz člena 4(1)(145) Uredbe (EU) št. 575/2013, poroča informacije o dodatnih metrikah za spremljanje likvidnosti vsako četrtletje.</w:t>
      </w:r>
    </w:p>
    <w:p w14:paraId="51E51891" w14:textId="77777777" w:rsidR="00FE0C02" w:rsidRPr="002A0333" w:rsidRDefault="00FE0C02" w:rsidP="00FE0C02">
      <w:pPr>
        <w:pStyle w:val="Titrearticle"/>
      </w:pPr>
      <w:r w:rsidRPr="002A0333">
        <w:t>Člen 19</w:t>
      </w:r>
    </w:p>
    <w:p w14:paraId="5CEC6025" w14:textId="77777777" w:rsidR="00FE0C02" w:rsidRPr="002A0333" w:rsidRDefault="00FE0C02" w:rsidP="00FE0C02">
      <w:pPr>
        <w:pStyle w:val="Text1"/>
      </w:pPr>
      <w:r w:rsidRPr="002A0333">
        <w:rPr>
          <w:b/>
        </w:rPr>
        <w:t>Poročanje o obremenitvi sredstev na posamični in konsolidirani podlagi</w:t>
      </w:r>
    </w:p>
    <w:p w14:paraId="733153BD" w14:textId="77777777" w:rsidR="00FE0C02" w:rsidRPr="002A0333" w:rsidRDefault="00FE0C02" w:rsidP="005F180D">
      <w:pPr>
        <w:pStyle w:val="NumPar1"/>
        <w:numPr>
          <w:ilvl w:val="0"/>
          <w:numId w:val="26"/>
        </w:numPr>
      </w:pPr>
      <w:r w:rsidRPr="002A0333">
        <w:t xml:space="preserve">Za poročanje informacij o obremenitvi sredstev v skladu s členom 430(1)(g) Uredbe (EU) št. 575/2013 na posamični in konsolidirani podlagi institucije predložijo informacije, določene v Prilogi XVI k tej uredbi, v skladu z navodili iz Priloge XVII k tej uredbi. </w:t>
      </w:r>
    </w:p>
    <w:p w14:paraId="466673DE" w14:textId="77777777" w:rsidR="00FE0C02" w:rsidRPr="002A0333" w:rsidRDefault="00FE0C02" w:rsidP="00FE0C02">
      <w:pPr>
        <w:pStyle w:val="NumPar1"/>
        <w:numPr>
          <w:ilvl w:val="0"/>
          <w:numId w:val="10"/>
        </w:numPr>
      </w:pPr>
      <w:r w:rsidRPr="002A0333">
        <w:t xml:space="preserve">Informacije iz odstavka 1 se predložijo, kot sledi: </w:t>
      </w:r>
    </w:p>
    <w:p w14:paraId="6377EF60" w14:textId="77777777" w:rsidR="00FE0C02" w:rsidRPr="002A0333" w:rsidRDefault="00FE0C02" w:rsidP="00FE0C02">
      <w:pPr>
        <w:pStyle w:val="Point1"/>
      </w:pPr>
      <w:r w:rsidRPr="002A0333">
        <w:t>(a)</w:t>
      </w:r>
      <w:r w:rsidRPr="002A0333">
        <w:tab/>
        <w:t xml:space="preserve">vsako četrtletje informacije, določene v delih A, B in D Priloge XVI; </w:t>
      </w:r>
    </w:p>
    <w:p w14:paraId="0B272D04" w14:textId="77777777" w:rsidR="00FE0C02" w:rsidRPr="002A0333" w:rsidRDefault="00FE0C02" w:rsidP="00FE0C02">
      <w:pPr>
        <w:pStyle w:val="Point1"/>
      </w:pPr>
      <w:r w:rsidRPr="002A0333">
        <w:t>(b)</w:t>
      </w:r>
      <w:r w:rsidRPr="002A0333">
        <w:tab/>
        <w:t xml:space="preserve">vsako leto informacije, določene v delu C Priloge XVI; </w:t>
      </w:r>
    </w:p>
    <w:p w14:paraId="78F69E95" w14:textId="77777777" w:rsidR="00FE0C02" w:rsidRPr="002A0333" w:rsidRDefault="00FE0C02" w:rsidP="00FE0C02">
      <w:pPr>
        <w:pStyle w:val="Point1"/>
      </w:pPr>
      <w:r w:rsidRPr="002A0333">
        <w:t>(c)</w:t>
      </w:r>
      <w:r w:rsidRPr="002A0333">
        <w:tab/>
        <w:t xml:space="preserve">vsake pol leta informacije, določene v delu E Priloge XVI. </w:t>
      </w:r>
    </w:p>
    <w:p w14:paraId="282EB9CF" w14:textId="77777777" w:rsidR="00FE0C02" w:rsidRPr="002A0333" w:rsidRDefault="00FE0C02" w:rsidP="00FE0C02">
      <w:pPr>
        <w:pStyle w:val="NumPar1"/>
        <w:numPr>
          <w:ilvl w:val="0"/>
          <w:numId w:val="10"/>
        </w:numPr>
      </w:pPr>
      <w:r w:rsidRPr="002A0333">
        <w:t xml:space="preserve">Institucijam ni treba poročati informacij, določenih v delih B, C in E Priloge XVI, če sta izpolnjena oba naslednja pogoja: </w:t>
      </w:r>
    </w:p>
    <w:p w14:paraId="239B0175" w14:textId="77777777" w:rsidR="00FE0C02" w:rsidRPr="002A0333" w:rsidRDefault="00FE0C02" w:rsidP="00FE0C02">
      <w:pPr>
        <w:pStyle w:val="Point1"/>
      </w:pPr>
      <w:r w:rsidRPr="002A0333">
        <w:t>(a)</w:t>
      </w:r>
      <w:r w:rsidRPr="002A0333">
        <w:tab/>
        <w:t>institucija se ne šteje za veliko institucijo;</w:t>
      </w:r>
    </w:p>
    <w:p w14:paraId="0C93B562" w14:textId="77777777" w:rsidR="00FE0C02" w:rsidRPr="002A0333" w:rsidRDefault="00FE0C02" w:rsidP="00FE0C02">
      <w:pPr>
        <w:pStyle w:val="Point1"/>
      </w:pPr>
      <w:r w:rsidRPr="002A0333">
        <w:t>(b)</w:t>
      </w:r>
      <w:r w:rsidRPr="002A0333">
        <w:tab/>
        <w:t>raven obremenitve sredstev institucije, izračunana v skladu s podtočko 9 točke 1.6 Priloge XVII, je nižja od 15 %.</w:t>
      </w:r>
    </w:p>
    <w:p w14:paraId="19A215D8" w14:textId="77777777" w:rsidR="00FE0C02" w:rsidRPr="002A0333" w:rsidRDefault="00FE0C02" w:rsidP="00FE0C02">
      <w:pPr>
        <w:pStyle w:val="Text1"/>
      </w:pPr>
      <w:r w:rsidRPr="002A0333">
        <w:t xml:space="preserve">Uporabljajo se vstopna in izstopna merila iz člena 4(3). </w:t>
      </w:r>
    </w:p>
    <w:p w14:paraId="7A2CBD82" w14:textId="77777777" w:rsidR="00FE0C02" w:rsidRPr="002A0333" w:rsidRDefault="00FE0C02" w:rsidP="00FE0C02">
      <w:pPr>
        <w:pStyle w:val="NumPar1"/>
        <w:numPr>
          <w:ilvl w:val="0"/>
          <w:numId w:val="10"/>
        </w:numPr>
      </w:pPr>
      <w:r w:rsidRPr="002A0333">
        <w:t>Institucije poročajo informacije iz dela D Priloge XVI samo, kadar izdajajo obveznice iz prvega pododstavka člena 52(4) Direktive 2009/65/ES Evropskega parlamenta in Sveta</w:t>
      </w:r>
      <w:r w:rsidRPr="002A0333">
        <w:rPr>
          <w:rStyle w:val="FootnoteReference"/>
        </w:rPr>
        <w:footnoteReference w:id="11"/>
      </w:r>
      <w:r w:rsidRPr="002A0333">
        <w:t xml:space="preserve">. </w:t>
      </w:r>
    </w:p>
    <w:p w14:paraId="216F0D5A" w14:textId="77777777" w:rsidR="00FE0C02" w:rsidRPr="002A0333" w:rsidRDefault="00FE0C02" w:rsidP="00FE0C02">
      <w:pPr>
        <w:pStyle w:val="Text1"/>
      </w:pPr>
      <w:r w:rsidRPr="002A0333">
        <w:t>Uporabljajo se vstopna in izstopna merila iz člena 4(3).</w:t>
      </w:r>
    </w:p>
    <w:p w14:paraId="3C60098A" w14:textId="77777777" w:rsidR="00FE0C02" w:rsidRPr="002A0333" w:rsidRDefault="00FE0C02" w:rsidP="00FE0C02">
      <w:pPr>
        <w:pStyle w:val="Titrearticle"/>
      </w:pPr>
      <w:r w:rsidRPr="002A0333">
        <w:t>Člen 20</w:t>
      </w:r>
    </w:p>
    <w:p w14:paraId="4B5AD6C9" w14:textId="77777777" w:rsidR="00FE0C02" w:rsidRPr="002A0333" w:rsidRDefault="00FE0C02" w:rsidP="00FE0C02">
      <w:pPr>
        <w:pStyle w:val="Text1"/>
      </w:pPr>
      <w:r w:rsidRPr="002A0333">
        <w:rPr>
          <w:b/>
        </w:rPr>
        <w:t>Dodatno poročanje na konsolidirani podlagi za namene določitve GSPI in dodelitve stopenj blažilnika za GSPI</w:t>
      </w:r>
    </w:p>
    <w:p w14:paraId="76EECD2F" w14:textId="54CEB2D8" w:rsidR="00FE0C02" w:rsidRPr="002A0333" w:rsidRDefault="00FE0C02" w:rsidP="005F180D">
      <w:pPr>
        <w:pStyle w:val="NumPar1"/>
        <w:numPr>
          <w:ilvl w:val="0"/>
          <w:numId w:val="27"/>
        </w:numPr>
      </w:pPr>
      <w:r w:rsidRPr="002A0333">
        <w:t>EU nadrejene institucije, EU nadrejeni finančni holdingi in EU nadrejeni mešani finančni holdingi za poročanje dodatnih informacij za namene določitve GSPI in dodelitve stopenj blažilnika za GSPI v skladu s členom 131 Direktive 2013/36/EU vsako četrtletje na konsolidirani podlagi predložijo informacije, kot so določene v Prilogi XXVI, v skladu z navodili iz Priloge XXVII.</w:t>
      </w:r>
    </w:p>
    <w:p w14:paraId="4242810E" w14:textId="5FDC7845" w:rsidR="00FE0C02" w:rsidRPr="002A0333" w:rsidRDefault="00FE0C02" w:rsidP="00FE0C02">
      <w:pPr>
        <w:pStyle w:val="NumPar1"/>
        <w:numPr>
          <w:ilvl w:val="0"/>
          <w:numId w:val="10"/>
        </w:numPr>
      </w:pPr>
      <w:r w:rsidRPr="002A0333">
        <w:t>EU nadrejene institucije, EU nadrejeni finančni holdingi in EU nadrejeni mešani finančni holdingi predložijo informacije iz odstavka 1 samo, če sta izpolnjena oba naslednja pogoja:</w:t>
      </w:r>
    </w:p>
    <w:p w14:paraId="0C5DCF08" w14:textId="77777777" w:rsidR="00FE0C02" w:rsidRPr="002A0333" w:rsidRDefault="00FE0C02" w:rsidP="00FE0C02">
      <w:pPr>
        <w:pStyle w:val="Point1"/>
      </w:pPr>
      <w:r w:rsidRPr="002A0333">
        <w:t>(a)</w:t>
      </w:r>
      <w:r w:rsidRPr="002A0333">
        <w:tab/>
        <w:t>mera skupne izpostavljenosti skupine, vključno z zavarovalniškimi podrejenimi družbami, je enaka ali večja od 125 000 milijonov EUR;</w:t>
      </w:r>
    </w:p>
    <w:p w14:paraId="05DC0A53" w14:textId="77777777" w:rsidR="00FE0C02" w:rsidRPr="002A0333" w:rsidRDefault="00FE0C02" w:rsidP="00FE0C02">
      <w:pPr>
        <w:pStyle w:val="Point1"/>
      </w:pPr>
      <w:r w:rsidRPr="002A0333">
        <w:lastRenderedPageBreak/>
        <w:t>(b)</w:t>
      </w:r>
      <w:r w:rsidRPr="002A0333">
        <w:tab/>
        <w:t>EU nadrejena institucija, katera koli od njenih podrejenih družb ali katera koli podružnica, ki jo upravlja nadrejena institucija ali podrejena družba, se nahaja v sodelujoči državi članici iz člena 4 Uredbe (EU) št. 806/2014 Evropskega parlamenta in Sveta</w:t>
      </w:r>
      <w:r w:rsidRPr="002A0333">
        <w:rPr>
          <w:rStyle w:val="FootnoteReference"/>
        </w:rPr>
        <w:footnoteReference w:id="12"/>
      </w:r>
      <w:r w:rsidRPr="002A0333">
        <w:t>.</w:t>
      </w:r>
    </w:p>
    <w:p w14:paraId="6584D044" w14:textId="77777777" w:rsidR="00FE0C02" w:rsidRPr="002A0333" w:rsidRDefault="00FE0C02" w:rsidP="00FE0C02">
      <w:pPr>
        <w:pStyle w:val="NumPar1"/>
        <w:numPr>
          <w:ilvl w:val="0"/>
          <w:numId w:val="10"/>
        </w:numPr>
      </w:pPr>
      <w:r w:rsidRPr="002A0333">
        <w:t>Z odstopanjem od točke (b) člena 3(1) se informacije iz odstavka 1 tega člena predložijo do konca delovnega dne na naslednje datume predložitve: 1. julija, 1. oktobra, 2. januarja in 1. aprila.</w:t>
      </w:r>
    </w:p>
    <w:p w14:paraId="3336B0CC" w14:textId="77777777" w:rsidR="00FE0C02" w:rsidRPr="002A0333" w:rsidRDefault="00FE0C02" w:rsidP="00FE0C02">
      <w:pPr>
        <w:pStyle w:val="NumPar1"/>
        <w:numPr>
          <w:ilvl w:val="0"/>
          <w:numId w:val="10"/>
        </w:numPr>
      </w:pPr>
      <w:r w:rsidRPr="002A0333">
        <w:t>Z odstopanjem od člena 4 v zvezi s pragom iz odstavka 2(a) tega člena velja naslednje:</w:t>
      </w:r>
    </w:p>
    <w:p w14:paraId="542951C2" w14:textId="0D06C811" w:rsidR="00FE0C02" w:rsidRPr="002A0333" w:rsidRDefault="00FE0C02" w:rsidP="00FE0C02">
      <w:pPr>
        <w:pStyle w:val="Point1"/>
      </w:pPr>
      <w:r w:rsidRPr="002A0333">
        <w:t>(a)</w:t>
      </w:r>
      <w:r w:rsidRPr="002A0333">
        <w:tab/>
        <w:t>EU nadrejena institucija, EU nadrejeni finančni holding ali EU nadrejeni mešani finančni holding začne takoj poročati informacije v skladu s tem členom, kadar njegova mera izpostavljenosti količnika finančnega vzvoda na koncu obračunskega leta preseže določen prag, in te informacije poroča vsaj za konec zadevnega obračunskega leta in naslednje tri četrtletne referenčne datume;</w:t>
      </w:r>
    </w:p>
    <w:p w14:paraId="50325C89" w14:textId="0290171D" w:rsidR="00FE0C02" w:rsidRPr="002A0333" w:rsidRDefault="00FE0C02" w:rsidP="00FE0C02">
      <w:pPr>
        <w:pStyle w:val="Point1"/>
      </w:pPr>
      <w:r w:rsidRPr="002A0333">
        <w:t>(b)</w:t>
      </w:r>
      <w:r w:rsidRPr="002A0333">
        <w:tab/>
        <w:t>EU nadrejena institucija, EU nadrejeni finančni holding ali EU nadrejeni mešani finančni holding takoj preneha poročati informacije v skladu s tem členom, kadar njegova mera izpostavljenosti količnika finančnega vzvoda na koncu obračunskega leta pade pod določen prag.</w:t>
      </w:r>
    </w:p>
    <w:p w14:paraId="3714E48A" w14:textId="77777777" w:rsidR="00FE0C02" w:rsidRPr="002A0333" w:rsidRDefault="00FE0C02" w:rsidP="00FE0C02">
      <w:pPr>
        <w:pStyle w:val="Titrearticle"/>
      </w:pPr>
      <w:r w:rsidRPr="002A0333">
        <w:t>Člen 21</w:t>
      </w:r>
    </w:p>
    <w:p w14:paraId="379043C5" w14:textId="77777777" w:rsidR="00FE0C02" w:rsidRPr="002A0333" w:rsidRDefault="00FE0C02" w:rsidP="00FE0C02">
      <w:pPr>
        <w:pStyle w:val="Titrearticle"/>
        <w:spacing w:before="120"/>
      </w:pPr>
      <w:r w:rsidRPr="002A0333">
        <w:rPr>
          <w:b/>
          <w:i w:val="0"/>
        </w:rPr>
        <w:t>Formati izmenjave podatkov in informacije, ki se priložijo predloženim podatkom</w:t>
      </w:r>
    </w:p>
    <w:p w14:paraId="3484BAE7" w14:textId="77777777" w:rsidR="00FE0C02" w:rsidRPr="002A0333" w:rsidRDefault="00FE0C02" w:rsidP="005F180D">
      <w:pPr>
        <w:pStyle w:val="NumPar1"/>
        <w:numPr>
          <w:ilvl w:val="0"/>
          <w:numId w:val="28"/>
        </w:numPr>
      </w:pPr>
      <w:r w:rsidRPr="002A0333">
        <w:t>Institucije informacije predložijo v formatih izmenjave podatkov in predstavljanja, ki jih določijo pristojni organi, pri čemer upoštevajo opredelitev podatkovne točke modela podatkovnih točk iz Priloge XIV, formule za validacijo iz Priloge XV ter naslednje zahteve:</w:t>
      </w:r>
    </w:p>
    <w:p w14:paraId="6302FDB1" w14:textId="77777777" w:rsidR="00FE0C02" w:rsidRPr="002A0333" w:rsidRDefault="00FE0C02" w:rsidP="00FE0C02">
      <w:pPr>
        <w:pStyle w:val="Point1"/>
      </w:pPr>
      <w:r w:rsidRPr="002A0333">
        <w:t>(a)</w:t>
      </w:r>
      <w:r w:rsidRPr="002A0333">
        <w:tab/>
        <w:t>informacije, ki niso zahtevane ali relevantne, se ne vključijo v predložene podatke;</w:t>
      </w:r>
    </w:p>
    <w:p w14:paraId="04CB5DF9" w14:textId="77777777" w:rsidR="00FE0C02" w:rsidRPr="002A0333" w:rsidRDefault="00FE0C02" w:rsidP="00FE0C02">
      <w:pPr>
        <w:pStyle w:val="Point1"/>
      </w:pPr>
      <w:r w:rsidRPr="002A0333">
        <w:t>(b)</w:t>
      </w:r>
      <w:r w:rsidRPr="002A0333">
        <w:tab/>
        <w:t>numerične vrednosti se predložijo, kot sledi:</w:t>
      </w:r>
    </w:p>
    <w:p w14:paraId="08E0D7CD" w14:textId="77777777" w:rsidR="00FE0C02" w:rsidRPr="002A0333" w:rsidRDefault="00FE0C02" w:rsidP="00FE0C02">
      <w:pPr>
        <w:pStyle w:val="Point2"/>
      </w:pPr>
      <w:r w:rsidRPr="002A0333">
        <w:t>(i)</w:t>
      </w:r>
      <w:r w:rsidRPr="002A0333">
        <w:tab/>
        <w:t>podatkovne točke podatkov vrste „monetarno“ se poročajo z najmanjšim ekvivalentom natančnosti na tisoč enot;</w:t>
      </w:r>
    </w:p>
    <w:p w14:paraId="34C38BBF" w14:textId="77777777" w:rsidR="00FE0C02" w:rsidRPr="002A0333" w:rsidRDefault="00FE0C02" w:rsidP="00FE0C02">
      <w:pPr>
        <w:pStyle w:val="Point2"/>
      </w:pPr>
      <w:r w:rsidRPr="002A0333">
        <w:t>(ii)</w:t>
      </w:r>
      <w:r w:rsidRPr="002A0333">
        <w:tab/>
        <w:t>podatkovne točke podatkov vrste „odstotek“ se izrazijo na enoto z najmanjšim ekvivalentom natančnosti na štiri decimalna mesta;</w:t>
      </w:r>
    </w:p>
    <w:p w14:paraId="4CD4E1AC" w14:textId="77777777" w:rsidR="00FE0C02" w:rsidRPr="002A0333" w:rsidRDefault="00FE0C02" w:rsidP="00FE0C02">
      <w:pPr>
        <w:pStyle w:val="Point2"/>
      </w:pPr>
      <w:r w:rsidRPr="002A0333">
        <w:t>(iii)</w:t>
      </w:r>
      <w:r w:rsidRPr="002A0333">
        <w:tab/>
        <w:t>podatkovne točke podatkov vrste „celo število“ se poročajo brez decimalnih mest in z ekvivalentom natančnosti na enoto;</w:t>
      </w:r>
    </w:p>
    <w:p w14:paraId="1DE261AC" w14:textId="77777777" w:rsidR="00FE0C02" w:rsidRPr="002A0333" w:rsidRDefault="00FE0C02" w:rsidP="00FE0C02">
      <w:pPr>
        <w:pStyle w:val="Point1"/>
        <w:rPr>
          <w:szCs w:val="24"/>
        </w:rPr>
      </w:pPr>
      <w:r w:rsidRPr="002A0333">
        <w:t>(c)</w:t>
      </w:r>
      <w:r w:rsidRPr="002A0333">
        <w:tab/>
        <w:t>institucije in zavarovalnice se identificirajo izključno z njihovim identifikatorjem pravnih subjektov (LEI);</w:t>
      </w:r>
    </w:p>
    <w:p w14:paraId="10C9C354" w14:textId="4706E5B6" w:rsidR="00FE0C02" w:rsidRPr="002A0333" w:rsidRDefault="00FE0C02" w:rsidP="00FE0C02">
      <w:pPr>
        <w:pStyle w:val="Point1"/>
      </w:pPr>
      <w:r w:rsidRPr="002A0333">
        <w:t>(d)</w:t>
      </w:r>
      <w:r w:rsidR="002A0333">
        <w:tab/>
      </w:r>
      <w:r w:rsidRPr="002A0333">
        <w:t>pravni subjekti in nasprotne stranke, ki niso institucije in zavarovalnice, se identificirajo z njihovim LEI, če je na voljo.</w:t>
      </w:r>
    </w:p>
    <w:p w14:paraId="275717B4" w14:textId="77777777" w:rsidR="00FE0C02" w:rsidRPr="002A0333" w:rsidRDefault="00FE0C02" w:rsidP="00FE0C02">
      <w:pPr>
        <w:pStyle w:val="NumPar1"/>
        <w:widowControl w:val="0"/>
        <w:numPr>
          <w:ilvl w:val="0"/>
          <w:numId w:val="10"/>
        </w:numPr>
        <w:autoSpaceDE w:val="0"/>
        <w:autoSpaceDN w:val="0"/>
        <w:spacing w:line="228" w:lineRule="auto"/>
        <w:rPr>
          <w:szCs w:val="24"/>
        </w:rPr>
      </w:pPr>
      <w:r w:rsidRPr="002A0333">
        <w:t>Institucije predloženim podatkom priložijo naslednje informacije:</w:t>
      </w:r>
    </w:p>
    <w:p w14:paraId="533511FB" w14:textId="77777777" w:rsidR="00FE0C02" w:rsidRPr="002A0333" w:rsidRDefault="00FE0C02" w:rsidP="00FE0C02">
      <w:pPr>
        <w:pStyle w:val="Point1"/>
      </w:pPr>
      <w:r w:rsidRPr="002A0333">
        <w:lastRenderedPageBreak/>
        <w:t>(a)</w:t>
      </w:r>
      <w:r w:rsidRPr="002A0333">
        <w:tab/>
        <w:t>referenčni datum poročanja in referenčno obdobje;</w:t>
      </w:r>
    </w:p>
    <w:p w14:paraId="35FFAFDD" w14:textId="77777777" w:rsidR="00FE0C02" w:rsidRPr="002A0333" w:rsidRDefault="00FE0C02" w:rsidP="00FE0C02">
      <w:pPr>
        <w:pStyle w:val="Point1"/>
      </w:pPr>
      <w:r w:rsidRPr="002A0333">
        <w:t>(b)</w:t>
      </w:r>
      <w:r w:rsidRPr="002A0333">
        <w:tab/>
        <w:t>valuto poročanja;</w:t>
      </w:r>
    </w:p>
    <w:p w14:paraId="2D0A776B" w14:textId="77777777" w:rsidR="00FE0C02" w:rsidRPr="002A0333" w:rsidRDefault="00FE0C02" w:rsidP="00FE0C02">
      <w:pPr>
        <w:pStyle w:val="Point1"/>
      </w:pPr>
      <w:r w:rsidRPr="002A0333">
        <w:t>(c)</w:t>
      </w:r>
      <w:r w:rsidRPr="002A0333">
        <w:tab/>
        <w:t>računovodski standard;</w:t>
      </w:r>
    </w:p>
    <w:p w14:paraId="05941E50" w14:textId="77777777" w:rsidR="00FE0C02" w:rsidRPr="002A0333" w:rsidRDefault="00FE0C02" w:rsidP="00FE0C02">
      <w:pPr>
        <w:pStyle w:val="Point1"/>
      </w:pPr>
      <w:r w:rsidRPr="002A0333">
        <w:t>(d)</w:t>
      </w:r>
      <w:r w:rsidRPr="002A0333">
        <w:tab/>
        <w:t>identifikator pravnih subjektov (LEI) institucije poročevalke;</w:t>
      </w:r>
    </w:p>
    <w:p w14:paraId="1E5B9FC2" w14:textId="77777777" w:rsidR="00FE0C02" w:rsidRPr="002A0333" w:rsidRDefault="00FE0C02" w:rsidP="00FE0C02">
      <w:pPr>
        <w:pStyle w:val="Point1"/>
      </w:pPr>
      <w:r w:rsidRPr="002A0333">
        <w:t>(e)</w:t>
      </w:r>
      <w:r w:rsidRPr="002A0333">
        <w:tab/>
        <w:t>obseg konsolidacije.</w:t>
      </w:r>
    </w:p>
    <w:p w14:paraId="3C0C8DE6" w14:textId="77777777" w:rsidR="00FE0C02" w:rsidRPr="002A0333" w:rsidRDefault="00FE0C02" w:rsidP="00FE0C02">
      <w:pPr>
        <w:pStyle w:val="Titrearticle"/>
        <w:spacing w:before="120"/>
      </w:pPr>
      <w:r w:rsidRPr="002A0333">
        <w:t>Člen 22</w:t>
      </w:r>
    </w:p>
    <w:p w14:paraId="48AC81C7" w14:textId="77777777" w:rsidR="00FE0C02" w:rsidRPr="002A0333" w:rsidRDefault="00FE0C02" w:rsidP="006B3AF7">
      <w:pPr>
        <w:pStyle w:val="Titrearticle"/>
      </w:pPr>
      <w:r w:rsidRPr="002A0333">
        <w:t>Razveljavitev Izvedbene uredbe (EU) št. 680/2014</w:t>
      </w:r>
    </w:p>
    <w:p w14:paraId="1CFB853D" w14:textId="72EA0D3E" w:rsidR="00FE0C02" w:rsidRPr="002A0333" w:rsidRDefault="00FE0C02" w:rsidP="006B3AF7">
      <w:r w:rsidRPr="002A0333">
        <w:t xml:space="preserve">Izvedbena uredba (EU) št. 680/2014 se razveljavi. </w:t>
      </w:r>
    </w:p>
    <w:p w14:paraId="783335BF" w14:textId="7744E337" w:rsidR="00FE0C02" w:rsidRPr="002A0333" w:rsidRDefault="00FE0C02" w:rsidP="006B3AF7">
      <w:r w:rsidRPr="002A0333">
        <w:t>Sklicevanja na razveljavljeno uredbo se štejejo za sklicevanja na to uredbo.</w:t>
      </w:r>
    </w:p>
    <w:p w14:paraId="5FA1D041" w14:textId="77777777" w:rsidR="00FE0C02" w:rsidRPr="002A0333" w:rsidRDefault="00FE0C02" w:rsidP="00FE0C02">
      <w:pPr>
        <w:pStyle w:val="Titrearticle"/>
      </w:pPr>
      <w:r w:rsidRPr="002A0333">
        <w:t>Člen 23</w:t>
      </w:r>
    </w:p>
    <w:p w14:paraId="5DBF2ECB" w14:textId="77777777" w:rsidR="00FE0C02" w:rsidRPr="002A0333" w:rsidRDefault="00FE0C02" w:rsidP="00FE0C02">
      <w:pPr>
        <w:pStyle w:val="Titrearticle"/>
        <w:rPr>
          <w:b/>
          <w:i w:val="0"/>
        </w:rPr>
      </w:pPr>
      <w:r w:rsidRPr="002A0333">
        <w:rPr>
          <w:b/>
          <w:i w:val="0"/>
        </w:rPr>
        <w:t>Začetek veljavnosti in uporaba</w:t>
      </w:r>
    </w:p>
    <w:p w14:paraId="0A731224" w14:textId="77777777" w:rsidR="00FE0C02" w:rsidRPr="002A0333" w:rsidRDefault="00FE0C02" w:rsidP="00FE0C02">
      <w:r w:rsidRPr="002A0333">
        <w:t xml:space="preserve">Ta uredba začne veljati dan po objavi v </w:t>
      </w:r>
      <w:r w:rsidRPr="002A0333">
        <w:rPr>
          <w:i/>
        </w:rPr>
        <w:t>Uradnem listu Evropske unije</w:t>
      </w:r>
      <w:r w:rsidRPr="002A0333">
        <w:t>.</w:t>
      </w:r>
    </w:p>
    <w:p w14:paraId="7B8BB43C" w14:textId="77777777" w:rsidR="00FE0C02" w:rsidRPr="002A0333" w:rsidRDefault="00FE0C02" w:rsidP="00FE0C02">
      <w:r w:rsidRPr="002A0333">
        <w:t>Uporablja se od 28. junija 2021.</w:t>
      </w:r>
    </w:p>
    <w:p w14:paraId="398E54BD" w14:textId="77777777" w:rsidR="00FE0C02" w:rsidRPr="002A0333" w:rsidRDefault="00FE0C02" w:rsidP="00FE0C02">
      <w:r w:rsidRPr="002A0333">
        <w:t>Ne glede na drugi odstavek tega člena se poročanje o zahtevi po blažilniku količnika finančnega vzvoda za institucije, ki so bile določene za GSPI, iz predloge 47 Priloge X uporablja od 1. januarja 2023.</w:t>
      </w:r>
    </w:p>
    <w:p w14:paraId="077B995C" w14:textId="2455A2B7" w:rsidR="00FF364B" w:rsidRPr="002A0333" w:rsidRDefault="00FE0C02" w:rsidP="00FE0C02">
      <w:r w:rsidRPr="002A0333">
        <w:t>Člena 9 in 10 se prenehata uporabljati 26. junija 2026.</w:t>
      </w:r>
    </w:p>
    <w:p w14:paraId="2BB71259" w14:textId="77777777" w:rsidR="0004170D" w:rsidRPr="002A0333" w:rsidRDefault="0004170D" w:rsidP="009675DD">
      <w:pPr>
        <w:pStyle w:val="Applicationdirecte"/>
      </w:pPr>
      <w:r w:rsidRPr="002A0333">
        <w:t>Ta uredba je v celoti zavezujoča in se neposredno uporablja v vseh državah članicah.</w:t>
      </w:r>
    </w:p>
    <w:p w14:paraId="2947B574" w14:textId="64326E1D" w:rsidR="0004170D" w:rsidRPr="002A0333" w:rsidRDefault="002A0333" w:rsidP="002A0333">
      <w:pPr>
        <w:pStyle w:val="Fait"/>
      </w:pPr>
      <w:r w:rsidRPr="002A0333">
        <w:t>V Bruslju,</w:t>
      </w:r>
    </w:p>
    <w:p w14:paraId="3F08E3CE" w14:textId="77777777" w:rsidR="0004170D" w:rsidRPr="002A0333" w:rsidRDefault="0004170D" w:rsidP="0004170D">
      <w:pPr>
        <w:pStyle w:val="Institutionquisigne"/>
      </w:pPr>
      <w:r w:rsidRPr="002A0333">
        <w:tab/>
        <w:t>Za Komisijo</w:t>
      </w:r>
    </w:p>
    <w:p w14:paraId="2100579F" w14:textId="77777777" w:rsidR="00A211D2" w:rsidRPr="002A0333" w:rsidRDefault="0004170D" w:rsidP="0004170D">
      <w:pPr>
        <w:pStyle w:val="Personnequisigne"/>
      </w:pPr>
      <w:r w:rsidRPr="002A0333">
        <w:tab/>
        <w:t>Predsednica</w:t>
      </w:r>
    </w:p>
    <w:p w14:paraId="5318264F" w14:textId="632B2009" w:rsidR="0004170D" w:rsidRPr="002A0333" w:rsidRDefault="00A211D2" w:rsidP="0004170D">
      <w:pPr>
        <w:pStyle w:val="Personnequisigne"/>
      </w:pPr>
      <w:r w:rsidRPr="002A0333">
        <w:tab/>
        <w:t xml:space="preserve">Ursula von der Leyen </w:t>
      </w:r>
      <w:r w:rsidRPr="002A0333">
        <w:br/>
      </w:r>
      <w:r w:rsidRPr="002A0333">
        <w:tab/>
        <w:t xml:space="preserve"> </w:t>
      </w:r>
      <w:r w:rsidRPr="002A0333">
        <w:br/>
      </w:r>
      <w:r w:rsidRPr="002A0333">
        <w:tab/>
        <w:t xml:space="preserve"> </w:t>
      </w:r>
      <w:r w:rsidRPr="002A0333">
        <w:br/>
      </w:r>
    </w:p>
    <w:sectPr w:rsidR="0004170D" w:rsidRPr="002A0333" w:rsidSect="002A0333">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C2376" w14:textId="77777777" w:rsidR="007E5F66" w:rsidRDefault="007E5F66" w:rsidP="0004170D">
      <w:pPr>
        <w:spacing w:before="0" w:after="0"/>
      </w:pPr>
      <w:r>
        <w:separator/>
      </w:r>
    </w:p>
  </w:endnote>
  <w:endnote w:type="continuationSeparator" w:id="0">
    <w:p w14:paraId="5326C0A8" w14:textId="77777777" w:rsidR="007E5F66" w:rsidRDefault="007E5F66" w:rsidP="000417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33A75" w14:textId="5F6111F9" w:rsidR="002A0333" w:rsidRPr="002A0333" w:rsidRDefault="002A0333" w:rsidP="002A0333">
    <w:pPr>
      <w:pStyle w:val="Footer"/>
      <w:rPr>
        <w:rFonts w:ascii="Arial" w:hAnsi="Arial" w:cs="Arial"/>
        <w:b/>
        <w:sz w:val="48"/>
      </w:rPr>
    </w:pPr>
    <w:r w:rsidRPr="002A0333">
      <w:rPr>
        <w:rFonts w:ascii="Arial" w:hAnsi="Arial" w:cs="Arial"/>
        <w:b/>
        <w:sz w:val="48"/>
      </w:rPr>
      <w:t>SL</w:t>
    </w:r>
    <w:r w:rsidRPr="002A0333">
      <w:rPr>
        <w:rFonts w:ascii="Arial" w:hAnsi="Arial" w:cs="Arial"/>
        <w:b/>
        <w:sz w:val="48"/>
      </w:rPr>
      <w:tab/>
    </w:r>
    <w:r w:rsidRPr="002A0333">
      <w:rPr>
        <w:rFonts w:ascii="Arial" w:hAnsi="Arial" w:cs="Arial"/>
        <w:b/>
        <w:sz w:val="48"/>
      </w:rPr>
      <w:tab/>
    </w:r>
    <w:r w:rsidRPr="002A0333">
      <w:tab/>
    </w:r>
    <w:r w:rsidRPr="002A0333">
      <w:rPr>
        <w:rFonts w:ascii="Arial" w:hAnsi="Arial" w:cs="Arial"/>
        <w:b/>
        <w:sz w:val="48"/>
      </w:rPr>
      <w:t>SL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28F80" w14:textId="79F497EC" w:rsidR="002A0333" w:rsidRPr="002A0333" w:rsidRDefault="002A0333" w:rsidP="002A0333">
    <w:pPr>
      <w:pStyle w:val="Footer"/>
      <w:rPr>
        <w:rFonts w:ascii="Arial" w:hAnsi="Arial" w:cs="Arial"/>
        <w:b/>
        <w:sz w:val="48"/>
      </w:rPr>
    </w:pPr>
    <w:r w:rsidRPr="002A0333">
      <w:rPr>
        <w:rFonts w:ascii="Arial" w:hAnsi="Arial" w:cs="Arial"/>
        <w:b/>
        <w:sz w:val="48"/>
      </w:rPr>
      <w:t>SL</w:t>
    </w:r>
    <w:r w:rsidRPr="002A0333">
      <w:rPr>
        <w:rFonts w:ascii="Arial" w:hAnsi="Arial" w:cs="Arial"/>
        <w:b/>
        <w:sz w:val="48"/>
      </w:rPr>
      <w:tab/>
    </w:r>
    <w:r>
      <w:fldChar w:fldCharType="begin"/>
    </w:r>
    <w:r>
      <w:instrText xml:space="preserve"> PAGE  \* MERGEFORMAT </w:instrText>
    </w:r>
    <w:r>
      <w:fldChar w:fldCharType="separate"/>
    </w:r>
    <w:r w:rsidR="00F91160">
      <w:rPr>
        <w:noProof/>
      </w:rPr>
      <w:t>17</w:t>
    </w:r>
    <w:r>
      <w:fldChar w:fldCharType="end"/>
    </w:r>
    <w:r>
      <w:tab/>
    </w:r>
    <w:r w:rsidRPr="002A0333">
      <w:tab/>
    </w:r>
    <w:r w:rsidRPr="002A0333">
      <w:rPr>
        <w:rFonts w:ascii="Arial" w:hAnsi="Arial" w:cs="Arial"/>
        <w:b/>
        <w:sz w:val="48"/>
      </w:rPr>
      <w:t>SL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22C78" w14:textId="77777777" w:rsidR="002A0333" w:rsidRPr="002A0333" w:rsidRDefault="002A0333" w:rsidP="002A03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75A77" w14:textId="77777777" w:rsidR="007E5F66" w:rsidRDefault="007E5F66" w:rsidP="0004170D">
      <w:pPr>
        <w:spacing w:before="0" w:after="0"/>
      </w:pPr>
      <w:r>
        <w:separator/>
      </w:r>
    </w:p>
  </w:footnote>
  <w:footnote w:type="continuationSeparator" w:id="0">
    <w:p w14:paraId="2DCC1F88" w14:textId="77777777" w:rsidR="007E5F66" w:rsidRDefault="007E5F66" w:rsidP="0004170D">
      <w:pPr>
        <w:spacing w:before="0" w:after="0"/>
      </w:pPr>
      <w:r>
        <w:continuationSeparator/>
      </w:r>
    </w:p>
  </w:footnote>
  <w:footnote w:id="1">
    <w:p w14:paraId="5E809637" w14:textId="77777777" w:rsidR="00AD21AA" w:rsidRPr="002E4D2B" w:rsidRDefault="00AD21AA" w:rsidP="00AD21AA">
      <w:pPr>
        <w:pStyle w:val="FootnoteText"/>
      </w:pPr>
      <w:r>
        <w:rPr>
          <w:rStyle w:val="FootnoteReference"/>
        </w:rPr>
        <w:footnoteRef/>
      </w:r>
      <w:r>
        <w:tab/>
        <w:t>UL L 176, 27.6.2013, str. 1.</w:t>
      </w:r>
    </w:p>
  </w:footnote>
  <w:footnote w:id="2">
    <w:p w14:paraId="5580D4CD" w14:textId="77777777" w:rsidR="00AD21AA" w:rsidRPr="00A45B5C" w:rsidRDefault="00AD21AA" w:rsidP="00AD21AA">
      <w:pPr>
        <w:pStyle w:val="FootnoteText"/>
      </w:pPr>
      <w:r>
        <w:rPr>
          <w:rStyle w:val="FootnoteReference"/>
        </w:rPr>
        <w:footnoteRef/>
      </w:r>
      <w:r>
        <w:tab/>
        <w:t>Izvedbena uredba Komisije (EU) št. 680/2014 o določitvi izvedbenih tehničnih standardov v zvezi z nadzorniškim poročanjem institucij v skladu z Uredbo (EU) št. 575/2013 Evropskega parlamenta in Sveta (UL L 191, 28.6.2014, str. 1).</w:t>
      </w:r>
    </w:p>
  </w:footnote>
  <w:footnote w:id="3">
    <w:p w14:paraId="433B5035" w14:textId="77777777" w:rsidR="00AD21AA" w:rsidRPr="00BD2EEC" w:rsidRDefault="00AD21AA" w:rsidP="00AD21AA">
      <w:pPr>
        <w:pStyle w:val="FootnoteText"/>
      </w:pPr>
      <w:r>
        <w:rPr>
          <w:rStyle w:val="FootnoteReference"/>
        </w:rPr>
        <w:footnoteRef/>
      </w:r>
      <w:r>
        <w:tab/>
        <w:t>Direktiva 2013/36/EU Evropskega parlamenta in Sveta z dne 26. junija 2013 o dostopu do dejavnosti kreditnih institucij in bonitetnem nadzoru kreditnih institucij in investicijskih podjetij, spremembi Direktive 2002/87/ES in razveljavitvi direktiv 2006/48/ES in 2006/49/ES (UL L 176, 27.6.2013, str. 338).</w:t>
      </w:r>
    </w:p>
  </w:footnote>
  <w:footnote w:id="4">
    <w:p w14:paraId="4A709B42" w14:textId="77777777" w:rsidR="00AD21AA" w:rsidRPr="002E4D2B" w:rsidRDefault="00AD21AA" w:rsidP="00AD21AA">
      <w:pPr>
        <w:pStyle w:val="FootnoteText"/>
      </w:pPr>
      <w:r>
        <w:rPr>
          <w:rStyle w:val="FootnoteReference"/>
        </w:rPr>
        <w:footnoteRef/>
      </w:r>
      <w:r>
        <w:tab/>
        <w:t>Uredba (EU) 2019/876 Evropskega parlamenta in Sveta z dne 20. maja 2019 o spremembi Uredbe (EU) št. 575/2013 v zvezi s količnikom finančnega vzvoda, količnikom neto stabilnega financiranja, zahtevami glede kapitala in kvalificiranih obveznosti, kreditnim tveganjem nasprotne stranke, tržnim tveganjem, izpostavljenostmi do centralnih nasprotnih strank, izpostavljenostmi do kolektivnih naložbenih podjemov, velikimi izpostavljenostmi, zahtevami glede poročanja in razkritja ter Uredbe (EU) št. 648/2012 (UL L 150, 7.6.2019, str. 1).</w:t>
      </w:r>
    </w:p>
  </w:footnote>
  <w:footnote w:id="5">
    <w:p w14:paraId="5D010433" w14:textId="77777777" w:rsidR="00AD21AA" w:rsidRPr="002E4D2B" w:rsidRDefault="00AD21AA" w:rsidP="00AD21AA">
      <w:pPr>
        <w:pStyle w:val="FootnoteText"/>
      </w:pPr>
      <w:r>
        <w:rPr>
          <w:rStyle w:val="FootnoteReference"/>
        </w:rPr>
        <w:footnoteRef/>
      </w:r>
      <w:r>
        <w:tab/>
        <w:t xml:space="preserve">Uredba (EU) 2019/630 Evropskega parlamenta in Sveta z dne 17. aprila 2019 o spremembi Uredbe (EU) št. 575/2013 glede minimalnega kritja izgub za nedonosne izpostavljenosti (UL L 111, 25.4.2019, str. 4). </w:t>
      </w:r>
    </w:p>
  </w:footnote>
  <w:footnote w:id="6">
    <w:p w14:paraId="0B0AEE79" w14:textId="77777777" w:rsidR="00AD21AA" w:rsidRPr="008B4A3F" w:rsidRDefault="00AD21AA" w:rsidP="00AD21AA">
      <w:pPr>
        <w:pStyle w:val="FootnoteText"/>
      </w:pPr>
      <w:r>
        <w:rPr>
          <w:rStyle w:val="FootnoteReference"/>
        </w:rPr>
        <w:footnoteRef/>
      </w:r>
      <w:r>
        <w:tab/>
        <w:t>Uredba (EU) 2019/2033 Evropskega parlamenta in Sveta z dne 27. novembra 2019 o bonitetnih zahtevah za investicijska podjetja ter o spremembi uredb (EU) št. 1093/2010, (EU) št. 575/2013, (EU) št. 600/2014 in (EU) št. 806/2014 (UL L 314, 5.12.2019, str. 1).</w:t>
      </w:r>
    </w:p>
  </w:footnote>
  <w:footnote w:id="7">
    <w:p w14:paraId="3D6B588C" w14:textId="1C69D305" w:rsidR="00AD21AA" w:rsidRPr="0069688A" w:rsidRDefault="00AD21AA" w:rsidP="00AD21AA">
      <w:pPr>
        <w:pStyle w:val="FootnoteText"/>
      </w:pPr>
      <w:r>
        <w:rPr>
          <w:rStyle w:val="FootnoteReference"/>
        </w:rPr>
        <w:footnoteRef/>
      </w:r>
      <w:r>
        <w:tab/>
        <w:t>Uredba (EU) 2020/873 Evropskega parlamenta in Sveta z dne 24. junija 2020 o spremembi uredb (EU) št. 575/2013 in (EU) 2019/876 glede nekaterih prilagoditev zaradi pandemije COVID-19 (UL L 204, 26.6.2020, str. 4).</w:t>
      </w:r>
    </w:p>
  </w:footnote>
  <w:footnote w:id="8">
    <w:p w14:paraId="5A30BC5D" w14:textId="77777777" w:rsidR="00AD21AA" w:rsidRPr="002E4D2B" w:rsidRDefault="00AD21AA" w:rsidP="00AD21AA">
      <w:pPr>
        <w:pStyle w:val="FootnoteText"/>
      </w:pPr>
      <w:r>
        <w:rPr>
          <w:rStyle w:val="FootnoteReference"/>
        </w:rPr>
        <w:footnoteRef/>
      </w:r>
      <w:r>
        <w:tab/>
        <w:t>Uredba (EU) št. 1093/2010 Evropskega parlamenta in Sveta z dne 24. novembra 2010 o ustanovitvi Evropskega nadzornega organa (Evropski bančni organ) in o spremembi Sklepa št. 716/2009/ES ter razveljavitvi Sklepa Komisije 2009/78/ES (UL L 331, 15.12.2010, str. 12).</w:t>
      </w:r>
    </w:p>
  </w:footnote>
  <w:footnote w:id="9">
    <w:p w14:paraId="2F6DC588" w14:textId="77777777" w:rsidR="0014552F" w:rsidRPr="002E4D2B" w:rsidRDefault="0014552F" w:rsidP="0014552F">
      <w:pPr>
        <w:pStyle w:val="FootnoteText"/>
      </w:pPr>
      <w:r>
        <w:rPr>
          <w:rStyle w:val="FootnoteReference"/>
        </w:rPr>
        <w:footnoteRef/>
      </w:r>
      <w:r>
        <w:tab/>
        <w:t>Delegirana uredba Komisije (EU) 2016/101 z dne 26. oktobra 2015 o dopolnitvi Uredbe (EU) št. 575/2013 Evropskega parlamenta in Sveta v zvezi z regulativnimi tehničnimi standardi za preudarno vrednotenje v skladu s členom 105(14) (UL L 21, 28.1.2016, str. 54).</w:t>
      </w:r>
    </w:p>
  </w:footnote>
  <w:footnote w:id="10">
    <w:p w14:paraId="0D4E857F" w14:textId="659ADEF0" w:rsidR="00FE0C02" w:rsidRPr="00B60583" w:rsidRDefault="00FE0C02" w:rsidP="00FE0C02">
      <w:pPr>
        <w:pStyle w:val="FootnoteText"/>
      </w:pPr>
      <w:r>
        <w:rPr>
          <w:rStyle w:val="FootnoteReference"/>
        </w:rPr>
        <w:footnoteRef/>
      </w:r>
      <w:r>
        <w:tab/>
        <w:t>Uredba (ES) št. 1606/2002 Evropskega parlamenta in Sveta z dne 19. julija 2002 o uporabi mednarodnih računovodskih standardov (UL L 243, 11.9.2002, str. 1).</w:t>
      </w:r>
    </w:p>
  </w:footnote>
  <w:footnote w:id="11">
    <w:p w14:paraId="186408CB" w14:textId="77777777" w:rsidR="00FE0C02" w:rsidRPr="00383524" w:rsidRDefault="00FE0C02" w:rsidP="00FE0C02">
      <w:pPr>
        <w:pStyle w:val="FootnoteText"/>
      </w:pPr>
      <w:r>
        <w:rPr>
          <w:rStyle w:val="FootnoteReference"/>
        </w:rPr>
        <w:footnoteRef/>
      </w:r>
      <w:r>
        <w:tab/>
        <w:t>Direktiva 2009/65/ES Evropskega parlamenta in Sveta z dne 13. julija 2009 o usklajevanju zakonov in drugih predpisov o kolektivnih naložbenih podjemih za vlaganja v prenosljive vrednostne papirje (KNPVP) (UL L 302, 17.11.2009, str. 32).</w:t>
      </w:r>
    </w:p>
  </w:footnote>
  <w:footnote w:id="12">
    <w:p w14:paraId="50B21B4D" w14:textId="77777777" w:rsidR="00FE0C02" w:rsidRPr="00EF0DDB" w:rsidRDefault="00FE0C02" w:rsidP="00FE0C02">
      <w:pPr>
        <w:pStyle w:val="FootnoteText"/>
      </w:pPr>
      <w:r>
        <w:rPr>
          <w:rStyle w:val="FootnoteReference"/>
        </w:rPr>
        <w:footnoteRef/>
      </w:r>
      <w:r>
        <w:tab/>
        <w:t>Uredba (EU) št. 806/2014 Evropskega parlamenta in Sveta z dne 15. julija 2014 o določitvi enotnih pravil in enotnega postopka za reševanje kreditnih institucij in določenih investicijskih podjetij v okviru enotnega mehanizma za reševanje in enotnega sklada za reševanje ter o spremembi Uredbe (EU) št. 1093/2010 (UL L 225, 30.7.2014, str.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B98189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81A8DC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878EBD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61AF8D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B5823E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118AF1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06CD66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3FAD0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2026DC68"/>
    <w:lvl w:ilvl="0" w:tplc="1890AE56">
      <w:start w:val="1"/>
      <w:numFmt w:val="decimal"/>
      <w:pStyle w:val="numberedparagraph"/>
      <w:lvlText w:val="%1."/>
      <w:lvlJc w:val="left"/>
      <w:pPr>
        <w:tabs>
          <w:tab w:val="num" w:pos="284"/>
        </w:tabs>
        <w:ind w:left="284" w:hanging="284"/>
      </w:pPr>
      <w:rPr>
        <w:rFonts w:hint="default"/>
        <w:lang w:val="en-US"/>
      </w:rPr>
    </w:lvl>
    <w:lvl w:ilvl="1" w:tplc="04090019">
      <w:start w:val="1"/>
      <w:numFmt w:val="lowerLetter"/>
      <w:lvlText w:val="%2."/>
      <w:lvlJc w:val="left"/>
      <w:pPr>
        <w:ind w:left="359"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5"/>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2"/>
  </w:num>
  <w:num w:numId="31">
    <w:abstractNumId w:val="21"/>
  </w:num>
  <w:num w:numId="32">
    <w:abstractNumId w:val="11"/>
  </w:num>
  <w:num w:numId="33">
    <w:abstractNumId w:val="13"/>
  </w:num>
  <w:num w:numId="34">
    <w:abstractNumId w:val="9"/>
  </w:num>
  <w:num w:numId="35">
    <w:abstractNumId w:val="20"/>
  </w:num>
  <w:num w:numId="36">
    <w:abstractNumId w:val="8"/>
  </w:num>
  <w:num w:numId="37">
    <w:abstractNumId w:val="14"/>
  </w:num>
  <w:num w:numId="38">
    <w:abstractNumId w:val="17"/>
  </w:num>
  <w:num w:numId="39">
    <w:abstractNumId w:val="18"/>
  </w:num>
  <w:num w:numId="40">
    <w:abstractNumId w:val="10"/>
  </w:num>
  <w:num w:numId="41">
    <w:abstractNumId w:val="16"/>
  </w:num>
  <w:num w:numId="42">
    <w:abstractNumId w:val="2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15"/>
  <w:attachedTemplate r:id="rId1"/>
  <w:defaultTabStop w:val="720"/>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0-12-14 16:43:17"/>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3"/>
    <w:docVar w:name="DQCResult_ModifiedMarkers" w:val="0;0"/>
    <w:docVar w:name="DQCResult_ModifiedNumbering" w:val="0;0"/>
    <w:docVar w:name="DQCResult_Objects" w:val="0;0"/>
    <w:docVar w:name="DQCResult_Sections" w:val="0;0"/>
    <w:docVar w:name="DQCResult_StructureCheck" w:val="0;0"/>
    <w:docVar w:name="DQCResult_SuperfluousWhitespace" w:val="0;4"/>
    <w:docVar w:name="DQCResult_UnknownFonts" w:val="0;0"/>
    <w:docVar w:name="DQCResult_UnknownStyles" w:val="0;0"/>
    <w:docVar w:name="DQCStatus" w:val="Green"/>
    <w:docVar w:name="DQCVersion" w:val="3"/>
    <w:docVar w:name="DQCWithWarnings" w:val="0"/>
    <w:docVar w:name="LW_COVERPAGE_EXISTS" w:val="True"/>
    <w:docVar w:name="LW_COVERPAGE_GUID" w:val="4CDEC60F-6CEF-4AF1-99E4-D684051EA693"/>
    <w:docVar w:name="LW_COVERPAGE_TYPE" w:val="1"/>
    <w:docVar w:name="LW_CROSSREFERENCE" w:val="&lt;UNUSED&gt;"/>
    <w:docVar w:name="LW_DATE.ADOPT.CP" w:val="z dne XXX"/>
    <w:docVar w:name="LW_DATE.ADOPT.CP_DATEFORMAT" w:val="z dne %DATE%"/>
    <w:docVar w:name="LW_DATE.ADOPT.CP_ISODATE" w:val="&lt;EMPTY&gt;"/>
    <w:docVar w:name="LW_DocType" w:val="COM"/>
    <w:docVar w:name="LW_EMISSION" w:val="&lt;EMPTY&gt;"/>
    <w:docVar w:name="LW_EMISSION_ISODATE" w:val="&lt;EMPTY&gt;"/>
    <w:docVar w:name="LW_EMISSION_LOCATION" w:val="BRX"/>
    <w:docVar w:name="LW_EMISSION_PREFIX" w:val="Bruselj, "/>
    <w:docVar w:name="LW_EMISSION_SUFFIX" w:val="&lt;EMPTY&gt;"/>
    <w:docVar w:name="LW_ID_DOCMODEL" w:val="SJ-004"/>
    <w:docVar w:name="LW_ID_DOCSIGNATURE" w:val="SJ-004"/>
    <w:docVar w:name="LW_ID_DOCSTRUCTURE" w:val="COM/AA"/>
    <w:docVar w:name="LW_ID_DOCTYPE" w:val="SJ-004"/>
    <w:docVar w:name="LW_INTERETEEE.CP" w:val="(Besedilo velja za EGP)"/>
    <w:docVar w:name="LW_LANGUE" w:val="SL"/>
    <w:docVar w:name="LW_LANGUESFAISANTFOI.CP" w:val="&lt;UNUSED&gt;"/>
    <w:docVar w:name="LW_LEVEL_OF_SENSITIVITY" w:val="Standard treatment"/>
    <w:docVar w:name="LW_NOM.INST" w:val="EVROPSKA KOMISIJA"/>
    <w:docVar w:name="LW_NOM.INST_JOINTDOC" w:val="&lt;EMPTY&gt;"/>
    <w:docVar w:name="LW_PART_NBR" w:val="1"/>
    <w:docVar w:name="LW_PART_NBR_TOTAL" w:val="1"/>
    <w:docVar w:name="LW_REF.INST.NEW" w:val="&lt;EMPTY&gt;"/>
    <w:docVar w:name="LW_REF.INST.NEW_ADOPTED" w:val="draft"/>
    <w:docVar w:name="LW_REF.INST.NEW_TEXT" w:val="(2020)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 dolo\u269?itvi izvedbenih tehni\u269?nih standardov za uporabo Uredbe (EU) \u353?t. 575/2013 Evropskega parlamenta in Sveta v zvezi z nadzorni\u353?kim poro\u269?anjem institucij in razveljavitvi Izvedbene uredbe (EU) \u353?t. 680/2014 _x000b_"/>
    <w:docVar w:name="LW_TYPE.DOC.CP" w:val="IZVEDBENA UREDBA KOMISIJE (EU) \u8230?/\u8230?"/>
  </w:docVars>
  <w:rsids>
    <w:rsidRoot w:val="0004170D"/>
    <w:rsid w:val="00023622"/>
    <w:rsid w:val="00036497"/>
    <w:rsid w:val="0004170D"/>
    <w:rsid w:val="0008268D"/>
    <w:rsid w:val="000832DE"/>
    <w:rsid w:val="000965A4"/>
    <w:rsid w:val="000A39B9"/>
    <w:rsid w:val="000B18AB"/>
    <w:rsid w:val="000B31D0"/>
    <w:rsid w:val="000B4D68"/>
    <w:rsid w:val="000B5ADE"/>
    <w:rsid w:val="000C3603"/>
    <w:rsid w:val="000C4EBE"/>
    <w:rsid w:val="000C60D7"/>
    <w:rsid w:val="00105D7C"/>
    <w:rsid w:val="00125634"/>
    <w:rsid w:val="00133A68"/>
    <w:rsid w:val="0014552F"/>
    <w:rsid w:val="0014569E"/>
    <w:rsid w:val="00151336"/>
    <w:rsid w:val="001612FE"/>
    <w:rsid w:val="00173862"/>
    <w:rsid w:val="001738AF"/>
    <w:rsid w:val="00194CD4"/>
    <w:rsid w:val="001957E2"/>
    <w:rsid w:val="001A14C2"/>
    <w:rsid w:val="001E355B"/>
    <w:rsid w:val="001E7F77"/>
    <w:rsid w:val="00221852"/>
    <w:rsid w:val="002360F2"/>
    <w:rsid w:val="002759C1"/>
    <w:rsid w:val="00285E17"/>
    <w:rsid w:val="002A0333"/>
    <w:rsid w:val="002B6FA8"/>
    <w:rsid w:val="002C0C3E"/>
    <w:rsid w:val="002C1097"/>
    <w:rsid w:val="002C1CA0"/>
    <w:rsid w:val="002D22E3"/>
    <w:rsid w:val="002E476B"/>
    <w:rsid w:val="00332B33"/>
    <w:rsid w:val="00334AD0"/>
    <w:rsid w:val="00352527"/>
    <w:rsid w:val="0036351A"/>
    <w:rsid w:val="003A1165"/>
    <w:rsid w:val="003A6A98"/>
    <w:rsid w:val="003B14E5"/>
    <w:rsid w:val="003B2A70"/>
    <w:rsid w:val="003D6311"/>
    <w:rsid w:val="003E7FD2"/>
    <w:rsid w:val="00403378"/>
    <w:rsid w:val="00445268"/>
    <w:rsid w:val="0047317A"/>
    <w:rsid w:val="00480310"/>
    <w:rsid w:val="00496B08"/>
    <w:rsid w:val="004A4E65"/>
    <w:rsid w:val="004B7AEA"/>
    <w:rsid w:val="004C5180"/>
    <w:rsid w:val="004D5E20"/>
    <w:rsid w:val="004D795C"/>
    <w:rsid w:val="00505B92"/>
    <w:rsid w:val="00531744"/>
    <w:rsid w:val="00535526"/>
    <w:rsid w:val="00545C74"/>
    <w:rsid w:val="00563765"/>
    <w:rsid w:val="005A2A1F"/>
    <w:rsid w:val="005A6D07"/>
    <w:rsid w:val="005C3834"/>
    <w:rsid w:val="005E5208"/>
    <w:rsid w:val="005F180D"/>
    <w:rsid w:val="00627D4B"/>
    <w:rsid w:val="00646DA2"/>
    <w:rsid w:val="00656F3B"/>
    <w:rsid w:val="00681997"/>
    <w:rsid w:val="006947FE"/>
    <w:rsid w:val="006B3AF7"/>
    <w:rsid w:val="006B5AAF"/>
    <w:rsid w:val="006B61AF"/>
    <w:rsid w:val="006D20F7"/>
    <w:rsid w:val="007241CC"/>
    <w:rsid w:val="00725875"/>
    <w:rsid w:val="00794AEA"/>
    <w:rsid w:val="007951FC"/>
    <w:rsid w:val="007D13CB"/>
    <w:rsid w:val="007D178B"/>
    <w:rsid w:val="007E5F66"/>
    <w:rsid w:val="007F0EBD"/>
    <w:rsid w:val="00800894"/>
    <w:rsid w:val="008137A2"/>
    <w:rsid w:val="008326B8"/>
    <w:rsid w:val="008332D8"/>
    <w:rsid w:val="008568F5"/>
    <w:rsid w:val="00856A5A"/>
    <w:rsid w:val="00877878"/>
    <w:rsid w:val="00886F23"/>
    <w:rsid w:val="008A50C4"/>
    <w:rsid w:val="008B78EA"/>
    <w:rsid w:val="008D699F"/>
    <w:rsid w:val="008E7112"/>
    <w:rsid w:val="008F7BAF"/>
    <w:rsid w:val="009074CD"/>
    <w:rsid w:val="009224FE"/>
    <w:rsid w:val="00951C31"/>
    <w:rsid w:val="00954BF9"/>
    <w:rsid w:val="00965716"/>
    <w:rsid w:val="009675DD"/>
    <w:rsid w:val="00977656"/>
    <w:rsid w:val="009A56F4"/>
    <w:rsid w:val="009B4DF9"/>
    <w:rsid w:val="009B7FA6"/>
    <w:rsid w:val="009C1C74"/>
    <w:rsid w:val="009C4797"/>
    <w:rsid w:val="009C5CB4"/>
    <w:rsid w:val="009D7A29"/>
    <w:rsid w:val="00A07896"/>
    <w:rsid w:val="00A10245"/>
    <w:rsid w:val="00A10398"/>
    <w:rsid w:val="00A211D2"/>
    <w:rsid w:val="00A228D5"/>
    <w:rsid w:val="00A26E4D"/>
    <w:rsid w:val="00A3263C"/>
    <w:rsid w:val="00A5494A"/>
    <w:rsid w:val="00A62EBB"/>
    <w:rsid w:val="00A74743"/>
    <w:rsid w:val="00A92406"/>
    <w:rsid w:val="00AD21AA"/>
    <w:rsid w:val="00AE51EF"/>
    <w:rsid w:val="00AE6C16"/>
    <w:rsid w:val="00B33923"/>
    <w:rsid w:val="00B36013"/>
    <w:rsid w:val="00B5497D"/>
    <w:rsid w:val="00B80AC9"/>
    <w:rsid w:val="00BA0CA9"/>
    <w:rsid w:val="00BA2220"/>
    <w:rsid w:val="00BA7AD9"/>
    <w:rsid w:val="00BB50EB"/>
    <w:rsid w:val="00BB60B6"/>
    <w:rsid w:val="00BB736E"/>
    <w:rsid w:val="00BC75BD"/>
    <w:rsid w:val="00BF0E94"/>
    <w:rsid w:val="00BF182F"/>
    <w:rsid w:val="00C05EA4"/>
    <w:rsid w:val="00C14839"/>
    <w:rsid w:val="00C24911"/>
    <w:rsid w:val="00C278CC"/>
    <w:rsid w:val="00C36BE6"/>
    <w:rsid w:val="00C36E0D"/>
    <w:rsid w:val="00C5099A"/>
    <w:rsid w:val="00C901BD"/>
    <w:rsid w:val="00CA348C"/>
    <w:rsid w:val="00CF106C"/>
    <w:rsid w:val="00D9176D"/>
    <w:rsid w:val="00DC2475"/>
    <w:rsid w:val="00E03572"/>
    <w:rsid w:val="00E10715"/>
    <w:rsid w:val="00E14194"/>
    <w:rsid w:val="00E23D3B"/>
    <w:rsid w:val="00E76D3F"/>
    <w:rsid w:val="00E8608B"/>
    <w:rsid w:val="00EA3C24"/>
    <w:rsid w:val="00EA3E25"/>
    <w:rsid w:val="00EA6449"/>
    <w:rsid w:val="00ED391B"/>
    <w:rsid w:val="00EF4651"/>
    <w:rsid w:val="00F335A5"/>
    <w:rsid w:val="00F37163"/>
    <w:rsid w:val="00F642FD"/>
    <w:rsid w:val="00F91160"/>
    <w:rsid w:val="00F91209"/>
    <w:rsid w:val="00F97AAB"/>
    <w:rsid w:val="00FB1027"/>
    <w:rsid w:val="00FD3527"/>
    <w:rsid w:val="00FE0C02"/>
    <w:rsid w:val="00FF3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956F0B3"/>
  <w15:docId w15:val="{3BD3C04E-1296-4BF1-9D14-7970A6BB8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sl-SI"/>
    </w:rPr>
  </w:style>
  <w:style w:type="paragraph" w:styleId="Heading1">
    <w:name w:val="heading 1"/>
    <w:basedOn w:val="Normal"/>
    <w:next w:val="Text1"/>
    <w:link w:val="Heading1Char"/>
    <w:uiPriority w:val="9"/>
    <w:qFormat/>
    <w:rsid w:val="009B7138"/>
    <w:pPr>
      <w:keepNext/>
      <w:numPr>
        <w:numId w:val="3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5"/>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5"/>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170D"/>
    <w:rPr>
      <w:color w:val="0000FF" w:themeColor="hyperlink"/>
      <w:u w:val="single"/>
    </w:rPr>
  </w:style>
  <w:style w:type="paragraph" w:styleId="ListParagraph">
    <w:name w:val="List Paragraph"/>
    <w:basedOn w:val="Normal"/>
    <w:link w:val="ListParagraphChar"/>
    <w:uiPriority w:val="34"/>
    <w:qFormat/>
    <w:rsid w:val="0004170D"/>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rsid w:val="0004170D"/>
    <w:rPr>
      <w:rFonts w:ascii="Calibri" w:eastAsia="Calibri" w:hAnsi="Calibri" w:cs="Times New Roman"/>
      <w:lang w:val="sl-SI"/>
    </w:rPr>
  </w:style>
  <w:style w:type="paragraph" w:customStyle="1" w:styleId="numberedparagraph">
    <w:name w:val="numbered paragraph"/>
    <w:basedOn w:val="Normal"/>
    <w:qFormat/>
    <w:rsid w:val="0004170D"/>
    <w:pPr>
      <w:numPr>
        <w:numId w:val="1"/>
      </w:numPr>
      <w:spacing w:before="240" w:line="276" w:lineRule="auto"/>
    </w:pPr>
    <w:rPr>
      <w:rFonts w:asciiTheme="minorHAnsi" w:eastAsiaTheme="minorEastAsia" w:hAnsiTheme="minorHAnsi" w:cstheme="minorBidi"/>
      <w:sz w:val="22"/>
      <w:szCs w:val="24"/>
    </w:rPr>
  </w:style>
  <w:style w:type="paragraph" w:styleId="ListBullet">
    <w:name w:val="List Bullet"/>
    <w:basedOn w:val="Normal"/>
    <w:uiPriority w:val="99"/>
    <w:semiHidden/>
    <w:unhideWhenUsed/>
    <w:rsid w:val="00F335A5"/>
    <w:pPr>
      <w:numPr>
        <w:numId w:val="2"/>
      </w:numPr>
      <w:contextualSpacing/>
    </w:pPr>
  </w:style>
  <w:style w:type="paragraph" w:styleId="ListBullet2">
    <w:name w:val="List Bullet 2"/>
    <w:basedOn w:val="Normal"/>
    <w:uiPriority w:val="99"/>
    <w:semiHidden/>
    <w:unhideWhenUsed/>
    <w:rsid w:val="00F335A5"/>
    <w:pPr>
      <w:numPr>
        <w:numId w:val="3"/>
      </w:numPr>
      <w:contextualSpacing/>
    </w:pPr>
  </w:style>
  <w:style w:type="paragraph" w:styleId="ListBullet3">
    <w:name w:val="List Bullet 3"/>
    <w:basedOn w:val="Normal"/>
    <w:uiPriority w:val="99"/>
    <w:semiHidden/>
    <w:unhideWhenUsed/>
    <w:rsid w:val="00F335A5"/>
    <w:pPr>
      <w:numPr>
        <w:numId w:val="4"/>
      </w:numPr>
      <w:contextualSpacing/>
    </w:pPr>
  </w:style>
  <w:style w:type="paragraph" w:styleId="ListBullet4">
    <w:name w:val="List Bullet 4"/>
    <w:basedOn w:val="Normal"/>
    <w:uiPriority w:val="99"/>
    <w:semiHidden/>
    <w:unhideWhenUsed/>
    <w:rsid w:val="00F335A5"/>
    <w:pPr>
      <w:numPr>
        <w:numId w:val="5"/>
      </w:numPr>
      <w:contextualSpacing/>
    </w:pPr>
  </w:style>
  <w:style w:type="paragraph" w:styleId="Caption">
    <w:name w:val="caption"/>
    <w:basedOn w:val="Normal"/>
    <w:next w:val="Normal"/>
    <w:uiPriority w:val="35"/>
    <w:semiHidden/>
    <w:unhideWhenUsed/>
    <w:qFormat/>
    <w:rsid w:val="00BA0CA9"/>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BA0CA9"/>
    <w:pPr>
      <w:spacing w:after="0"/>
    </w:pPr>
  </w:style>
  <w:style w:type="paragraph" w:styleId="ListNumber">
    <w:name w:val="List Number"/>
    <w:basedOn w:val="Normal"/>
    <w:uiPriority w:val="99"/>
    <w:semiHidden/>
    <w:unhideWhenUsed/>
    <w:rsid w:val="00BA0CA9"/>
    <w:pPr>
      <w:numPr>
        <w:numId w:val="6"/>
      </w:numPr>
      <w:contextualSpacing/>
    </w:pPr>
  </w:style>
  <w:style w:type="paragraph" w:styleId="ListNumber2">
    <w:name w:val="List Number 2"/>
    <w:basedOn w:val="Normal"/>
    <w:uiPriority w:val="99"/>
    <w:semiHidden/>
    <w:unhideWhenUsed/>
    <w:rsid w:val="00BA0CA9"/>
    <w:pPr>
      <w:numPr>
        <w:numId w:val="7"/>
      </w:numPr>
      <w:contextualSpacing/>
    </w:pPr>
  </w:style>
  <w:style w:type="paragraph" w:styleId="ListNumber3">
    <w:name w:val="List Number 3"/>
    <w:basedOn w:val="Normal"/>
    <w:uiPriority w:val="99"/>
    <w:semiHidden/>
    <w:unhideWhenUsed/>
    <w:rsid w:val="00BA0CA9"/>
    <w:pPr>
      <w:numPr>
        <w:numId w:val="8"/>
      </w:numPr>
      <w:contextualSpacing/>
    </w:pPr>
  </w:style>
  <w:style w:type="paragraph" w:styleId="ListNumber4">
    <w:name w:val="List Number 4"/>
    <w:basedOn w:val="Normal"/>
    <w:uiPriority w:val="99"/>
    <w:semiHidden/>
    <w:unhideWhenUsed/>
    <w:rsid w:val="00BA0CA9"/>
    <w:pPr>
      <w:numPr>
        <w:numId w:val="9"/>
      </w:numPr>
      <w:contextualSpacing/>
    </w:pPr>
  </w:style>
  <w:style w:type="character" w:styleId="CommentReference">
    <w:name w:val="annotation reference"/>
    <w:basedOn w:val="DefaultParagraphFont"/>
    <w:uiPriority w:val="99"/>
    <w:semiHidden/>
    <w:unhideWhenUsed/>
    <w:rsid w:val="000B31D0"/>
    <w:rPr>
      <w:sz w:val="16"/>
      <w:szCs w:val="16"/>
    </w:rPr>
  </w:style>
  <w:style w:type="paragraph" w:styleId="CommentText">
    <w:name w:val="annotation text"/>
    <w:basedOn w:val="Normal"/>
    <w:link w:val="CommentTextChar"/>
    <w:uiPriority w:val="99"/>
    <w:unhideWhenUsed/>
    <w:rsid w:val="000B31D0"/>
    <w:rPr>
      <w:sz w:val="20"/>
      <w:szCs w:val="20"/>
    </w:rPr>
  </w:style>
  <w:style w:type="character" w:customStyle="1" w:styleId="CommentTextChar">
    <w:name w:val="Comment Text Char"/>
    <w:basedOn w:val="DefaultParagraphFont"/>
    <w:link w:val="CommentText"/>
    <w:uiPriority w:val="99"/>
    <w:rsid w:val="000B31D0"/>
    <w:rPr>
      <w:rFonts w:ascii="Times New Roman" w:hAnsi="Times New Roman" w:cs="Times New Roman"/>
      <w:sz w:val="20"/>
      <w:szCs w:val="20"/>
      <w:lang w:val="sl-SI"/>
    </w:rPr>
  </w:style>
  <w:style w:type="paragraph" w:styleId="CommentSubject">
    <w:name w:val="annotation subject"/>
    <w:basedOn w:val="CommentText"/>
    <w:next w:val="CommentText"/>
    <w:link w:val="CommentSubjectChar"/>
    <w:uiPriority w:val="99"/>
    <w:semiHidden/>
    <w:unhideWhenUsed/>
    <w:rsid w:val="000B31D0"/>
    <w:rPr>
      <w:b/>
      <w:bCs/>
    </w:rPr>
  </w:style>
  <w:style w:type="character" w:customStyle="1" w:styleId="CommentSubjectChar">
    <w:name w:val="Comment Subject Char"/>
    <w:basedOn w:val="CommentTextChar"/>
    <w:link w:val="CommentSubject"/>
    <w:uiPriority w:val="99"/>
    <w:semiHidden/>
    <w:rsid w:val="000B31D0"/>
    <w:rPr>
      <w:rFonts w:ascii="Times New Roman" w:hAnsi="Times New Roman" w:cs="Times New Roman"/>
      <w:b/>
      <w:bCs/>
      <w:sz w:val="20"/>
      <w:szCs w:val="20"/>
      <w:lang w:val="sl-SI"/>
    </w:rPr>
  </w:style>
  <w:style w:type="paragraph" w:styleId="BalloonText">
    <w:name w:val="Balloon Text"/>
    <w:basedOn w:val="Normal"/>
    <w:link w:val="BalloonTextChar"/>
    <w:uiPriority w:val="99"/>
    <w:semiHidden/>
    <w:unhideWhenUsed/>
    <w:rsid w:val="000B31D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D0"/>
    <w:rPr>
      <w:rFonts w:ascii="Segoe UI" w:hAnsi="Segoe UI" w:cs="Segoe UI"/>
      <w:sz w:val="18"/>
      <w:szCs w:val="18"/>
      <w:lang w:val="sl-SI"/>
    </w:rPr>
  </w:style>
  <w:style w:type="paragraph" w:customStyle="1" w:styleId="Titlelevel4">
    <w:name w:val="Title level 4"/>
    <w:next w:val="Normal"/>
    <w:qFormat/>
    <w:rsid w:val="00496B08"/>
    <w:pPr>
      <w:spacing w:before="240" w:after="240" w:line="240" w:lineRule="auto"/>
    </w:pPr>
    <w:rPr>
      <w:rFonts w:eastAsiaTheme="minorEastAsia"/>
      <w:color w:val="EEECE1" w:themeColor="background2"/>
      <w:sz w:val="24"/>
      <w:szCs w:val="24"/>
    </w:rPr>
  </w:style>
  <w:style w:type="paragraph" w:styleId="BodyText">
    <w:name w:val="Body Text"/>
    <w:basedOn w:val="Normal"/>
    <w:link w:val="BodyTextChar"/>
    <w:uiPriority w:val="1"/>
    <w:qFormat/>
    <w:rsid w:val="00F91209"/>
    <w:pPr>
      <w:widowControl w:val="0"/>
      <w:autoSpaceDE w:val="0"/>
      <w:autoSpaceDN w:val="0"/>
      <w:spacing w:before="0" w:after="0"/>
      <w:jc w:val="left"/>
    </w:pPr>
    <w:rPr>
      <w:rFonts w:ascii="Calibri" w:eastAsia="Calibri" w:hAnsi="Calibri" w:cs="Calibri"/>
      <w:sz w:val="22"/>
      <w:lang w:eastAsia="en-GB" w:bidi="en-GB"/>
    </w:rPr>
  </w:style>
  <w:style w:type="character" w:customStyle="1" w:styleId="BodyTextChar">
    <w:name w:val="Body Text Char"/>
    <w:basedOn w:val="DefaultParagraphFont"/>
    <w:link w:val="BodyText"/>
    <w:uiPriority w:val="1"/>
    <w:rsid w:val="00F91209"/>
    <w:rPr>
      <w:rFonts w:ascii="Calibri" w:eastAsia="Calibri" w:hAnsi="Calibri" w:cs="Calibri"/>
      <w:lang w:val="sl-SI" w:eastAsia="en-GB" w:bidi="en-GB"/>
    </w:rPr>
  </w:style>
  <w:style w:type="paragraph" w:customStyle="1" w:styleId="CM4">
    <w:name w:val="CM4"/>
    <w:basedOn w:val="Normal"/>
    <w:next w:val="Normal"/>
    <w:uiPriority w:val="99"/>
    <w:rsid w:val="000C60D7"/>
    <w:pPr>
      <w:autoSpaceDE w:val="0"/>
      <w:autoSpaceDN w:val="0"/>
      <w:adjustRightInd w:val="0"/>
      <w:spacing w:before="0" w:after="0"/>
      <w:jc w:val="left"/>
    </w:pPr>
    <w:rPr>
      <w:rFonts w:eastAsiaTheme="minorEastAsia"/>
      <w:szCs w:val="24"/>
    </w:rPr>
  </w:style>
  <w:style w:type="character" w:styleId="FollowedHyperlink">
    <w:name w:val="FollowedHyperlink"/>
    <w:basedOn w:val="DefaultParagraphFont"/>
    <w:uiPriority w:val="99"/>
    <w:semiHidden/>
    <w:unhideWhenUsed/>
    <w:rsid w:val="00FE0C02"/>
    <w:rPr>
      <w:color w:val="800080" w:themeColor="followedHyperlink"/>
      <w:u w:val="single"/>
    </w:rPr>
  </w:style>
  <w:style w:type="paragraph" w:styleId="Revision">
    <w:name w:val="Revision"/>
    <w:hidden/>
    <w:uiPriority w:val="99"/>
    <w:semiHidden/>
    <w:rsid w:val="00FE0C02"/>
    <w:pPr>
      <w:spacing w:after="0" w:line="240" w:lineRule="auto"/>
    </w:pPr>
    <w:rPr>
      <w:rFonts w:ascii="Times New Roman" w:hAnsi="Times New Roman" w:cs="Times New Roman"/>
      <w:sz w:val="24"/>
    </w:rPr>
  </w:style>
  <w:style w:type="character" w:styleId="PlaceholderText">
    <w:name w:val="Placeholder Text"/>
    <w:basedOn w:val="DefaultParagraphFont"/>
    <w:uiPriority w:val="99"/>
    <w:semiHidden/>
    <w:rsid w:val="00FE0C02"/>
    <w:rPr>
      <w:color w:val="808080"/>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9"/>
      </w:numPr>
    </w:pPr>
  </w:style>
  <w:style w:type="paragraph" w:customStyle="1" w:styleId="Tiret1">
    <w:name w:val="Tiret 1"/>
    <w:basedOn w:val="Point1"/>
    <w:rsid w:val="009B7138"/>
    <w:pPr>
      <w:numPr>
        <w:numId w:val="30"/>
      </w:numPr>
    </w:pPr>
  </w:style>
  <w:style w:type="paragraph" w:customStyle="1" w:styleId="Tiret2">
    <w:name w:val="Tiret 2"/>
    <w:basedOn w:val="Point2"/>
    <w:rsid w:val="009B7138"/>
    <w:pPr>
      <w:numPr>
        <w:numId w:val="31"/>
      </w:numPr>
    </w:pPr>
  </w:style>
  <w:style w:type="paragraph" w:customStyle="1" w:styleId="Tiret3">
    <w:name w:val="Tiret 3"/>
    <w:basedOn w:val="Point3"/>
    <w:rsid w:val="009B7138"/>
    <w:pPr>
      <w:numPr>
        <w:numId w:val="32"/>
      </w:numPr>
    </w:pPr>
  </w:style>
  <w:style w:type="paragraph" w:customStyle="1" w:styleId="Tiret4">
    <w:name w:val="Tiret 4"/>
    <w:basedOn w:val="Point4"/>
    <w:rsid w:val="009B7138"/>
    <w:pPr>
      <w:numPr>
        <w:numId w:val="33"/>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4"/>
      </w:numPr>
    </w:pPr>
  </w:style>
  <w:style w:type="paragraph" w:customStyle="1" w:styleId="NumPar2">
    <w:name w:val="NumPar 2"/>
    <w:basedOn w:val="Normal"/>
    <w:next w:val="Text1"/>
    <w:rsid w:val="009B7138"/>
    <w:pPr>
      <w:numPr>
        <w:ilvl w:val="1"/>
        <w:numId w:val="34"/>
      </w:numPr>
    </w:pPr>
  </w:style>
  <w:style w:type="paragraph" w:customStyle="1" w:styleId="NumPar3">
    <w:name w:val="NumPar 3"/>
    <w:basedOn w:val="Normal"/>
    <w:next w:val="Text1"/>
    <w:rsid w:val="009B7138"/>
    <w:pPr>
      <w:numPr>
        <w:ilvl w:val="2"/>
        <w:numId w:val="34"/>
      </w:numPr>
    </w:pPr>
  </w:style>
  <w:style w:type="paragraph" w:customStyle="1" w:styleId="NumPar4">
    <w:name w:val="NumPar 4"/>
    <w:basedOn w:val="Normal"/>
    <w:next w:val="Text1"/>
    <w:rsid w:val="009B7138"/>
    <w:pPr>
      <w:numPr>
        <w:ilvl w:val="3"/>
        <w:numId w:val="34"/>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6"/>
      </w:numPr>
    </w:pPr>
  </w:style>
  <w:style w:type="paragraph" w:customStyle="1" w:styleId="Point1number">
    <w:name w:val="Point 1 (number)"/>
    <w:basedOn w:val="Normal"/>
    <w:rsid w:val="009B7138"/>
    <w:pPr>
      <w:numPr>
        <w:ilvl w:val="2"/>
        <w:numId w:val="36"/>
      </w:numPr>
    </w:pPr>
  </w:style>
  <w:style w:type="paragraph" w:customStyle="1" w:styleId="Point2number">
    <w:name w:val="Point 2 (number)"/>
    <w:basedOn w:val="Normal"/>
    <w:rsid w:val="009B7138"/>
    <w:pPr>
      <w:numPr>
        <w:ilvl w:val="4"/>
        <w:numId w:val="36"/>
      </w:numPr>
    </w:pPr>
  </w:style>
  <w:style w:type="paragraph" w:customStyle="1" w:styleId="Point3number">
    <w:name w:val="Point 3 (number)"/>
    <w:basedOn w:val="Normal"/>
    <w:rsid w:val="009B7138"/>
    <w:pPr>
      <w:numPr>
        <w:ilvl w:val="6"/>
        <w:numId w:val="36"/>
      </w:numPr>
    </w:pPr>
  </w:style>
  <w:style w:type="paragraph" w:customStyle="1" w:styleId="Point0letter">
    <w:name w:val="Point 0 (letter)"/>
    <w:basedOn w:val="Normal"/>
    <w:rsid w:val="009B7138"/>
    <w:pPr>
      <w:numPr>
        <w:ilvl w:val="1"/>
        <w:numId w:val="36"/>
      </w:numPr>
    </w:pPr>
  </w:style>
  <w:style w:type="paragraph" w:customStyle="1" w:styleId="Point1letter">
    <w:name w:val="Point 1 (letter)"/>
    <w:basedOn w:val="Normal"/>
    <w:rsid w:val="009B7138"/>
    <w:pPr>
      <w:numPr>
        <w:ilvl w:val="3"/>
        <w:numId w:val="36"/>
      </w:numPr>
    </w:pPr>
  </w:style>
  <w:style w:type="paragraph" w:customStyle="1" w:styleId="Point2letter">
    <w:name w:val="Point 2 (letter)"/>
    <w:basedOn w:val="Normal"/>
    <w:rsid w:val="009B7138"/>
    <w:pPr>
      <w:numPr>
        <w:ilvl w:val="5"/>
        <w:numId w:val="36"/>
      </w:numPr>
    </w:pPr>
  </w:style>
  <w:style w:type="paragraph" w:customStyle="1" w:styleId="Point3letter">
    <w:name w:val="Point 3 (letter)"/>
    <w:basedOn w:val="Normal"/>
    <w:rsid w:val="009B7138"/>
    <w:pPr>
      <w:numPr>
        <w:ilvl w:val="7"/>
        <w:numId w:val="36"/>
      </w:numPr>
    </w:pPr>
  </w:style>
  <w:style w:type="paragraph" w:customStyle="1" w:styleId="Point4letter">
    <w:name w:val="Point 4 (letter)"/>
    <w:basedOn w:val="Normal"/>
    <w:rsid w:val="009B7138"/>
    <w:pPr>
      <w:numPr>
        <w:ilvl w:val="8"/>
        <w:numId w:val="36"/>
      </w:numPr>
    </w:pPr>
  </w:style>
  <w:style w:type="paragraph" w:customStyle="1" w:styleId="Bullet0">
    <w:name w:val="Bullet 0"/>
    <w:basedOn w:val="Normal"/>
    <w:rsid w:val="009B7138"/>
    <w:pPr>
      <w:numPr>
        <w:numId w:val="37"/>
      </w:numPr>
    </w:pPr>
  </w:style>
  <w:style w:type="paragraph" w:customStyle="1" w:styleId="Bullet1">
    <w:name w:val="Bullet 1"/>
    <w:basedOn w:val="Normal"/>
    <w:rsid w:val="009B7138"/>
    <w:pPr>
      <w:numPr>
        <w:numId w:val="38"/>
      </w:numPr>
    </w:pPr>
  </w:style>
  <w:style w:type="paragraph" w:customStyle="1" w:styleId="Bullet2">
    <w:name w:val="Bullet 2"/>
    <w:basedOn w:val="Normal"/>
    <w:rsid w:val="009B7138"/>
    <w:pPr>
      <w:numPr>
        <w:numId w:val="39"/>
      </w:numPr>
    </w:pPr>
  </w:style>
  <w:style w:type="paragraph" w:customStyle="1" w:styleId="Bullet3">
    <w:name w:val="Bullet 3"/>
    <w:basedOn w:val="Normal"/>
    <w:rsid w:val="009B7138"/>
    <w:pPr>
      <w:numPr>
        <w:numId w:val="40"/>
      </w:numPr>
    </w:pPr>
  </w:style>
  <w:style w:type="paragraph" w:customStyle="1" w:styleId="Bullet4">
    <w:name w:val="Bullet 4"/>
    <w:basedOn w:val="Normal"/>
    <w:rsid w:val="009B7138"/>
    <w:pPr>
      <w:numPr>
        <w:numId w:val="41"/>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2"/>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4EF110-A205-4AB0-A4A6-423BAC8EB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18</Pages>
  <Words>6523</Words>
  <Characters>36663</Characters>
  <Application>Microsoft Office Word</Application>
  <DocSecurity>0</DocSecurity>
  <Lines>666</Lines>
  <Paragraphs>304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Kornelia Wilinska</dc:creator>
  <cp:keywords/>
  <dc:description/>
  <cp:lastModifiedBy>VIDA Agnes (FISMA)</cp:lastModifiedBy>
  <cp:revision>2</cp:revision>
  <dcterms:created xsi:type="dcterms:W3CDTF">2020-12-21T08:19:00Z</dcterms:created>
  <dcterms:modified xsi:type="dcterms:W3CDTF">2020-12-21T08:19:00Z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7.0.1, Build 20190916</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