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69ED6B1D" w:rsidR="00C36E0D" w:rsidRPr="0060035B" w:rsidRDefault="006041B2" w:rsidP="0060035B">
      <w:pPr>
        <w:pStyle w:val="Pagedecouverture"/>
      </w:pPr>
      <w:bookmarkStart w:id="0" w:name="_GoBack"/>
      <w:bookmarkEnd w:id="0"/>
      <w:r>
        <w:pict w14:anchorId="5CB97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5C9872C-E49C-4B9E-8C7A-83F57F9C6728" style="width:450.65pt;height:422.9pt">
            <v:imagedata r:id="rId8" o:title=""/>
          </v:shape>
        </w:pict>
      </w:r>
    </w:p>
    <w:p w14:paraId="703F7C0E" w14:textId="77777777" w:rsidR="0004170D" w:rsidRPr="0060035B" w:rsidRDefault="0004170D">
      <w:pPr>
        <w:sectPr w:rsidR="0004170D" w:rsidRPr="0060035B" w:rsidSect="00B8468D">
          <w:footerReference w:type="default" r:id="rId9"/>
          <w:pgSz w:w="11907" w:h="16839"/>
          <w:pgMar w:top="1134" w:right="1417" w:bottom="1134" w:left="1417" w:header="709" w:footer="709" w:gutter="0"/>
          <w:pgNumType w:start="0"/>
          <w:cols w:space="720"/>
          <w:docGrid w:linePitch="360"/>
        </w:sectPr>
      </w:pPr>
    </w:p>
    <w:p w14:paraId="4E87218B" w14:textId="70DDA1B6" w:rsidR="0004170D" w:rsidRPr="00E0184E" w:rsidRDefault="0060035B" w:rsidP="0060035B">
      <w:pPr>
        <w:pStyle w:val="Typedudocument"/>
      </w:pPr>
      <w:r w:rsidRPr="00E0184E">
        <w:lastRenderedPageBreak/>
        <w:t>REGULAMENTUL DE PUNERE ÎN APLICARE (UE) …/… AL COMISIEI</w:t>
      </w:r>
    </w:p>
    <w:p w14:paraId="311EA019" w14:textId="747FBD7C" w:rsidR="0004170D" w:rsidRPr="00E0184E" w:rsidRDefault="0060035B" w:rsidP="0060035B">
      <w:pPr>
        <w:pStyle w:val="Datedadoption"/>
      </w:pPr>
      <w:r w:rsidRPr="00E0184E">
        <w:t xml:space="preserve">din </w:t>
      </w:r>
      <w:r w:rsidRPr="00E0184E">
        <w:rPr>
          <w:rStyle w:val="Marker2"/>
        </w:rPr>
        <w:t>XXX</w:t>
      </w:r>
    </w:p>
    <w:p w14:paraId="7EF0A74F" w14:textId="6F28ADB0" w:rsidR="0004170D" w:rsidRPr="00E0184E" w:rsidRDefault="0060035B" w:rsidP="0060035B">
      <w:pPr>
        <w:pStyle w:val="Titreobjet"/>
      </w:pPr>
      <w:r w:rsidRPr="00E0184E">
        <w:t xml:space="preserve">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680/2014 </w:t>
      </w:r>
      <w:r w:rsidRPr="00E0184E">
        <w:br/>
      </w:r>
    </w:p>
    <w:p w14:paraId="714F85CC" w14:textId="327195FB" w:rsidR="0004170D" w:rsidRPr="0060035B" w:rsidRDefault="0060035B" w:rsidP="0060035B">
      <w:pPr>
        <w:pStyle w:val="IntrtEEE"/>
      </w:pPr>
      <w:r w:rsidRPr="0060035B">
        <w:t>(Text cu relevanță pentru SEE)</w:t>
      </w:r>
    </w:p>
    <w:p w14:paraId="12CCC5F1" w14:textId="77777777" w:rsidR="0004170D" w:rsidRPr="0060035B" w:rsidRDefault="0004170D" w:rsidP="009675DD">
      <w:pPr>
        <w:pStyle w:val="Institutionquiagit"/>
      </w:pPr>
      <w:r w:rsidRPr="0060035B">
        <w:t>COMISIA EUROPEANĂ,</w:t>
      </w:r>
    </w:p>
    <w:p w14:paraId="54D27881" w14:textId="77777777" w:rsidR="0004170D" w:rsidRPr="0060035B" w:rsidRDefault="0004170D" w:rsidP="009675DD">
      <w:r w:rsidRPr="0060035B">
        <w:rPr>
          <w:color w:val="000000"/>
        </w:rPr>
        <w:t>având în vedere Tratatul privind funcționarea Uniunii Europene</w:t>
      </w:r>
      <w:r w:rsidRPr="0060035B">
        <w:t>,</w:t>
      </w:r>
    </w:p>
    <w:p w14:paraId="2965D16B" w14:textId="4EFD17A3" w:rsidR="0004170D" w:rsidRPr="0060035B" w:rsidRDefault="00AD21AA" w:rsidP="009675DD">
      <w:pPr>
        <w:rPr>
          <w:rFonts w:eastAsia="Times New Roman"/>
          <w:noProof/>
          <w:color w:val="000000"/>
        </w:rPr>
      </w:pPr>
      <w:r w:rsidRPr="0060035B">
        <w:t xml:space="preserve">având în vedere Regulamentul (UE) nr. </w:t>
      </w:r>
      <w:r w:rsidRPr="00E0184E">
        <w:t>575</w:t>
      </w:r>
      <w:r w:rsidRPr="0060035B">
        <w:t>/</w:t>
      </w:r>
      <w:r w:rsidRPr="00E0184E">
        <w:t>2013</w:t>
      </w:r>
      <w:r w:rsidRPr="0060035B">
        <w:t xml:space="preserve"> al Parlamentului European și al Consiliului din </w:t>
      </w:r>
      <w:r w:rsidRPr="00E0184E">
        <w:t>26</w:t>
      </w:r>
      <w:r w:rsidRPr="0060035B">
        <w:t xml:space="preserve"> iunie </w:t>
      </w:r>
      <w:r w:rsidRPr="00E0184E">
        <w:t>2013</w:t>
      </w:r>
      <w:r w:rsidRPr="0060035B">
        <w:t xml:space="preserve"> privind cerințele prudențiale pentru instituțiile de credit și firmele de investiții și de modificare a Regulamentului (UE) nr. </w:t>
      </w:r>
      <w:r w:rsidRPr="00E0184E">
        <w:t>648</w:t>
      </w:r>
      <w:r w:rsidRPr="0060035B">
        <w:t>/</w:t>
      </w:r>
      <w:r w:rsidRPr="00E0184E">
        <w:t>2012</w:t>
      </w:r>
      <w:r w:rsidRPr="0060035B">
        <w:rPr>
          <w:rStyle w:val="FootnoteReference"/>
        </w:rPr>
        <w:footnoteReference w:id="1"/>
      </w:r>
      <w:r w:rsidRPr="0060035B">
        <w:t xml:space="preserve">, în special articolul </w:t>
      </w:r>
      <w:r w:rsidRPr="00E0184E">
        <w:t>415</w:t>
      </w:r>
      <w:r w:rsidRPr="0060035B">
        <w:t xml:space="preserve"> alineatul (</w:t>
      </w:r>
      <w:r w:rsidRPr="00E0184E">
        <w:t>3</w:t>
      </w:r>
      <w:r w:rsidRPr="0060035B">
        <w:t xml:space="preserve">) primul paragraf, articolul </w:t>
      </w:r>
      <w:r w:rsidRPr="00E0184E">
        <w:t>415</w:t>
      </w:r>
      <w:r w:rsidRPr="0060035B">
        <w:t xml:space="preserve"> alineatul (</w:t>
      </w:r>
      <w:r w:rsidRPr="00E0184E">
        <w:t>3</w:t>
      </w:r>
      <w:r w:rsidRPr="0060035B">
        <w:t xml:space="preserve">a) primul paragraf, articolul </w:t>
      </w:r>
      <w:r w:rsidRPr="00E0184E">
        <w:t>430</w:t>
      </w:r>
      <w:r w:rsidRPr="0060035B">
        <w:t xml:space="preserve"> alineatul (</w:t>
      </w:r>
      <w:r w:rsidRPr="00E0184E">
        <w:t>7</w:t>
      </w:r>
      <w:r w:rsidRPr="0060035B">
        <w:t xml:space="preserve">) primul paragraf și articolul </w:t>
      </w:r>
      <w:r w:rsidRPr="00E0184E">
        <w:t>430</w:t>
      </w:r>
      <w:r w:rsidRPr="0060035B">
        <w:t xml:space="preserve"> alineatul (</w:t>
      </w:r>
      <w:r w:rsidRPr="00E0184E">
        <w:t>9</w:t>
      </w:r>
      <w:r w:rsidRPr="0060035B">
        <w:t>) al doilea paragraf,</w:t>
      </w:r>
    </w:p>
    <w:p w14:paraId="421FC692" w14:textId="77777777" w:rsidR="0004170D" w:rsidRPr="0060035B" w:rsidRDefault="0004170D" w:rsidP="009675DD">
      <w:r w:rsidRPr="0060035B">
        <w:t>întrucât:</w:t>
      </w:r>
    </w:p>
    <w:p w14:paraId="0A7D0586" w14:textId="618A3723" w:rsidR="00AD21AA" w:rsidRPr="0060035B" w:rsidRDefault="00AD21AA" w:rsidP="0047317A">
      <w:pPr>
        <w:pStyle w:val="Considrant"/>
        <w:numPr>
          <w:ilvl w:val="0"/>
          <w:numId w:val="11"/>
        </w:numPr>
      </w:pPr>
      <w:r w:rsidRPr="0060035B">
        <w:t>Fără a aduce atingere competențelor autorităților competente conferite prin articolul</w:t>
      </w:r>
      <w:r w:rsidR="009E6D0C">
        <w:t> </w:t>
      </w:r>
      <w:r w:rsidRPr="00E0184E">
        <w:t>104</w:t>
      </w:r>
      <w:r w:rsidRPr="0060035B">
        <w:t xml:space="preserve"> alineatul (</w:t>
      </w:r>
      <w:r w:rsidRPr="00E0184E">
        <w:t>1</w:t>
      </w:r>
      <w:r w:rsidRPr="0060035B">
        <w:t xml:space="preserve">) litera (j) din Directiva </w:t>
      </w:r>
      <w:r w:rsidRPr="00E0184E">
        <w:t>2013</w:t>
      </w:r>
      <w:r w:rsidRPr="0060035B">
        <w:t>/</w:t>
      </w:r>
      <w:r w:rsidRPr="00E0184E">
        <w:t>36</w:t>
      </w:r>
      <w:r w:rsidRPr="0060035B">
        <w:t>/UE a Parlamentului European și a Consiliului</w:t>
      </w:r>
      <w:r w:rsidRPr="0060035B">
        <w:rPr>
          <w:rStyle w:val="FootnoteReference"/>
        </w:rPr>
        <w:footnoteReference w:id="2"/>
      </w:r>
      <w:r w:rsidRPr="0060035B">
        <w:t xml:space="preserve">, Regulamentul de punere în aplicare (UE) nr. </w:t>
      </w:r>
      <w:r w:rsidRPr="00E0184E">
        <w:t>680</w:t>
      </w:r>
      <w:r w:rsidRPr="0060035B">
        <w:t>/</w:t>
      </w:r>
      <w:r w:rsidRPr="00E0184E">
        <w:t>2014</w:t>
      </w:r>
      <w:r w:rsidRPr="0060035B">
        <w:t xml:space="preserve"> al Comisiei</w:t>
      </w:r>
      <w:r w:rsidRPr="0060035B">
        <w:rPr>
          <w:rStyle w:val="FootnoteReference"/>
        </w:rPr>
        <w:footnoteReference w:id="3"/>
      </w:r>
      <w:r w:rsidRPr="0060035B">
        <w:t xml:space="preserve"> stabilește, în temeiul articolului </w:t>
      </w:r>
      <w:r w:rsidRPr="00E0184E">
        <w:t>430</w:t>
      </w:r>
      <w:r w:rsidRPr="0060035B">
        <w:t xml:space="preserve"> din Regulamentul (UE) nr. </w:t>
      </w:r>
      <w:r w:rsidRPr="00E0184E">
        <w:t>575</w:t>
      </w:r>
      <w:r w:rsidRPr="0060035B">
        <w:t>/</w:t>
      </w:r>
      <w:r w:rsidRPr="00E0184E">
        <w:t>2013</w:t>
      </w:r>
      <w:r w:rsidRPr="0060035B">
        <w:t xml:space="preserve">, un cadru de raportare coerent. Regulamentul de punere în aplicare (UE) nr. </w:t>
      </w:r>
      <w:r w:rsidRPr="00E0184E">
        <w:t>680</w:t>
      </w:r>
      <w:r w:rsidRPr="0060035B">
        <w:t>/</w:t>
      </w:r>
      <w:r w:rsidRPr="00E0184E">
        <w:t>2014</w:t>
      </w:r>
      <w:r w:rsidRPr="0060035B">
        <w:t xml:space="preserve"> a fost modificat de mai multe ori în urma modificărilor aduse Regulamentului (UE) nr.</w:t>
      </w:r>
      <w:r w:rsidR="009E6D0C">
        <w:t> </w:t>
      </w:r>
      <w:r w:rsidRPr="00E0184E">
        <w:t>575</w:t>
      </w:r>
      <w:r w:rsidRPr="0060035B">
        <w:t>/</w:t>
      </w:r>
      <w:r w:rsidRPr="00E0184E">
        <w:t>2013</w:t>
      </w:r>
      <w:r w:rsidRPr="0060035B">
        <w:t>, adoptate pentru a introduce, a dezvolta într-o mai mare măsură sau a adapta elemente prudențiale.</w:t>
      </w:r>
    </w:p>
    <w:p w14:paraId="7949AA03" w14:textId="77777777" w:rsidR="00AD21AA" w:rsidRPr="0060035B" w:rsidRDefault="00AD21AA" w:rsidP="0047317A">
      <w:pPr>
        <w:pStyle w:val="Considrant"/>
        <w:numPr>
          <w:ilvl w:val="0"/>
          <w:numId w:val="11"/>
        </w:numPr>
      </w:pPr>
      <w:r w:rsidRPr="0060035B">
        <w:t xml:space="preserve">Există o corelație strânsă între dispozițiile prezentului regulament întrucât acestea se referă la cerințele de raportare ale instituțiilor. În vederea asigurării coerenței între aceste dispoziții, care ar trebui să intre în vigoare în același timp, și pentru a oferi persoanelor care fac obiectul acestor obligații o imagine cuprinzătoare în privința dispozițiilor și un acces sintetic la acestea, este de dorit ca toate standardele tehnice de punere în aplicare conexe prevăzute în Regulamentul (UE) nr. </w:t>
      </w:r>
      <w:r w:rsidRPr="00E0184E">
        <w:t>575</w:t>
      </w:r>
      <w:r w:rsidRPr="0060035B">
        <w:t>/</w:t>
      </w:r>
      <w:r w:rsidRPr="00E0184E">
        <w:t>2013</w:t>
      </w:r>
      <w:r w:rsidRPr="0060035B">
        <w:t xml:space="preserve"> să fie incluse într-un singur regulament.</w:t>
      </w:r>
    </w:p>
    <w:p w14:paraId="1A0C281B" w14:textId="77777777" w:rsidR="00AD21AA" w:rsidRPr="0060035B" w:rsidRDefault="00AD21AA" w:rsidP="00AD21AA">
      <w:pPr>
        <w:pStyle w:val="Considrant"/>
      </w:pPr>
      <w:r w:rsidRPr="0060035B">
        <w:t xml:space="preserve">Luând în considerare standardele internaționale ale Comitetului de la Basel pentru supraveghere bancară, Regulamentul (UE) </w:t>
      </w:r>
      <w:r w:rsidRPr="00E0184E">
        <w:t>2019</w:t>
      </w:r>
      <w:r w:rsidRPr="0060035B">
        <w:t>/</w:t>
      </w:r>
      <w:r w:rsidRPr="00E0184E">
        <w:t>876</w:t>
      </w:r>
      <w:r w:rsidRPr="0060035B">
        <w:t xml:space="preserve"> al Parlamentului European și al </w:t>
      </w:r>
      <w:r w:rsidRPr="0060035B">
        <w:lastRenderedPageBreak/>
        <w:t>Consiliului</w:t>
      </w:r>
      <w:r w:rsidRPr="0060035B">
        <w:rPr>
          <w:rStyle w:val="FootnoteReference"/>
        </w:rPr>
        <w:footnoteReference w:id="4"/>
      </w:r>
      <w:r w:rsidRPr="0060035B">
        <w:t xml:space="preserve"> a modificat Regulamentul (UE) nr. </w:t>
      </w:r>
      <w:r w:rsidRPr="00E0184E">
        <w:t>575</w:t>
      </w:r>
      <w:r w:rsidRPr="0060035B">
        <w:t>/</w:t>
      </w:r>
      <w:r w:rsidRPr="00E0184E">
        <w:t>2013</w:t>
      </w:r>
      <w:r w:rsidRPr="0060035B">
        <w:t xml:space="preserve"> în mai multe privințe, cum ar fi indicatorul efectului de levier, cerința de finanțare stabilă netă, cerințele privind fondurile proprii și datoriile eligibile, riscul de credit al contrapărții, riscul de piață, expunerile față de contrapărți centrale, expunerile față de organismele de plasament colectiv, expunerile mari și cerințele de raportare și de publicare. Prin urmare, cadrul de raportare prevăzut în Regulamentul de punere în aplicare (UE) nr. </w:t>
      </w:r>
      <w:r w:rsidRPr="00E0184E">
        <w:t>680</w:t>
      </w:r>
      <w:r w:rsidRPr="0060035B">
        <w:t>/</w:t>
      </w:r>
      <w:r w:rsidRPr="00E0184E">
        <w:t>2014</w:t>
      </w:r>
      <w:r w:rsidRPr="0060035B">
        <w:t xml:space="preserve"> ar trebui să fie revizuit, iar setul de formulare pentru colectarea de informații în scopul raportării de supraveghere ar trebui actualizat.</w:t>
      </w:r>
    </w:p>
    <w:p w14:paraId="5F6B66C1" w14:textId="77777777" w:rsidR="00AD21AA" w:rsidRPr="0060035B" w:rsidRDefault="00AD21AA" w:rsidP="00AD21AA">
      <w:pPr>
        <w:pStyle w:val="Considrant"/>
      </w:pPr>
      <w:r w:rsidRPr="0060035B">
        <w:t xml:space="preserve">Regulamentul (UE) </w:t>
      </w:r>
      <w:r w:rsidRPr="00E0184E">
        <w:t>2019</w:t>
      </w:r>
      <w:r w:rsidRPr="0060035B">
        <w:t>/</w:t>
      </w:r>
      <w:r w:rsidRPr="00E0184E">
        <w:t>876</w:t>
      </w:r>
      <w:r w:rsidRPr="0060035B">
        <w:t xml:space="preserve"> a introdus în Regulamentul (UE) nr. </w:t>
      </w:r>
      <w:r w:rsidRPr="00E0184E">
        <w:t>575</w:t>
      </w:r>
      <w:r w:rsidRPr="0060035B">
        <w:t>/</w:t>
      </w:r>
      <w:r w:rsidRPr="00E0184E">
        <w:t>2013</w:t>
      </w:r>
      <w:r w:rsidRPr="0060035B">
        <w:t xml:space="preserve"> o cerință privind indicatorul efectului de levier aferentă fondurilor proprii de nivel </w:t>
      </w:r>
      <w:r w:rsidRPr="00E0184E">
        <w:t>1</w:t>
      </w:r>
      <w:r w:rsidRPr="0060035B">
        <w:t xml:space="preserve"> calibrată la </w:t>
      </w:r>
      <w:r w:rsidRPr="00E0184E">
        <w:t>3</w:t>
      </w:r>
      <w:r w:rsidRPr="0060035B">
        <w:t xml:space="preserve"> %, o serie de ajustări ale calculului expunerii pentru indicatorul efectului de levier și o cerință privind amortizorul pentru indicatorul efectului de levier pentru instituțiile identificate ca fiind instituții de importanță sistemică globală (G-SII) în conformitate cu Directiva </w:t>
      </w:r>
      <w:r w:rsidRPr="00E0184E">
        <w:t>2013</w:t>
      </w:r>
      <w:r w:rsidRPr="0060035B">
        <w:t>/</w:t>
      </w:r>
      <w:r w:rsidRPr="00E0184E">
        <w:t>36</w:t>
      </w:r>
      <w:r w:rsidRPr="0060035B">
        <w:t>/UE. Raportarea indicatorului efectului de levier ar trebui, prin urmare, să fie actualizată pentru a reflecta respectivele cerințe și ajustări în calculul expunerii.</w:t>
      </w:r>
    </w:p>
    <w:p w14:paraId="3651D6E0" w14:textId="77777777" w:rsidR="00AD21AA" w:rsidRPr="0060035B" w:rsidRDefault="00AD21AA" w:rsidP="00AD21AA">
      <w:pPr>
        <w:pStyle w:val="Considrant"/>
      </w:pPr>
      <w:r w:rsidRPr="0060035B">
        <w:t xml:space="preserve">Regulamentul (UE) </w:t>
      </w:r>
      <w:r w:rsidRPr="00E0184E">
        <w:t>2019</w:t>
      </w:r>
      <w:r w:rsidRPr="0060035B">
        <w:t>/</w:t>
      </w:r>
      <w:r w:rsidRPr="00E0184E">
        <w:t>876</w:t>
      </w:r>
      <w:r w:rsidRPr="0060035B">
        <w:t xml:space="preserve"> a introdus în Regulamentul (UE) nr. </w:t>
      </w:r>
      <w:r w:rsidRPr="00E0184E">
        <w:t>575</w:t>
      </w:r>
      <w:r w:rsidRPr="0060035B">
        <w:t>/</w:t>
      </w:r>
      <w:r w:rsidRPr="00E0184E">
        <w:t>2013</w:t>
      </w:r>
      <w:r w:rsidRPr="0060035B">
        <w:t xml:space="preserve"> cerințe de raportare privind indicatorul de finanțare stabilă netă (NSFR), inclusiv cerințe simplificate. Prin urmare, este necesar să se stabilească un nou set de formulare de raportare și de instrucțiuni.</w:t>
      </w:r>
    </w:p>
    <w:p w14:paraId="7CAD2444" w14:textId="77777777" w:rsidR="00AD21AA" w:rsidRPr="0060035B" w:rsidRDefault="00AD21AA" w:rsidP="00AD21AA">
      <w:pPr>
        <w:pStyle w:val="Considrant"/>
      </w:pPr>
      <w:r w:rsidRPr="0060035B">
        <w:t xml:space="preserve">Regulamentul (UE) </w:t>
      </w:r>
      <w:r w:rsidRPr="00E0184E">
        <w:t>2019</w:t>
      </w:r>
      <w:r w:rsidRPr="0060035B">
        <w:t>/</w:t>
      </w:r>
      <w:r w:rsidRPr="00E0184E">
        <w:t>876</w:t>
      </w:r>
      <w:r w:rsidRPr="0060035B">
        <w:t xml:space="preserve"> a introdus în Regulamentul (UE) nr. </w:t>
      </w:r>
      <w:r w:rsidRPr="00E0184E">
        <w:t>575</w:t>
      </w:r>
      <w:r w:rsidRPr="0060035B">
        <w:t>/</w:t>
      </w:r>
      <w:r w:rsidRPr="00E0184E">
        <w:t>2013</w:t>
      </w:r>
      <w:r w:rsidRPr="0060035B">
        <w:t xml:space="preserve"> un nou factor de sprijinire care trebuie să se aplice în cazul expunerilor la proiecte de infrastructură, precum și abordări actualizate pentru a calcula valorile ponderate la risc ale expunerilor pentru organismele de plasament colectiv. Prin urmare, este necesar să se stabilească, ținându-se seama și de cadrul de publicare a informațiilor, noi formulare și instrucțiuni de raportare privind riscul de credit și să se actualizeze instrucțiunile în vigoare.</w:t>
      </w:r>
    </w:p>
    <w:p w14:paraId="19553D31" w14:textId="77777777" w:rsidR="00AD21AA" w:rsidRPr="0060035B" w:rsidRDefault="00AD21AA" w:rsidP="00AD21AA">
      <w:pPr>
        <w:pStyle w:val="Considrant"/>
      </w:pPr>
      <w:r w:rsidRPr="0060035B">
        <w:t xml:space="preserve">Regulamentul (UE) </w:t>
      </w:r>
      <w:r w:rsidRPr="00E0184E">
        <w:t>2019</w:t>
      </w:r>
      <w:r w:rsidRPr="0060035B">
        <w:t>/</w:t>
      </w:r>
      <w:r w:rsidRPr="00E0184E">
        <w:t>876</w:t>
      </w:r>
      <w:r w:rsidRPr="0060035B">
        <w:t xml:space="preserve"> a înlocuit abordarea standardizată din Regulamentul (UE) nr. </w:t>
      </w:r>
      <w:r w:rsidRPr="00E0184E">
        <w:t>575</w:t>
      </w:r>
      <w:r w:rsidRPr="0060035B">
        <w:t>/</w:t>
      </w:r>
      <w:r w:rsidRPr="00E0184E">
        <w:t>2013</w:t>
      </w:r>
      <w:r w:rsidRPr="0060035B">
        <w:t xml:space="preserve"> cu o abordare standardizată pentru riscul de credit al contrapărții (SA-CCR) mai senzitivă la risc și cu o versiune simplificată (SA-CCR simplificată) pentru instituțiile care îndeplinesc criteriile de eligibilitate predefinite. Metoda expunerii inițiale, deși revizuită, rămâne disponibilă pentru instituțiile care îndeplinesc criteriile predefinite. Prin urmare, este necesar să se adauge noi formulare și instrucțiuni de raportare privind riscul de credit al contrapărții și să se actualizeze instrucțiunile în vigoare.</w:t>
      </w:r>
    </w:p>
    <w:p w14:paraId="76193745" w14:textId="56218BF2" w:rsidR="00AD21AA" w:rsidRPr="0060035B" w:rsidRDefault="00AD21AA" w:rsidP="00AD21AA">
      <w:pPr>
        <w:pStyle w:val="Considrant"/>
      </w:pPr>
      <w:r w:rsidRPr="0060035B">
        <w:t xml:space="preserve">Regulamentul (UE) </w:t>
      </w:r>
      <w:r w:rsidRPr="00E0184E">
        <w:t>2019</w:t>
      </w:r>
      <w:r w:rsidRPr="0060035B">
        <w:t>/</w:t>
      </w:r>
      <w:r w:rsidRPr="00E0184E">
        <w:t>876</w:t>
      </w:r>
      <w:r w:rsidRPr="0060035B">
        <w:t xml:space="preserve"> a înlocuit trimiterile din Regulamentul (UE) nr.</w:t>
      </w:r>
      <w:r w:rsidR="00B8468D">
        <w:t> </w:t>
      </w:r>
      <w:r w:rsidRPr="00E0184E">
        <w:t>575</w:t>
      </w:r>
      <w:r w:rsidRPr="0060035B">
        <w:t>/</w:t>
      </w:r>
      <w:r w:rsidRPr="00E0184E">
        <w:t>2013</w:t>
      </w:r>
      <w:r w:rsidRPr="0060035B">
        <w:t xml:space="preserve"> la „capitalul eligibil” utilizat pentru calculul expunerilor mari cu trimiteri la „fondurile proprii de nivel </w:t>
      </w:r>
      <w:r w:rsidRPr="00E0184E">
        <w:t>1</w:t>
      </w:r>
      <w:r w:rsidRPr="0060035B">
        <w:t>” și a introdus un alt prag pentru raportarea expunerilor mari pe bază consolidată. Prin urmare, raportarea expunerilor mari ar trebui să fie actualizată.</w:t>
      </w:r>
    </w:p>
    <w:p w14:paraId="406A544B" w14:textId="3F98EE94" w:rsidR="00AD21AA" w:rsidRPr="0060035B" w:rsidRDefault="00AD21AA" w:rsidP="00AD21AA">
      <w:pPr>
        <w:pStyle w:val="Considrant"/>
      </w:pPr>
      <w:r w:rsidRPr="0060035B">
        <w:lastRenderedPageBreak/>
        <w:t xml:space="preserve">Regulamentul (UE) </w:t>
      </w:r>
      <w:r w:rsidRPr="00E0184E">
        <w:t>2019</w:t>
      </w:r>
      <w:r w:rsidRPr="0060035B">
        <w:t>/</w:t>
      </w:r>
      <w:r w:rsidRPr="00E0184E">
        <w:t>630</w:t>
      </w:r>
      <w:r w:rsidRPr="0060035B">
        <w:t xml:space="preserve"> al Parlamentului European și al Consiliului</w:t>
      </w:r>
      <w:r w:rsidRPr="0060035B">
        <w:rPr>
          <w:rStyle w:val="FootnoteReference"/>
        </w:rPr>
        <w:footnoteReference w:id="5"/>
      </w:r>
      <w:r w:rsidRPr="0060035B">
        <w:t xml:space="preserve"> a introdus în Regulamentul (UE) nr. </w:t>
      </w:r>
      <w:r w:rsidRPr="00E0184E">
        <w:t>575</w:t>
      </w:r>
      <w:r w:rsidRPr="0060035B">
        <w:t>/</w:t>
      </w:r>
      <w:r w:rsidRPr="00E0184E">
        <w:t>2013</w:t>
      </w:r>
      <w:r w:rsidRPr="0060035B">
        <w:t xml:space="preserve"> un mecanism de protecție prudențial pentru expunerile neperformante, care impune o deducere din fondurile proprii ale instituțiilor în cazul în care expunerile neperformante nu sunt suficient acoperite de provizioane sau de alte ajustări, pe baza unui calendar prestabilit, astfel încât să se ajungă, în timp, la o acoperire completă. Acest mecanism de protecție prudențial se bazează pe definiția „expunerii neperformante” și a „măsurilor de restructurare datorată dificultăților financiare” prevăzute în Regulamentul de punere în aplicare (UE) nr.</w:t>
      </w:r>
      <w:r w:rsidR="009E6D0C">
        <w:t> </w:t>
      </w:r>
      <w:r w:rsidRPr="00E0184E">
        <w:t>680</w:t>
      </w:r>
      <w:r w:rsidRPr="0060035B">
        <w:t>/</w:t>
      </w:r>
      <w:r w:rsidRPr="00E0184E">
        <w:t>2014</w:t>
      </w:r>
      <w:r w:rsidRPr="0060035B">
        <w:t>. Prin urmare, este necesar să se modifice formularele și instrucțiunile pentru a se asigura că există o definiție unică a „expunerii neperformante” și a „măsurilor de restructurare datorată dificultăților financiare”, atât pentru raportare, cât și pentru mecanismul de protecție prudențial. Sunt necesare, de asemenea, noi formulare pentru colectarea de informații în scopul calculului mecanismului de protecție.</w:t>
      </w:r>
    </w:p>
    <w:p w14:paraId="4A308F65" w14:textId="49FA76DB" w:rsidR="00AD21AA" w:rsidRPr="0060035B" w:rsidRDefault="00AD21AA" w:rsidP="00AD21AA">
      <w:pPr>
        <w:pStyle w:val="Considrant"/>
      </w:pPr>
      <w:r w:rsidRPr="0060035B">
        <w:t xml:space="preserve">Regulamentul (UE) </w:t>
      </w:r>
      <w:r w:rsidRPr="00E0184E">
        <w:t>2019</w:t>
      </w:r>
      <w:r w:rsidRPr="0060035B">
        <w:t>/</w:t>
      </w:r>
      <w:r w:rsidRPr="00E0184E">
        <w:t>2033</w:t>
      </w:r>
      <w:r w:rsidRPr="0060035B">
        <w:t xml:space="preserve"> al Parlamentului European și al Consiliului</w:t>
      </w:r>
      <w:r w:rsidRPr="0060035B">
        <w:rPr>
          <w:rStyle w:val="FootnoteReference"/>
        </w:rPr>
        <w:footnoteReference w:id="6"/>
      </w:r>
      <w:r w:rsidRPr="0060035B">
        <w:t xml:space="preserve"> abrogă, cu efect de la </w:t>
      </w:r>
      <w:r w:rsidRPr="00E0184E">
        <w:t>26</w:t>
      </w:r>
      <w:r w:rsidRPr="0060035B">
        <w:t xml:space="preserve"> iunie </w:t>
      </w:r>
      <w:r w:rsidRPr="00E0184E">
        <w:t>2026</w:t>
      </w:r>
      <w:r w:rsidRPr="0060035B">
        <w:t xml:space="preserve">, partea a treia titlul I capitolul </w:t>
      </w:r>
      <w:r w:rsidRPr="00E0184E">
        <w:t>1</w:t>
      </w:r>
      <w:r w:rsidRPr="0060035B">
        <w:t xml:space="preserve"> secțiunea </w:t>
      </w:r>
      <w:r w:rsidRPr="00E0184E">
        <w:t>2</w:t>
      </w:r>
      <w:r w:rsidRPr="0060035B">
        <w:t xml:space="preserve"> (articolele </w:t>
      </w:r>
      <w:r w:rsidRPr="00E0184E">
        <w:t>95</w:t>
      </w:r>
      <w:r w:rsidRPr="0060035B">
        <w:t>-</w:t>
      </w:r>
      <w:r w:rsidRPr="00E0184E">
        <w:t>98</w:t>
      </w:r>
      <w:r w:rsidRPr="0060035B">
        <w:t xml:space="preserve">) din Regulamentul (UE) nr. </w:t>
      </w:r>
      <w:r w:rsidRPr="00E0184E">
        <w:t>575</w:t>
      </w:r>
      <w:r w:rsidRPr="0060035B">
        <w:t>/</w:t>
      </w:r>
      <w:r w:rsidRPr="00E0184E">
        <w:t>2013</w:t>
      </w:r>
      <w:r w:rsidRPr="0060035B">
        <w:t xml:space="preserve">. Din acest motiv, dispozițiile privind raportarea pe bază individuală sau pe bază consolidată pentru grupurile constituite numai din firme de investiții care fac obiectul articolelor </w:t>
      </w:r>
      <w:r w:rsidRPr="00E0184E">
        <w:t>95</w:t>
      </w:r>
      <w:r w:rsidRPr="0060035B">
        <w:t xml:space="preserve"> și </w:t>
      </w:r>
      <w:r w:rsidRPr="00E0184E">
        <w:t>96</w:t>
      </w:r>
      <w:r w:rsidRPr="0060035B">
        <w:t xml:space="preserve"> din Regulamentul (UE) nr.</w:t>
      </w:r>
      <w:r w:rsidR="009E6D0C">
        <w:t> </w:t>
      </w:r>
      <w:r w:rsidRPr="00E0184E">
        <w:t>575</w:t>
      </w:r>
      <w:r w:rsidRPr="0060035B">
        <w:t>/</w:t>
      </w:r>
      <w:r w:rsidRPr="00E0184E">
        <w:t>2013</w:t>
      </w:r>
      <w:r w:rsidRPr="0060035B">
        <w:t xml:space="preserve"> ar trebui să înceteze să se aplice la </w:t>
      </w:r>
      <w:r w:rsidRPr="00E0184E">
        <w:t>26</w:t>
      </w:r>
      <w:r w:rsidRPr="0060035B">
        <w:t xml:space="preserve"> iunie </w:t>
      </w:r>
      <w:r w:rsidRPr="00E0184E">
        <w:t>2026</w:t>
      </w:r>
      <w:r w:rsidRPr="0060035B">
        <w:t>.</w:t>
      </w:r>
    </w:p>
    <w:p w14:paraId="43FA00D7" w14:textId="77777777" w:rsidR="00AD21AA" w:rsidRPr="0060035B" w:rsidRDefault="00AD21AA" w:rsidP="00AD21AA">
      <w:pPr>
        <w:pStyle w:val="Considrant"/>
      </w:pPr>
      <w:r w:rsidRPr="0060035B">
        <w:t xml:space="preserve">Având în vedere domeniul de aplicare al acestor modificări și din motive de claritate, este oportun să se abroge Regulamentul de punere în aplicare (UE) nr. </w:t>
      </w:r>
      <w:r w:rsidRPr="00E0184E">
        <w:t>680</w:t>
      </w:r>
      <w:r w:rsidRPr="0060035B">
        <w:t>/</w:t>
      </w:r>
      <w:r w:rsidRPr="00E0184E">
        <w:t>2014</w:t>
      </w:r>
      <w:r w:rsidRPr="0060035B">
        <w:t xml:space="preserve"> și să se înlocuiască cu prezentul regulament.</w:t>
      </w:r>
    </w:p>
    <w:p w14:paraId="68FF0834" w14:textId="77777777" w:rsidR="00AD21AA" w:rsidRPr="0060035B" w:rsidRDefault="00AD21AA" w:rsidP="00AD21AA">
      <w:pPr>
        <w:pStyle w:val="Considrant"/>
      </w:pPr>
      <w:r w:rsidRPr="0060035B">
        <w:t xml:space="preserve">Regulamentul (UE) </w:t>
      </w:r>
      <w:r w:rsidRPr="00E0184E">
        <w:t>2020</w:t>
      </w:r>
      <w:r w:rsidRPr="0060035B">
        <w:t>/</w:t>
      </w:r>
      <w:r w:rsidRPr="00E0184E">
        <w:t>873</w:t>
      </w:r>
      <w:r w:rsidRPr="0060035B">
        <w:t xml:space="preserve"> al Parlamentului European și al Consiliului</w:t>
      </w:r>
      <w:r w:rsidRPr="0060035B">
        <w:rPr>
          <w:rStyle w:val="FootnoteReference"/>
        </w:rPr>
        <w:footnoteReference w:id="7"/>
      </w:r>
      <w:r w:rsidRPr="0060035B">
        <w:t xml:space="preserve"> face parte dintr-o serie de măsuri menite să atenueze impactul pandemiei de COVID-</w:t>
      </w:r>
      <w:r w:rsidRPr="00E0184E">
        <w:t>19</w:t>
      </w:r>
      <w:r w:rsidRPr="0060035B">
        <w:t xml:space="preserve"> asupra instituțiilor din întreaga Uniune. Regulamentul respectiv a introdus anumite modificări ale Regulamentelor (UE) nr. </w:t>
      </w:r>
      <w:r w:rsidRPr="00E0184E">
        <w:t>575</w:t>
      </w:r>
      <w:r w:rsidRPr="0060035B">
        <w:t>/</w:t>
      </w:r>
      <w:r w:rsidRPr="00E0184E">
        <w:t>2013</w:t>
      </w:r>
      <w:r w:rsidRPr="0060035B">
        <w:t xml:space="preserve"> și (UE) </w:t>
      </w:r>
      <w:r w:rsidRPr="00E0184E">
        <w:t>2019</w:t>
      </w:r>
      <w:r w:rsidRPr="0060035B">
        <w:t>/</w:t>
      </w:r>
      <w:r w:rsidRPr="00E0184E">
        <w:t>876</w:t>
      </w:r>
      <w:r w:rsidRPr="0060035B">
        <w:t xml:space="preserve"> care au un impact asupra raportării de supraveghere. Prin urmare, aceste modificări ar trebui să se reflecte în cadrul de raportare. </w:t>
      </w:r>
    </w:p>
    <w:p w14:paraId="1AEA9367" w14:textId="77777777" w:rsidR="00AD21AA" w:rsidRPr="0060035B" w:rsidRDefault="00AD21AA" w:rsidP="00AD21AA">
      <w:pPr>
        <w:pStyle w:val="Considrant"/>
      </w:pPr>
      <w:r w:rsidRPr="0060035B">
        <w:t xml:space="preserve">Instituțiile ar trebui să înceapă raportarea de supraveghere până la sfârșitul celui de-al doilea trimestru al anului </w:t>
      </w:r>
      <w:r w:rsidRPr="00E0184E">
        <w:t>2021</w:t>
      </w:r>
      <w:r w:rsidRPr="0060035B">
        <w:t xml:space="preserve">. Cu toate acestea, raportarea privind amortizorul pentru indicatorul efectului de levier ar trebui să înceapă din ianuarie </w:t>
      </w:r>
      <w:r w:rsidRPr="00E0184E">
        <w:t>2023</w:t>
      </w:r>
      <w:r w:rsidRPr="0060035B">
        <w:t xml:space="preserve">, deoarece aplicarea cerințelor privind amortizorul pentru indicatorul efectului de levier a fost amânată pentru ianuarie </w:t>
      </w:r>
      <w:r w:rsidRPr="00E0184E">
        <w:t>2023</w:t>
      </w:r>
      <w:r w:rsidRPr="0060035B">
        <w:t xml:space="preserve"> prin Regulamentul (UE) </w:t>
      </w:r>
      <w:r w:rsidRPr="00E0184E">
        <w:t>2020</w:t>
      </w:r>
      <w:r w:rsidRPr="0060035B">
        <w:t>/</w:t>
      </w:r>
      <w:r w:rsidRPr="00E0184E">
        <w:t>873</w:t>
      </w:r>
      <w:r w:rsidRPr="0060035B">
        <w:t>.</w:t>
      </w:r>
    </w:p>
    <w:p w14:paraId="34258819" w14:textId="77777777" w:rsidR="00AD21AA" w:rsidRPr="0060035B" w:rsidRDefault="00AD21AA" w:rsidP="00AD21AA">
      <w:pPr>
        <w:pStyle w:val="Considrant"/>
      </w:pPr>
      <w:r w:rsidRPr="0060035B">
        <w:t>Prezentul regulament se bazează pe proiectul de standarde tehnice de punere în aplicare prezentat Comisiei de către Autoritatea Bancară Europeană (ABE).</w:t>
      </w:r>
    </w:p>
    <w:p w14:paraId="1EE2EAF8" w14:textId="77777777" w:rsidR="00AD21AA" w:rsidRPr="0060035B" w:rsidRDefault="00AD21AA" w:rsidP="00AD21AA">
      <w:pPr>
        <w:pStyle w:val="Considrant"/>
        <w:rPr>
          <w:noProof/>
        </w:rPr>
      </w:pPr>
      <w:r w:rsidRPr="0060035B">
        <w:t xml:space="preserve">ABE a organizat consultări publice deschise cu privire la proiectul de standarde tehnice de punere în aplicare pe care se bazează prezentul regulament, a analizat potențialele costuri și beneficii aferente și a solicitat avizul Grupului părților interesate </w:t>
      </w:r>
      <w:r w:rsidRPr="0060035B">
        <w:lastRenderedPageBreak/>
        <w:t xml:space="preserve">din domeniul bancar, instituit în conformitate cu articolul </w:t>
      </w:r>
      <w:r w:rsidRPr="00E0184E">
        <w:t>37</w:t>
      </w:r>
      <w:r w:rsidRPr="0060035B">
        <w:t xml:space="preserve"> din Regulamentul (UE) nr. </w:t>
      </w:r>
      <w:r w:rsidRPr="00E0184E">
        <w:t>1093</w:t>
      </w:r>
      <w:r w:rsidRPr="0060035B">
        <w:t>/</w:t>
      </w:r>
      <w:r w:rsidRPr="00E0184E">
        <w:t>2010</w:t>
      </w:r>
      <w:r w:rsidRPr="0060035B">
        <w:t xml:space="preserve"> al Parlamentului European și al Consiliului</w:t>
      </w:r>
      <w:r w:rsidRPr="0060035B">
        <w:rPr>
          <w:rStyle w:val="FootnoteReference"/>
        </w:rPr>
        <w:footnoteReference w:id="8"/>
      </w:r>
      <w:r w:rsidRPr="0060035B">
        <w:t xml:space="preserve">, fiind exceptate dispozițiile care reflectă modificările aduse Regulamentului (UE) nr. </w:t>
      </w:r>
      <w:r w:rsidRPr="00E0184E">
        <w:t>575</w:t>
      </w:r>
      <w:r w:rsidRPr="0060035B">
        <w:t>/</w:t>
      </w:r>
      <w:r w:rsidRPr="00E0184E">
        <w:t>2013</w:t>
      </w:r>
      <w:r w:rsidRPr="0060035B">
        <w:t xml:space="preserve"> de către Regulamentul (UE) </w:t>
      </w:r>
      <w:r w:rsidRPr="00E0184E">
        <w:t>2020</w:t>
      </w:r>
      <w:r w:rsidRPr="0060035B">
        <w:t>/</w:t>
      </w:r>
      <w:r w:rsidRPr="00E0184E">
        <w:t>873</w:t>
      </w:r>
      <w:r w:rsidRPr="0060035B">
        <w:t>. ABE a decis că ar fi fost extrem de disproporționat să se efectueze consultări publice sau o analiză cost-beneficiu cu privire la aceste dispoziții, deoarece acestea se referă la foarte puține rânduri din formularele de raportare – privind solvabilitatea și efectul de levier – și nu riscă să aibă un impact semnificativ asupra costurilor raportării. În plus, o astfel de consultare publică sau o analiză cost-beneficiu ar fi împiedicat autoritățile de supraveghere să colecteze în timp util datele relevante într-un mod coerent și ordonat.</w:t>
      </w:r>
    </w:p>
    <w:p w14:paraId="38285338" w14:textId="5E242B95" w:rsidR="0004170D" w:rsidRPr="0060035B" w:rsidRDefault="00AD21AA" w:rsidP="00AD21AA">
      <w:pPr>
        <w:pStyle w:val="Considrant"/>
        <w:rPr>
          <w:noProof/>
        </w:rPr>
      </w:pPr>
      <w:r w:rsidRPr="0060035B">
        <w:t xml:space="preserve">Pentru a acorda instituțiilor timp suficient pentru pregătirea raportării în conformitate cu prezentul regulament, acesta ar trebui să intre în vigoare în ziua următoare datei adoptării sale în </w:t>
      </w:r>
      <w:r w:rsidRPr="00E0184E">
        <w:rPr>
          <w:i/>
          <w:iCs/>
        </w:rPr>
        <w:t>Jurnalul Oficial al Uniunii Europene</w:t>
      </w:r>
      <w:r w:rsidRPr="0060035B">
        <w:t xml:space="preserve">, </w:t>
      </w:r>
    </w:p>
    <w:p w14:paraId="7E0D596A" w14:textId="77777777" w:rsidR="0004170D" w:rsidRPr="0060035B" w:rsidRDefault="0004170D" w:rsidP="009675DD">
      <w:pPr>
        <w:pStyle w:val="Formuledadoption"/>
      </w:pPr>
      <w:r w:rsidRPr="0060035B">
        <w:t>ADOPTĂ PREZENTUL REGULAMENT:</w:t>
      </w:r>
    </w:p>
    <w:p w14:paraId="576F9D8E" w14:textId="77777777" w:rsidR="0004170D" w:rsidRPr="00E0184E" w:rsidRDefault="0004170D" w:rsidP="009675DD">
      <w:pPr>
        <w:pStyle w:val="Titrearticle"/>
      </w:pPr>
      <w:r w:rsidRPr="00E0184E">
        <w:t>Articolul 1</w:t>
      </w:r>
    </w:p>
    <w:p w14:paraId="288B3999" w14:textId="77777777" w:rsidR="006B61AF" w:rsidRPr="00E0184E" w:rsidRDefault="006B61AF" w:rsidP="006B61AF">
      <w:pPr>
        <w:pStyle w:val="Titrearticle"/>
        <w:spacing w:before="120"/>
        <w:rPr>
          <w:b/>
          <w:i w:val="0"/>
        </w:rPr>
      </w:pPr>
      <w:r w:rsidRPr="00E0184E">
        <w:rPr>
          <w:b/>
          <w:i w:val="0"/>
        </w:rPr>
        <w:t>Obiect și domeniu de aplicare</w:t>
      </w:r>
    </w:p>
    <w:p w14:paraId="37986D69" w14:textId="774022E5" w:rsidR="0004170D" w:rsidRPr="0060035B" w:rsidRDefault="006B61AF" w:rsidP="00BC75BD">
      <w:r w:rsidRPr="0060035B">
        <w:t xml:space="preserve">Prezentul regulament stabilește formate și formulare de raportare uniforme, instrucțiuni privind modul de utilizare a acestor formulare și metodologia aferentă, frecvența și datele de raportare, definiții și soluții informatice pentru transmiterea de către instituții a rapoartelor către autoritățile lor competente, în conformitate cu articolul </w:t>
      </w:r>
      <w:r w:rsidRPr="00E0184E">
        <w:t>415</w:t>
      </w:r>
      <w:r w:rsidRPr="0060035B">
        <w:t xml:space="preserve"> alineatele (</w:t>
      </w:r>
      <w:r w:rsidRPr="00E0184E">
        <w:t>3</w:t>
      </w:r>
      <w:r w:rsidRPr="0060035B">
        <w:t>) și (</w:t>
      </w:r>
      <w:r w:rsidRPr="00E0184E">
        <w:t>3</w:t>
      </w:r>
      <w:r w:rsidRPr="0060035B">
        <w:t xml:space="preserve">a) din Regulamentul (UE) nr. </w:t>
      </w:r>
      <w:r w:rsidRPr="00E0184E">
        <w:t>575</w:t>
      </w:r>
      <w:r w:rsidRPr="0060035B">
        <w:t>/</w:t>
      </w:r>
      <w:r w:rsidRPr="00E0184E">
        <w:t>2013</w:t>
      </w:r>
      <w:r w:rsidRPr="0060035B">
        <w:t xml:space="preserve"> și cu articolul </w:t>
      </w:r>
      <w:r w:rsidRPr="00E0184E">
        <w:t>430</w:t>
      </w:r>
      <w:r w:rsidRPr="0060035B">
        <w:t xml:space="preserve"> alineatele (</w:t>
      </w:r>
      <w:r w:rsidRPr="00E0184E">
        <w:t>1</w:t>
      </w:r>
      <w:r w:rsidRPr="0060035B">
        <w:t>)-(</w:t>
      </w:r>
      <w:r w:rsidRPr="00E0184E">
        <w:t>4</w:t>
      </w:r>
      <w:r w:rsidRPr="0060035B">
        <w:t>) și alineatele (</w:t>
      </w:r>
      <w:r w:rsidRPr="00E0184E">
        <w:t>7</w:t>
      </w:r>
      <w:r w:rsidRPr="0060035B">
        <w:t>) și (</w:t>
      </w:r>
      <w:r w:rsidRPr="00E0184E">
        <w:t>9</w:t>
      </w:r>
      <w:r w:rsidRPr="0060035B">
        <w:t xml:space="preserve">) din regulamentul menționat. </w:t>
      </w:r>
    </w:p>
    <w:p w14:paraId="46D6B4CF" w14:textId="77777777" w:rsidR="00FF364B" w:rsidRPr="00E0184E" w:rsidRDefault="00FF364B" w:rsidP="00FF364B">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2</w:t>
      </w:r>
      <w:r w:rsidR="00C601E7" w:rsidRPr="00E0184E">
        <w:fldChar w:fldCharType="end"/>
      </w:r>
    </w:p>
    <w:p w14:paraId="35E34B0E" w14:textId="1A25917F" w:rsidR="00FF364B" w:rsidRPr="00E0184E" w:rsidRDefault="006B61AF" w:rsidP="00FF364B">
      <w:pPr>
        <w:pStyle w:val="Titrearticle"/>
        <w:spacing w:before="120"/>
        <w:rPr>
          <w:b/>
          <w:i w:val="0"/>
        </w:rPr>
      </w:pPr>
      <w:r w:rsidRPr="00E0184E">
        <w:rPr>
          <w:b/>
          <w:i w:val="0"/>
        </w:rPr>
        <w:t>Datele de referință ale raportării</w:t>
      </w:r>
    </w:p>
    <w:p w14:paraId="10AD0363" w14:textId="77777777" w:rsidR="006B61AF" w:rsidRPr="0060035B" w:rsidRDefault="006B61AF" w:rsidP="006B61AF">
      <w:pPr>
        <w:pStyle w:val="NumPar1"/>
        <w:numPr>
          <w:ilvl w:val="0"/>
          <w:numId w:val="10"/>
        </w:numPr>
      </w:pPr>
      <w:r w:rsidRPr="0060035B">
        <w:t>Instituțiile transmit autorităților competente informații, astfel cum se prezintă aceste informații la următoarele date de referință ale raportării:</w:t>
      </w:r>
    </w:p>
    <w:p w14:paraId="7FC44D08" w14:textId="2BC9CD43" w:rsidR="006B61AF" w:rsidRPr="0060035B" w:rsidRDefault="00D9176D" w:rsidP="006B61AF">
      <w:pPr>
        <w:pStyle w:val="Point1"/>
      </w:pPr>
      <w:r w:rsidRPr="0060035B">
        <w:t>(a)</w:t>
      </w:r>
      <w:r w:rsidRPr="0060035B">
        <w:tab/>
        <w:t>raportare lunară: în ultima zi a fiecărei luni;</w:t>
      </w:r>
    </w:p>
    <w:p w14:paraId="28CC3121" w14:textId="77777777" w:rsidR="006B61AF" w:rsidRPr="0060035B" w:rsidRDefault="006B61AF" w:rsidP="006B61AF">
      <w:pPr>
        <w:pStyle w:val="Point1"/>
      </w:pPr>
      <w:r w:rsidRPr="0060035B">
        <w:t>(b)</w:t>
      </w:r>
      <w:r w:rsidRPr="0060035B">
        <w:tab/>
        <w:t xml:space="preserve">raportare trimestrială: </w:t>
      </w:r>
      <w:r w:rsidRPr="00E0184E">
        <w:t>31</w:t>
      </w:r>
      <w:r w:rsidRPr="0060035B">
        <w:t xml:space="preserve"> martie, </w:t>
      </w:r>
      <w:r w:rsidRPr="00E0184E">
        <w:t>30</w:t>
      </w:r>
      <w:r w:rsidRPr="0060035B">
        <w:t xml:space="preserve"> iunie, </w:t>
      </w:r>
      <w:r w:rsidRPr="00E0184E">
        <w:t>30</w:t>
      </w:r>
      <w:r w:rsidRPr="0060035B">
        <w:t xml:space="preserve"> septembrie și </w:t>
      </w:r>
      <w:r w:rsidRPr="00E0184E">
        <w:t>31</w:t>
      </w:r>
      <w:r w:rsidRPr="0060035B">
        <w:t xml:space="preserve"> decembrie;</w:t>
      </w:r>
    </w:p>
    <w:p w14:paraId="3C859754" w14:textId="77777777" w:rsidR="006B61AF" w:rsidRPr="0060035B" w:rsidRDefault="006B61AF" w:rsidP="006B61AF">
      <w:pPr>
        <w:pStyle w:val="Point1"/>
      </w:pPr>
      <w:r w:rsidRPr="0060035B">
        <w:t>(c)</w:t>
      </w:r>
      <w:r w:rsidRPr="0060035B">
        <w:tab/>
        <w:t xml:space="preserve">raportare bianuală: </w:t>
      </w:r>
      <w:r w:rsidRPr="00E0184E">
        <w:t>30</w:t>
      </w:r>
      <w:r w:rsidRPr="0060035B">
        <w:t xml:space="preserve"> iunie și </w:t>
      </w:r>
      <w:r w:rsidRPr="00E0184E">
        <w:t>31</w:t>
      </w:r>
      <w:r w:rsidRPr="0060035B">
        <w:t xml:space="preserve"> decembrie;</w:t>
      </w:r>
    </w:p>
    <w:p w14:paraId="03865441" w14:textId="5E46B259" w:rsidR="00FF364B" w:rsidRPr="0060035B" w:rsidRDefault="006B61AF" w:rsidP="006B61AF">
      <w:pPr>
        <w:pStyle w:val="Point1"/>
      </w:pPr>
      <w:r w:rsidRPr="0060035B">
        <w:t>(d)</w:t>
      </w:r>
      <w:r w:rsidRPr="0060035B">
        <w:tab/>
        <w:t xml:space="preserve">raportare anuală: </w:t>
      </w:r>
      <w:r w:rsidRPr="00E0184E">
        <w:t>31</w:t>
      </w:r>
      <w:r w:rsidRPr="0060035B">
        <w:t xml:space="preserve"> decembrie.</w:t>
      </w:r>
    </w:p>
    <w:p w14:paraId="40A4E6AA" w14:textId="77777777" w:rsidR="006B61AF" w:rsidRPr="0060035B" w:rsidRDefault="006B61AF" w:rsidP="006B61AF">
      <w:pPr>
        <w:pStyle w:val="NumPar1"/>
      </w:pPr>
      <w:r w:rsidRPr="0060035B">
        <w:t>Informațiile transmise în temeiul formularelor prevăzute în anexele III și IV, în conformitate cu instrucțiunile prevăzute în anexa V, care fac referire la o anumită perioadă sunt raportate cumulat din prima zi a exercițiului financiar până la data de referință.</w:t>
      </w:r>
    </w:p>
    <w:p w14:paraId="65D209FF" w14:textId="1131E63F" w:rsidR="00FF364B" w:rsidRPr="0060035B" w:rsidRDefault="006B61AF" w:rsidP="006B61AF">
      <w:pPr>
        <w:pStyle w:val="NumPar1"/>
      </w:pPr>
      <w:r w:rsidRPr="0060035B">
        <w:t xml:space="preserve">În cazul în care legislația națională permite instituțiilor să raporteze informațiile financiare pe baza datelor disponibile la încheierea exercițiului lor financiar, care este diferit de anul calendaristic, datele de referință ale raportării pot fi adaptate în consecință, astfel încât raportarea informațiilor financiare și a informațiilor necesare </w:t>
      </w:r>
      <w:r w:rsidRPr="0060035B">
        <w:lastRenderedPageBreak/>
        <w:t>pentru a identifica instituțiile de importanță sistemică globală (G-SII) și a le atribui acestora rate ale amortizorului să aibă loc o dată la trei, șase sau, respectiv, douăsprezece luni de la încheierea exercițiului lor financiar.</w:t>
      </w:r>
    </w:p>
    <w:p w14:paraId="45D66A15" w14:textId="77777777" w:rsidR="00725875" w:rsidRPr="00E0184E" w:rsidRDefault="00725875" w:rsidP="00725875">
      <w:pPr>
        <w:pStyle w:val="Titrearticle"/>
      </w:pPr>
      <w:r w:rsidRPr="00E0184E">
        <w:t>Articolul 3</w:t>
      </w:r>
    </w:p>
    <w:p w14:paraId="19D84E1B" w14:textId="77777777" w:rsidR="0014552F" w:rsidRPr="00E0184E" w:rsidRDefault="0014552F" w:rsidP="0014552F">
      <w:pPr>
        <w:pStyle w:val="Titrearticle"/>
        <w:spacing w:before="120"/>
        <w:rPr>
          <w:b/>
          <w:i w:val="0"/>
        </w:rPr>
      </w:pPr>
      <w:r w:rsidRPr="00E0184E">
        <w:rPr>
          <w:b/>
          <w:i w:val="0"/>
        </w:rPr>
        <w:t>Datele de transmitere a raportării</w:t>
      </w:r>
    </w:p>
    <w:p w14:paraId="1A3916EF" w14:textId="77777777" w:rsidR="0014552F" w:rsidRPr="0060035B" w:rsidRDefault="0014552F" w:rsidP="0047317A">
      <w:pPr>
        <w:pStyle w:val="NumPar1"/>
        <w:numPr>
          <w:ilvl w:val="0"/>
          <w:numId w:val="12"/>
        </w:numPr>
      </w:pPr>
      <w:r w:rsidRPr="0060035B">
        <w:t>Instituțiile transmit informații autorităților competente, până la sfârșitul programului de lucru, la următoarele date de transmitere:</w:t>
      </w:r>
    </w:p>
    <w:p w14:paraId="1B31A059" w14:textId="77777777" w:rsidR="0014552F" w:rsidRPr="0060035B" w:rsidRDefault="0014552F" w:rsidP="0014552F">
      <w:pPr>
        <w:pStyle w:val="Point1"/>
      </w:pPr>
      <w:r w:rsidRPr="0060035B">
        <w:t>(a)</w:t>
      </w:r>
      <w:r w:rsidRPr="0060035B">
        <w:tab/>
        <w:t xml:space="preserve">raportare lunară: a </w:t>
      </w:r>
      <w:r w:rsidRPr="00E0184E">
        <w:t>15</w:t>
      </w:r>
      <w:r w:rsidRPr="0060035B">
        <w:t>-a zi calendaristică de la data de referință a raportării;</w:t>
      </w:r>
    </w:p>
    <w:p w14:paraId="59E141C9" w14:textId="77777777" w:rsidR="0014552F" w:rsidRPr="0060035B" w:rsidRDefault="0014552F" w:rsidP="0014552F">
      <w:pPr>
        <w:pStyle w:val="Point1"/>
      </w:pPr>
      <w:r w:rsidRPr="0060035B">
        <w:t>(b)</w:t>
      </w:r>
      <w:r w:rsidRPr="0060035B">
        <w:tab/>
        <w:t xml:space="preserve">raportare trimestrială: </w:t>
      </w:r>
      <w:r w:rsidRPr="00E0184E">
        <w:t>12</w:t>
      </w:r>
      <w:r w:rsidRPr="0060035B">
        <w:t xml:space="preserve"> mai, </w:t>
      </w:r>
      <w:r w:rsidRPr="00E0184E">
        <w:t>11</w:t>
      </w:r>
      <w:r w:rsidRPr="0060035B">
        <w:t xml:space="preserve"> august, </w:t>
      </w:r>
      <w:r w:rsidRPr="00E0184E">
        <w:t>11</w:t>
      </w:r>
      <w:r w:rsidRPr="0060035B">
        <w:t xml:space="preserve"> noiembrie și </w:t>
      </w:r>
      <w:r w:rsidRPr="00E0184E">
        <w:t>11</w:t>
      </w:r>
      <w:r w:rsidRPr="0060035B">
        <w:t xml:space="preserve"> februarie;</w:t>
      </w:r>
    </w:p>
    <w:p w14:paraId="31A5927D" w14:textId="77777777" w:rsidR="0014552F" w:rsidRPr="0060035B" w:rsidRDefault="0014552F" w:rsidP="0014552F">
      <w:pPr>
        <w:pStyle w:val="Point1"/>
      </w:pPr>
      <w:r w:rsidRPr="0060035B">
        <w:t>(c)</w:t>
      </w:r>
      <w:r w:rsidRPr="0060035B">
        <w:tab/>
        <w:t xml:space="preserve">raportare bianuală: </w:t>
      </w:r>
      <w:r w:rsidRPr="00E0184E">
        <w:t>11</w:t>
      </w:r>
      <w:r w:rsidRPr="0060035B">
        <w:t xml:space="preserve"> august și </w:t>
      </w:r>
      <w:r w:rsidRPr="00E0184E">
        <w:t>11</w:t>
      </w:r>
      <w:r w:rsidRPr="0060035B">
        <w:t xml:space="preserve"> februarie;</w:t>
      </w:r>
    </w:p>
    <w:p w14:paraId="37F1906A" w14:textId="77777777" w:rsidR="0014552F" w:rsidRPr="0060035B" w:rsidRDefault="0014552F" w:rsidP="0014552F">
      <w:pPr>
        <w:pStyle w:val="Point1"/>
      </w:pPr>
      <w:r w:rsidRPr="0060035B">
        <w:t>(d)</w:t>
      </w:r>
      <w:r w:rsidRPr="0060035B">
        <w:tab/>
        <w:t xml:space="preserve">raportare anuală: </w:t>
      </w:r>
      <w:r w:rsidRPr="00E0184E">
        <w:t>11</w:t>
      </w:r>
      <w:r w:rsidRPr="0060035B">
        <w:t xml:space="preserve"> februarie.</w:t>
      </w:r>
    </w:p>
    <w:p w14:paraId="493E0587" w14:textId="77777777" w:rsidR="0014552F" w:rsidRPr="0060035B" w:rsidRDefault="0014552F" w:rsidP="0014552F">
      <w:pPr>
        <w:pStyle w:val="NumPar1"/>
        <w:numPr>
          <w:ilvl w:val="0"/>
          <w:numId w:val="10"/>
        </w:numPr>
      </w:pPr>
      <w:r w:rsidRPr="0060035B">
        <w:t>În cazul în care data de transmitere este o sărbătoare legală în statul membru al autorității competente căreia trebuie să i se prezinte raportul sau o zi de sâmbătă ori de duminică, informațiile sunt transmise în ziua lucrătoare următoare.</w:t>
      </w:r>
    </w:p>
    <w:p w14:paraId="6B66EFC5" w14:textId="77777777" w:rsidR="0014552F" w:rsidRPr="0060035B" w:rsidRDefault="0014552F" w:rsidP="0014552F">
      <w:pPr>
        <w:pStyle w:val="NumPar1"/>
        <w:numPr>
          <w:ilvl w:val="0"/>
          <w:numId w:val="10"/>
        </w:numPr>
      </w:pPr>
      <w:r w:rsidRPr="0060035B">
        <w:t xml:space="preserve">În cazul în care instituțiile utilizează datele de referință ale raportării ajustate pe baza datelor disponibile la încheierea exercițiului lor financiar, astfel cum se prevede la articolul </w:t>
      </w:r>
      <w:r w:rsidRPr="00E0184E">
        <w:t>2</w:t>
      </w:r>
      <w:r w:rsidRPr="0060035B">
        <w:t xml:space="preserve"> alineatul (</w:t>
      </w:r>
      <w:r w:rsidRPr="00E0184E">
        <w:t>3</w:t>
      </w:r>
      <w:r w:rsidRPr="0060035B">
        <w:t>), cu scopul de a raporta informații financiare sau informațiile necesare pentru a identifica instituțiile de importanță sistemică globală (G-SII) și a le atribui acestora rate ale amortizorului, datele de transmitere pot, de asemenea, să fie ajustate în consecință, astfel încât să se mențină aceeași perioadă de transmitere față de data de referință a raportării ajustată.</w:t>
      </w:r>
    </w:p>
    <w:p w14:paraId="67094FB3" w14:textId="77777777" w:rsidR="0014552F" w:rsidRPr="0060035B" w:rsidRDefault="0014552F" w:rsidP="0014552F">
      <w:pPr>
        <w:pStyle w:val="NumPar1"/>
        <w:numPr>
          <w:ilvl w:val="0"/>
          <w:numId w:val="10"/>
        </w:numPr>
      </w:pPr>
      <w:r w:rsidRPr="0060035B">
        <w:t>Instituțiile pot prezenta cifre neauditate. În cazul în care cifrele auditate sunt diferite față de cifrele neauditate transmise, se prezintă fără întârziere cifrele revizuite în urma auditării. Cifrele neauditate sunt cifre care nu au făcut obiectul unei opinii a unui auditor extern, în timp ce cifrele auditate sunt cifrele care au făcut obiectul unui audit efectuat de un auditor extern care și-a exprimat o opinie de audit.</w:t>
      </w:r>
    </w:p>
    <w:p w14:paraId="758E2E74" w14:textId="6B437F09" w:rsidR="00725875" w:rsidRPr="0060035B" w:rsidRDefault="0014552F" w:rsidP="0014552F">
      <w:pPr>
        <w:pStyle w:val="NumPar1"/>
        <w:numPr>
          <w:ilvl w:val="0"/>
          <w:numId w:val="10"/>
        </w:numPr>
      </w:pPr>
      <w:r w:rsidRPr="0060035B">
        <w:t>Se transmit, de asemenea, fără întârziere, autorităților competente orice alte corecții ale rapoartelor prezentate.</w:t>
      </w:r>
    </w:p>
    <w:p w14:paraId="60D8A63C" w14:textId="77777777" w:rsidR="0014552F" w:rsidRPr="00E0184E" w:rsidRDefault="0014552F" w:rsidP="0014552F">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4</w:t>
      </w:r>
      <w:r w:rsidR="00C601E7" w:rsidRPr="00E0184E">
        <w:fldChar w:fldCharType="end"/>
      </w:r>
    </w:p>
    <w:p w14:paraId="726E257C" w14:textId="77777777" w:rsidR="0014552F" w:rsidRPr="00E0184E" w:rsidRDefault="0014552F" w:rsidP="0014552F">
      <w:pPr>
        <w:pStyle w:val="Titrearticle"/>
        <w:spacing w:before="120"/>
        <w:rPr>
          <w:b/>
          <w:i w:val="0"/>
        </w:rPr>
      </w:pPr>
      <w:r w:rsidRPr="00E0184E">
        <w:rPr>
          <w:b/>
          <w:i w:val="0"/>
        </w:rPr>
        <w:t>Praguri de raportare — criterii de intrare și de ieșire</w:t>
      </w:r>
    </w:p>
    <w:p w14:paraId="06A0F026" w14:textId="5802BB9F" w:rsidR="0014552F" w:rsidRPr="0060035B" w:rsidRDefault="0014552F" w:rsidP="0047317A">
      <w:pPr>
        <w:pStyle w:val="NumPar1"/>
        <w:numPr>
          <w:ilvl w:val="0"/>
          <w:numId w:val="13"/>
        </w:numPr>
      </w:pPr>
      <w:r w:rsidRPr="0060035B">
        <w:t xml:space="preserve">Instituțiile care îndeplinesc condițiile prevăzute la articolul </w:t>
      </w:r>
      <w:r w:rsidRPr="00E0184E">
        <w:t>4</w:t>
      </w:r>
      <w:r w:rsidRPr="0060035B">
        <w:t xml:space="preserve"> alineatul (</w:t>
      </w:r>
      <w:r w:rsidRPr="00E0184E">
        <w:t>1</w:t>
      </w:r>
      <w:r w:rsidRPr="0060035B">
        <w:t>) punctul</w:t>
      </w:r>
      <w:r w:rsidR="009E6D0C">
        <w:t> </w:t>
      </w:r>
      <w:r w:rsidRPr="00E0184E">
        <w:t>145</w:t>
      </w:r>
      <w:r w:rsidRPr="0060035B">
        <w:t xml:space="preserve"> din Regulamentul (UE) nr. </w:t>
      </w:r>
      <w:r w:rsidRPr="00E0184E">
        <w:t>575</w:t>
      </w:r>
      <w:r w:rsidRPr="0060035B">
        <w:t>/</w:t>
      </w:r>
      <w:r w:rsidRPr="00E0184E">
        <w:t>2013</w:t>
      </w:r>
      <w:r w:rsidRPr="0060035B">
        <w:t xml:space="preserve"> trebuie să înceapă raportarea informațiilor ca instituții mici și cu un grad redus de complexitate la prima dată de referință a raportării după ce aceste condiții au fost îndeplinite. În cazul în care nu mai îndeplinesc condițiile respective, instituțiile încetează să mai raporteze informațiile la prima dată de referință a raportării ulterioară.</w:t>
      </w:r>
    </w:p>
    <w:p w14:paraId="67299D12" w14:textId="7D9AEFCB" w:rsidR="0014552F" w:rsidRPr="0060035B" w:rsidRDefault="0014552F" w:rsidP="0014552F">
      <w:pPr>
        <w:pStyle w:val="NumPar1"/>
        <w:numPr>
          <w:ilvl w:val="0"/>
          <w:numId w:val="10"/>
        </w:numPr>
      </w:pPr>
      <w:r w:rsidRPr="0060035B">
        <w:t xml:space="preserve">Instituțiile care îndeplinesc condițiile prevăzute la articolul </w:t>
      </w:r>
      <w:r w:rsidRPr="00E0184E">
        <w:t>4</w:t>
      </w:r>
      <w:r w:rsidRPr="0060035B">
        <w:t xml:space="preserve"> alineatul (</w:t>
      </w:r>
      <w:r w:rsidRPr="00E0184E">
        <w:t>1</w:t>
      </w:r>
      <w:r w:rsidRPr="0060035B">
        <w:t>) punctul</w:t>
      </w:r>
      <w:r w:rsidR="009E6D0C">
        <w:t> </w:t>
      </w:r>
      <w:r w:rsidRPr="00E0184E">
        <w:t>146</w:t>
      </w:r>
      <w:r w:rsidRPr="0060035B">
        <w:t xml:space="preserve"> din Regulamentul (UE) nr. </w:t>
      </w:r>
      <w:r w:rsidRPr="00E0184E">
        <w:t>575</w:t>
      </w:r>
      <w:r w:rsidRPr="0060035B">
        <w:t>/</w:t>
      </w:r>
      <w:r w:rsidRPr="00E0184E">
        <w:t>2013</w:t>
      </w:r>
      <w:r w:rsidRPr="0060035B">
        <w:t xml:space="preserve"> trebuie să înceapă raportarea informațiilor ca instituții mari la prima dată de referință a raportării după ce aceste condiții au fost îndeplinite. În cazul în care nu mai îndeplinesc condițiile respective, instituțiile încetează să mai raporteze informațiile la prima dată de referință a raportării ulterioară.</w:t>
      </w:r>
    </w:p>
    <w:p w14:paraId="427BAF61" w14:textId="77777777" w:rsidR="0014552F" w:rsidRPr="0060035B" w:rsidRDefault="0014552F" w:rsidP="0014552F">
      <w:pPr>
        <w:pStyle w:val="NumPar1"/>
        <w:numPr>
          <w:ilvl w:val="0"/>
          <w:numId w:val="10"/>
        </w:numPr>
      </w:pPr>
      <w:r w:rsidRPr="0060035B">
        <w:lastRenderedPageBreak/>
        <w:t>Instituțiile încep raportarea informațiilor care fac obiectul pragurilor stabilite în prezentul regulament la următoarea dată de referință a raportării după ce aceste praguri au fost depășite la două date de referință consecutive. Instituțiile au dreptul să nu mai raporteze informațiile care fac obiectul pragurilor stabilite în prezentul regulament la următoarea dată de referință a raportării în cazul în care s-au situat sub pragurile relevante la trei date de referință consecutive.</w:t>
      </w:r>
    </w:p>
    <w:p w14:paraId="1E03EF09" w14:textId="77777777" w:rsidR="0014552F" w:rsidRPr="00E0184E" w:rsidRDefault="0014552F" w:rsidP="0014552F">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5</w:t>
      </w:r>
      <w:r w:rsidR="00C601E7" w:rsidRPr="00E0184E">
        <w:fldChar w:fldCharType="end"/>
      </w:r>
    </w:p>
    <w:p w14:paraId="17F5FB19" w14:textId="77777777" w:rsidR="0014552F" w:rsidRPr="00E0184E" w:rsidRDefault="0014552F" w:rsidP="0014552F">
      <w:pPr>
        <w:pStyle w:val="Titrearticle"/>
        <w:spacing w:before="120"/>
        <w:rPr>
          <w:b/>
          <w:i w:val="0"/>
        </w:rPr>
      </w:pPr>
      <w:r w:rsidRPr="00E0184E">
        <w:rPr>
          <w:b/>
          <w:i w:val="0"/>
        </w:rPr>
        <w:t xml:space="preserve">Raportarea pe bază individuală cu privire la fondurile proprii și la cerințele de fonduri proprii – raportare trimestrială </w:t>
      </w:r>
    </w:p>
    <w:p w14:paraId="52AEA4DB" w14:textId="77777777" w:rsidR="0014552F" w:rsidRPr="0060035B" w:rsidRDefault="0014552F" w:rsidP="0047317A">
      <w:pPr>
        <w:pStyle w:val="NumPar1"/>
        <w:numPr>
          <w:ilvl w:val="0"/>
          <w:numId w:val="14"/>
        </w:numPr>
      </w:pPr>
      <w:r w:rsidRPr="0060035B">
        <w:t xml:space="preserve">Pentru a raporta pe bază individuală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instituțiile transmit informațiile menționate la prezentul articol cu o frecvență trimestrială.</w:t>
      </w:r>
    </w:p>
    <w:p w14:paraId="10F736EF" w14:textId="77777777" w:rsidR="0014552F" w:rsidRPr="0060035B" w:rsidRDefault="0014552F" w:rsidP="0014552F">
      <w:pPr>
        <w:pStyle w:val="NumPar1"/>
      </w:pPr>
      <w:r w:rsidRPr="0060035B">
        <w:t xml:space="preserve">Instituțiile transmit informațiile privind fondurile proprii și cerințele de fonduri proprii specificate în anexa I formularele </w:t>
      </w:r>
      <w:r w:rsidRPr="00E0184E">
        <w:t>1</w:t>
      </w:r>
      <w:r w:rsidRPr="0060035B">
        <w:t>-</w:t>
      </w:r>
      <w:r w:rsidRPr="00E0184E">
        <w:t>5</w:t>
      </w:r>
      <w:r w:rsidRPr="0060035B">
        <w:t xml:space="preserve"> în conformitate cu instrucțiunile din anexa II partea II punctul </w:t>
      </w:r>
      <w:r w:rsidRPr="00E0184E">
        <w:t>1</w:t>
      </w:r>
      <w:r w:rsidRPr="0060035B">
        <w:t>.</w:t>
      </w:r>
    </w:p>
    <w:p w14:paraId="77032C56" w14:textId="77777777" w:rsidR="0014552F" w:rsidRPr="0060035B" w:rsidRDefault="0014552F" w:rsidP="0014552F">
      <w:pPr>
        <w:pStyle w:val="NumPar1"/>
      </w:pPr>
      <w:r w:rsidRPr="0060035B">
        <w:t xml:space="preserve">Instituțiile transmit informațiile privind expunerile la riscul de credit și la riscul de credit al contrapărții tratate conform abordării standardizate, astfel cum sunt specificate în anexa I formularul </w:t>
      </w:r>
      <w:r w:rsidRPr="00E0184E">
        <w:t>7</w:t>
      </w:r>
      <w:r w:rsidRPr="0060035B">
        <w:t xml:space="preserve">, în conformitate cu instrucțiunile din anexa II partea II punctul </w:t>
      </w:r>
      <w:r w:rsidRPr="00E0184E">
        <w:t>3</w:t>
      </w:r>
      <w:r w:rsidRPr="0060035B">
        <w:t>.</w:t>
      </w:r>
      <w:r w:rsidRPr="00E0184E">
        <w:t>2</w:t>
      </w:r>
      <w:r w:rsidRPr="0060035B">
        <w:t>.</w:t>
      </w:r>
    </w:p>
    <w:p w14:paraId="4FC8E450" w14:textId="77777777" w:rsidR="0014552F" w:rsidRPr="0060035B" w:rsidRDefault="0014552F" w:rsidP="0014552F">
      <w:pPr>
        <w:pStyle w:val="NumPar1"/>
      </w:pPr>
      <w:r w:rsidRPr="0060035B">
        <w:t xml:space="preserve">Instituțiile transmit informațiile privind expunerile la riscul de credit și la riscul de credit al contrapărții tratate conform abordării bazate pe ratinguri interne, astfel cum sunt specificate în anexa I formularele </w:t>
      </w:r>
      <w:r w:rsidRPr="00E0184E">
        <w:t>8</w:t>
      </w:r>
      <w:r w:rsidRPr="0060035B">
        <w:t>.</w:t>
      </w:r>
      <w:r w:rsidRPr="00E0184E">
        <w:t>1</w:t>
      </w:r>
      <w:r w:rsidRPr="0060035B">
        <w:t xml:space="preserve"> și </w:t>
      </w:r>
      <w:r w:rsidRPr="00E0184E">
        <w:t>8</w:t>
      </w:r>
      <w:r w:rsidRPr="0060035B">
        <w:t>.</w:t>
      </w:r>
      <w:r w:rsidRPr="00E0184E">
        <w:t>2</w:t>
      </w:r>
      <w:r w:rsidRPr="0060035B">
        <w:t xml:space="preserve">, în conformitate cu instrucțiunile din anexa II partea II punctul </w:t>
      </w:r>
      <w:r w:rsidRPr="00E0184E">
        <w:t>3</w:t>
      </w:r>
      <w:r w:rsidRPr="0060035B">
        <w:t>.</w:t>
      </w:r>
      <w:r w:rsidRPr="00E0184E">
        <w:t>3</w:t>
      </w:r>
      <w:r w:rsidRPr="0060035B">
        <w:t>.</w:t>
      </w:r>
    </w:p>
    <w:p w14:paraId="68EBC1AD" w14:textId="77777777" w:rsidR="0014552F" w:rsidRPr="0060035B" w:rsidRDefault="0014552F" w:rsidP="0014552F">
      <w:pPr>
        <w:pStyle w:val="NumPar1"/>
      </w:pPr>
      <w:r w:rsidRPr="0060035B">
        <w:t xml:space="preserve">Instituțiile transmit informațiile privind distribuția geografică a expunerilor pe țări, precum și expunerile agregate la nivel total, astfel cum sunt specificate în anexa I formularul </w:t>
      </w:r>
      <w:r w:rsidRPr="00E0184E">
        <w:t>9</w:t>
      </w:r>
      <w:r w:rsidRPr="0060035B">
        <w:t xml:space="preserve">, în conformitate cu instrucțiunile din anexa II partea II punctul </w:t>
      </w:r>
      <w:r w:rsidRPr="00E0184E">
        <w:t>3</w:t>
      </w:r>
      <w:r w:rsidRPr="0060035B">
        <w:t>.</w:t>
      </w:r>
      <w:r w:rsidRPr="00E0184E">
        <w:t>4</w:t>
      </w:r>
      <w:r w:rsidRPr="0060035B">
        <w:t xml:space="preserve">. </w:t>
      </w:r>
    </w:p>
    <w:p w14:paraId="37720A47" w14:textId="380C1EA6" w:rsidR="0014552F" w:rsidRPr="0060035B" w:rsidRDefault="0014552F" w:rsidP="006B3AF7">
      <w:pPr>
        <w:pStyle w:val="Text1"/>
      </w:pPr>
      <w:r w:rsidRPr="0060035B">
        <w:t xml:space="preserve">Instituțiile transmit informațiile specificate în formularele </w:t>
      </w:r>
      <w:r w:rsidRPr="00E0184E">
        <w:t>9</w:t>
      </w:r>
      <w:r w:rsidRPr="0060035B">
        <w:t>.</w:t>
      </w:r>
      <w:r w:rsidRPr="00E0184E">
        <w:t>1</w:t>
      </w:r>
      <w:r w:rsidRPr="0060035B">
        <w:t xml:space="preserve"> și </w:t>
      </w:r>
      <w:r w:rsidRPr="00E0184E">
        <w:t>9</w:t>
      </w:r>
      <w:r w:rsidRPr="0060035B">
        <w:t>.</w:t>
      </w:r>
      <w:r w:rsidRPr="00E0184E">
        <w:t>2</w:t>
      </w:r>
      <w:r w:rsidRPr="0060035B">
        <w:t xml:space="preserve"> și în special informațiile privind distribuția geografică a expunerilor pe țări, în cazul în care expunerile inițiale altele decât expunerile interne din toate celelalte țări „altele decât țara proprie” și din toate clasele de expuneri, astfel cum sunt raportate în anexa I formularul </w:t>
      </w:r>
      <w:r w:rsidRPr="00E0184E">
        <w:t>4</w:t>
      </w:r>
      <w:r w:rsidRPr="0060035B">
        <w:t xml:space="preserve"> rândul </w:t>
      </w:r>
      <w:r w:rsidRPr="00E0184E">
        <w:t>0850</w:t>
      </w:r>
      <w:r w:rsidRPr="0060035B">
        <w:t xml:space="preserve">, sunt mai mari sau egale cu </w:t>
      </w:r>
      <w:r w:rsidRPr="00E0184E">
        <w:t>10</w:t>
      </w:r>
      <w:r w:rsidRPr="0060035B">
        <w:t xml:space="preserve"> % din totalul expunerilor inițiale, atât interne, cât și altele decât interne, astfel cum sunt raportate în conformitate cu anexa I formularul </w:t>
      </w:r>
      <w:r w:rsidRPr="00E0184E">
        <w:t>4</w:t>
      </w:r>
      <w:r w:rsidRPr="0060035B">
        <w:t xml:space="preserve"> rândul </w:t>
      </w:r>
      <w:r w:rsidRPr="00E0184E">
        <w:t>0860</w:t>
      </w:r>
      <w:r w:rsidRPr="0060035B">
        <w:t xml:space="preserve">. Se consideră că expunerile sunt interne în cazul în care este vorba de expuneri față de contrapărțile situate în statul membru în care este stabilită instituția. </w:t>
      </w:r>
    </w:p>
    <w:p w14:paraId="2D010602" w14:textId="678AF76C" w:rsidR="0014552F" w:rsidRPr="0060035B" w:rsidRDefault="0014552F" w:rsidP="006B3AF7">
      <w:pPr>
        <w:pStyle w:val="Text1"/>
      </w:pPr>
      <w:r w:rsidRPr="0060035B">
        <w:t>Se aplică criteriile de intrare și de ieșire prevăzute la articolul </w:t>
      </w:r>
      <w:r w:rsidRPr="00E0184E">
        <w:t>4</w:t>
      </w:r>
      <w:r w:rsidRPr="0060035B">
        <w:t>.</w:t>
      </w:r>
    </w:p>
    <w:p w14:paraId="1B5047C1" w14:textId="77777777" w:rsidR="0014552F" w:rsidRPr="0060035B" w:rsidRDefault="0014552F" w:rsidP="0014552F">
      <w:pPr>
        <w:pStyle w:val="NumPar1"/>
      </w:pPr>
      <w:r w:rsidRPr="0060035B">
        <w:t xml:space="preserve">Instituțiile transmit informațiile privind riscul de credit al contrapărții specificate în anexa I formularele </w:t>
      </w:r>
      <w:r w:rsidRPr="00E0184E">
        <w:t>34</w:t>
      </w:r>
      <w:r w:rsidRPr="0060035B">
        <w:t>.</w:t>
      </w:r>
      <w:r w:rsidRPr="00E0184E">
        <w:t>01</w:t>
      </w:r>
      <w:r w:rsidRPr="0060035B">
        <w:t>-</w:t>
      </w:r>
      <w:r w:rsidRPr="00E0184E">
        <w:t>34</w:t>
      </w:r>
      <w:r w:rsidRPr="0060035B">
        <w:t>.</w:t>
      </w:r>
      <w:r w:rsidRPr="00E0184E">
        <w:t>05</w:t>
      </w:r>
      <w:r w:rsidRPr="0060035B">
        <w:t xml:space="preserve"> și </w:t>
      </w:r>
      <w:r w:rsidRPr="00E0184E">
        <w:t>34</w:t>
      </w:r>
      <w:r w:rsidRPr="0060035B">
        <w:t>.</w:t>
      </w:r>
      <w:r w:rsidRPr="00E0184E">
        <w:t>08</w:t>
      </w:r>
      <w:r w:rsidRPr="0060035B">
        <w:t>-</w:t>
      </w:r>
      <w:r w:rsidRPr="00E0184E">
        <w:t>34</w:t>
      </w:r>
      <w:r w:rsidRPr="0060035B">
        <w:t>.</w:t>
      </w:r>
      <w:r w:rsidRPr="00E0184E">
        <w:t>10</w:t>
      </w:r>
      <w:r w:rsidRPr="0060035B">
        <w:t xml:space="preserve">, în conformitate cu instrucțiunile din anexa II partea II punctul </w:t>
      </w:r>
      <w:r w:rsidRPr="00E0184E">
        <w:t>3</w:t>
      </w:r>
      <w:r w:rsidRPr="0060035B">
        <w:t>.</w:t>
      </w:r>
      <w:r w:rsidRPr="00E0184E">
        <w:t>9</w:t>
      </w:r>
      <w:r w:rsidRPr="0060035B">
        <w:t>.</w:t>
      </w:r>
    </w:p>
    <w:p w14:paraId="71DD8676" w14:textId="041A69C3" w:rsidR="0014552F" w:rsidRPr="0060035B" w:rsidRDefault="0014552F" w:rsidP="0014552F">
      <w:pPr>
        <w:pStyle w:val="NumPar1"/>
      </w:pPr>
      <w:r w:rsidRPr="0060035B">
        <w:t xml:space="preserve">Instituțiile care aplică abordarea standardizată sau metoda modelului intern pentru calcularea expunerilor la riscul de credit al contrapărții în conformitate cu partea a treia titlul II capitolul </w:t>
      </w:r>
      <w:r w:rsidRPr="00E0184E">
        <w:t>6</w:t>
      </w:r>
      <w:r w:rsidRPr="0060035B">
        <w:t xml:space="preserve"> secțiunile </w:t>
      </w:r>
      <w:r w:rsidRPr="00E0184E">
        <w:t>3</w:t>
      </w:r>
      <w:r w:rsidRPr="0060035B">
        <w:t xml:space="preserve"> și </w:t>
      </w:r>
      <w:r w:rsidRPr="00E0184E">
        <w:t>6</w:t>
      </w:r>
      <w:r w:rsidRPr="0060035B">
        <w:t xml:space="preserve"> din Regulamentul (UE) nr. </w:t>
      </w:r>
      <w:r w:rsidRPr="00E0184E">
        <w:t>575</w:t>
      </w:r>
      <w:r w:rsidRPr="0060035B">
        <w:t>/</w:t>
      </w:r>
      <w:r w:rsidRPr="00E0184E">
        <w:t>2013</w:t>
      </w:r>
      <w:r w:rsidRPr="0060035B">
        <w:t xml:space="preserve"> transmit informațiile privind riscul de credit al contrapărții specificate în anexa I </w:t>
      </w:r>
      <w:r w:rsidRPr="0060035B">
        <w:lastRenderedPageBreak/>
        <w:t xml:space="preserve">formularul </w:t>
      </w:r>
      <w:r w:rsidRPr="00E0184E">
        <w:t>34</w:t>
      </w:r>
      <w:r w:rsidRPr="0060035B">
        <w:t>.</w:t>
      </w:r>
      <w:r w:rsidRPr="00E0184E">
        <w:t>06</w:t>
      </w:r>
      <w:r w:rsidRPr="0060035B">
        <w:t xml:space="preserve"> în conformitate cu instrucțiunile din anexa II partea II punctul</w:t>
      </w:r>
      <w:r w:rsidR="009E6D0C">
        <w:t> </w:t>
      </w:r>
      <w:r w:rsidRPr="00E0184E">
        <w:t>3</w:t>
      </w:r>
      <w:r w:rsidRPr="0060035B">
        <w:t>.</w:t>
      </w:r>
      <w:r w:rsidRPr="00E0184E">
        <w:t>9</w:t>
      </w:r>
      <w:r w:rsidRPr="0060035B">
        <w:t>.</w:t>
      </w:r>
      <w:r w:rsidRPr="00E0184E">
        <w:t>7</w:t>
      </w:r>
      <w:r w:rsidRPr="0060035B">
        <w:t>.</w:t>
      </w:r>
    </w:p>
    <w:p w14:paraId="5A7C446B" w14:textId="77777777" w:rsidR="0014552F" w:rsidRPr="0060035B" w:rsidRDefault="0014552F" w:rsidP="0014552F">
      <w:pPr>
        <w:pStyle w:val="NumPar1"/>
      </w:pPr>
      <w:r w:rsidRPr="0060035B">
        <w:t xml:space="preserve">Instituțiile transmit informațiile privind expunerile din titluri de capital tratate conform abordării bazate pe ratinguri interne, astfel cum sunt specificate în anexa I formularul </w:t>
      </w:r>
      <w:r w:rsidRPr="00E0184E">
        <w:t>10</w:t>
      </w:r>
      <w:r w:rsidRPr="0060035B">
        <w:t xml:space="preserve">, în conformitate cu instrucțiunile din anexa II partea II punctul </w:t>
      </w:r>
      <w:r w:rsidRPr="00E0184E">
        <w:t>3</w:t>
      </w:r>
      <w:r w:rsidRPr="0060035B">
        <w:t>.</w:t>
      </w:r>
      <w:r w:rsidRPr="00E0184E">
        <w:t>5</w:t>
      </w:r>
      <w:r w:rsidRPr="0060035B">
        <w:t>.</w:t>
      </w:r>
    </w:p>
    <w:p w14:paraId="6C5997E8" w14:textId="77777777" w:rsidR="0014552F" w:rsidRPr="0060035B" w:rsidRDefault="0014552F" w:rsidP="0014552F">
      <w:pPr>
        <w:pStyle w:val="NumPar1"/>
      </w:pPr>
      <w:r w:rsidRPr="0060035B">
        <w:t xml:space="preserve">Instituțiile transmit informațiile privind riscul de decontare specificate în anexa I formularul </w:t>
      </w:r>
      <w:r w:rsidRPr="00E0184E">
        <w:t>11</w:t>
      </w:r>
      <w:r w:rsidRPr="0060035B">
        <w:t xml:space="preserve"> în conformitate cu instrucțiunile din anexa II partea II punctul </w:t>
      </w:r>
      <w:r w:rsidRPr="00E0184E">
        <w:t>3</w:t>
      </w:r>
      <w:r w:rsidRPr="0060035B">
        <w:t>.</w:t>
      </w:r>
      <w:r w:rsidRPr="00E0184E">
        <w:t>6</w:t>
      </w:r>
      <w:r w:rsidRPr="0060035B">
        <w:t>.</w:t>
      </w:r>
    </w:p>
    <w:p w14:paraId="442593B8" w14:textId="77777777" w:rsidR="0014552F" w:rsidRPr="0060035B" w:rsidRDefault="0014552F" w:rsidP="0014552F">
      <w:pPr>
        <w:pStyle w:val="NumPar1"/>
      </w:pPr>
      <w:r w:rsidRPr="0060035B">
        <w:t xml:space="preserve">Instituțiile transmit informațiile privind expunerile din securitizări specificate în anexa I formularul </w:t>
      </w:r>
      <w:r w:rsidRPr="00E0184E">
        <w:t>13</w:t>
      </w:r>
      <w:r w:rsidRPr="0060035B">
        <w:t>.</w:t>
      </w:r>
      <w:r w:rsidRPr="00E0184E">
        <w:t>01</w:t>
      </w:r>
      <w:r w:rsidRPr="0060035B">
        <w:t xml:space="preserve"> în conformitate cu instrucțiunile din anexa II partea II punctul </w:t>
      </w:r>
      <w:r w:rsidRPr="00E0184E">
        <w:t>3</w:t>
      </w:r>
      <w:r w:rsidRPr="0060035B">
        <w:t>.</w:t>
      </w:r>
      <w:r w:rsidRPr="00E0184E">
        <w:t>7</w:t>
      </w:r>
      <w:r w:rsidRPr="0060035B">
        <w:t>.</w:t>
      </w:r>
    </w:p>
    <w:p w14:paraId="70A0DE2C" w14:textId="77777777" w:rsidR="0014552F" w:rsidRPr="0060035B" w:rsidRDefault="0014552F" w:rsidP="0014552F">
      <w:pPr>
        <w:pStyle w:val="NumPar1"/>
      </w:pPr>
      <w:r w:rsidRPr="0060035B">
        <w:t xml:space="preserve">Instituțiile transmit informațiile privind cerințele de fonduri proprii și pierderile legate de riscurile operaționale specificate în anexa I formularul </w:t>
      </w:r>
      <w:r w:rsidRPr="00E0184E">
        <w:t>16</w:t>
      </w:r>
      <w:r w:rsidRPr="0060035B">
        <w:t xml:space="preserve"> în conformitate cu instrucțiunile din anexa II partea II punctul </w:t>
      </w:r>
      <w:r w:rsidRPr="00E0184E">
        <w:t>4</w:t>
      </w:r>
      <w:r w:rsidRPr="0060035B">
        <w:t>.</w:t>
      </w:r>
      <w:r w:rsidRPr="00E0184E">
        <w:t>1</w:t>
      </w:r>
      <w:r w:rsidRPr="0060035B">
        <w:t>.</w:t>
      </w:r>
    </w:p>
    <w:p w14:paraId="66782023" w14:textId="77777777" w:rsidR="0014552F" w:rsidRPr="0060035B" w:rsidRDefault="0014552F" w:rsidP="0014552F">
      <w:pPr>
        <w:pStyle w:val="NumPar1"/>
      </w:pPr>
      <w:r w:rsidRPr="0060035B">
        <w:t xml:space="preserve">Instituțiile transmit informațiile privind cerințele de fonduri proprii legate de riscul de piață specificate în anexa I formularele </w:t>
      </w:r>
      <w:r w:rsidRPr="00E0184E">
        <w:t>18</w:t>
      </w:r>
      <w:r w:rsidRPr="0060035B">
        <w:t>-</w:t>
      </w:r>
      <w:r w:rsidRPr="00E0184E">
        <w:t>24</w:t>
      </w:r>
      <w:r w:rsidRPr="0060035B">
        <w:t xml:space="preserve"> în conformitate cu instrucțiunile din anexa II partea II punctele </w:t>
      </w:r>
      <w:r w:rsidRPr="00E0184E">
        <w:t>5</w:t>
      </w:r>
      <w:r w:rsidRPr="0060035B">
        <w:t>.</w:t>
      </w:r>
      <w:r w:rsidRPr="00E0184E">
        <w:t>1</w:t>
      </w:r>
      <w:r w:rsidRPr="0060035B">
        <w:t>-</w:t>
      </w:r>
      <w:r w:rsidRPr="00E0184E">
        <w:t>5</w:t>
      </w:r>
      <w:r w:rsidRPr="0060035B">
        <w:t>.</w:t>
      </w:r>
      <w:r w:rsidRPr="00E0184E">
        <w:t>7</w:t>
      </w:r>
      <w:r w:rsidRPr="0060035B">
        <w:t>.</w:t>
      </w:r>
    </w:p>
    <w:p w14:paraId="2975DD1F" w14:textId="77777777" w:rsidR="0014552F" w:rsidRPr="0060035B" w:rsidRDefault="0014552F" w:rsidP="0014552F">
      <w:pPr>
        <w:pStyle w:val="NumPar1"/>
      </w:pPr>
      <w:r w:rsidRPr="0060035B">
        <w:t xml:space="preserve">Instituțiile transmit informațiile privind cerințele de fonduri proprii legate de riscul de ajustare a evaluării creditului specificate în anexa I formularul </w:t>
      </w:r>
      <w:r w:rsidRPr="00E0184E">
        <w:t>25</w:t>
      </w:r>
      <w:r w:rsidRPr="0060035B">
        <w:t xml:space="preserve"> în conformitate cu instrucțiunile din anexa II partea II punctul </w:t>
      </w:r>
      <w:r w:rsidRPr="00E0184E">
        <w:t>5</w:t>
      </w:r>
      <w:r w:rsidRPr="0060035B">
        <w:t>.</w:t>
      </w:r>
      <w:r w:rsidRPr="00E0184E">
        <w:t>8</w:t>
      </w:r>
      <w:r w:rsidRPr="0060035B">
        <w:t>.</w:t>
      </w:r>
    </w:p>
    <w:p w14:paraId="29B0B226" w14:textId="5F3CD6D2" w:rsidR="0014552F" w:rsidRPr="0060035B" w:rsidRDefault="0014552F" w:rsidP="0014552F">
      <w:pPr>
        <w:pStyle w:val="NumPar1"/>
      </w:pPr>
      <w:r w:rsidRPr="0060035B">
        <w:t xml:space="preserve">Instituțiile transmit informațiile privind evaluarea prudentă specificate în anexa I formularul </w:t>
      </w:r>
      <w:r w:rsidRPr="00E0184E">
        <w:t>32</w:t>
      </w:r>
      <w:r w:rsidRPr="0060035B">
        <w:t xml:space="preserve"> în conformitate cu instrucțiunile din anexa II partea II punctul </w:t>
      </w:r>
      <w:r w:rsidRPr="00E0184E">
        <w:t>6</w:t>
      </w:r>
      <w:r w:rsidRPr="0060035B">
        <w:t>, după cum urmează:</w:t>
      </w:r>
    </w:p>
    <w:p w14:paraId="7AAF2502" w14:textId="77777777" w:rsidR="0014552F" w:rsidRPr="0060035B" w:rsidRDefault="0014552F" w:rsidP="0014552F">
      <w:pPr>
        <w:pStyle w:val="Point1"/>
      </w:pPr>
      <w:r w:rsidRPr="0060035B">
        <w:t>(a)</w:t>
      </w:r>
      <w:r w:rsidRPr="0060035B">
        <w:tab/>
        <w:t xml:space="preserve">toate instituțiile transmit informațiile specificate în anexa I formularul </w:t>
      </w:r>
      <w:r w:rsidRPr="00E0184E">
        <w:t>32</w:t>
      </w:r>
      <w:r w:rsidRPr="0060035B">
        <w:t>.</w:t>
      </w:r>
      <w:r w:rsidRPr="00E0184E">
        <w:t>1</w:t>
      </w:r>
      <w:r w:rsidRPr="0060035B">
        <w:t xml:space="preserve"> în conformitate cu instrucțiunile din anexa II partea II punctul </w:t>
      </w:r>
      <w:r w:rsidRPr="00E0184E">
        <w:t>6</w:t>
      </w:r>
      <w:r w:rsidRPr="0060035B">
        <w:t>;</w:t>
      </w:r>
    </w:p>
    <w:p w14:paraId="2C2BA953" w14:textId="066DBCED" w:rsidR="0014552F" w:rsidRPr="0060035B" w:rsidRDefault="0014552F" w:rsidP="0014552F">
      <w:pPr>
        <w:pStyle w:val="Point1"/>
      </w:pPr>
      <w:r w:rsidRPr="0060035B">
        <w:t>(b)</w:t>
      </w:r>
      <w:r w:rsidRPr="0060035B">
        <w:tab/>
        <w:t xml:space="preserve">în plus față de informațiile menționate la prezentul alineat litera (a), instituțiile care aplică abordarea de bază în conformitate cu Regulamentul delegat (UE) </w:t>
      </w:r>
      <w:r w:rsidRPr="00E0184E">
        <w:t>2016</w:t>
      </w:r>
      <w:r w:rsidRPr="0060035B">
        <w:t>/</w:t>
      </w:r>
      <w:r w:rsidRPr="00E0184E">
        <w:t>101</w:t>
      </w:r>
      <w:r w:rsidRPr="0060035B">
        <w:t xml:space="preserve"> al Comisiei</w:t>
      </w:r>
      <w:r w:rsidRPr="0060035B">
        <w:rPr>
          <w:rStyle w:val="FootnoteReference"/>
        </w:rPr>
        <w:footnoteReference w:id="9"/>
      </w:r>
      <w:r w:rsidRPr="0060035B">
        <w:t xml:space="preserve"> raportează și informațiile specificate în anexa I formularul </w:t>
      </w:r>
      <w:r w:rsidRPr="00E0184E">
        <w:t>32</w:t>
      </w:r>
      <w:r w:rsidRPr="0060035B">
        <w:t>.</w:t>
      </w:r>
      <w:r w:rsidRPr="00E0184E">
        <w:t>2</w:t>
      </w:r>
      <w:r w:rsidRPr="0060035B">
        <w:t xml:space="preserve"> în conformitate cu instrucțiunile din anexa II partea II punctul</w:t>
      </w:r>
      <w:r w:rsidR="009E6D0C">
        <w:t> </w:t>
      </w:r>
      <w:r w:rsidRPr="00E0184E">
        <w:t>6</w:t>
      </w:r>
      <w:r w:rsidRPr="0060035B">
        <w:t>;</w:t>
      </w:r>
    </w:p>
    <w:p w14:paraId="220BA8B3" w14:textId="77777777" w:rsidR="0014552F" w:rsidRPr="0060035B" w:rsidRDefault="0014552F" w:rsidP="0014552F">
      <w:pPr>
        <w:pStyle w:val="Point1"/>
      </w:pPr>
      <w:r w:rsidRPr="0060035B">
        <w:t>(c)</w:t>
      </w:r>
      <w:r w:rsidRPr="0060035B">
        <w:tab/>
        <w:t xml:space="preserve">în plus față de informațiile menționate la prezentul alineat literele (a) și (b), instituțiile care aplică abordarea de bază în conformitate cu Regulamentul delegat (UE) </w:t>
      </w:r>
      <w:r w:rsidRPr="00E0184E">
        <w:t>2016</w:t>
      </w:r>
      <w:r w:rsidRPr="0060035B">
        <w:t>/</w:t>
      </w:r>
      <w:r w:rsidRPr="00E0184E">
        <w:t>101</w:t>
      </w:r>
      <w:r w:rsidRPr="0060035B">
        <w:t xml:space="preserve"> al Comisiei și care depășesc pragurile menționate la articolul </w:t>
      </w:r>
      <w:r w:rsidRPr="00E0184E">
        <w:t>4</w:t>
      </w:r>
      <w:r w:rsidRPr="0060035B">
        <w:t xml:space="preserve"> alineatul (</w:t>
      </w:r>
      <w:r w:rsidRPr="00E0184E">
        <w:t>1</w:t>
      </w:r>
      <w:r w:rsidRPr="0060035B">
        <w:t xml:space="preserve">) din respectivul regulament raportează și informațiile specificate în anexa I formularele </w:t>
      </w:r>
      <w:r w:rsidRPr="00E0184E">
        <w:t>32</w:t>
      </w:r>
      <w:r w:rsidRPr="0060035B">
        <w:t>.</w:t>
      </w:r>
      <w:r w:rsidRPr="00E0184E">
        <w:t>3</w:t>
      </w:r>
      <w:r w:rsidRPr="0060035B">
        <w:t xml:space="preserve"> și </w:t>
      </w:r>
      <w:r w:rsidRPr="00E0184E">
        <w:t>32</w:t>
      </w:r>
      <w:r w:rsidRPr="0060035B">
        <w:t>.</w:t>
      </w:r>
      <w:r w:rsidRPr="00E0184E">
        <w:t>4</w:t>
      </w:r>
      <w:r w:rsidRPr="0060035B">
        <w:t xml:space="preserve"> în conformitate cu instrucțiunile din anexa II partea II punctul </w:t>
      </w:r>
      <w:r w:rsidRPr="00E0184E">
        <w:t>6</w:t>
      </w:r>
      <w:r w:rsidRPr="0060035B">
        <w:t>.</w:t>
      </w:r>
    </w:p>
    <w:p w14:paraId="3453A2CF" w14:textId="77777777" w:rsidR="0014552F" w:rsidRPr="0060035B" w:rsidRDefault="0014552F" w:rsidP="0014552F">
      <w:pPr>
        <w:pStyle w:val="Text1"/>
      </w:pPr>
      <w:r w:rsidRPr="0060035B">
        <w:t>În sensul prezentului alineat, criteriile de intrare și de ieșire prevăzute la articolul </w:t>
      </w:r>
      <w:r w:rsidRPr="00E0184E">
        <w:t>4</w:t>
      </w:r>
      <w:r w:rsidRPr="0060035B">
        <w:t xml:space="preserve"> nu se aplică.</w:t>
      </w:r>
    </w:p>
    <w:p w14:paraId="3329EA93" w14:textId="0799B97E" w:rsidR="00725875" w:rsidRPr="0060035B" w:rsidRDefault="0014552F" w:rsidP="0014552F">
      <w:pPr>
        <w:pStyle w:val="NumPar1"/>
      </w:pPr>
      <w:r w:rsidRPr="0060035B">
        <w:t xml:space="preserve">Instituțiile transmit informațiile privind mecanismul de protecție prudențial pentru expunerile neperformante specificate în anexa I formularele </w:t>
      </w:r>
      <w:r w:rsidRPr="00E0184E">
        <w:t>35</w:t>
      </w:r>
      <w:r w:rsidRPr="0060035B">
        <w:t>.</w:t>
      </w:r>
      <w:r w:rsidRPr="00E0184E">
        <w:t>01</w:t>
      </w:r>
      <w:r w:rsidRPr="0060035B">
        <w:t xml:space="preserve">, </w:t>
      </w:r>
      <w:r w:rsidRPr="00E0184E">
        <w:t>35</w:t>
      </w:r>
      <w:r w:rsidRPr="0060035B">
        <w:t>.</w:t>
      </w:r>
      <w:r w:rsidRPr="00E0184E">
        <w:t>02</w:t>
      </w:r>
      <w:r w:rsidRPr="0060035B">
        <w:t xml:space="preserve"> și </w:t>
      </w:r>
      <w:r w:rsidRPr="00E0184E">
        <w:t>35</w:t>
      </w:r>
      <w:r w:rsidRPr="0060035B">
        <w:t>.</w:t>
      </w:r>
      <w:r w:rsidRPr="00E0184E">
        <w:t>03</w:t>
      </w:r>
      <w:r w:rsidRPr="0060035B">
        <w:t xml:space="preserve"> în conformitate cu instrucțiunile din anexa II partea II punctul </w:t>
      </w:r>
      <w:r w:rsidRPr="00E0184E">
        <w:t>8</w:t>
      </w:r>
      <w:r w:rsidRPr="0060035B">
        <w:t>.</w:t>
      </w:r>
    </w:p>
    <w:p w14:paraId="2263BAFA" w14:textId="77777777" w:rsidR="004A4E65" w:rsidRPr="00E0184E" w:rsidRDefault="004A4E65" w:rsidP="004A4E65">
      <w:pPr>
        <w:pStyle w:val="Titrearticle"/>
      </w:pPr>
      <w:r w:rsidRPr="00E0184E">
        <w:lastRenderedPageBreak/>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6</w:t>
      </w:r>
      <w:r w:rsidR="00C601E7" w:rsidRPr="00E0184E">
        <w:fldChar w:fldCharType="end"/>
      </w:r>
      <w:r w:rsidRPr="00E0184E">
        <w:t xml:space="preserve"> </w:t>
      </w:r>
    </w:p>
    <w:p w14:paraId="6708BD45" w14:textId="77777777" w:rsidR="004A4E65" w:rsidRPr="00E0184E" w:rsidRDefault="004A4E65" w:rsidP="004A4E65">
      <w:pPr>
        <w:pStyle w:val="Titrearticle"/>
        <w:rPr>
          <w:b/>
          <w:i w:val="0"/>
        </w:rPr>
      </w:pPr>
      <w:r w:rsidRPr="00E0184E">
        <w:rPr>
          <w:b/>
          <w:i w:val="0"/>
        </w:rPr>
        <w:t xml:space="preserve">Raportarea pe bază individuală cu privire la fondurile proprii și la cerințele de fonduri proprii – raportare bianuală </w:t>
      </w:r>
    </w:p>
    <w:p w14:paraId="5551DF99" w14:textId="77777777" w:rsidR="004A4E65" w:rsidRPr="0060035B" w:rsidRDefault="004A4E65" w:rsidP="005F180D">
      <w:pPr>
        <w:pStyle w:val="NumPar1"/>
        <w:numPr>
          <w:ilvl w:val="0"/>
          <w:numId w:val="15"/>
        </w:numPr>
      </w:pPr>
      <w:r w:rsidRPr="0060035B">
        <w:t xml:space="preserve">Pentru a raporta pe bază individuală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xml:space="preserve">, instituțiile transmit informațiile menționate la prezentul articol cu o frecvență bianuală. </w:t>
      </w:r>
    </w:p>
    <w:p w14:paraId="40FBE120" w14:textId="77777777" w:rsidR="004A4E65" w:rsidRPr="0060035B" w:rsidRDefault="004A4E65" w:rsidP="004A4E65">
      <w:pPr>
        <w:pStyle w:val="NumPar1"/>
      </w:pPr>
      <w:r w:rsidRPr="0060035B">
        <w:t xml:space="preserve">Instituțiile transmit informațiile privind expunerile din securitizări specificate în anexa I formularele </w:t>
      </w:r>
      <w:r w:rsidRPr="00E0184E">
        <w:t>14</w:t>
      </w:r>
      <w:r w:rsidRPr="0060035B">
        <w:t xml:space="preserve"> și </w:t>
      </w:r>
      <w:r w:rsidRPr="00E0184E">
        <w:t>14</w:t>
      </w:r>
      <w:r w:rsidRPr="0060035B">
        <w:t>.</w:t>
      </w:r>
      <w:r w:rsidRPr="00E0184E">
        <w:t>01</w:t>
      </w:r>
      <w:r w:rsidRPr="0060035B">
        <w:t xml:space="preserve"> în conformitate cu instrucțiunile din anexa II partea II punctul </w:t>
      </w:r>
      <w:r w:rsidRPr="00E0184E">
        <w:t>3</w:t>
      </w:r>
      <w:r w:rsidRPr="0060035B">
        <w:t>.</w:t>
      </w:r>
      <w:r w:rsidRPr="00E0184E">
        <w:t>8</w:t>
      </w:r>
      <w:r w:rsidRPr="0060035B">
        <w:t>, cu excepția cazului în care respectivele instituții fac parte dintr-un grup aflat în aceeași țară în care acestea sunt supuse cerințelor în materie de fonduri proprii.</w:t>
      </w:r>
    </w:p>
    <w:p w14:paraId="19F85BB9" w14:textId="77777777" w:rsidR="004A4E65" w:rsidRPr="0060035B" w:rsidRDefault="004A4E65" w:rsidP="004A4E65">
      <w:pPr>
        <w:pStyle w:val="NumPar1"/>
      </w:pPr>
      <w:r w:rsidRPr="0060035B">
        <w:t>Instituțiile transmit informațiile privind expunerile suverane după cum urmează:</w:t>
      </w:r>
    </w:p>
    <w:p w14:paraId="67E38C8A" w14:textId="77777777" w:rsidR="004A4E65" w:rsidRPr="0060035B" w:rsidRDefault="004A4E65" w:rsidP="004A4E65">
      <w:pPr>
        <w:pStyle w:val="Point1"/>
      </w:pPr>
      <w:r w:rsidRPr="0060035B">
        <w:t>(a)</w:t>
      </w:r>
      <w:r w:rsidRPr="0060035B">
        <w:tab/>
        <w:t xml:space="preserve">în cazul în care valoarea contabilă agregată a activelor financiare din sectorul contrapărții „Administrații publice” este mai mare sau egală cu </w:t>
      </w:r>
      <w:r w:rsidRPr="00E0184E">
        <w:t>1</w:t>
      </w:r>
      <w:r w:rsidRPr="0060035B">
        <w:t xml:space="preserve"> % din suma valorilor contabile totale pentru „Titluri de datorie” și „Credite și avansuri”, instituțiile transmit informațiile specificate în anexa I formularul </w:t>
      </w:r>
      <w:r w:rsidRPr="00E0184E">
        <w:t>33</w:t>
      </w:r>
      <w:r w:rsidRPr="0060035B">
        <w:t xml:space="preserve"> în conformitate cu instrucțiunile din anexa II partea II punctul </w:t>
      </w:r>
      <w:r w:rsidRPr="00E0184E">
        <w:t>7</w:t>
      </w:r>
      <w:r w:rsidRPr="0060035B">
        <w:t xml:space="preserve"> și urmează instrucțiunile din anexa V în ceea ce privește formularul </w:t>
      </w:r>
      <w:r w:rsidRPr="00E0184E">
        <w:t>4</w:t>
      </w:r>
      <w:r w:rsidRPr="0060035B">
        <w:t xml:space="preserve"> din anexa III sau anexa IV, după caz, pentru a calcula valorile relevante;</w:t>
      </w:r>
    </w:p>
    <w:p w14:paraId="1F937D26" w14:textId="77777777" w:rsidR="004A4E65" w:rsidRPr="0060035B" w:rsidRDefault="004A4E65" w:rsidP="004A4E65">
      <w:pPr>
        <w:pStyle w:val="Point1"/>
      </w:pPr>
      <w:r w:rsidRPr="0060035B">
        <w:t>(b)</w:t>
      </w:r>
      <w:r w:rsidRPr="0060035B">
        <w:tab/>
        <w:t xml:space="preserve">în cazul în care valoarea raportată pentru expunerile interne din active financiare nederivate conform definiției din anexa I formularul </w:t>
      </w:r>
      <w:r w:rsidRPr="00E0184E">
        <w:t>33</w:t>
      </w:r>
      <w:r w:rsidRPr="0060035B">
        <w:t xml:space="preserve"> coloana </w:t>
      </w:r>
      <w:r w:rsidRPr="00E0184E">
        <w:t>0010</w:t>
      </w:r>
      <w:r w:rsidRPr="0060035B">
        <w:t xml:space="preserve"> rândul </w:t>
      </w:r>
      <w:r w:rsidRPr="00E0184E">
        <w:t>0010</w:t>
      </w:r>
      <w:r w:rsidRPr="0060035B">
        <w:t xml:space="preserve"> este mai mică de </w:t>
      </w:r>
      <w:r w:rsidRPr="00E0184E">
        <w:t>90</w:t>
      </w:r>
      <w:r w:rsidRPr="0060035B">
        <w:t xml:space="preserve"> % din valoarea raportată pentru expunerile interne și pentru alte expuneri decât cele interne pentru același punct de date, instituțiile care îndeplinesc condiția menționată la litera (a) transmit informațiile specificate în anexa I formularul </w:t>
      </w:r>
      <w:r w:rsidRPr="00E0184E">
        <w:t>33</w:t>
      </w:r>
      <w:r w:rsidRPr="0060035B">
        <w:t xml:space="preserve"> în conformitate cu instrucțiunile din anexa II partea II punctul </w:t>
      </w:r>
      <w:r w:rsidRPr="00E0184E">
        <w:t>7</w:t>
      </w:r>
      <w:r w:rsidRPr="0060035B">
        <w:t>, cu o defalcare completă pe țări;</w:t>
      </w:r>
    </w:p>
    <w:p w14:paraId="7834EDAC" w14:textId="2A09F5D4" w:rsidR="004A4E65" w:rsidRPr="0060035B" w:rsidRDefault="004A4E65" w:rsidP="004A4E65">
      <w:pPr>
        <w:pStyle w:val="Point1"/>
      </w:pPr>
      <w:r w:rsidRPr="0060035B">
        <w:t>(c)</w:t>
      </w:r>
      <w:r w:rsidRPr="0060035B">
        <w:tab/>
        <w:t>instituțiile care îndeplinesc condițiile menționate la litera (a) și nu îndeplinesc condiția menționată la litera (b) transmit informațiile specificate în formularul</w:t>
      </w:r>
      <w:r w:rsidR="00E0184E">
        <w:t> </w:t>
      </w:r>
      <w:r w:rsidRPr="00E0184E">
        <w:t>33</w:t>
      </w:r>
      <w:r w:rsidRPr="0060035B">
        <w:t xml:space="preserve"> în conformitate cu instrucțiunile din anexa II partea II punctul </w:t>
      </w:r>
      <w:r w:rsidRPr="00E0184E">
        <w:t>7</w:t>
      </w:r>
      <w:r w:rsidRPr="0060035B">
        <w:t>, cu expunerile agregate:</w:t>
      </w:r>
    </w:p>
    <w:p w14:paraId="218EDBA5" w14:textId="77777777" w:rsidR="004A4E65" w:rsidRPr="0060035B" w:rsidRDefault="004A4E65" w:rsidP="004A4E65">
      <w:pPr>
        <w:pStyle w:val="Point1"/>
        <w:ind w:firstLine="0"/>
      </w:pPr>
      <w:r w:rsidRPr="0060035B">
        <w:t>(i) la nivel total; și</w:t>
      </w:r>
    </w:p>
    <w:p w14:paraId="008CFBAC" w14:textId="77777777" w:rsidR="004A4E65" w:rsidRPr="0060035B" w:rsidRDefault="004A4E65" w:rsidP="004A4E65">
      <w:pPr>
        <w:pStyle w:val="Point1"/>
        <w:ind w:firstLine="0"/>
      </w:pPr>
      <w:r w:rsidRPr="0060035B">
        <w:t>(ii) la nivel intern.</w:t>
      </w:r>
    </w:p>
    <w:p w14:paraId="3B9FA7D6" w14:textId="77777777" w:rsidR="004A4E65" w:rsidRPr="0060035B" w:rsidRDefault="004A4E65" w:rsidP="004A4E65">
      <w:pPr>
        <w:pStyle w:val="Text1"/>
      </w:pPr>
      <w:r w:rsidRPr="0060035B">
        <w:t>Se aplică criteriile de intrare și de ieșire prevăzute la articolul </w:t>
      </w:r>
      <w:r w:rsidRPr="00E0184E">
        <w:t>4</w:t>
      </w:r>
      <w:r w:rsidRPr="0060035B">
        <w:t xml:space="preserve"> alineatul (</w:t>
      </w:r>
      <w:r w:rsidRPr="00E0184E">
        <w:t>3</w:t>
      </w:r>
      <w:r w:rsidRPr="0060035B">
        <w:t>).</w:t>
      </w:r>
    </w:p>
    <w:p w14:paraId="76F698FA" w14:textId="77777777" w:rsidR="004A4E65" w:rsidRPr="0060035B" w:rsidRDefault="004A4E65" w:rsidP="004A4E65">
      <w:pPr>
        <w:pStyle w:val="NumPar1"/>
      </w:pPr>
      <w:r w:rsidRPr="0060035B">
        <w:t>Informațiile privind pierderile semnificative legate de riscul operațional se raportează după cum urmează:</w:t>
      </w:r>
    </w:p>
    <w:p w14:paraId="6D57AB20" w14:textId="77777777" w:rsidR="004A4E65" w:rsidRPr="0060035B" w:rsidRDefault="004A4E65" w:rsidP="004A4E65">
      <w:pPr>
        <w:pStyle w:val="Point1"/>
      </w:pPr>
      <w:r w:rsidRPr="0060035B">
        <w:t>(a)</w:t>
      </w:r>
      <w:r w:rsidRPr="0060035B">
        <w:tab/>
        <w:t>instituțiile care calculează cerințele de fonduri proprii legate de riscurile operaționale în conformitate cu partea a treia titlul III capitolul </w:t>
      </w:r>
      <w:r w:rsidRPr="00E0184E">
        <w:t>4</w:t>
      </w:r>
      <w:r w:rsidRPr="0060035B">
        <w:t xml:space="preserve"> din Regulamentul (UE) nr. </w:t>
      </w:r>
      <w:r w:rsidRPr="00E0184E">
        <w:t>575</w:t>
      </w:r>
      <w:r w:rsidRPr="0060035B">
        <w:t>/</w:t>
      </w:r>
      <w:r w:rsidRPr="00E0184E">
        <w:t>2013</w:t>
      </w:r>
      <w:r w:rsidRPr="0060035B">
        <w:t xml:space="preserve"> raportează aceste informații astfel cum se specifică în anexa I formularele </w:t>
      </w:r>
      <w:r w:rsidRPr="00E0184E">
        <w:t>17</w:t>
      </w:r>
      <w:r w:rsidRPr="0060035B">
        <w:t>.</w:t>
      </w:r>
      <w:r w:rsidRPr="00E0184E">
        <w:t>01</w:t>
      </w:r>
      <w:r w:rsidRPr="0060035B">
        <w:t xml:space="preserve"> și </w:t>
      </w:r>
      <w:r w:rsidRPr="00E0184E">
        <w:t>17</w:t>
      </w:r>
      <w:r w:rsidRPr="0060035B">
        <w:t>.</w:t>
      </w:r>
      <w:r w:rsidRPr="00E0184E">
        <w:t>02</w:t>
      </w:r>
      <w:r w:rsidRPr="0060035B">
        <w:t>, în conformitate cu instrucțiunile din anexa II partea II punctul </w:t>
      </w:r>
      <w:r w:rsidRPr="00E0184E">
        <w:t>4</w:t>
      </w:r>
      <w:r w:rsidRPr="0060035B">
        <w:t>.</w:t>
      </w:r>
      <w:r w:rsidRPr="00E0184E">
        <w:t>2</w:t>
      </w:r>
      <w:r w:rsidRPr="0060035B">
        <w:t>;</w:t>
      </w:r>
    </w:p>
    <w:p w14:paraId="574CD1A6" w14:textId="77777777" w:rsidR="004A4E65" w:rsidRPr="0060035B" w:rsidRDefault="004A4E65" w:rsidP="004A4E65">
      <w:pPr>
        <w:pStyle w:val="Point1"/>
      </w:pPr>
      <w:r w:rsidRPr="0060035B">
        <w:t>(b)</w:t>
      </w:r>
      <w:r w:rsidRPr="0060035B">
        <w:tab/>
        <w:t>instituțiile mari care calculează cerințele de fonduri proprii legate de riscurile operaționale în conformitate cu partea a treia titlul III capitolul </w:t>
      </w:r>
      <w:r w:rsidRPr="00E0184E">
        <w:t>3</w:t>
      </w:r>
      <w:r w:rsidRPr="0060035B">
        <w:t xml:space="preserve"> din Regulamentul (UE) nr. </w:t>
      </w:r>
      <w:r w:rsidRPr="00E0184E">
        <w:t>575</w:t>
      </w:r>
      <w:r w:rsidRPr="0060035B">
        <w:t>/</w:t>
      </w:r>
      <w:r w:rsidRPr="00E0184E">
        <w:t>2013</w:t>
      </w:r>
      <w:r w:rsidRPr="0060035B">
        <w:t xml:space="preserve"> raportează aceste informații astfel cum se </w:t>
      </w:r>
      <w:r w:rsidRPr="0060035B">
        <w:lastRenderedPageBreak/>
        <w:t xml:space="preserve">specifică în anexa I formularele </w:t>
      </w:r>
      <w:r w:rsidRPr="00E0184E">
        <w:t>17</w:t>
      </w:r>
      <w:r w:rsidRPr="0060035B">
        <w:t>.</w:t>
      </w:r>
      <w:r w:rsidRPr="00E0184E">
        <w:t>01</w:t>
      </w:r>
      <w:r w:rsidRPr="0060035B">
        <w:t xml:space="preserve"> și </w:t>
      </w:r>
      <w:r w:rsidRPr="00E0184E">
        <w:t>17</w:t>
      </w:r>
      <w:r w:rsidRPr="0060035B">
        <w:t>.</w:t>
      </w:r>
      <w:r w:rsidRPr="00E0184E">
        <w:t>02</w:t>
      </w:r>
      <w:r w:rsidRPr="0060035B">
        <w:t>, în conformitate cu instrucțiunile din anexa II partea II punctul </w:t>
      </w:r>
      <w:r w:rsidRPr="00E0184E">
        <w:t>4</w:t>
      </w:r>
      <w:r w:rsidRPr="0060035B">
        <w:t>.</w:t>
      </w:r>
      <w:r w:rsidRPr="00E0184E">
        <w:t>2</w:t>
      </w:r>
      <w:r w:rsidRPr="0060035B">
        <w:t>;</w:t>
      </w:r>
    </w:p>
    <w:p w14:paraId="3913C437" w14:textId="77777777" w:rsidR="004A4E65" w:rsidRPr="0060035B" w:rsidRDefault="004A4E65" w:rsidP="004A4E65">
      <w:pPr>
        <w:pStyle w:val="Point1"/>
      </w:pPr>
      <w:r w:rsidRPr="0060035B">
        <w:t>(c)</w:t>
      </w:r>
      <w:r w:rsidRPr="0060035B">
        <w:tab/>
        <w:t>instituțiile, altele decât instituțiile mari care calculează cerințele de fonduri proprii legate de riscurile operaționale în conformitate cu partea a treia titlul III capitolul </w:t>
      </w:r>
      <w:r w:rsidRPr="00E0184E">
        <w:t>3</w:t>
      </w:r>
      <w:r w:rsidRPr="0060035B">
        <w:t xml:space="preserve"> din Regulamentul (UE) nr. </w:t>
      </w:r>
      <w:r w:rsidRPr="00E0184E">
        <w:t>575</w:t>
      </w:r>
      <w:r w:rsidRPr="0060035B">
        <w:t>/</w:t>
      </w:r>
      <w:r w:rsidRPr="00E0184E">
        <w:t>2013</w:t>
      </w:r>
      <w:r w:rsidRPr="0060035B">
        <w:t xml:space="preserve"> raportează, în conformitate cu instrucțiunile din anexa II partea II punctul </w:t>
      </w:r>
      <w:r w:rsidRPr="00E0184E">
        <w:t>4</w:t>
      </w:r>
      <w:r w:rsidRPr="0060035B">
        <w:t>.</w:t>
      </w:r>
      <w:r w:rsidRPr="00E0184E">
        <w:t>2</w:t>
      </w:r>
      <w:r w:rsidRPr="0060035B">
        <w:t>, următoarele informații:</w:t>
      </w:r>
    </w:p>
    <w:p w14:paraId="465B55EF" w14:textId="77777777" w:rsidR="004A4E65" w:rsidRPr="0060035B" w:rsidRDefault="004A4E65" w:rsidP="004A4E65">
      <w:pPr>
        <w:pStyle w:val="Point2"/>
      </w:pPr>
      <w:r w:rsidRPr="0060035B">
        <w:t>(i)</w:t>
      </w:r>
      <w:r w:rsidRPr="0060035B">
        <w:tab/>
        <w:t xml:space="preserve">informațiile specificate în anexa I formularul </w:t>
      </w:r>
      <w:r w:rsidRPr="00E0184E">
        <w:t>17</w:t>
      </w:r>
      <w:r w:rsidRPr="0060035B">
        <w:t>.</w:t>
      </w:r>
      <w:r w:rsidRPr="00E0184E">
        <w:t>01</w:t>
      </w:r>
      <w:r w:rsidRPr="0060035B">
        <w:t xml:space="preserve"> coloana </w:t>
      </w:r>
      <w:r w:rsidRPr="00E0184E">
        <w:t>0080</w:t>
      </w:r>
      <w:r w:rsidRPr="0060035B">
        <w:t xml:space="preserve"> pentru următoarele rânduri:</w:t>
      </w:r>
    </w:p>
    <w:p w14:paraId="38FC9781" w14:textId="77777777" w:rsidR="004A4E65" w:rsidRPr="0060035B" w:rsidRDefault="004A4E65" w:rsidP="004A4E65">
      <w:pPr>
        <w:pStyle w:val="Point3"/>
      </w:pPr>
      <w:r w:rsidRPr="0060035B">
        <w:t>-</w:t>
      </w:r>
      <w:r w:rsidRPr="0060035B">
        <w:tab/>
        <w:t xml:space="preserve">numărul de evenimente (evenimente noi) (rândul </w:t>
      </w:r>
      <w:r w:rsidRPr="00E0184E">
        <w:t>0910</w:t>
      </w:r>
      <w:r w:rsidRPr="0060035B">
        <w:t>);</w:t>
      </w:r>
    </w:p>
    <w:p w14:paraId="4D4CF5FF" w14:textId="77777777" w:rsidR="004A4E65" w:rsidRPr="0060035B" w:rsidRDefault="004A4E65" w:rsidP="004A4E65">
      <w:pPr>
        <w:pStyle w:val="Point3"/>
      </w:pPr>
      <w:r w:rsidRPr="0060035B">
        <w:t>-</w:t>
      </w:r>
      <w:r w:rsidRPr="0060035B">
        <w:tab/>
        <w:t xml:space="preserve">cuantumul pierderilor brute (evenimente noi) (rândul </w:t>
      </w:r>
      <w:r w:rsidRPr="00E0184E">
        <w:t>0920</w:t>
      </w:r>
      <w:r w:rsidRPr="0060035B">
        <w:t>);</w:t>
      </w:r>
    </w:p>
    <w:p w14:paraId="1C861214" w14:textId="77777777" w:rsidR="004A4E65" w:rsidRPr="0060035B" w:rsidRDefault="004A4E65" w:rsidP="004A4E65">
      <w:pPr>
        <w:pStyle w:val="Point3"/>
      </w:pPr>
      <w:r w:rsidRPr="0060035B">
        <w:t>-</w:t>
      </w:r>
      <w:r w:rsidRPr="0060035B">
        <w:tab/>
        <w:t>numărul de evenimente care fac obiectul unor ajustări ale pierderilor (rândul </w:t>
      </w:r>
      <w:r w:rsidRPr="00E0184E">
        <w:t>0930</w:t>
      </w:r>
      <w:r w:rsidRPr="0060035B">
        <w:t>);</w:t>
      </w:r>
    </w:p>
    <w:p w14:paraId="5E7045F5" w14:textId="77777777" w:rsidR="004A4E65" w:rsidRPr="0060035B" w:rsidRDefault="004A4E65" w:rsidP="004A4E65">
      <w:pPr>
        <w:pStyle w:val="Point3"/>
      </w:pPr>
      <w:r w:rsidRPr="0060035B">
        <w:t>-</w:t>
      </w:r>
      <w:r w:rsidRPr="0060035B">
        <w:tab/>
        <w:t xml:space="preserve">ajustări ale pierderilor referitoare la perioadele de raportare anterioare (rândul </w:t>
      </w:r>
      <w:r w:rsidRPr="00E0184E">
        <w:t>0940</w:t>
      </w:r>
      <w:r w:rsidRPr="0060035B">
        <w:t>);</w:t>
      </w:r>
    </w:p>
    <w:p w14:paraId="1438A6CB" w14:textId="77777777" w:rsidR="004A4E65" w:rsidRPr="0060035B" w:rsidRDefault="004A4E65" w:rsidP="004A4E65">
      <w:pPr>
        <w:pStyle w:val="Point3"/>
      </w:pPr>
      <w:r w:rsidRPr="0060035B">
        <w:t>-</w:t>
      </w:r>
      <w:r w:rsidRPr="0060035B">
        <w:tab/>
        <w:t xml:space="preserve">pierderea singulară maximă (rândul </w:t>
      </w:r>
      <w:r w:rsidRPr="00E0184E">
        <w:t>0950</w:t>
      </w:r>
      <w:r w:rsidRPr="0060035B">
        <w:t xml:space="preserve">); </w:t>
      </w:r>
    </w:p>
    <w:p w14:paraId="5C63649B" w14:textId="77777777" w:rsidR="004A4E65" w:rsidRPr="0060035B" w:rsidRDefault="004A4E65" w:rsidP="004A4E65">
      <w:pPr>
        <w:pStyle w:val="Point3"/>
      </w:pPr>
      <w:r w:rsidRPr="0060035B">
        <w:t>-</w:t>
      </w:r>
      <w:r w:rsidRPr="0060035B">
        <w:tab/>
        <w:t xml:space="preserve">suma celor mai mari cinci pierderi (rândul </w:t>
      </w:r>
      <w:r w:rsidRPr="00E0184E">
        <w:t>0960</w:t>
      </w:r>
      <w:r w:rsidRPr="0060035B">
        <w:t>);</w:t>
      </w:r>
    </w:p>
    <w:p w14:paraId="6C176440" w14:textId="77777777" w:rsidR="004A4E65" w:rsidRPr="0060035B" w:rsidRDefault="004A4E65" w:rsidP="004A4E65">
      <w:pPr>
        <w:pStyle w:val="Point3"/>
      </w:pPr>
      <w:r w:rsidRPr="0060035B">
        <w:t>-</w:t>
      </w:r>
      <w:r w:rsidRPr="0060035B">
        <w:tab/>
        <w:t>recuperarea totală directă a pierderii (cu excepția asigurărilor și a altor mecanisme de transfer al riscului) (rândul </w:t>
      </w:r>
      <w:r w:rsidRPr="00E0184E">
        <w:t>0970</w:t>
      </w:r>
      <w:r w:rsidRPr="0060035B">
        <w:t>);</w:t>
      </w:r>
    </w:p>
    <w:p w14:paraId="586DD233" w14:textId="77777777" w:rsidR="004A4E65" w:rsidRPr="0060035B" w:rsidRDefault="004A4E65" w:rsidP="004A4E65">
      <w:pPr>
        <w:pStyle w:val="Point3"/>
      </w:pPr>
      <w:r w:rsidRPr="0060035B">
        <w:t>-</w:t>
      </w:r>
      <w:r w:rsidRPr="0060035B">
        <w:tab/>
        <w:t xml:space="preserve">recuperări totale din asigurări și alte mecanisme de transfer al riscului (rândul </w:t>
      </w:r>
      <w:r w:rsidRPr="00E0184E">
        <w:t>0980</w:t>
      </w:r>
      <w:r w:rsidRPr="0060035B">
        <w:t xml:space="preserve">); </w:t>
      </w:r>
    </w:p>
    <w:p w14:paraId="0825DE8D" w14:textId="77777777" w:rsidR="004A4E65" w:rsidRPr="0060035B" w:rsidRDefault="004A4E65" w:rsidP="004A4E65">
      <w:pPr>
        <w:pStyle w:val="Point2"/>
      </w:pPr>
      <w:r w:rsidRPr="0060035B">
        <w:t>(ii)</w:t>
      </w:r>
      <w:r w:rsidRPr="0060035B">
        <w:tab/>
        <w:t xml:space="preserve">informațiile specificate în anexa I formularul </w:t>
      </w:r>
      <w:r w:rsidRPr="00E0184E">
        <w:t>17</w:t>
      </w:r>
      <w:r w:rsidRPr="0060035B">
        <w:t>.</w:t>
      </w:r>
      <w:r w:rsidRPr="00E0184E">
        <w:t>02</w:t>
      </w:r>
      <w:r w:rsidRPr="0060035B">
        <w:t>;</w:t>
      </w:r>
    </w:p>
    <w:p w14:paraId="2FD7698B" w14:textId="77777777" w:rsidR="004A4E65" w:rsidRPr="0060035B" w:rsidRDefault="004A4E65" w:rsidP="004A4E65">
      <w:pPr>
        <w:pStyle w:val="Point1"/>
      </w:pPr>
      <w:r w:rsidRPr="0060035B">
        <w:t>(d)</w:t>
      </w:r>
      <w:r w:rsidRPr="0060035B">
        <w:tab/>
        <w:t>instituțiile menționate la litera (c) pot raporta setul complet de informații specificate în anexa I formularele </w:t>
      </w:r>
      <w:r w:rsidRPr="00E0184E">
        <w:t>17</w:t>
      </w:r>
      <w:r w:rsidRPr="0060035B">
        <w:t>.</w:t>
      </w:r>
      <w:r w:rsidRPr="00E0184E">
        <w:t>01</w:t>
      </w:r>
      <w:r w:rsidRPr="0060035B">
        <w:t xml:space="preserve"> și </w:t>
      </w:r>
      <w:r w:rsidRPr="00E0184E">
        <w:t>17</w:t>
      </w:r>
      <w:r w:rsidRPr="0060035B">
        <w:t>.</w:t>
      </w:r>
      <w:r w:rsidRPr="00E0184E">
        <w:t>02</w:t>
      </w:r>
      <w:r w:rsidRPr="0060035B">
        <w:t xml:space="preserve"> în conformitate cu instrucțiunile din anexa II partea II punctul </w:t>
      </w:r>
      <w:r w:rsidRPr="00E0184E">
        <w:t>4</w:t>
      </w:r>
      <w:r w:rsidRPr="0060035B">
        <w:t>.</w:t>
      </w:r>
      <w:r w:rsidRPr="00E0184E">
        <w:t>2</w:t>
      </w:r>
      <w:r w:rsidRPr="0060035B">
        <w:t>;</w:t>
      </w:r>
    </w:p>
    <w:p w14:paraId="75F8B450" w14:textId="77777777" w:rsidR="004A4E65" w:rsidRPr="0060035B" w:rsidRDefault="004A4E65" w:rsidP="004A4E65">
      <w:pPr>
        <w:pStyle w:val="Point1"/>
      </w:pPr>
      <w:r w:rsidRPr="0060035B">
        <w:t>(e)</w:t>
      </w:r>
      <w:r w:rsidRPr="0060035B">
        <w:tab/>
        <w:t>instituțiile mari care calculează cerințele de fonduri proprii legate de riscurile operaționale în conformitate cu partea a treia titlul III capitolul </w:t>
      </w:r>
      <w:r w:rsidRPr="00E0184E">
        <w:t>2</w:t>
      </w:r>
      <w:r w:rsidRPr="0060035B">
        <w:t xml:space="preserve"> din Regulamentul (UE) nr. </w:t>
      </w:r>
      <w:r w:rsidRPr="00E0184E">
        <w:t>575</w:t>
      </w:r>
      <w:r w:rsidRPr="0060035B">
        <w:t>/</w:t>
      </w:r>
      <w:r w:rsidRPr="00E0184E">
        <w:t>2013</w:t>
      </w:r>
      <w:r w:rsidRPr="0060035B">
        <w:t xml:space="preserve"> raportează informațiile specificate în anexa I formularele </w:t>
      </w:r>
      <w:r w:rsidRPr="00E0184E">
        <w:t>17</w:t>
      </w:r>
      <w:r w:rsidRPr="0060035B">
        <w:t>.</w:t>
      </w:r>
      <w:r w:rsidRPr="00E0184E">
        <w:t>01</w:t>
      </w:r>
      <w:r w:rsidRPr="0060035B">
        <w:t xml:space="preserve"> și </w:t>
      </w:r>
      <w:r w:rsidRPr="00E0184E">
        <w:t>17</w:t>
      </w:r>
      <w:r w:rsidRPr="0060035B">
        <w:t>.</w:t>
      </w:r>
      <w:r w:rsidRPr="00E0184E">
        <w:t>02</w:t>
      </w:r>
      <w:r w:rsidRPr="0060035B">
        <w:t>, în conformitate cu instrucțiunile din anexa II partea II punctul </w:t>
      </w:r>
      <w:r w:rsidRPr="00E0184E">
        <w:t>4</w:t>
      </w:r>
      <w:r w:rsidRPr="0060035B">
        <w:t>.</w:t>
      </w:r>
      <w:r w:rsidRPr="00E0184E">
        <w:t>2</w:t>
      </w:r>
      <w:r w:rsidRPr="0060035B">
        <w:t>;</w:t>
      </w:r>
    </w:p>
    <w:p w14:paraId="612A5174" w14:textId="77777777" w:rsidR="004A4E65" w:rsidRPr="0060035B" w:rsidRDefault="004A4E65" w:rsidP="004A4E65">
      <w:pPr>
        <w:pStyle w:val="Point1"/>
      </w:pPr>
      <w:r w:rsidRPr="0060035B">
        <w:t>(f)</w:t>
      </w:r>
      <w:r w:rsidRPr="0060035B">
        <w:tab/>
        <w:t>instituțiile, altele decât instituțiile mari care calculează cerințele de fonduri proprii legate de riscurile operaționale în conformitate cu partea a treia titlul III capitolul </w:t>
      </w:r>
      <w:r w:rsidRPr="00E0184E">
        <w:t>2</w:t>
      </w:r>
      <w:r w:rsidRPr="0060035B">
        <w:t xml:space="preserve"> din Regulamentul (UE) nr. </w:t>
      </w:r>
      <w:r w:rsidRPr="00E0184E">
        <w:t>575</w:t>
      </w:r>
      <w:r w:rsidRPr="0060035B">
        <w:t>/</w:t>
      </w:r>
      <w:r w:rsidRPr="00E0184E">
        <w:t>2013</w:t>
      </w:r>
      <w:r w:rsidRPr="0060035B">
        <w:t xml:space="preserve"> pot raporta informațiile specificate în anexa I formularele </w:t>
      </w:r>
      <w:r w:rsidRPr="00E0184E">
        <w:t>17</w:t>
      </w:r>
      <w:r w:rsidRPr="0060035B">
        <w:t>.</w:t>
      </w:r>
      <w:r w:rsidRPr="00E0184E">
        <w:t>01</w:t>
      </w:r>
      <w:r w:rsidRPr="0060035B">
        <w:t xml:space="preserve"> și </w:t>
      </w:r>
      <w:r w:rsidRPr="00E0184E">
        <w:t>17</w:t>
      </w:r>
      <w:r w:rsidRPr="0060035B">
        <w:t>.</w:t>
      </w:r>
      <w:r w:rsidRPr="00E0184E">
        <w:t>02</w:t>
      </w:r>
      <w:r w:rsidRPr="0060035B">
        <w:t xml:space="preserve"> în conformitate cu instrucțiunile din anexa II partea II punctul </w:t>
      </w:r>
      <w:r w:rsidRPr="00E0184E">
        <w:t>4</w:t>
      </w:r>
      <w:r w:rsidRPr="0060035B">
        <w:t>.</w:t>
      </w:r>
      <w:r w:rsidRPr="00E0184E">
        <w:t>2</w:t>
      </w:r>
      <w:r w:rsidRPr="0060035B">
        <w:t>.</w:t>
      </w:r>
    </w:p>
    <w:p w14:paraId="2F83BAAA" w14:textId="77777777" w:rsidR="004A4E65" w:rsidRPr="0060035B" w:rsidRDefault="004A4E65" w:rsidP="004A4E65">
      <w:pPr>
        <w:pStyle w:val="Text1"/>
      </w:pPr>
      <w:r w:rsidRPr="0060035B">
        <w:t>Se aplică criteriile de intrare și de ieșire prevăzute la articolul </w:t>
      </w:r>
      <w:r w:rsidRPr="00E0184E">
        <w:t>4</w:t>
      </w:r>
      <w:r w:rsidRPr="0060035B">
        <w:t xml:space="preserve"> alineatul (</w:t>
      </w:r>
      <w:r w:rsidRPr="00E0184E">
        <w:t>3</w:t>
      </w:r>
      <w:r w:rsidRPr="0060035B">
        <w:t>).</w:t>
      </w:r>
    </w:p>
    <w:p w14:paraId="490166B3" w14:textId="0D7AD0EB" w:rsidR="00496B08" w:rsidRPr="0060035B" w:rsidRDefault="004A4E65" w:rsidP="004A4E65">
      <w:pPr>
        <w:pStyle w:val="NumPar1"/>
      </w:pPr>
      <w:r w:rsidRPr="0060035B">
        <w:t xml:space="preserve">Instituțiile care aplică abordarea standardizată simplificată sau metoda expunerii inițiale pentru calcularea expunerilor la riscul de credit al contrapărții în conformitate cu partea a treia titlul II capitolul </w:t>
      </w:r>
      <w:r w:rsidRPr="00E0184E">
        <w:t>6</w:t>
      </w:r>
      <w:r w:rsidRPr="0060035B">
        <w:t xml:space="preserve"> secțiunile </w:t>
      </w:r>
      <w:r w:rsidRPr="00E0184E">
        <w:t>4</w:t>
      </w:r>
      <w:r w:rsidRPr="0060035B">
        <w:t xml:space="preserve"> și </w:t>
      </w:r>
      <w:r w:rsidRPr="00E0184E">
        <w:t>5</w:t>
      </w:r>
      <w:r w:rsidRPr="0060035B">
        <w:t xml:space="preserve"> din Regulamentul (UE) nr.</w:t>
      </w:r>
      <w:r w:rsidR="00E0184E">
        <w:t> </w:t>
      </w:r>
      <w:r w:rsidRPr="00E0184E">
        <w:t>575</w:t>
      </w:r>
      <w:r w:rsidRPr="0060035B">
        <w:t>/</w:t>
      </w:r>
      <w:r w:rsidRPr="00E0184E">
        <w:t>2013</w:t>
      </w:r>
      <w:r w:rsidRPr="0060035B">
        <w:t xml:space="preserve"> transmit informațiile privind riscul de credit al contrapărții specificate în anexa I formularul </w:t>
      </w:r>
      <w:r w:rsidRPr="00E0184E">
        <w:t>34</w:t>
      </w:r>
      <w:r w:rsidRPr="0060035B">
        <w:t>.</w:t>
      </w:r>
      <w:r w:rsidRPr="00E0184E">
        <w:t>06</w:t>
      </w:r>
      <w:r w:rsidRPr="0060035B">
        <w:t xml:space="preserve"> în conformitate cu instrucțiunile din anexa II partea II punctul </w:t>
      </w:r>
      <w:r w:rsidRPr="00E0184E">
        <w:t>3</w:t>
      </w:r>
      <w:r w:rsidRPr="0060035B">
        <w:t>.</w:t>
      </w:r>
      <w:r w:rsidRPr="00E0184E">
        <w:t>9</w:t>
      </w:r>
      <w:r w:rsidRPr="0060035B">
        <w:t>.</w:t>
      </w:r>
      <w:r w:rsidRPr="00E0184E">
        <w:t>7</w:t>
      </w:r>
      <w:r w:rsidRPr="0060035B">
        <w:t>.</w:t>
      </w:r>
    </w:p>
    <w:p w14:paraId="6414DB48" w14:textId="77777777" w:rsidR="00FE0C02" w:rsidRPr="00E0184E" w:rsidRDefault="00FE0C02" w:rsidP="00FE0C02">
      <w:pPr>
        <w:pStyle w:val="Titrearticle"/>
      </w:pPr>
      <w:r w:rsidRPr="00E0184E">
        <w:lastRenderedPageBreak/>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7</w:t>
      </w:r>
      <w:r w:rsidR="00C601E7" w:rsidRPr="00E0184E">
        <w:fldChar w:fldCharType="end"/>
      </w:r>
    </w:p>
    <w:p w14:paraId="0F2D57CA" w14:textId="77777777" w:rsidR="00FE0C02" w:rsidRPr="00E0184E" w:rsidRDefault="00FE0C02" w:rsidP="00FE0C02">
      <w:pPr>
        <w:pStyle w:val="Titrearticle"/>
        <w:spacing w:before="120"/>
        <w:rPr>
          <w:b/>
          <w:i w:val="0"/>
        </w:rPr>
      </w:pPr>
      <w:r w:rsidRPr="00E0184E">
        <w:rPr>
          <w:b/>
          <w:i w:val="0"/>
        </w:rPr>
        <w:t>Raportarea pe bază consolidată cu privire la fondurile proprii și la cerințele de fonduri proprii</w:t>
      </w:r>
    </w:p>
    <w:p w14:paraId="598D92CF" w14:textId="77777777" w:rsidR="00FE0C02" w:rsidRPr="0060035B" w:rsidRDefault="00FE0C02" w:rsidP="00FE0C02">
      <w:pPr>
        <w:widowControl w:val="0"/>
        <w:autoSpaceDE w:val="0"/>
        <w:autoSpaceDN w:val="0"/>
        <w:spacing w:line="228" w:lineRule="auto"/>
      </w:pPr>
      <w:r w:rsidRPr="0060035B">
        <w:t xml:space="preserve">Pentru a raporta pe bază consolidată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instituțiile transmit informațiile specificate:</w:t>
      </w:r>
    </w:p>
    <w:p w14:paraId="2745F268" w14:textId="77777777" w:rsidR="00FE0C02" w:rsidRPr="0060035B" w:rsidRDefault="00FE0C02" w:rsidP="00FE0C02">
      <w:pPr>
        <w:pStyle w:val="Point1"/>
      </w:pPr>
      <w:r w:rsidRPr="0060035B">
        <w:t>(a)</w:t>
      </w:r>
      <w:r w:rsidRPr="0060035B">
        <w:tab/>
        <w:t xml:space="preserve">la articolele </w:t>
      </w:r>
      <w:r w:rsidRPr="00E0184E">
        <w:t>5</w:t>
      </w:r>
      <w:r w:rsidRPr="0060035B">
        <w:t xml:space="preserve"> și </w:t>
      </w:r>
      <w:r w:rsidRPr="00E0184E">
        <w:t>6</w:t>
      </w:r>
      <w:r w:rsidRPr="0060035B">
        <w:t xml:space="preserve"> din prezentul regulament de punere în aplicare, pe bază consolidată, cu frecvența specificată la articolele respective; și</w:t>
      </w:r>
    </w:p>
    <w:p w14:paraId="41714624" w14:textId="77777777" w:rsidR="00FE0C02" w:rsidRPr="0060035B" w:rsidRDefault="00FE0C02" w:rsidP="00FE0C02">
      <w:pPr>
        <w:pStyle w:val="Point1"/>
      </w:pPr>
      <w:r w:rsidRPr="0060035B">
        <w:t>(b)</w:t>
      </w:r>
      <w:r w:rsidRPr="0060035B">
        <w:tab/>
        <w:t xml:space="preserve">în anexa I formularul </w:t>
      </w:r>
      <w:r w:rsidRPr="00E0184E">
        <w:t>6</w:t>
      </w:r>
      <w:r w:rsidRPr="0060035B">
        <w:t xml:space="preserve">, în conformitate cu instrucțiunile prevăzute în anexa II partea II punctul </w:t>
      </w:r>
      <w:r w:rsidRPr="00E0184E">
        <w:t>2</w:t>
      </w:r>
      <w:r w:rsidRPr="0060035B">
        <w:t>, în ceea ce privește entitățile incluse în perimetrul de consolidare, cu o frecvență bianuală.</w:t>
      </w:r>
    </w:p>
    <w:p w14:paraId="319C9C0F" w14:textId="77777777" w:rsidR="00FE0C02" w:rsidRPr="00E0184E" w:rsidRDefault="00FE0C02" w:rsidP="00FE0C02">
      <w:pPr>
        <w:pStyle w:val="Titrearticle"/>
      </w:pPr>
      <w:r w:rsidRPr="00E0184E">
        <w:t>Articolul 8</w:t>
      </w:r>
    </w:p>
    <w:p w14:paraId="601BC224" w14:textId="77777777" w:rsidR="00FE0C02" w:rsidRPr="00E0184E" w:rsidRDefault="00FE0C02" w:rsidP="00FE0C02">
      <w:pPr>
        <w:pStyle w:val="Titrearticle"/>
        <w:rPr>
          <w:b/>
          <w:i w:val="0"/>
        </w:rPr>
      </w:pPr>
      <w:r w:rsidRPr="00E0184E">
        <w:rPr>
          <w:b/>
          <w:i w:val="0"/>
        </w:rPr>
        <w:t>Raportarea cu privire la fondurile proprii și la cerințele de fonduri proprii – cerințe suplimentare privind raportarea pe bază individuală și pe bază consolidată</w:t>
      </w:r>
    </w:p>
    <w:p w14:paraId="23F3BEFD" w14:textId="596DDC34" w:rsidR="00FE0C02" w:rsidRPr="0060035B" w:rsidRDefault="00125634" w:rsidP="005F180D">
      <w:pPr>
        <w:pStyle w:val="NumPar1"/>
        <w:numPr>
          <w:ilvl w:val="0"/>
          <w:numId w:val="16"/>
        </w:numPr>
      </w:pPr>
      <w:r w:rsidRPr="0060035B">
        <w:t>Instituțiile care fac obiectul unei cerințe de a publica informațiile menționate la articolul </w:t>
      </w:r>
      <w:r w:rsidRPr="00E0184E">
        <w:t>438</w:t>
      </w:r>
      <w:r w:rsidRPr="0060035B">
        <w:t xml:space="preserve"> litera (e) sau (h) sau la articolul </w:t>
      </w:r>
      <w:r w:rsidRPr="00E0184E">
        <w:t>452</w:t>
      </w:r>
      <w:r w:rsidRPr="0060035B">
        <w:t xml:space="preserve"> litera (b), (g) sau (h) din Regulamentul (UE) nr. </w:t>
      </w:r>
      <w:r w:rsidRPr="00E0184E">
        <w:t>575</w:t>
      </w:r>
      <w:r w:rsidRPr="0060035B">
        <w:t>/</w:t>
      </w:r>
      <w:r w:rsidRPr="00E0184E">
        <w:t>2013</w:t>
      </w:r>
      <w:r w:rsidRPr="0060035B">
        <w:t>, cu frecvența prevăzută la articolul </w:t>
      </w:r>
      <w:r w:rsidRPr="00E0184E">
        <w:t>433</w:t>
      </w:r>
      <w:r w:rsidRPr="0060035B">
        <w:t>a sau la articolul </w:t>
      </w:r>
      <w:r w:rsidRPr="00E0184E">
        <w:t>433</w:t>
      </w:r>
      <w:r w:rsidRPr="0060035B">
        <w:t>c, după caz, pe bază individuală în conformitate cu articolul </w:t>
      </w:r>
      <w:r w:rsidRPr="00E0184E">
        <w:t>6</w:t>
      </w:r>
      <w:r w:rsidRPr="0060035B">
        <w:t xml:space="preserve"> sau pe bază consolidată în conformitate cu articolul </w:t>
      </w:r>
      <w:r w:rsidRPr="00E0184E">
        <w:t>13</w:t>
      </w:r>
      <w:r w:rsidRPr="0060035B">
        <w:t xml:space="preserve">, după caz, din regulamentul respectiv, transmit informațiile privind riscul de credit și riscul de credit al contrapărții specificate în anexa I formularele </w:t>
      </w:r>
      <w:r w:rsidRPr="00E0184E">
        <w:t>8</w:t>
      </w:r>
      <w:r w:rsidRPr="0060035B">
        <w:t>.</w:t>
      </w:r>
      <w:r w:rsidRPr="00E0184E">
        <w:t>3</w:t>
      </w:r>
      <w:r w:rsidRPr="0060035B">
        <w:t xml:space="preserve">, </w:t>
      </w:r>
      <w:r w:rsidRPr="00E0184E">
        <w:t>8</w:t>
      </w:r>
      <w:r w:rsidRPr="0060035B">
        <w:t>.</w:t>
      </w:r>
      <w:r w:rsidRPr="00E0184E">
        <w:t>4</w:t>
      </w:r>
      <w:r w:rsidRPr="0060035B">
        <w:t xml:space="preserve">, </w:t>
      </w:r>
      <w:r w:rsidRPr="00E0184E">
        <w:t>8</w:t>
      </w:r>
      <w:r w:rsidRPr="0060035B">
        <w:t>.</w:t>
      </w:r>
      <w:r w:rsidRPr="00E0184E">
        <w:t>5</w:t>
      </w:r>
      <w:r w:rsidRPr="0060035B">
        <w:t xml:space="preserve">, </w:t>
      </w:r>
      <w:r w:rsidRPr="00E0184E">
        <w:t>8</w:t>
      </w:r>
      <w:r w:rsidRPr="0060035B">
        <w:t>.</w:t>
      </w:r>
      <w:r w:rsidRPr="00E0184E">
        <w:t>5</w:t>
      </w:r>
      <w:r w:rsidRPr="0060035B">
        <w:t>.</w:t>
      </w:r>
      <w:r w:rsidRPr="00E0184E">
        <w:t>1</w:t>
      </w:r>
      <w:r w:rsidRPr="0060035B">
        <w:t xml:space="preserve">, </w:t>
      </w:r>
      <w:r w:rsidRPr="00E0184E">
        <w:t>8</w:t>
      </w:r>
      <w:r w:rsidRPr="0060035B">
        <w:t>.</w:t>
      </w:r>
      <w:r w:rsidRPr="00E0184E">
        <w:t>6</w:t>
      </w:r>
      <w:r w:rsidRPr="0060035B">
        <w:t xml:space="preserve">, </w:t>
      </w:r>
      <w:r w:rsidRPr="00E0184E">
        <w:t>8</w:t>
      </w:r>
      <w:r w:rsidRPr="0060035B">
        <w:t>.</w:t>
      </w:r>
      <w:r w:rsidRPr="00E0184E">
        <w:t>7</w:t>
      </w:r>
      <w:r w:rsidRPr="0060035B">
        <w:t xml:space="preserve"> și </w:t>
      </w:r>
      <w:r w:rsidRPr="00E0184E">
        <w:t>34</w:t>
      </w:r>
      <w:r w:rsidRPr="0060035B">
        <w:t>.</w:t>
      </w:r>
      <w:r w:rsidRPr="00E0184E">
        <w:t>11</w:t>
      </w:r>
      <w:r w:rsidRPr="0060035B">
        <w:t xml:space="preserve"> din prezentul regulament, cu aceeași frecvență și pe aceeași bază, urmând instrucțiunile din anexa II partea II punctele </w:t>
      </w:r>
      <w:r w:rsidRPr="00E0184E">
        <w:t>3</w:t>
      </w:r>
      <w:r w:rsidRPr="0060035B">
        <w:t>.</w:t>
      </w:r>
      <w:r w:rsidRPr="00E0184E">
        <w:t>3</w:t>
      </w:r>
      <w:r w:rsidRPr="0060035B">
        <w:t xml:space="preserve"> și </w:t>
      </w:r>
      <w:r w:rsidRPr="00E0184E">
        <w:t>3</w:t>
      </w:r>
      <w:r w:rsidRPr="0060035B">
        <w:t>.</w:t>
      </w:r>
      <w:r w:rsidRPr="00E0184E">
        <w:t>9</w:t>
      </w:r>
      <w:r w:rsidRPr="0060035B">
        <w:t>.</w:t>
      </w:r>
      <w:r w:rsidRPr="00E0184E">
        <w:t>12</w:t>
      </w:r>
      <w:r w:rsidRPr="0060035B">
        <w:t xml:space="preserve"> din prezentul regulament.</w:t>
      </w:r>
    </w:p>
    <w:p w14:paraId="58F2B691" w14:textId="5157B44C" w:rsidR="00FE0C02" w:rsidRPr="0060035B" w:rsidRDefault="00977656" w:rsidP="00FE0C02">
      <w:pPr>
        <w:pStyle w:val="NumPar1"/>
      </w:pPr>
      <w:r w:rsidRPr="0060035B">
        <w:t>Instituțiile care fac obiectul unei cerințe de a publica informațiile menționate la articolul </w:t>
      </w:r>
      <w:r w:rsidRPr="00E0184E">
        <w:t>439</w:t>
      </w:r>
      <w:r w:rsidRPr="0060035B">
        <w:t xml:space="preserve"> litera (l) din Regulamentul (UE) nr. </w:t>
      </w:r>
      <w:r w:rsidRPr="00E0184E">
        <w:t>575</w:t>
      </w:r>
      <w:r w:rsidRPr="0060035B">
        <w:t>/</w:t>
      </w:r>
      <w:r w:rsidRPr="00E0184E">
        <w:t>2013</w:t>
      </w:r>
      <w:r w:rsidRPr="0060035B">
        <w:t xml:space="preserve"> cu frecvența prevăzută la articolul </w:t>
      </w:r>
      <w:r w:rsidRPr="00E0184E">
        <w:t>433</w:t>
      </w:r>
      <w:r w:rsidRPr="0060035B">
        <w:t>a sau la articolul </w:t>
      </w:r>
      <w:r w:rsidRPr="00E0184E">
        <w:t>433</w:t>
      </w:r>
      <w:r w:rsidRPr="0060035B">
        <w:t>c, după caz, pe bază individuală în conformitate cu articolul </w:t>
      </w:r>
      <w:r w:rsidRPr="00E0184E">
        <w:t>6</w:t>
      </w:r>
      <w:r w:rsidRPr="0060035B">
        <w:t xml:space="preserve"> sau pe bază consolidată în conformitate cu articolul </w:t>
      </w:r>
      <w:r w:rsidRPr="00E0184E">
        <w:t>13</w:t>
      </w:r>
      <w:r w:rsidRPr="0060035B">
        <w:t xml:space="preserve">, după caz, din regulamentul respectiv, transmit informațiile privind riscul de credit al contrapărții specificate în anexa I formularul </w:t>
      </w:r>
      <w:r w:rsidRPr="00E0184E">
        <w:t>34</w:t>
      </w:r>
      <w:r w:rsidRPr="0060035B">
        <w:t>.</w:t>
      </w:r>
      <w:r w:rsidRPr="00E0184E">
        <w:t>07</w:t>
      </w:r>
      <w:r w:rsidRPr="0060035B">
        <w:t xml:space="preserve"> din prezentul regulament, cu aceeași frecvență și pe aceeași bază, urmând instrucțiunile din anexa II partea II punctul</w:t>
      </w:r>
      <w:r w:rsidR="00E0184E">
        <w:t> </w:t>
      </w:r>
      <w:r w:rsidRPr="00E0184E">
        <w:t>3</w:t>
      </w:r>
      <w:r w:rsidRPr="0060035B">
        <w:t>.</w:t>
      </w:r>
      <w:r w:rsidRPr="00E0184E">
        <w:t>9</w:t>
      </w:r>
      <w:r w:rsidRPr="0060035B">
        <w:t>.</w:t>
      </w:r>
      <w:r w:rsidRPr="00E0184E">
        <w:t>8</w:t>
      </w:r>
      <w:r w:rsidRPr="0060035B">
        <w:t xml:space="preserve"> din prezentul regulament.</w:t>
      </w:r>
    </w:p>
    <w:p w14:paraId="7252BD87" w14:textId="77777777" w:rsidR="00FE0C02" w:rsidRPr="00E0184E" w:rsidRDefault="00FE0C02" w:rsidP="00FE0C02">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9</w:t>
      </w:r>
      <w:r w:rsidR="00C601E7" w:rsidRPr="00E0184E">
        <w:fldChar w:fldCharType="end"/>
      </w:r>
    </w:p>
    <w:p w14:paraId="6B3DD09D" w14:textId="77777777" w:rsidR="00FE0C02" w:rsidRPr="00E0184E" w:rsidRDefault="00FE0C02" w:rsidP="00FE0C02">
      <w:pPr>
        <w:pStyle w:val="Titrearticle"/>
        <w:spacing w:before="120"/>
        <w:rPr>
          <w:b/>
          <w:i w:val="0"/>
        </w:rPr>
      </w:pPr>
      <w:r w:rsidRPr="00E0184E">
        <w:rPr>
          <w:b/>
          <w:i w:val="0"/>
        </w:rPr>
        <w:t>Raportarea pe bază individuală cu privire la fondurile proprii și la cerințele de fonduri proprii pentru firmele de investiții care fac obiectul articolelor 95 și 96 din Regulamentul (UE) nr. 575/2013</w:t>
      </w:r>
    </w:p>
    <w:p w14:paraId="3D78F884" w14:textId="77777777" w:rsidR="00FE0C02" w:rsidRPr="0060035B" w:rsidRDefault="00FE0C02" w:rsidP="005F180D">
      <w:pPr>
        <w:pStyle w:val="NumPar1"/>
        <w:numPr>
          <w:ilvl w:val="0"/>
          <w:numId w:val="17"/>
        </w:numPr>
      </w:pPr>
      <w:r w:rsidRPr="0060035B">
        <w:t xml:space="preserve">Firmele de investiții care aplică dispozițiile tranzitorii de la articolul </w:t>
      </w:r>
      <w:r w:rsidRPr="00E0184E">
        <w:t>57</w:t>
      </w:r>
      <w:r w:rsidRPr="0060035B">
        <w:t xml:space="preserve"> alineatul (</w:t>
      </w:r>
      <w:r w:rsidRPr="00E0184E">
        <w:t>3</w:t>
      </w:r>
      <w:r w:rsidRPr="0060035B">
        <w:t xml:space="preserve">) din Regulamentul (UE) </w:t>
      </w:r>
      <w:r w:rsidRPr="00E0184E">
        <w:t>2019</w:t>
      </w:r>
      <w:r w:rsidRPr="0060035B">
        <w:t>/</w:t>
      </w:r>
      <w:r w:rsidRPr="00E0184E">
        <w:t>2033</w:t>
      </w:r>
      <w:r w:rsidRPr="0060035B">
        <w:t xml:space="preserve"> transmit informațiile prevăzute la prezentul articol.</w:t>
      </w:r>
    </w:p>
    <w:p w14:paraId="64E2C5EE" w14:textId="77777777" w:rsidR="00FE0C02" w:rsidRPr="0060035B" w:rsidRDefault="00FE0C02" w:rsidP="00FE0C02">
      <w:pPr>
        <w:pStyle w:val="NumPar1"/>
      </w:pPr>
      <w:r w:rsidRPr="0060035B">
        <w:t xml:space="preserve">Pentru a raporta pe bază individuală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xml:space="preserve">, cu excepția informațiilor privind indicatorul efectului de levier, firmele de investiții care invocă articolul </w:t>
      </w:r>
      <w:r w:rsidRPr="00E0184E">
        <w:t>57</w:t>
      </w:r>
      <w:r w:rsidRPr="0060035B">
        <w:t xml:space="preserve"> alineatul (</w:t>
      </w:r>
      <w:r w:rsidRPr="00E0184E">
        <w:t>3</w:t>
      </w:r>
      <w:r w:rsidRPr="0060035B">
        <w:t xml:space="preserve">) din Regulamentul (UE) </w:t>
      </w:r>
      <w:r w:rsidRPr="00E0184E">
        <w:t>2019</w:t>
      </w:r>
      <w:r w:rsidRPr="0060035B">
        <w:t>/</w:t>
      </w:r>
      <w:r w:rsidRPr="00E0184E">
        <w:t>2033</w:t>
      </w:r>
      <w:r w:rsidRPr="0060035B">
        <w:t xml:space="preserve"> în ceea ce privește articolul </w:t>
      </w:r>
      <w:r w:rsidRPr="00E0184E">
        <w:t>95</w:t>
      </w:r>
      <w:r w:rsidRPr="0060035B">
        <w:t xml:space="preserve"> din Regulamentul </w:t>
      </w:r>
      <w:r w:rsidRPr="0060035B">
        <w:lastRenderedPageBreak/>
        <w:t xml:space="preserve">(UE) nr. </w:t>
      </w:r>
      <w:r w:rsidRPr="00E0184E">
        <w:t>575</w:t>
      </w:r>
      <w:r w:rsidRPr="0060035B">
        <w:t>/</w:t>
      </w:r>
      <w:r w:rsidRPr="00E0184E">
        <w:t>2013</w:t>
      </w:r>
      <w:r w:rsidRPr="0060035B">
        <w:t xml:space="preserve"> transmit informațiile specificate în anexa I formularele </w:t>
      </w:r>
      <w:r w:rsidRPr="00E0184E">
        <w:t>1</w:t>
      </w:r>
      <w:r w:rsidRPr="0060035B">
        <w:t>-</w:t>
      </w:r>
      <w:r w:rsidRPr="00E0184E">
        <w:t>5</w:t>
      </w:r>
      <w:r w:rsidRPr="0060035B">
        <w:t xml:space="preserve"> în conformitate cu instrucțiunile din anexa II partea II punctul </w:t>
      </w:r>
      <w:r w:rsidRPr="00E0184E">
        <w:t>1</w:t>
      </w:r>
      <w:r w:rsidRPr="0060035B">
        <w:t>, cu o frecvență trimestrială.</w:t>
      </w:r>
    </w:p>
    <w:p w14:paraId="6AD01D77" w14:textId="77777777" w:rsidR="00FE0C02" w:rsidRPr="0060035B" w:rsidRDefault="00FE0C02" w:rsidP="00FE0C02">
      <w:pPr>
        <w:pStyle w:val="NumPar1"/>
      </w:pPr>
      <w:r w:rsidRPr="0060035B">
        <w:t xml:space="preserve">Pentru a raporta pe bază individuală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xml:space="preserve">, firmele de investiții care invocă articolul </w:t>
      </w:r>
      <w:r w:rsidRPr="00E0184E">
        <w:t>57</w:t>
      </w:r>
      <w:r w:rsidRPr="0060035B">
        <w:t xml:space="preserve"> alineatul (</w:t>
      </w:r>
      <w:r w:rsidRPr="00E0184E">
        <w:t>3</w:t>
      </w:r>
      <w:r w:rsidRPr="0060035B">
        <w:t xml:space="preserve">) din Regulamentul (UE) </w:t>
      </w:r>
      <w:r w:rsidRPr="00E0184E">
        <w:t>2019</w:t>
      </w:r>
      <w:r w:rsidRPr="0060035B">
        <w:t>/</w:t>
      </w:r>
      <w:r w:rsidRPr="00E0184E">
        <w:t>2033</w:t>
      </w:r>
      <w:r w:rsidRPr="0060035B">
        <w:t xml:space="preserve"> în ceea ce privește articolul </w:t>
      </w:r>
      <w:r w:rsidRPr="00E0184E">
        <w:t>96</w:t>
      </w:r>
      <w:r w:rsidRPr="0060035B">
        <w:t xml:space="preserve"> din Regulamentul (UE) nr. </w:t>
      </w:r>
      <w:r w:rsidRPr="00E0184E">
        <w:t>575</w:t>
      </w:r>
      <w:r w:rsidRPr="0060035B">
        <w:t>/</w:t>
      </w:r>
      <w:r w:rsidRPr="00E0184E">
        <w:t>2013</w:t>
      </w:r>
      <w:r w:rsidRPr="0060035B">
        <w:t xml:space="preserve"> transmit informațiile menționate la articolul </w:t>
      </w:r>
      <w:r w:rsidRPr="00E0184E">
        <w:t>5</w:t>
      </w:r>
      <w:r w:rsidRPr="0060035B">
        <w:t xml:space="preserve"> alineatele (</w:t>
      </w:r>
      <w:r w:rsidRPr="00E0184E">
        <w:t>1</w:t>
      </w:r>
      <w:r w:rsidRPr="0060035B">
        <w:t>)-(</w:t>
      </w:r>
      <w:r w:rsidRPr="00E0184E">
        <w:t>5</w:t>
      </w:r>
      <w:r w:rsidRPr="0060035B">
        <w:t>) și alineatele (</w:t>
      </w:r>
      <w:r w:rsidRPr="00E0184E">
        <w:t>8</w:t>
      </w:r>
      <w:r w:rsidRPr="0060035B">
        <w:t>)-(</w:t>
      </w:r>
      <w:r w:rsidRPr="00E0184E">
        <w:t>13</w:t>
      </w:r>
      <w:r w:rsidRPr="0060035B">
        <w:t xml:space="preserve">) și la articolul </w:t>
      </w:r>
      <w:r w:rsidRPr="00E0184E">
        <w:t>6</w:t>
      </w:r>
      <w:r w:rsidRPr="0060035B">
        <w:t xml:space="preserve"> alineatul (</w:t>
      </w:r>
      <w:r w:rsidRPr="00E0184E">
        <w:t>2</w:t>
      </w:r>
      <w:r w:rsidRPr="0060035B">
        <w:t>) din prezentul regulament, cu frecvența prevăzută la articolele respective.</w:t>
      </w:r>
    </w:p>
    <w:p w14:paraId="4D074E8C" w14:textId="77777777" w:rsidR="00FE0C02" w:rsidRPr="00E0184E" w:rsidRDefault="00FE0C02" w:rsidP="00FE0C02">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10</w:t>
      </w:r>
      <w:r w:rsidR="00C601E7" w:rsidRPr="00E0184E">
        <w:fldChar w:fldCharType="end"/>
      </w:r>
    </w:p>
    <w:p w14:paraId="2C5D357D" w14:textId="77777777" w:rsidR="00FE0C02" w:rsidRPr="00E0184E" w:rsidRDefault="00FE0C02" w:rsidP="00FE0C02">
      <w:pPr>
        <w:pStyle w:val="Titrearticle"/>
        <w:spacing w:before="120"/>
        <w:rPr>
          <w:b/>
          <w:i w:val="0"/>
        </w:rPr>
      </w:pPr>
      <w:r w:rsidRPr="00E0184E">
        <w:rPr>
          <w:b/>
          <w:i w:val="0"/>
        </w:rPr>
        <w:t>Raportarea pe bază consolidată cu privire la fondurile proprii și la cerințele de fonduri proprii pentru grupurile constituite numai din firme de investiții care fac obiectul articolelor 95 și 96 din Regulamentul (UE) nr. 575/2013</w:t>
      </w:r>
    </w:p>
    <w:p w14:paraId="0ED9D414" w14:textId="77777777" w:rsidR="00FE0C02" w:rsidRPr="0060035B" w:rsidRDefault="00FE0C02" w:rsidP="005F180D">
      <w:pPr>
        <w:pStyle w:val="NumPar1"/>
        <w:numPr>
          <w:ilvl w:val="0"/>
          <w:numId w:val="18"/>
        </w:numPr>
      </w:pPr>
      <w:r w:rsidRPr="0060035B">
        <w:t xml:space="preserve">Firmele de investiții care aplică dispozițiile tranzitorii de la articolul </w:t>
      </w:r>
      <w:r w:rsidRPr="00E0184E">
        <w:t>57</w:t>
      </w:r>
      <w:r w:rsidRPr="0060035B">
        <w:t xml:space="preserve"> alineatul (</w:t>
      </w:r>
      <w:r w:rsidRPr="00E0184E">
        <w:t>3</w:t>
      </w:r>
      <w:r w:rsidRPr="0060035B">
        <w:t xml:space="preserve">) din Regulamentul (UE) </w:t>
      </w:r>
      <w:r w:rsidRPr="00E0184E">
        <w:t>2019</w:t>
      </w:r>
      <w:r w:rsidRPr="0060035B">
        <w:t>/</w:t>
      </w:r>
      <w:r w:rsidRPr="00E0184E">
        <w:t>2033</w:t>
      </w:r>
      <w:r w:rsidRPr="0060035B">
        <w:t xml:space="preserve"> transmit informațiile prevăzute la prezentul articol.</w:t>
      </w:r>
    </w:p>
    <w:p w14:paraId="55A9CAAC" w14:textId="77777777" w:rsidR="00FE0C02" w:rsidRPr="0060035B" w:rsidRDefault="00FE0C02" w:rsidP="00FE0C02">
      <w:pPr>
        <w:pStyle w:val="NumPar1"/>
      </w:pPr>
      <w:r w:rsidRPr="0060035B">
        <w:t xml:space="preserve">Pentru a raporta pe bază consolidată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xml:space="preserve">, cu excepția informațiilor privind indicatorul efectului de levier, firmele de investiții aparținând grupurilor constituite numai din firme de investiții care invocă articolul </w:t>
      </w:r>
      <w:r w:rsidRPr="00E0184E">
        <w:t>57</w:t>
      </w:r>
      <w:r w:rsidRPr="0060035B">
        <w:t xml:space="preserve"> alineatul (</w:t>
      </w:r>
      <w:r w:rsidRPr="00E0184E">
        <w:t>3</w:t>
      </w:r>
      <w:r w:rsidRPr="0060035B">
        <w:t xml:space="preserve">) din Regulamentul (UE) </w:t>
      </w:r>
      <w:r w:rsidRPr="00E0184E">
        <w:t>2019</w:t>
      </w:r>
      <w:r w:rsidRPr="0060035B">
        <w:t>/</w:t>
      </w:r>
      <w:r w:rsidRPr="00E0184E">
        <w:t>2033</w:t>
      </w:r>
      <w:r w:rsidRPr="0060035B">
        <w:t xml:space="preserve"> în ceea ce privește articolul </w:t>
      </w:r>
      <w:r w:rsidRPr="00E0184E">
        <w:t>95</w:t>
      </w:r>
      <w:r w:rsidRPr="0060035B">
        <w:t xml:space="preserve"> din Regulamentul (UE) nr. </w:t>
      </w:r>
      <w:r w:rsidRPr="00E0184E">
        <w:t>575</w:t>
      </w:r>
      <w:r w:rsidRPr="0060035B">
        <w:t>/</w:t>
      </w:r>
      <w:r w:rsidRPr="00E0184E">
        <w:t>2013</w:t>
      </w:r>
      <w:r w:rsidRPr="0060035B">
        <w:t xml:space="preserve"> transmit următoarele informații pe bază consolidată:</w:t>
      </w:r>
    </w:p>
    <w:p w14:paraId="6DD1064B" w14:textId="5E0DBACF" w:rsidR="00FE0C02" w:rsidRPr="0060035B" w:rsidRDefault="00FE0C02" w:rsidP="00FE0C02">
      <w:pPr>
        <w:pStyle w:val="Point1"/>
      </w:pPr>
      <w:r w:rsidRPr="0060035B">
        <w:t>(a)</w:t>
      </w:r>
      <w:r w:rsidRPr="0060035B">
        <w:tab/>
        <w:t xml:space="preserve">informațiile privind fondurile proprii și cerințele de fonduri proprii specificate în anexa I formularele </w:t>
      </w:r>
      <w:r w:rsidRPr="00E0184E">
        <w:t>1</w:t>
      </w:r>
      <w:r w:rsidRPr="0060035B">
        <w:t>-</w:t>
      </w:r>
      <w:r w:rsidRPr="00E0184E">
        <w:t>5</w:t>
      </w:r>
      <w:r w:rsidRPr="0060035B">
        <w:t xml:space="preserve"> în conformitate cu instrucțiunile din anexa II partea</w:t>
      </w:r>
      <w:r w:rsidR="00B8468D">
        <w:t> </w:t>
      </w:r>
      <w:r w:rsidRPr="0060035B">
        <w:t xml:space="preserve">II punctul </w:t>
      </w:r>
      <w:r w:rsidRPr="00E0184E">
        <w:t>1</w:t>
      </w:r>
      <w:r w:rsidRPr="0060035B">
        <w:t>, cu o frecvență trimestrială;</w:t>
      </w:r>
    </w:p>
    <w:p w14:paraId="06EB54F9" w14:textId="77777777" w:rsidR="00FE0C02" w:rsidRPr="0060035B" w:rsidRDefault="00FE0C02" w:rsidP="00FE0C02">
      <w:pPr>
        <w:pStyle w:val="Point1"/>
      </w:pPr>
      <w:r w:rsidRPr="0060035B">
        <w:t>(b)</w:t>
      </w:r>
      <w:r w:rsidRPr="0060035B">
        <w:tab/>
        <w:t xml:space="preserve">informațiile privind fondurile proprii și cerințele de fonduri proprii în ceea ce privește entitățile incluse în perimetrul de consolidare, astfel cum se specifică în anexa I formularul </w:t>
      </w:r>
      <w:r w:rsidRPr="00E0184E">
        <w:t>6</w:t>
      </w:r>
      <w:r w:rsidRPr="0060035B">
        <w:t xml:space="preserve">, în conformitate cu instrucțiunile din anexa II partea II punctul </w:t>
      </w:r>
      <w:r w:rsidRPr="00E0184E">
        <w:t>2</w:t>
      </w:r>
      <w:r w:rsidRPr="0060035B">
        <w:t>, cu o frecvență bianuală.</w:t>
      </w:r>
    </w:p>
    <w:p w14:paraId="0D279353" w14:textId="61576F44" w:rsidR="00FE0C02" w:rsidRPr="0060035B" w:rsidRDefault="00FE0C02" w:rsidP="00FE0C02">
      <w:pPr>
        <w:pStyle w:val="NumPar1"/>
      </w:pPr>
      <w:r w:rsidRPr="0060035B">
        <w:t xml:space="preserve">Pentru a raporta pe bază consolidată informațiile privind fondurile proprii și cerințele de fonduri proprii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xml:space="preserve">, firmele de investiții aparținând grupurilor constituite numai din firme de investiții care fac obiectul articolului </w:t>
      </w:r>
      <w:r w:rsidRPr="00E0184E">
        <w:t>95</w:t>
      </w:r>
      <w:r w:rsidRPr="0060035B">
        <w:t xml:space="preserve"> și din firme de investiții care fac obiectul articolului </w:t>
      </w:r>
      <w:r w:rsidRPr="00E0184E">
        <w:t>96</w:t>
      </w:r>
      <w:r w:rsidRPr="0060035B">
        <w:t xml:space="preserve"> sau aparținând grupurilor constituite </w:t>
      </w:r>
      <w:r w:rsidRPr="00E0184E">
        <w:rPr>
          <w:spacing w:val="-6"/>
        </w:rPr>
        <w:t>numai din firme de investiții care invocă articolul 57 alineatul (3) din Regulamentul (UE)</w:t>
      </w:r>
      <w:r w:rsidRPr="0060035B">
        <w:t xml:space="preserve"> </w:t>
      </w:r>
      <w:r w:rsidRPr="00E0184E">
        <w:t>2019</w:t>
      </w:r>
      <w:r w:rsidRPr="0060035B">
        <w:t>/</w:t>
      </w:r>
      <w:r w:rsidRPr="00E0184E">
        <w:t>2033</w:t>
      </w:r>
      <w:r w:rsidRPr="0060035B">
        <w:t xml:space="preserve"> în ceea ce privește articolul </w:t>
      </w:r>
      <w:r w:rsidRPr="00E0184E">
        <w:t>96</w:t>
      </w:r>
      <w:r w:rsidRPr="0060035B">
        <w:t xml:space="preserve"> din Regulamentul (UE) nr. </w:t>
      </w:r>
      <w:r w:rsidRPr="00E0184E">
        <w:t>575</w:t>
      </w:r>
      <w:r w:rsidRPr="0060035B">
        <w:t>/</w:t>
      </w:r>
      <w:r w:rsidRPr="00E0184E">
        <w:t>2013</w:t>
      </w:r>
      <w:r w:rsidRPr="0060035B">
        <w:t xml:space="preserve"> transmit următoarele informații pe bază consolidată:</w:t>
      </w:r>
    </w:p>
    <w:p w14:paraId="424B99D7" w14:textId="77777777" w:rsidR="00FE0C02" w:rsidRPr="0060035B" w:rsidRDefault="00FE0C02" w:rsidP="00FE0C02">
      <w:pPr>
        <w:pStyle w:val="Point1"/>
      </w:pPr>
      <w:r w:rsidRPr="0060035B">
        <w:t>(a)</w:t>
      </w:r>
      <w:r w:rsidRPr="0060035B">
        <w:tab/>
      </w:r>
      <w:r w:rsidRPr="00E0184E">
        <w:rPr>
          <w:spacing w:val="-4"/>
        </w:rPr>
        <w:t>informațiile specificate la articolul 5 alineatele (1)-(5) și (8)-(13) și la articolul 6</w:t>
      </w:r>
      <w:r w:rsidRPr="0060035B">
        <w:t xml:space="preserve"> alineatul (</w:t>
      </w:r>
      <w:r w:rsidRPr="00E0184E">
        <w:t>2</w:t>
      </w:r>
      <w:r w:rsidRPr="0060035B">
        <w:t>) din prezentul regulament, cu frecvența prevăzută la articolele respective;</w:t>
      </w:r>
    </w:p>
    <w:p w14:paraId="695999E8" w14:textId="4C40DE96" w:rsidR="00FE0C02" w:rsidRPr="0060035B" w:rsidRDefault="00FE0C02" w:rsidP="00FE0C02">
      <w:pPr>
        <w:pStyle w:val="Point1"/>
      </w:pPr>
      <w:r w:rsidRPr="0060035B">
        <w:t>(b)</w:t>
      </w:r>
      <w:r w:rsidRPr="0060035B">
        <w:tab/>
        <w:t xml:space="preserve">informațiile privind entitățile incluse în perimetrul de consolidare, astfel cum se specifică în anexa I formularul </w:t>
      </w:r>
      <w:r w:rsidRPr="00E0184E">
        <w:t>6</w:t>
      </w:r>
      <w:r w:rsidRPr="0060035B">
        <w:t>, în conformitate cu instrucțiunile din anexa</w:t>
      </w:r>
      <w:r w:rsidR="00E0184E">
        <w:t> </w:t>
      </w:r>
      <w:r w:rsidRPr="0060035B">
        <w:t xml:space="preserve">II partea II punctul </w:t>
      </w:r>
      <w:r w:rsidRPr="00E0184E">
        <w:t>2</w:t>
      </w:r>
      <w:r w:rsidRPr="0060035B">
        <w:t>, cu o frecvență bianuală.</w:t>
      </w:r>
    </w:p>
    <w:p w14:paraId="2D723A17" w14:textId="77777777" w:rsidR="00FE0C02" w:rsidRPr="00E0184E" w:rsidRDefault="00FE0C02" w:rsidP="00FE0C02">
      <w:pPr>
        <w:pStyle w:val="Titrearticle"/>
      </w:pPr>
      <w:r w:rsidRPr="00E0184E">
        <w:lastRenderedPageBreak/>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11</w:t>
      </w:r>
      <w:r w:rsidR="00C601E7" w:rsidRPr="00E0184E">
        <w:fldChar w:fldCharType="end"/>
      </w:r>
    </w:p>
    <w:p w14:paraId="122B51E9" w14:textId="77777777" w:rsidR="00FE0C02" w:rsidRPr="00E0184E" w:rsidRDefault="00FE0C02" w:rsidP="00FE0C02">
      <w:pPr>
        <w:pStyle w:val="Titrearticle"/>
        <w:spacing w:before="120"/>
        <w:rPr>
          <w:b/>
          <w:i w:val="0"/>
        </w:rPr>
      </w:pPr>
      <w:r w:rsidRPr="00E0184E">
        <w:rPr>
          <w:b/>
          <w:i w:val="0"/>
        </w:rPr>
        <w:t>Raportarea informațiilor financiare pe bază consolidată pentru instituțiile care fac obiectul Regulamentului (CE) nr. 1606/2002 al Parlamentului European și al Consiliului</w:t>
      </w:r>
      <w:r w:rsidRPr="00E0184E">
        <w:rPr>
          <w:rStyle w:val="FootnoteReference"/>
          <w:b/>
          <w:i w:val="0"/>
        </w:rPr>
        <w:footnoteReference w:id="10"/>
      </w:r>
      <w:r w:rsidRPr="00E0184E">
        <w:rPr>
          <w:b/>
          <w:i w:val="0"/>
        </w:rPr>
        <w:t xml:space="preserve"> </w:t>
      </w:r>
    </w:p>
    <w:p w14:paraId="22F20B0C" w14:textId="0E3728D7" w:rsidR="00FE0C02" w:rsidRPr="0060035B" w:rsidRDefault="00FE0C02" w:rsidP="005F180D">
      <w:pPr>
        <w:pStyle w:val="NumPar1"/>
        <w:numPr>
          <w:ilvl w:val="0"/>
          <w:numId w:val="19"/>
        </w:numPr>
      </w:pPr>
      <w:r w:rsidRPr="0060035B">
        <w:t>Pentru a raporta informații financiare pe bază consolidată în conformitate cu articolul</w:t>
      </w:r>
      <w:r w:rsidR="00E0184E">
        <w:t> </w:t>
      </w:r>
      <w:r w:rsidRPr="00E0184E">
        <w:t>430</w:t>
      </w:r>
      <w:r w:rsidRPr="0060035B">
        <w:t xml:space="preserve"> alineatul (</w:t>
      </w:r>
      <w:r w:rsidRPr="00E0184E">
        <w:t>3</w:t>
      </w:r>
      <w:r w:rsidRPr="0060035B">
        <w:t>) sau (</w:t>
      </w:r>
      <w:r w:rsidRPr="00E0184E">
        <w:t>4</w:t>
      </w:r>
      <w:r w:rsidRPr="0060035B">
        <w:t xml:space="preserve">) din Regulamentul (UE) nr. </w:t>
      </w:r>
      <w:r w:rsidRPr="00E0184E">
        <w:t>575</w:t>
      </w:r>
      <w:r w:rsidRPr="0060035B">
        <w:t>/</w:t>
      </w:r>
      <w:r w:rsidRPr="00E0184E">
        <w:t>2013</w:t>
      </w:r>
      <w:r w:rsidRPr="0060035B">
        <w:t xml:space="preserve">, instituțiile transmit informațiile specificate în anexa III, pe bază consolidată, în conformitate cu instrucțiunile din anexa V. </w:t>
      </w:r>
    </w:p>
    <w:p w14:paraId="3A9E9610" w14:textId="77777777" w:rsidR="00FE0C02" w:rsidRPr="0060035B" w:rsidRDefault="00FE0C02" w:rsidP="00FE0C02">
      <w:pPr>
        <w:pStyle w:val="NumPar1"/>
        <w:numPr>
          <w:ilvl w:val="0"/>
          <w:numId w:val="10"/>
        </w:numPr>
      </w:pPr>
      <w:r w:rsidRPr="0060035B">
        <w:t>Informațiile menționate la alineatul (</w:t>
      </w:r>
      <w:r w:rsidRPr="00E0184E">
        <w:t>1</w:t>
      </w:r>
      <w:r w:rsidRPr="0060035B">
        <w:t>) se furnizează după cum urmează:</w:t>
      </w:r>
    </w:p>
    <w:p w14:paraId="70EFC152" w14:textId="77777777" w:rsidR="00FE0C02" w:rsidRPr="0060035B" w:rsidRDefault="00FE0C02" w:rsidP="00FE0C02">
      <w:pPr>
        <w:pStyle w:val="Point1"/>
      </w:pPr>
      <w:r w:rsidRPr="0060035B">
        <w:t>(a)</w:t>
      </w:r>
      <w:r w:rsidRPr="0060035B">
        <w:tab/>
        <w:t xml:space="preserve">informațiile specificate în anexa III partea </w:t>
      </w:r>
      <w:r w:rsidRPr="00E0184E">
        <w:t>1</w:t>
      </w:r>
      <w:r w:rsidRPr="0060035B">
        <w:t>, cu o frecvență trimestrială;</w:t>
      </w:r>
    </w:p>
    <w:p w14:paraId="38D85B01" w14:textId="77777777" w:rsidR="00FE0C02" w:rsidRPr="0060035B" w:rsidRDefault="00FE0C02" w:rsidP="00FE0C02">
      <w:pPr>
        <w:pStyle w:val="Point1"/>
      </w:pPr>
      <w:r w:rsidRPr="0060035B">
        <w:t>(b)</w:t>
      </w:r>
      <w:r w:rsidRPr="0060035B">
        <w:tab/>
        <w:t xml:space="preserve">informațiile specificate în anexa III partea </w:t>
      </w:r>
      <w:r w:rsidRPr="00E0184E">
        <w:t>3</w:t>
      </w:r>
      <w:r w:rsidRPr="0060035B">
        <w:t>, cu o frecvență bianuală;</w:t>
      </w:r>
    </w:p>
    <w:p w14:paraId="5F2804B6" w14:textId="77777777" w:rsidR="00FE0C02" w:rsidRPr="0060035B" w:rsidRDefault="00FE0C02" w:rsidP="00FE0C02">
      <w:pPr>
        <w:pStyle w:val="Point1"/>
      </w:pPr>
      <w:r w:rsidRPr="0060035B">
        <w:t>(c)</w:t>
      </w:r>
      <w:r w:rsidRPr="0060035B">
        <w:tab/>
        <w:t xml:space="preserve">informațiile specificate în anexa III partea </w:t>
      </w:r>
      <w:r w:rsidRPr="00E0184E">
        <w:t>4</w:t>
      </w:r>
      <w:r w:rsidRPr="0060035B">
        <w:t>, cu excepția informațiilor specificate în formularul </w:t>
      </w:r>
      <w:r w:rsidRPr="00E0184E">
        <w:t>47</w:t>
      </w:r>
      <w:r w:rsidRPr="0060035B">
        <w:t>, cu o frecvență anuală;</w:t>
      </w:r>
    </w:p>
    <w:p w14:paraId="1D49A1AC" w14:textId="77777777" w:rsidR="00FE0C02" w:rsidRPr="0060035B" w:rsidRDefault="00FE0C02" w:rsidP="00FE0C02">
      <w:pPr>
        <w:pStyle w:val="Point1"/>
      </w:pPr>
      <w:r w:rsidRPr="0060035B">
        <w:t>(d)</w:t>
      </w:r>
      <w:r w:rsidRPr="0060035B">
        <w:tab/>
        <w:t xml:space="preserve">informațiile specificate în anexa III partea </w:t>
      </w:r>
      <w:r w:rsidRPr="00E0184E">
        <w:t>2</w:t>
      </w:r>
      <w:r w:rsidRPr="0060035B">
        <w:t xml:space="preserve"> formularul </w:t>
      </w:r>
      <w:r w:rsidRPr="00E0184E">
        <w:t>20</w:t>
      </w:r>
      <w:r w:rsidRPr="0060035B">
        <w:t xml:space="preserve">, cu o frecvență trimestrială, în cazul în care instituția depășește pragul prevăzut la articolul </w:t>
      </w:r>
      <w:r w:rsidRPr="00E0184E">
        <w:t>5</w:t>
      </w:r>
      <w:r w:rsidRPr="0060035B">
        <w:t xml:space="preserve"> alineatul (</w:t>
      </w:r>
      <w:r w:rsidRPr="00E0184E">
        <w:t>5</w:t>
      </w:r>
      <w:r w:rsidRPr="0060035B">
        <w:t>) al doilea paragraf;</w:t>
      </w:r>
    </w:p>
    <w:p w14:paraId="2CCBF803" w14:textId="77777777" w:rsidR="00FE0C02" w:rsidRPr="0060035B" w:rsidRDefault="00FE0C02" w:rsidP="00FE0C02">
      <w:pPr>
        <w:pStyle w:val="Point1"/>
      </w:pPr>
      <w:r w:rsidRPr="0060035B">
        <w:t>(e)</w:t>
      </w:r>
      <w:r w:rsidRPr="0060035B">
        <w:tab/>
        <w:t xml:space="preserve">informațiile specificate în anexa III partea </w:t>
      </w:r>
      <w:r w:rsidRPr="00E0184E">
        <w:t>2</w:t>
      </w:r>
      <w:r w:rsidRPr="0060035B">
        <w:t xml:space="preserve"> formularul </w:t>
      </w:r>
      <w:r w:rsidRPr="00E0184E">
        <w:t>21</w:t>
      </w:r>
      <w:r w:rsidRPr="0060035B">
        <w:t xml:space="preserve">, cu o frecvență trimestrială, în cazul în care activele corporale care fac obiectul unor contracte de leasing operațional sunt mai mari sau egale cu </w:t>
      </w:r>
      <w:r w:rsidRPr="00E0184E">
        <w:t>10</w:t>
      </w:r>
      <w:r w:rsidRPr="0060035B">
        <w:t xml:space="preserve"> % din totalul activelor corporale, astfel cum sunt raportate în conformitate cu anexa III partea </w:t>
      </w:r>
      <w:r w:rsidRPr="00E0184E">
        <w:t>1</w:t>
      </w:r>
      <w:r w:rsidRPr="0060035B">
        <w:t xml:space="preserve"> formularul </w:t>
      </w:r>
      <w:r w:rsidRPr="00E0184E">
        <w:t>1</w:t>
      </w:r>
      <w:r w:rsidRPr="0060035B">
        <w:t>.</w:t>
      </w:r>
      <w:r w:rsidRPr="00E0184E">
        <w:t>1</w:t>
      </w:r>
      <w:r w:rsidRPr="0060035B">
        <w:t>;</w:t>
      </w:r>
    </w:p>
    <w:p w14:paraId="27F64B3B" w14:textId="77777777" w:rsidR="00FE0C02" w:rsidRPr="0060035B" w:rsidRDefault="00FE0C02" w:rsidP="00FE0C02">
      <w:pPr>
        <w:pStyle w:val="Point1"/>
      </w:pPr>
      <w:r w:rsidRPr="0060035B">
        <w:t>(f)</w:t>
      </w:r>
      <w:r w:rsidRPr="0060035B">
        <w:tab/>
        <w:t>informațiile specificate în anexa III partea </w:t>
      </w:r>
      <w:r w:rsidRPr="00E0184E">
        <w:t>2</w:t>
      </w:r>
      <w:r w:rsidRPr="0060035B">
        <w:t xml:space="preserve"> formularul </w:t>
      </w:r>
      <w:r w:rsidRPr="00E0184E">
        <w:t>22</w:t>
      </w:r>
      <w:r w:rsidRPr="0060035B">
        <w:t xml:space="preserve">, cu o frecvență trimestrială, în cazul în care veniturile nete din onorarii și comisioane sunt mai mari sau egale cu </w:t>
      </w:r>
      <w:r w:rsidRPr="00E0184E">
        <w:t>10</w:t>
      </w:r>
      <w:r w:rsidRPr="0060035B">
        <w:t xml:space="preserve"> % din suma dintre veniturile nete din onorarii și comisioane și veniturile nete din dobânzi, astfel cum sunt raportate în anexa III partea </w:t>
      </w:r>
      <w:r w:rsidRPr="00E0184E">
        <w:t>1</w:t>
      </w:r>
      <w:r w:rsidRPr="0060035B">
        <w:t xml:space="preserve"> formularul </w:t>
      </w:r>
      <w:r w:rsidRPr="00E0184E">
        <w:t>2</w:t>
      </w:r>
      <w:r w:rsidRPr="0060035B">
        <w:t>;</w:t>
      </w:r>
    </w:p>
    <w:p w14:paraId="2EB0DC7E" w14:textId="77777777" w:rsidR="00FE0C02" w:rsidRPr="0060035B" w:rsidRDefault="00FE0C02" w:rsidP="00FE0C02">
      <w:pPr>
        <w:pStyle w:val="Point1"/>
      </w:pPr>
      <w:r w:rsidRPr="0060035B">
        <w:t>(g)</w:t>
      </w:r>
      <w:r w:rsidRPr="0060035B">
        <w:tab/>
        <w:t xml:space="preserve">informațiile specificate în anexa III partea </w:t>
      </w:r>
      <w:r w:rsidRPr="00E0184E">
        <w:t>2</w:t>
      </w:r>
      <w:r w:rsidRPr="0060035B">
        <w:t xml:space="preserve"> formularele </w:t>
      </w:r>
      <w:r w:rsidRPr="00E0184E">
        <w:t>23</w:t>
      </w:r>
      <w:r w:rsidRPr="0060035B">
        <w:t>-</w:t>
      </w:r>
      <w:r w:rsidRPr="00E0184E">
        <w:t>26</w:t>
      </w:r>
      <w:r w:rsidRPr="0060035B">
        <w:t>, cu o frecvență trimestrială, în cazul în care sunt îndeplinite ambele condiții de mai jos:</w:t>
      </w:r>
    </w:p>
    <w:p w14:paraId="5207A13E" w14:textId="77777777" w:rsidR="00FE0C02" w:rsidRPr="0060035B" w:rsidRDefault="00FE0C02" w:rsidP="00FE0C02">
      <w:pPr>
        <w:pStyle w:val="Point2"/>
      </w:pPr>
      <w:r w:rsidRPr="0060035B">
        <w:t>(i)</w:t>
      </w:r>
      <w:r w:rsidRPr="0060035B">
        <w:tab/>
        <w:t>instituția nu este o instituție mică și cu un grad redus de complexitate;</w:t>
      </w:r>
    </w:p>
    <w:p w14:paraId="09C1AEB4" w14:textId="0F1E25D9" w:rsidR="00FE0C02" w:rsidRPr="0060035B" w:rsidRDefault="00FE0C02" w:rsidP="00FE0C02">
      <w:pPr>
        <w:pStyle w:val="Point2"/>
      </w:pPr>
      <w:r w:rsidRPr="0060035B">
        <w:t>(ii)</w:t>
      </w:r>
      <w:r w:rsidRPr="0060035B">
        <w:tab/>
        <w:t xml:space="preserve">raportul dintre valoarea contabilă brută a creditelor și avansurilor instituției care intră sub incidența articolului </w:t>
      </w:r>
      <w:r w:rsidRPr="00E0184E">
        <w:t>47</w:t>
      </w:r>
      <w:r w:rsidRPr="0060035B">
        <w:t>a alineatul (</w:t>
      </w:r>
      <w:r w:rsidRPr="00E0184E">
        <w:t>3</w:t>
      </w:r>
      <w:r w:rsidRPr="0060035B">
        <w:t xml:space="preserve">) din Regulamentul (UE) nr. </w:t>
      </w:r>
      <w:r w:rsidRPr="00E0184E">
        <w:t>575</w:t>
      </w:r>
      <w:r w:rsidRPr="0060035B">
        <w:t>/</w:t>
      </w:r>
      <w:r w:rsidRPr="00E0184E">
        <w:t>2013</w:t>
      </w:r>
      <w:r w:rsidRPr="0060035B">
        <w:t xml:space="preserve"> și valoarea contabilă brută totală a creditelor și avansurilor care intră sub incidența articolului </w:t>
      </w:r>
      <w:r w:rsidRPr="00E0184E">
        <w:t>47</w:t>
      </w:r>
      <w:r w:rsidRPr="0060035B">
        <w:t>a alineatul</w:t>
      </w:r>
      <w:r w:rsidR="00E0184E">
        <w:t> </w:t>
      </w:r>
      <w:r w:rsidRPr="0060035B">
        <w:t>(</w:t>
      </w:r>
      <w:r w:rsidRPr="00E0184E">
        <w:t>1</w:t>
      </w:r>
      <w:r w:rsidRPr="0060035B">
        <w:t xml:space="preserve">) din regulamentul respectiv este mai mare sau egal cu </w:t>
      </w:r>
      <w:r w:rsidRPr="00E0184E">
        <w:t>5</w:t>
      </w:r>
      <w:r w:rsidRPr="0060035B">
        <w:t xml:space="preserve"> %; </w:t>
      </w:r>
    </w:p>
    <w:p w14:paraId="6657E76F" w14:textId="77777777" w:rsidR="00FE0C02" w:rsidRPr="0060035B" w:rsidRDefault="00FE0C02" w:rsidP="00FE0C02">
      <w:pPr>
        <w:pStyle w:val="Point1"/>
      </w:pPr>
      <w:r w:rsidRPr="0060035B">
        <w:t xml:space="preserve"> (h)</w:t>
      </w:r>
      <w:r w:rsidRPr="0060035B">
        <w:tab/>
        <w:t xml:space="preserve">informațiile specificate în anexa III partea </w:t>
      </w:r>
      <w:r w:rsidRPr="00E0184E">
        <w:t>4</w:t>
      </w:r>
      <w:r w:rsidRPr="0060035B">
        <w:t xml:space="preserve"> formularul </w:t>
      </w:r>
      <w:r w:rsidRPr="00E0184E">
        <w:t>47</w:t>
      </w:r>
      <w:r w:rsidRPr="0060035B">
        <w:t>, cu o frecvență anuală, atunci când sunt îndeplinite ambele condiții prevăzute la litera (g) de la prezentul alineat.</w:t>
      </w:r>
    </w:p>
    <w:p w14:paraId="5556886E" w14:textId="77777777" w:rsidR="00FE0C02" w:rsidRPr="0060035B" w:rsidRDefault="00FE0C02" w:rsidP="00FE0C02">
      <w:pPr>
        <w:pStyle w:val="Point1"/>
      </w:pPr>
      <w:r w:rsidRPr="0060035B">
        <w:t>În sensul literei (g) punctul (ii), raportul nu include, nici la numitor, nici la numărător, creditele și avansurile clasificate drept deținute în vederea vânzării, soldurile de numerar la bănci centrale și alte depozite la vedere.</w:t>
      </w:r>
    </w:p>
    <w:p w14:paraId="73BCCE82" w14:textId="77777777" w:rsidR="00FE0C02" w:rsidRPr="0060035B" w:rsidRDefault="00FE0C02" w:rsidP="00FE0C02">
      <w:pPr>
        <w:pStyle w:val="Point1"/>
      </w:pPr>
      <w:r w:rsidRPr="0060035B">
        <w:lastRenderedPageBreak/>
        <w:t>În sensul prezentului alineat literele (d)-(h), se aplică criteriile de intrare și de ieșire prevăzute la articolul </w:t>
      </w:r>
      <w:r w:rsidRPr="00E0184E">
        <w:t>4</w:t>
      </w:r>
      <w:r w:rsidRPr="0060035B">
        <w:t xml:space="preserve"> alineatul (</w:t>
      </w:r>
      <w:r w:rsidRPr="00E0184E">
        <w:t>3</w:t>
      </w:r>
      <w:r w:rsidRPr="0060035B">
        <w:t xml:space="preserve">). </w:t>
      </w:r>
    </w:p>
    <w:p w14:paraId="2D4B364E" w14:textId="77777777" w:rsidR="00FE0C02" w:rsidRPr="00E0184E" w:rsidRDefault="00FE0C02" w:rsidP="00FE0C02">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12</w:t>
      </w:r>
      <w:r w:rsidR="00C601E7" w:rsidRPr="00E0184E">
        <w:fldChar w:fldCharType="end"/>
      </w:r>
    </w:p>
    <w:p w14:paraId="396F2986" w14:textId="77777777" w:rsidR="00FE0C02" w:rsidRPr="00E0184E" w:rsidRDefault="00FE0C02" w:rsidP="00FE0C02">
      <w:pPr>
        <w:pStyle w:val="Titrearticle"/>
        <w:spacing w:before="120"/>
        <w:rPr>
          <w:b/>
          <w:i w:val="0"/>
        </w:rPr>
      </w:pPr>
      <w:r w:rsidRPr="00E0184E">
        <w:rPr>
          <w:b/>
          <w:i w:val="0"/>
        </w:rPr>
        <w:t xml:space="preserve">Raportarea informațiilor financiare pe bază consolidată pentru instituțiile care aplică cadre contabile naționale </w:t>
      </w:r>
    </w:p>
    <w:p w14:paraId="7898D5B0" w14:textId="77777777" w:rsidR="00FE0C02" w:rsidRPr="0060035B" w:rsidRDefault="00FE0C02" w:rsidP="005F180D">
      <w:pPr>
        <w:pStyle w:val="NumPar1"/>
        <w:numPr>
          <w:ilvl w:val="0"/>
          <w:numId w:val="20"/>
        </w:numPr>
      </w:pPr>
      <w:r w:rsidRPr="0060035B">
        <w:t xml:space="preserve">În cazul în care o autoritate competentă a extins cerințele de raportare a informațiilor financiare pentru a include și instituțiile stabilite într-un stat membru, în conformitate cu articolul </w:t>
      </w:r>
      <w:r w:rsidRPr="00E0184E">
        <w:t>430</w:t>
      </w:r>
      <w:r w:rsidRPr="0060035B">
        <w:t xml:space="preserve"> alineatul (</w:t>
      </w:r>
      <w:r w:rsidRPr="00E0184E">
        <w:t>9</w:t>
      </w:r>
      <w:r w:rsidRPr="0060035B">
        <w:t xml:space="preserve">) din Regulamentul (UE) nr. </w:t>
      </w:r>
      <w:r w:rsidRPr="00E0184E">
        <w:t>575</w:t>
      </w:r>
      <w:r w:rsidRPr="0060035B">
        <w:t>/</w:t>
      </w:r>
      <w:r w:rsidRPr="00E0184E">
        <w:t>2013</w:t>
      </w:r>
      <w:r w:rsidRPr="0060035B">
        <w:t>, instituțiile transmit informațiile pe bază consolidată specificate în anexa IV la prezentul regulament, în conformitate cu instrucțiunile din anexa V la prezentul regulament.</w:t>
      </w:r>
    </w:p>
    <w:p w14:paraId="1A4AC33E" w14:textId="77777777" w:rsidR="00FE0C02" w:rsidRPr="0060035B" w:rsidRDefault="00FE0C02" w:rsidP="00FE0C02">
      <w:pPr>
        <w:pStyle w:val="NumPar1"/>
        <w:numPr>
          <w:ilvl w:val="0"/>
          <w:numId w:val="10"/>
        </w:numPr>
      </w:pPr>
      <w:r w:rsidRPr="0060035B">
        <w:t>Informațiile menționate la alineatul (</w:t>
      </w:r>
      <w:r w:rsidRPr="00E0184E">
        <w:t>1</w:t>
      </w:r>
      <w:r w:rsidRPr="0060035B">
        <w:t>) se furnizează după cum urmează:</w:t>
      </w:r>
    </w:p>
    <w:p w14:paraId="4130D034" w14:textId="77777777" w:rsidR="00FE0C02" w:rsidRPr="0060035B" w:rsidRDefault="00FE0C02" w:rsidP="00FE0C02">
      <w:pPr>
        <w:pStyle w:val="Point1"/>
      </w:pPr>
      <w:r w:rsidRPr="0060035B">
        <w:t>(a)</w:t>
      </w:r>
      <w:r w:rsidRPr="0060035B">
        <w:tab/>
        <w:t xml:space="preserve">informațiile specificate în anexa IV partea </w:t>
      </w:r>
      <w:r w:rsidRPr="00E0184E">
        <w:t>1</w:t>
      </w:r>
      <w:r w:rsidRPr="0060035B">
        <w:t>, cu o frecvență trimestrială;</w:t>
      </w:r>
    </w:p>
    <w:p w14:paraId="08B03AF4" w14:textId="77777777" w:rsidR="00FE0C02" w:rsidRPr="0060035B" w:rsidRDefault="00FE0C02" w:rsidP="00FE0C02">
      <w:pPr>
        <w:pStyle w:val="Point1"/>
      </w:pPr>
      <w:r w:rsidRPr="0060035B">
        <w:t>(b)</w:t>
      </w:r>
      <w:r w:rsidRPr="0060035B">
        <w:tab/>
        <w:t xml:space="preserve">informațiile specificate în anexa IV partea </w:t>
      </w:r>
      <w:r w:rsidRPr="00E0184E">
        <w:t>3</w:t>
      </w:r>
      <w:r w:rsidRPr="0060035B">
        <w:t>, cu o frecvență bianuală;</w:t>
      </w:r>
    </w:p>
    <w:p w14:paraId="6BD250DE" w14:textId="77777777" w:rsidR="00FE0C02" w:rsidRPr="0060035B" w:rsidRDefault="00FE0C02" w:rsidP="00FE0C02">
      <w:pPr>
        <w:pStyle w:val="Point1"/>
      </w:pPr>
      <w:r w:rsidRPr="0060035B">
        <w:t>(c)</w:t>
      </w:r>
      <w:r w:rsidRPr="0060035B">
        <w:tab/>
        <w:t xml:space="preserve">informațiile specificate în anexa IV partea </w:t>
      </w:r>
      <w:r w:rsidRPr="00E0184E">
        <w:t>4</w:t>
      </w:r>
      <w:r w:rsidRPr="0060035B">
        <w:t>, cu excepția informațiilor specificate în formularul </w:t>
      </w:r>
      <w:r w:rsidRPr="00E0184E">
        <w:t>47</w:t>
      </w:r>
      <w:r w:rsidRPr="0060035B">
        <w:t>, cu o frecvență anuală;</w:t>
      </w:r>
    </w:p>
    <w:p w14:paraId="7E75579F" w14:textId="77777777" w:rsidR="00FE0C02" w:rsidRPr="0060035B" w:rsidRDefault="00FE0C02" w:rsidP="00FE0C02">
      <w:pPr>
        <w:pStyle w:val="Point1"/>
      </w:pPr>
      <w:r w:rsidRPr="0060035B">
        <w:t>(d)</w:t>
      </w:r>
      <w:r w:rsidRPr="0060035B">
        <w:tab/>
        <w:t xml:space="preserve">informațiile specificate în anexa IV partea </w:t>
      </w:r>
      <w:r w:rsidRPr="00E0184E">
        <w:t>2</w:t>
      </w:r>
      <w:r w:rsidRPr="0060035B">
        <w:t xml:space="preserve"> formularul </w:t>
      </w:r>
      <w:r w:rsidRPr="00E0184E">
        <w:t>20</w:t>
      </w:r>
      <w:r w:rsidRPr="0060035B">
        <w:t xml:space="preserve">, cu o frecvență trimestrială, în cazul în care instituția depășește pragul prevăzut la articolul </w:t>
      </w:r>
      <w:r w:rsidRPr="00E0184E">
        <w:t>5</w:t>
      </w:r>
      <w:r w:rsidRPr="0060035B">
        <w:t xml:space="preserve"> alineatul (</w:t>
      </w:r>
      <w:r w:rsidRPr="00E0184E">
        <w:t>5</w:t>
      </w:r>
      <w:r w:rsidRPr="0060035B">
        <w:t>) al doilea paragraf;</w:t>
      </w:r>
    </w:p>
    <w:p w14:paraId="76AF5C14" w14:textId="77777777" w:rsidR="00FE0C02" w:rsidRPr="0060035B" w:rsidRDefault="00FE0C02" w:rsidP="00FE0C02">
      <w:pPr>
        <w:pStyle w:val="Point1"/>
      </w:pPr>
      <w:r w:rsidRPr="0060035B">
        <w:t>(e)</w:t>
      </w:r>
      <w:r w:rsidRPr="0060035B">
        <w:tab/>
        <w:t xml:space="preserve">informațiile specificate în anexa IV partea </w:t>
      </w:r>
      <w:r w:rsidRPr="00E0184E">
        <w:t>2</w:t>
      </w:r>
      <w:r w:rsidRPr="0060035B">
        <w:t xml:space="preserve"> formularul </w:t>
      </w:r>
      <w:r w:rsidRPr="00E0184E">
        <w:t>21</w:t>
      </w:r>
      <w:r w:rsidRPr="0060035B">
        <w:t xml:space="preserve">, cu o frecvență trimestrială, în cazul în care activele corporale care fac obiectul unor contracte de leasing operațional sunt mai mari sau egale cu </w:t>
      </w:r>
      <w:r w:rsidRPr="00E0184E">
        <w:t>10</w:t>
      </w:r>
      <w:r w:rsidRPr="0060035B">
        <w:t xml:space="preserve"> % din totalul activelor corporale, astfel cum sunt raportate în conformitate cu anexa IV partea </w:t>
      </w:r>
      <w:r w:rsidRPr="00E0184E">
        <w:t>1</w:t>
      </w:r>
      <w:r w:rsidRPr="0060035B">
        <w:t xml:space="preserve"> formularul </w:t>
      </w:r>
      <w:r w:rsidRPr="00E0184E">
        <w:t>1</w:t>
      </w:r>
      <w:r w:rsidRPr="0060035B">
        <w:t>.</w:t>
      </w:r>
      <w:r w:rsidRPr="00E0184E">
        <w:t>1</w:t>
      </w:r>
      <w:r w:rsidRPr="0060035B">
        <w:t>;</w:t>
      </w:r>
    </w:p>
    <w:p w14:paraId="406C6C11" w14:textId="77777777" w:rsidR="00FE0C02" w:rsidRPr="0060035B" w:rsidRDefault="00FE0C02" w:rsidP="00FE0C02">
      <w:pPr>
        <w:pStyle w:val="Point1"/>
      </w:pPr>
      <w:r w:rsidRPr="0060035B">
        <w:t>(f)</w:t>
      </w:r>
      <w:r w:rsidRPr="0060035B">
        <w:tab/>
        <w:t>informațiile specificate în anexa IV partea </w:t>
      </w:r>
      <w:r w:rsidRPr="00E0184E">
        <w:t>2</w:t>
      </w:r>
      <w:r w:rsidRPr="0060035B">
        <w:t xml:space="preserve"> formularul </w:t>
      </w:r>
      <w:r w:rsidRPr="00E0184E">
        <w:t>22</w:t>
      </w:r>
      <w:r w:rsidRPr="0060035B">
        <w:t xml:space="preserve">, cu o frecvență trimestrială, în cazul în care veniturile nete din onorarii și comisioane sunt mai mari sau egale cu </w:t>
      </w:r>
      <w:r w:rsidRPr="00E0184E">
        <w:t>10</w:t>
      </w:r>
      <w:r w:rsidRPr="0060035B">
        <w:t xml:space="preserve"> % din suma dintre veniturile nete din onorarii și comisioane și veniturile nete din dobânzi, astfel cum sunt raportate în anexa IV partea </w:t>
      </w:r>
      <w:r w:rsidRPr="00E0184E">
        <w:t>1</w:t>
      </w:r>
      <w:r w:rsidRPr="0060035B">
        <w:t xml:space="preserve"> formularul </w:t>
      </w:r>
      <w:r w:rsidRPr="00E0184E">
        <w:t>2</w:t>
      </w:r>
      <w:r w:rsidRPr="0060035B">
        <w:t>;</w:t>
      </w:r>
    </w:p>
    <w:p w14:paraId="1A7AAB4F" w14:textId="77777777" w:rsidR="00FE0C02" w:rsidRPr="0060035B" w:rsidRDefault="00FE0C02" w:rsidP="00FE0C02">
      <w:pPr>
        <w:pStyle w:val="Point1"/>
      </w:pPr>
      <w:r w:rsidRPr="0060035B">
        <w:t>(g)</w:t>
      </w:r>
      <w:r w:rsidRPr="0060035B">
        <w:tab/>
        <w:t xml:space="preserve">informațiile specificate în anexa IV partea </w:t>
      </w:r>
      <w:r w:rsidRPr="00E0184E">
        <w:t>2</w:t>
      </w:r>
      <w:r w:rsidRPr="0060035B">
        <w:t xml:space="preserve"> formularele </w:t>
      </w:r>
      <w:r w:rsidRPr="00E0184E">
        <w:t>23</w:t>
      </w:r>
      <w:r w:rsidRPr="0060035B">
        <w:t>-</w:t>
      </w:r>
      <w:r w:rsidRPr="00E0184E">
        <w:t>26</w:t>
      </w:r>
      <w:r w:rsidRPr="0060035B">
        <w:t>, cu o frecvență trimestrială, în cazul în care sunt îndeplinite ambele condiții de mai jos:</w:t>
      </w:r>
    </w:p>
    <w:p w14:paraId="6F0AB516" w14:textId="77777777" w:rsidR="00FE0C02" w:rsidRPr="0060035B" w:rsidRDefault="00FE0C02" w:rsidP="00FE0C02">
      <w:pPr>
        <w:pStyle w:val="Point2"/>
      </w:pPr>
      <w:r w:rsidRPr="0060035B">
        <w:t>(i)</w:t>
      </w:r>
      <w:r w:rsidRPr="0060035B">
        <w:tab/>
        <w:t>instituția nu este o instituție mică și cu un grad redus de complexitate;</w:t>
      </w:r>
    </w:p>
    <w:p w14:paraId="08D20076" w14:textId="77777777" w:rsidR="00FE0C02" w:rsidRPr="0060035B" w:rsidRDefault="00FE0C02" w:rsidP="00FE0C02">
      <w:pPr>
        <w:pStyle w:val="Point1"/>
        <w:ind w:firstLine="0"/>
      </w:pPr>
      <w:r w:rsidRPr="0060035B">
        <w:t>(ii)</w:t>
      </w:r>
      <w:r w:rsidRPr="0060035B">
        <w:tab/>
        <w:t xml:space="preserve">raportul calculat de instituție, astfel cum este menționat la articolul </w:t>
      </w:r>
      <w:r w:rsidRPr="00E0184E">
        <w:t>11</w:t>
      </w:r>
      <w:r w:rsidRPr="0060035B">
        <w:t xml:space="preserve"> alineatul (</w:t>
      </w:r>
      <w:r w:rsidRPr="00E0184E">
        <w:t>2</w:t>
      </w:r>
      <w:r w:rsidRPr="0060035B">
        <w:t xml:space="preserve">) litera (g) punctul (ii), este mai mare sau egal cu </w:t>
      </w:r>
      <w:r w:rsidRPr="00E0184E">
        <w:t>5</w:t>
      </w:r>
      <w:r w:rsidRPr="0060035B">
        <w:t xml:space="preserve"> %;  </w:t>
      </w:r>
    </w:p>
    <w:p w14:paraId="7B685EE5" w14:textId="77777777" w:rsidR="00FE0C02" w:rsidRPr="0060035B" w:rsidRDefault="00FE0C02" w:rsidP="00FE0C02">
      <w:pPr>
        <w:pStyle w:val="Point1"/>
      </w:pPr>
      <w:r w:rsidRPr="0060035B">
        <w:t>(h)</w:t>
      </w:r>
      <w:r w:rsidRPr="0060035B">
        <w:tab/>
        <w:t xml:space="preserve">informațiile specificate în anexa IV partea </w:t>
      </w:r>
      <w:r w:rsidRPr="00E0184E">
        <w:t>4</w:t>
      </w:r>
      <w:r w:rsidRPr="0060035B">
        <w:t xml:space="preserve"> formularul </w:t>
      </w:r>
      <w:r w:rsidRPr="00E0184E">
        <w:t>47</w:t>
      </w:r>
      <w:r w:rsidRPr="0060035B">
        <w:t xml:space="preserve">, cu o frecvență anuală, atunci când sunt îndeplinite ambele condiții prevăzute la litera (g) de la prezentul alineat. </w:t>
      </w:r>
    </w:p>
    <w:p w14:paraId="6E0D6196" w14:textId="77777777" w:rsidR="00FE0C02" w:rsidRPr="0060035B" w:rsidRDefault="00FE0C02" w:rsidP="00FE0C02">
      <w:pPr>
        <w:pStyle w:val="Point1"/>
      </w:pPr>
      <w:r w:rsidRPr="0060035B">
        <w:t>În sensul prezentului alineat literele (d)-(h), se aplică criteriile de intrare și de ieșire prevăzute la articolul </w:t>
      </w:r>
      <w:r w:rsidRPr="00E0184E">
        <w:t>4</w:t>
      </w:r>
      <w:r w:rsidRPr="0060035B">
        <w:t xml:space="preserve"> alineatul (</w:t>
      </w:r>
      <w:r w:rsidRPr="00E0184E">
        <w:t>3</w:t>
      </w:r>
      <w:r w:rsidRPr="0060035B">
        <w:t xml:space="preserve">). </w:t>
      </w:r>
    </w:p>
    <w:p w14:paraId="1265B500" w14:textId="77777777" w:rsidR="00FE0C02" w:rsidRPr="00E0184E" w:rsidRDefault="00FE0C02" w:rsidP="00FE0C02">
      <w:pPr>
        <w:pStyle w:val="Titrearticle"/>
      </w:pPr>
      <w:r w:rsidRPr="00E0184E">
        <w:lastRenderedPageBreak/>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13</w:t>
      </w:r>
      <w:r w:rsidR="00C601E7" w:rsidRPr="00E0184E">
        <w:fldChar w:fldCharType="end"/>
      </w:r>
    </w:p>
    <w:p w14:paraId="62DD7E11" w14:textId="77777777" w:rsidR="00FE0C02" w:rsidRPr="0060035B" w:rsidRDefault="00FE0C02" w:rsidP="00FE0C02">
      <w:pPr>
        <w:pStyle w:val="Text1"/>
      </w:pPr>
      <w:r w:rsidRPr="00E0184E">
        <w:rPr>
          <w:b/>
        </w:rPr>
        <w:t>Raportarea pierderilor care decurg din credite garantate cu bunuri imobile în conformitate cu articolul 430a alineatul (1) din Regulamentul (UE) nr. 575/2013, pe bază individuală și pe bază consolidată</w:t>
      </w:r>
    </w:p>
    <w:p w14:paraId="663A2D70" w14:textId="77777777" w:rsidR="00FE0C02" w:rsidRPr="0060035B" w:rsidRDefault="00FE0C02" w:rsidP="005F180D">
      <w:pPr>
        <w:pStyle w:val="NumPar1"/>
        <w:numPr>
          <w:ilvl w:val="0"/>
          <w:numId w:val="21"/>
        </w:numPr>
      </w:pPr>
      <w:r w:rsidRPr="0060035B">
        <w:t>Instituțiile transmit informațiile specificate în anexa VI în conformitate cu instrucțiunile din anexa VII, pe bază consolidată, cu o frecvență anuală.</w:t>
      </w:r>
    </w:p>
    <w:p w14:paraId="60EE04AB" w14:textId="77777777" w:rsidR="00FE0C02" w:rsidRPr="0060035B" w:rsidRDefault="00FE0C02" w:rsidP="00FE0C02">
      <w:pPr>
        <w:pStyle w:val="NumPar1"/>
        <w:numPr>
          <w:ilvl w:val="0"/>
          <w:numId w:val="10"/>
        </w:numPr>
      </w:pPr>
      <w:r w:rsidRPr="0060035B">
        <w:t>Instituțiile transmit informațiile specificate în anexa VI în conformitate cu instrucțiunile din anexa VII, pe bază individuală, cu o frecvență anuală.</w:t>
      </w:r>
    </w:p>
    <w:p w14:paraId="2635EBF0" w14:textId="77777777" w:rsidR="00FE0C02" w:rsidRPr="0060035B" w:rsidRDefault="00FE0C02" w:rsidP="00FE0C02">
      <w:pPr>
        <w:pStyle w:val="NumPar1"/>
        <w:numPr>
          <w:ilvl w:val="0"/>
          <w:numId w:val="10"/>
        </w:numPr>
      </w:pPr>
      <w:r w:rsidRPr="0060035B">
        <w:t>În cazul în care o instituție are o sucursală într-un alt stat membru, sucursala respectivă prezintă autorității competente a statului membru gazdă informațiile specificate în anexa VI referitoare la sucursala respectivă în conformitate cu instrucțiunile din anexa VII, cu o frecvență anuală.</w:t>
      </w:r>
    </w:p>
    <w:p w14:paraId="7DA92B87" w14:textId="77777777" w:rsidR="00FE0C02" w:rsidRPr="00E0184E" w:rsidRDefault="00FE0C02" w:rsidP="00FE0C02">
      <w:pPr>
        <w:pStyle w:val="Titrearticle"/>
      </w:pPr>
      <w:r w:rsidRPr="00E0184E">
        <w:t>Articolul 14</w:t>
      </w:r>
    </w:p>
    <w:p w14:paraId="5DF7D5F9" w14:textId="77777777" w:rsidR="00FE0C02" w:rsidRPr="00E0184E" w:rsidRDefault="00FE0C02" w:rsidP="00FE0C02">
      <w:pPr>
        <w:pStyle w:val="Titrearticle"/>
        <w:spacing w:before="120"/>
        <w:rPr>
          <w:b/>
          <w:i w:val="0"/>
        </w:rPr>
      </w:pPr>
      <w:r w:rsidRPr="00E0184E">
        <w:rPr>
          <w:b/>
          <w:i w:val="0"/>
        </w:rPr>
        <w:t>Raportarea expunerilor mari pe bază individuală și pe bază consolidată</w:t>
      </w:r>
    </w:p>
    <w:p w14:paraId="07D89C15" w14:textId="77777777" w:rsidR="00FE0C02" w:rsidRPr="0060035B" w:rsidRDefault="00FE0C02" w:rsidP="005F180D">
      <w:pPr>
        <w:pStyle w:val="NumPar1"/>
        <w:numPr>
          <w:ilvl w:val="0"/>
          <w:numId w:val="22"/>
        </w:numPr>
      </w:pPr>
      <w:r w:rsidRPr="0060035B">
        <w:t xml:space="preserve">Pentru a raporta, pe bază individuală și pe bază consolidată, informații cu privire la expunerile mari față de clienți și de grupuri de clienți aflați în legătură, în conformitate cu articolul </w:t>
      </w:r>
      <w:r w:rsidRPr="00E0184E">
        <w:t>394</w:t>
      </w:r>
      <w:r w:rsidRPr="0060035B">
        <w:t xml:space="preserve"> din Regulamentul (UE) nr. </w:t>
      </w:r>
      <w:r w:rsidRPr="00E0184E">
        <w:t>575</w:t>
      </w:r>
      <w:r w:rsidRPr="0060035B">
        <w:t>/</w:t>
      </w:r>
      <w:r w:rsidRPr="00E0184E">
        <w:t>2013</w:t>
      </w:r>
      <w:r w:rsidRPr="0060035B">
        <w:t>, instituțiile transmit informațiile specificate în anexa VIII în conformitate cu instrucțiunile din anexa IX, cu o frecvență trimestrială.</w:t>
      </w:r>
    </w:p>
    <w:p w14:paraId="1BE89751" w14:textId="50C475A4" w:rsidR="00FE0C02" w:rsidRPr="0060035B" w:rsidRDefault="00FE0C02" w:rsidP="00FE0C02">
      <w:pPr>
        <w:pStyle w:val="NumPar1"/>
        <w:numPr>
          <w:ilvl w:val="0"/>
          <w:numId w:val="10"/>
        </w:numPr>
      </w:pPr>
      <w:r w:rsidRPr="0060035B">
        <w:t xml:space="preserve">Pentru a raporta pe bază consolidată informațiile cu privire la cele mai mari </w:t>
      </w:r>
      <w:r w:rsidRPr="00E0184E">
        <w:t>20</w:t>
      </w:r>
      <w:r w:rsidRPr="0060035B">
        <w:t xml:space="preserve"> de expuneri față de clienți sau de grupuri de clienți aflați în legătură, în conformitate cu articolul </w:t>
      </w:r>
      <w:r w:rsidRPr="00E0184E">
        <w:t>394</w:t>
      </w:r>
      <w:r w:rsidRPr="0060035B">
        <w:t xml:space="preserve"> alineatul (</w:t>
      </w:r>
      <w:r w:rsidRPr="00E0184E">
        <w:t>1</w:t>
      </w:r>
      <w:r w:rsidRPr="0060035B">
        <w:t xml:space="preserve">) din Regulamentul (UE) nr. </w:t>
      </w:r>
      <w:r w:rsidRPr="00E0184E">
        <w:t>575</w:t>
      </w:r>
      <w:r w:rsidRPr="0060035B">
        <w:t>/</w:t>
      </w:r>
      <w:r w:rsidRPr="00E0184E">
        <w:t>2013</w:t>
      </w:r>
      <w:r w:rsidRPr="0060035B">
        <w:t xml:space="preserve">, instituțiile care fac obiectul dispozițiilor părții a treia titlul II capitolul </w:t>
      </w:r>
      <w:r w:rsidRPr="00E0184E">
        <w:t>3</w:t>
      </w:r>
      <w:r w:rsidRPr="0060035B">
        <w:t xml:space="preserve"> din Regulamentul (UE) nr.</w:t>
      </w:r>
      <w:r w:rsidR="00E0184E">
        <w:t> </w:t>
      </w:r>
      <w:r w:rsidRPr="00E0184E">
        <w:t>575</w:t>
      </w:r>
      <w:r w:rsidRPr="0060035B">
        <w:t>/</w:t>
      </w:r>
      <w:r w:rsidRPr="00E0184E">
        <w:t>2013</w:t>
      </w:r>
      <w:r w:rsidRPr="0060035B">
        <w:t xml:space="preserve"> transmit informațiile specificate în anexa VIII în conformitate cu instrucțiunile din anexa IX, cu o frecvență trimestrială.</w:t>
      </w:r>
    </w:p>
    <w:p w14:paraId="4501AF0E" w14:textId="77777777" w:rsidR="00FE0C02" w:rsidRPr="0060035B" w:rsidRDefault="00FE0C02" w:rsidP="00FE0C02">
      <w:pPr>
        <w:pStyle w:val="NumPar1"/>
        <w:numPr>
          <w:ilvl w:val="0"/>
          <w:numId w:val="10"/>
        </w:numPr>
      </w:pPr>
      <w:r w:rsidRPr="0060035B">
        <w:t xml:space="preserve">Pentru a raporta pe bază consolidată informațiile cu privire la expunerile cu o valoare mai mare sau egală cu </w:t>
      </w:r>
      <w:r w:rsidRPr="00E0184E">
        <w:t>300</w:t>
      </w:r>
      <w:r w:rsidRPr="0060035B">
        <w:t xml:space="preserve"> de milioane EUR, dar mai mică de </w:t>
      </w:r>
      <w:r w:rsidRPr="00E0184E">
        <w:t>10</w:t>
      </w:r>
      <w:r w:rsidRPr="0060035B">
        <w:t xml:space="preserve"> % din fondurile proprii de nivel </w:t>
      </w:r>
      <w:r w:rsidRPr="00E0184E">
        <w:t>1</w:t>
      </w:r>
      <w:r w:rsidRPr="0060035B">
        <w:t xml:space="preserve"> ale instituției, în conformitate cu articolul </w:t>
      </w:r>
      <w:r w:rsidRPr="00E0184E">
        <w:t>394</w:t>
      </w:r>
      <w:r w:rsidRPr="0060035B">
        <w:t xml:space="preserve"> alineatul (</w:t>
      </w:r>
      <w:r w:rsidRPr="00E0184E">
        <w:t>1</w:t>
      </w:r>
      <w:r w:rsidRPr="0060035B">
        <w:t xml:space="preserve">) din Regulamentul (UE) nr. </w:t>
      </w:r>
      <w:r w:rsidRPr="00E0184E">
        <w:t>575</w:t>
      </w:r>
      <w:r w:rsidRPr="0060035B">
        <w:t>/</w:t>
      </w:r>
      <w:r w:rsidRPr="00E0184E">
        <w:t>2013</w:t>
      </w:r>
      <w:r w:rsidRPr="0060035B">
        <w:t>, instituțiile transmit informațiile specificate în anexa VIII în conformitate cu instrucțiunile din anexa IX, cu o frecvență trimestrială.</w:t>
      </w:r>
    </w:p>
    <w:p w14:paraId="6CA58180" w14:textId="46CB50E5" w:rsidR="00FE0C02" w:rsidRPr="0060035B" w:rsidRDefault="00FE0C02" w:rsidP="00FE0C02">
      <w:pPr>
        <w:pStyle w:val="NumPar1"/>
        <w:numPr>
          <w:ilvl w:val="0"/>
          <w:numId w:val="10"/>
        </w:numPr>
      </w:pPr>
      <w:r w:rsidRPr="0060035B">
        <w:t xml:space="preserve">Pentru a raporta pe bază consolidată informațiile cu privire la cele mai mari </w:t>
      </w:r>
      <w:r w:rsidRPr="00E0184E">
        <w:t>10</w:t>
      </w:r>
      <w:r w:rsidR="00E0184E">
        <w:t> </w:t>
      </w:r>
      <w:r w:rsidRPr="0060035B">
        <w:t xml:space="preserve">expuneri față de instituții și cele mai mari </w:t>
      </w:r>
      <w:r w:rsidRPr="00E0184E">
        <w:t>10</w:t>
      </w:r>
      <w:r w:rsidRPr="0060035B">
        <w:t xml:space="preserve"> expuneri față de entități din sectorul bancar paralel, care desfășoară activități bancare în afara cadrului reglementat, în conformitate cu articolul </w:t>
      </w:r>
      <w:r w:rsidRPr="00E0184E">
        <w:t>394</w:t>
      </w:r>
      <w:r w:rsidRPr="0060035B">
        <w:t xml:space="preserve"> alineatul (</w:t>
      </w:r>
      <w:r w:rsidRPr="00E0184E">
        <w:t>2</w:t>
      </w:r>
      <w:r w:rsidRPr="0060035B">
        <w:t xml:space="preserve">) din Regulamentul (UE) nr. </w:t>
      </w:r>
      <w:r w:rsidRPr="00E0184E">
        <w:t>575</w:t>
      </w:r>
      <w:r w:rsidRPr="0060035B">
        <w:t>/</w:t>
      </w:r>
      <w:r w:rsidRPr="00E0184E">
        <w:t>2013</w:t>
      </w:r>
      <w:r w:rsidRPr="0060035B">
        <w:t>, instituțiile transmit informațiile specificate în anexa VIII în conformitate cu instrucțiunile din anexa IX, cu o frecvență trimestrială.</w:t>
      </w:r>
    </w:p>
    <w:p w14:paraId="24660E67" w14:textId="77777777" w:rsidR="00FE0C02" w:rsidRPr="00E0184E" w:rsidRDefault="00FE0C02" w:rsidP="00FE0C02">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15</w:t>
      </w:r>
      <w:r w:rsidR="00C601E7" w:rsidRPr="00E0184E">
        <w:fldChar w:fldCharType="end"/>
      </w:r>
    </w:p>
    <w:p w14:paraId="7A43457A" w14:textId="77777777" w:rsidR="00FE0C02" w:rsidRPr="00E0184E" w:rsidRDefault="00FE0C02" w:rsidP="00FE0C02">
      <w:pPr>
        <w:pStyle w:val="Titrearticle"/>
        <w:spacing w:before="120"/>
        <w:rPr>
          <w:b/>
          <w:i w:val="0"/>
        </w:rPr>
      </w:pPr>
      <w:r w:rsidRPr="00E0184E">
        <w:rPr>
          <w:b/>
          <w:i w:val="0"/>
        </w:rPr>
        <w:t>Raportarea indicatorului efectului de levier pe bază individuală și pe bază consolidată</w:t>
      </w:r>
    </w:p>
    <w:p w14:paraId="01CD6524" w14:textId="77777777" w:rsidR="00FE0C02" w:rsidRPr="0060035B" w:rsidRDefault="00FE0C02" w:rsidP="005F180D">
      <w:pPr>
        <w:pStyle w:val="NumPar1"/>
        <w:numPr>
          <w:ilvl w:val="0"/>
          <w:numId w:val="23"/>
        </w:numPr>
      </w:pPr>
      <w:r w:rsidRPr="0060035B">
        <w:t xml:space="preserve">Pentru a raporta, pe bază individuală și pe bază consolidată, informațiile cu privire la indicatorul efectului de levier, în conformitate cu articolul </w:t>
      </w:r>
      <w:r w:rsidRPr="00E0184E">
        <w:t>430</w:t>
      </w:r>
      <w:r w:rsidRPr="0060035B">
        <w:t xml:space="preserve"> alineatul (</w:t>
      </w:r>
      <w:r w:rsidRPr="00E0184E">
        <w:t>1</w:t>
      </w:r>
      <w:r w:rsidRPr="0060035B">
        <w:t xml:space="preserve">) litera (a) din Regulamentul (UE) nr. </w:t>
      </w:r>
      <w:r w:rsidRPr="00E0184E">
        <w:t>575</w:t>
      </w:r>
      <w:r w:rsidRPr="0060035B">
        <w:t>/</w:t>
      </w:r>
      <w:r w:rsidRPr="00E0184E">
        <w:t>2013</w:t>
      </w:r>
      <w:r w:rsidRPr="0060035B">
        <w:t xml:space="preserve">, instituțiile transmit informațiile specificate în anexa X în conformitate cu instrucțiunile din anexa XI, cu o frecvență trimestrială. Numai instituțiile mari transmit formularul </w:t>
      </w:r>
      <w:r w:rsidRPr="00E0184E">
        <w:t>48</w:t>
      </w:r>
      <w:r w:rsidRPr="0060035B">
        <w:t>.</w:t>
      </w:r>
      <w:r w:rsidRPr="00E0184E">
        <w:t>00</w:t>
      </w:r>
      <w:r w:rsidRPr="0060035B">
        <w:t xml:space="preserve"> din anexa X.</w:t>
      </w:r>
    </w:p>
    <w:p w14:paraId="3FADC775" w14:textId="77777777" w:rsidR="00FE0C02" w:rsidRPr="0060035B" w:rsidRDefault="00FE0C02" w:rsidP="00FE0C02">
      <w:pPr>
        <w:pStyle w:val="NumPar1"/>
        <w:numPr>
          <w:ilvl w:val="0"/>
          <w:numId w:val="10"/>
        </w:numPr>
      </w:pPr>
      <w:r w:rsidRPr="0060035B">
        <w:lastRenderedPageBreak/>
        <w:t xml:space="preserve">Informațiile specificate în anexa X formularul </w:t>
      </w:r>
      <w:r w:rsidRPr="00E0184E">
        <w:t>40</w:t>
      </w:r>
      <w:r w:rsidRPr="0060035B">
        <w:t>.</w:t>
      </w:r>
      <w:r w:rsidRPr="00E0184E">
        <w:t>00</w:t>
      </w:r>
      <w:r w:rsidRPr="0060035B">
        <w:t xml:space="preserve"> celula {r</w:t>
      </w:r>
      <w:r w:rsidRPr="00E0184E">
        <w:t>0410</w:t>
      </w:r>
      <w:r w:rsidRPr="0060035B">
        <w:t>;c</w:t>
      </w:r>
      <w:r w:rsidRPr="00E0184E">
        <w:t>0010</w:t>
      </w:r>
      <w:r w:rsidRPr="0060035B">
        <w:t>} se raportează numai de către:</w:t>
      </w:r>
    </w:p>
    <w:p w14:paraId="08C9A1E3" w14:textId="77777777" w:rsidR="00FE0C02" w:rsidRPr="0060035B" w:rsidRDefault="00FE0C02" w:rsidP="00FE0C02">
      <w:pPr>
        <w:pStyle w:val="Point2"/>
      </w:pPr>
      <w:r w:rsidRPr="0060035B">
        <w:t>(a)</w:t>
      </w:r>
      <w:r w:rsidRPr="0060035B">
        <w:tab/>
        <w:t xml:space="preserve">instituțiile mari care fie sunt G-SII, fie au emis titluri de valoare admise la tranzacționare pe o piață reglementată, cu o frecvență bianuală; </w:t>
      </w:r>
    </w:p>
    <w:p w14:paraId="3A54256E" w14:textId="77777777" w:rsidR="00FE0C02" w:rsidRPr="0060035B" w:rsidRDefault="00FE0C02" w:rsidP="00FE0C02">
      <w:pPr>
        <w:pStyle w:val="Point2"/>
      </w:pPr>
      <w:r w:rsidRPr="0060035B">
        <w:t>(b)</w:t>
      </w:r>
      <w:r w:rsidRPr="0060035B">
        <w:tab/>
        <w:t>instituțiile mari, altele decât G-SII, care sunt instituții necotate, cu o frecvență anuală;</w:t>
      </w:r>
    </w:p>
    <w:p w14:paraId="492CCDFE" w14:textId="77777777" w:rsidR="00FE0C02" w:rsidRPr="0060035B" w:rsidRDefault="00FE0C02" w:rsidP="00FE0C02">
      <w:pPr>
        <w:pStyle w:val="Point2"/>
      </w:pPr>
      <w:r w:rsidRPr="0060035B">
        <w:t>(c)</w:t>
      </w:r>
      <w:r w:rsidRPr="0060035B">
        <w:tab/>
        <w:t xml:space="preserve">alte instituții decât instituțiile mari și instituțiile mici și cu un grad redus de complexitate, care au emis titluri de valoare admise la tranzacționare pe o piață reglementată, cu o frecvență anuală. </w:t>
      </w:r>
    </w:p>
    <w:p w14:paraId="56E76BBA" w14:textId="77777777" w:rsidR="00FE0C02" w:rsidRPr="0060035B" w:rsidRDefault="00FE0C02" w:rsidP="00FE0C02">
      <w:pPr>
        <w:pStyle w:val="NumPar1"/>
        <w:numPr>
          <w:ilvl w:val="0"/>
          <w:numId w:val="10"/>
        </w:numPr>
      </w:pPr>
      <w:r w:rsidRPr="0060035B">
        <w:t xml:space="preserve">Instituțiile calculează indicatorul efectului de levier la data de referință a raportării, în conformitate cu articolul </w:t>
      </w:r>
      <w:r w:rsidRPr="00E0184E">
        <w:t>429</w:t>
      </w:r>
      <w:r w:rsidRPr="0060035B">
        <w:t xml:space="preserve"> din Regulamentul (UE) nr. </w:t>
      </w:r>
      <w:r w:rsidRPr="00E0184E">
        <w:t>575</w:t>
      </w:r>
      <w:r w:rsidRPr="0060035B">
        <w:t>/</w:t>
      </w:r>
      <w:r w:rsidRPr="00E0184E">
        <w:t>2013</w:t>
      </w:r>
      <w:r w:rsidRPr="0060035B">
        <w:t>.</w:t>
      </w:r>
    </w:p>
    <w:p w14:paraId="071CB257" w14:textId="77777777" w:rsidR="00FE0C02" w:rsidRPr="0060035B" w:rsidRDefault="00FE0C02" w:rsidP="00FE0C02">
      <w:pPr>
        <w:pStyle w:val="NumPar1"/>
        <w:numPr>
          <w:ilvl w:val="0"/>
          <w:numId w:val="10"/>
        </w:numPr>
      </w:pPr>
      <w:r w:rsidRPr="0060035B">
        <w:t xml:space="preserve">Instituțiile raportează informațiile menționate în anexa XI partea II punctul </w:t>
      </w:r>
      <w:r w:rsidRPr="00E0184E">
        <w:t>13</w:t>
      </w:r>
      <w:r w:rsidRPr="0060035B">
        <w:t xml:space="preserve"> în cazul în care este îndeplinită cel puțin una dintre următoarele condiții:</w:t>
      </w:r>
    </w:p>
    <w:p w14:paraId="72F25911" w14:textId="77777777" w:rsidR="00FE0C02" w:rsidRPr="0060035B" w:rsidRDefault="00FE0C02" w:rsidP="00FE0C02">
      <w:pPr>
        <w:pStyle w:val="Point1"/>
      </w:pPr>
      <w:r w:rsidRPr="0060035B">
        <w:t>(a)</w:t>
      </w:r>
      <w:r w:rsidRPr="0060035B">
        <w:tab/>
        <w:t xml:space="preserve">cota instrumentelor financiare derivate menționată în anexa XI partea II punctul </w:t>
      </w:r>
      <w:r w:rsidRPr="00E0184E">
        <w:t>5</w:t>
      </w:r>
      <w:r w:rsidRPr="0060035B">
        <w:t xml:space="preserve"> este mai mare de </w:t>
      </w:r>
      <w:r w:rsidRPr="00E0184E">
        <w:t>1</w:t>
      </w:r>
      <w:r w:rsidRPr="0060035B">
        <w:t>,</w:t>
      </w:r>
      <w:r w:rsidRPr="00E0184E">
        <w:t>5</w:t>
      </w:r>
      <w:r w:rsidRPr="0060035B">
        <w:t xml:space="preserve"> %;</w:t>
      </w:r>
    </w:p>
    <w:p w14:paraId="564FDA7C" w14:textId="77777777" w:rsidR="00FE0C02" w:rsidRPr="0060035B" w:rsidRDefault="00FE0C02" w:rsidP="00FE0C02">
      <w:pPr>
        <w:pStyle w:val="Point1"/>
      </w:pPr>
      <w:r w:rsidRPr="0060035B">
        <w:t>(b)</w:t>
      </w:r>
      <w:r w:rsidRPr="0060035B">
        <w:tab/>
        <w:t xml:space="preserve">cota instrumentelor financiare derivate menționată în anexa XI partea II punctul </w:t>
      </w:r>
      <w:r w:rsidRPr="00E0184E">
        <w:t>5</w:t>
      </w:r>
      <w:r w:rsidRPr="0060035B">
        <w:t xml:space="preserve"> este mai mare de </w:t>
      </w:r>
      <w:r w:rsidRPr="00E0184E">
        <w:t>2</w:t>
      </w:r>
      <w:r w:rsidRPr="0060035B">
        <w:t> %.</w:t>
      </w:r>
    </w:p>
    <w:p w14:paraId="507DA3E2" w14:textId="77777777" w:rsidR="00FE0C02" w:rsidRPr="0060035B" w:rsidRDefault="00FE0C02" w:rsidP="00FE0C02">
      <w:pPr>
        <w:pStyle w:val="Text1"/>
        <w:rPr>
          <w:szCs w:val="24"/>
        </w:rPr>
      </w:pPr>
      <w:r w:rsidRPr="0060035B">
        <w:t xml:space="preserve">În cazul în care o instituție îndeplinește numai condiția de la litera (a), se aplică criteriile de intrare și de ieșire prevăzute la articolul </w:t>
      </w:r>
      <w:r w:rsidRPr="00E0184E">
        <w:t>4</w:t>
      </w:r>
      <w:r w:rsidRPr="0060035B">
        <w:t xml:space="preserve"> alineatul (</w:t>
      </w:r>
      <w:r w:rsidRPr="00E0184E">
        <w:t>3</w:t>
      </w:r>
      <w:r w:rsidRPr="0060035B">
        <w:t xml:space="preserve">). </w:t>
      </w:r>
    </w:p>
    <w:p w14:paraId="7F04F0F6" w14:textId="77777777" w:rsidR="00FE0C02" w:rsidRPr="0060035B" w:rsidRDefault="00FE0C02" w:rsidP="00FE0C02">
      <w:pPr>
        <w:pStyle w:val="Text1"/>
      </w:pPr>
      <w:r w:rsidRPr="0060035B">
        <w:t>În cazul în care o instituție îndeplinește atât condiția de la litera (a), cât și condiția de la litera (b), aceasta începe să raporteze informațiile respective pentru data de referință a raportării ulterioară datei de referință în care a depășit pragul.</w:t>
      </w:r>
    </w:p>
    <w:p w14:paraId="7B9D01BA" w14:textId="77777777" w:rsidR="00FE0C02" w:rsidRPr="0060035B" w:rsidRDefault="00FE0C02" w:rsidP="00FE0C02">
      <w:pPr>
        <w:pStyle w:val="NumPar1"/>
        <w:numPr>
          <w:ilvl w:val="0"/>
          <w:numId w:val="10"/>
        </w:numPr>
      </w:pPr>
      <w:r w:rsidRPr="0060035B">
        <w:t xml:space="preserve">Instituțiile pentru care valoarea noțională totală a instrumentelor financiare derivate, astfel cum este definită în anexa XI partea II punctul </w:t>
      </w:r>
      <w:r w:rsidRPr="00E0184E">
        <w:t>8</w:t>
      </w:r>
      <w:r w:rsidRPr="0060035B">
        <w:t xml:space="preserve">, depășește </w:t>
      </w:r>
      <w:r w:rsidRPr="00E0184E">
        <w:t>10</w:t>
      </w:r>
      <w:r w:rsidRPr="0060035B">
        <w:t> </w:t>
      </w:r>
      <w:r w:rsidRPr="00E0184E">
        <w:t>000</w:t>
      </w:r>
      <w:r w:rsidRPr="0060035B">
        <w:t xml:space="preserve"> de milioane EUR raportează informațiile menționate în anexa XI partea II punctul </w:t>
      </w:r>
      <w:r w:rsidRPr="00E0184E">
        <w:t>13</w:t>
      </w:r>
      <w:r w:rsidRPr="0060035B">
        <w:t>, chiar dacă cota lor de instrumente financiare derivate nu îndeplinește condițiile stabilite la alineatul (</w:t>
      </w:r>
      <w:r w:rsidRPr="00E0184E">
        <w:t>4</w:t>
      </w:r>
      <w:r w:rsidRPr="0060035B">
        <w:t>) din prezentul articol.</w:t>
      </w:r>
    </w:p>
    <w:p w14:paraId="51584038" w14:textId="77777777" w:rsidR="00FE0C02" w:rsidRPr="0060035B" w:rsidRDefault="00FE0C02" w:rsidP="00FE0C02">
      <w:pPr>
        <w:pStyle w:val="Text1"/>
      </w:pPr>
      <w:r w:rsidRPr="0060035B">
        <w:t>În sensul prezentului alineat, criteriile de ieșire prevăzute la articolul </w:t>
      </w:r>
      <w:r w:rsidRPr="00E0184E">
        <w:t>4</w:t>
      </w:r>
      <w:r w:rsidRPr="0060035B">
        <w:t xml:space="preserve"> alineatul (</w:t>
      </w:r>
      <w:r w:rsidRPr="00E0184E">
        <w:t>3</w:t>
      </w:r>
      <w:r w:rsidRPr="0060035B">
        <w:t>) nu se aplică. Atunci când depășesc pragul la o dată de referință a raportării, instituțiile încep să raporteze informațiile de la următoarea dată de referință a raportării.</w:t>
      </w:r>
    </w:p>
    <w:p w14:paraId="41A483BA" w14:textId="77777777" w:rsidR="00FE0C02" w:rsidRPr="0060035B" w:rsidRDefault="00FE0C02" w:rsidP="00FE0C02">
      <w:pPr>
        <w:pStyle w:val="NumPar1"/>
        <w:numPr>
          <w:ilvl w:val="0"/>
          <w:numId w:val="10"/>
        </w:numPr>
      </w:pPr>
      <w:r w:rsidRPr="0060035B">
        <w:t xml:space="preserve">Instituțiile au obligația de a raporta informațiile menționate în anexa XI partea II punctul </w:t>
      </w:r>
      <w:r w:rsidRPr="00E0184E">
        <w:t>14</w:t>
      </w:r>
      <w:r w:rsidRPr="0060035B">
        <w:t xml:space="preserve"> în cazul în care este îndeplinită cel puțin una dintre următoarele condiții:</w:t>
      </w:r>
    </w:p>
    <w:p w14:paraId="5F5E592D" w14:textId="77777777" w:rsidR="00FE0C02" w:rsidRPr="0060035B" w:rsidRDefault="00FE0C02" w:rsidP="00FE0C02">
      <w:pPr>
        <w:pStyle w:val="Point1"/>
      </w:pPr>
      <w:r w:rsidRPr="0060035B">
        <w:t>(a)</w:t>
      </w:r>
      <w:r w:rsidRPr="0060035B">
        <w:tab/>
        <w:t>volumul instrumentelor financiare derivate de credit menționat în anexa XI partea II punctul </w:t>
      </w:r>
      <w:r w:rsidRPr="00E0184E">
        <w:t>9</w:t>
      </w:r>
      <w:r w:rsidRPr="0060035B">
        <w:t xml:space="preserve"> este mai mare de </w:t>
      </w:r>
      <w:r w:rsidRPr="00E0184E">
        <w:t>300</w:t>
      </w:r>
      <w:r w:rsidRPr="0060035B">
        <w:t> de milioane EUR;</w:t>
      </w:r>
    </w:p>
    <w:p w14:paraId="418FEEAF" w14:textId="77777777" w:rsidR="00FE0C02" w:rsidRPr="0060035B" w:rsidRDefault="00FE0C02" w:rsidP="00FE0C02">
      <w:pPr>
        <w:pStyle w:val="Point1"/>
      </w:pPr>
      <w:r w:rsidRPr="0060035B">
        <w:t>(b)</w:t>
      </w:r>
      <w:r w:rsidRPr="0060035B">
        <w:tab/>
        <w:t>volumul instrumentelor financiare derivate de credit menționat în anexa XI partea II punctul </w:t>
      </w:r>
      <w:r w:rsidRPr="00E0184E">
        <w:t>9</w:t>
      </w:r>
      <w:r w:rsidRPr="0060035B">
        <w:t xml:space="preserve"> este mai mare de </w:t>
      </w:r>
      <w:r w:rsidRPr="00E0184E">
        <w:t>500</w:t>
      </w:r>
      <w:r w:rsidRPr="0060035B">
        <w:t> de milioane EUR.</w:t>
      </w:r>
    </w:p>
    <w:p w14:paraId="49C49986" w14:textId="77777777" w:rsidR="00FE0C02" w:rsidRPr="0060035B" w:rsidRDefault="00FE0C02" w:rsidP="00FE0C02">
      <w:pPr>
        <w:pStyle w:val="Text1"/>
      </w:pPr>
      <w:r w:rsidRPr="0060035B">
        <w:t xml:space="preserve">În cazul în care o instituție îndeplinește numai condiția de la litera (a), se aplică criteriile de intrare și de ieșire prevăzute la articolul </w:t>
      </w:r>
      <w:r w:rsidRPr="00E0184E">
        <w:t>4</w:t>
      </w:r>
      <w:r w:rsidRPr="0060035B">
        <w:t xml:space="preserve"> alineatul (</w:t>
      </w:r>
      <w:r w:rsidRPr="00E0184E">
        <w:t>3</w:t>
      </w:r>
      <w:r w:rsidRPr="0060035B">
        <w:t>). În cazul în care o instituție îndeplinește atât condiția de la litera (a), cât și condiția de la litera (b), aceasta începe să raporteze informațiile respective pentru data de referință a raportării ulterioară datei de referință în care a depășit pragul.</w:t>
      </w:r>
    </w:p>
    <w:p w14:paraId="16427D61" w14:textId="77777777" w:rsidR="00FE0C02" w:rsidRPr="00E0184E" w:rsidRDefault="00FE0C02" w:rsidP="00FE0C02">
      <w:pPr>
        <w:pStyle w:val="Titrearticle"/>
      </w:pPr>
      <w:r w:rsidRPr="00E0184E">
        <w:lastRenderedPageBreak/>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16</w:t>
      </w:r>
      <w:r w:rsidR="00C601E7" w:rsidRPr="00E0184E">
        <w:fldChar w:fldCharType="end"/>
      </w:r>
    </w:p>
    <w:p w14:paraId="0FD0A199" w14:textId="77777777" w:rsidR="00FE0C02" w:rsidRPr="00E0184E" w:rsidRDefault="00FE0C02" w:rsidP="00FE0C02">
      <w:pPr>
        <w:pStyle w:val="Titrearticle"/>
        <w:spacing w:before="120"/>
        <w:rPr>
          <w:b/>
          <w:i w:val="0"/>
        </w:rPr>
      </w:pPr>
      <w:r w:rsidRPr="00E0184E">
        <w:rPr>
          <w:b/>
          <w:i w:val="0"/>
        </w:rPr>
        <w:t>Raportarea cerinței de acoperire a necesarului de lichiditate pe bază individuală și pe bază consolidată</w:t>
      </w:r>
    </w:p>
    <w:p w14:paraId="51D41644" w14:textId="77777777" w:rsidR="00FE0C02" w:rsidRPr="0060035B" w:rsidRDefault="00FE0C02" w:rsidP="005F180D">
      <w:pPr>
        <w:pStyle w:val="NumPar1"/>
        <w:numPr>
          <w:ilvl w:val="0"/>
          <w:numId w:val="24"/>
        </w:numPr>
      </w:pPr>
      <w:r w:rsidRPr="0060035B">
        <w:t xml:space="preserve">Pentru a raporta, pe bază individuală și pe bază consolidată, informațiile cu privire la cerința de acoperire a necesarului de lichiditate, în conformitate cu articolul </w:t>
      </w:r>
      <w:r w:rsidRPr="00E0184E">
        <w:t>430</w:t>
      </w:r>
      <w:r w:rsidRPr="0060035B">
        <w:t xml:space="preserve"> alineatul (</w:t>
      </w:r>
      <w:r w:rsidRPr="00E0184E">
        <w:t>1</w:t>
      </w:r>
      <w:r w:rsidRPr="0060035B">
        <w:t xml:space="preserve">) litera (d) din Regulamentul (UE) nr. </w:t>
      </w:r>
      <w:r w:rsidRPr="00E0184E">
        <w:t>575</w:t>
      </w:r>
      <w:r w:rsidRPr="0060035B">
        <w:t>/</w:t>
      </w:r>
      <w:r w:rsidRPr="00E0184E">
        <w:t>2013</w:t>
      </w:r>
      <w:r w:rsidRPr="0060035B">
        <w:t>, instituțiile transmit informațiile specificate în anexa XXIV la prezentul regulament în conformitate cu instrucțiunile din anexa XXV la prezentul regulament, cu o frecvență lunară.</w:t>
      </w:r>
    </w:p>
    <w:p w14:paraId="50670492" w14:textId="77777777" w:rsidR="00FE0C02" w:rsidRPr="0060035B" w:rsidRDefault="00FE0C02" w:rsidP="00FE0C02">
      <w:pPr>
        <w:pStyle w:val="NumPar1"/>
        <w:numPr>
          <w:ilvl w:val="0"/>
          <w:numId w:val="10"/>
        </w:numPr>
      </w:pPr>
      <w:r w:rsidRPr="0060035B">
        <w:t xml:space="preserve">Informațiile prevăzute în anexa XXIV iau în considerare informațiile transmise la data de referință și informațiile privind fluxurile de numerar ale instituției pentru următoarele </w:t>
      </w:r>
      <w:r w:rsidRPr="00E0184E">
        <w:t>30</w:t>
      </w:r>
      <w:r w:rsidRPr="0060035B">
        <w:t xml:space="preserve"> de zile calendaristice.</w:t>
      </w:r>
    </w:p>
    <w:p w14:paraId="1B273506" w14:textId="77777777" w:rsidR="00FE0C02" w:rsidRPr="00E0184E" w:rsidRDefault="00FE0C02" w:rsidP="00FE0C02">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17</w:t>
      </w:r>
      <w:r w:rsidR="00C601E7" w:rsidRPr="00E0184E">
        <w:fldChar w:fldCharType="end"/>
      </w:r>
    </w:p>
    <w:p w14:paraId="4A29F4CE" w14:textId="77777777" w:rsidR="00FE0C02" w:rsidRPr="00E0184E" w:rsidRDefault="00FE0C02" w:rsidP="00FE0C02">
      <w:pPr>
        <w:pStyle w:val="Titrearticle"/>
        <w:spacing w:before="120"/>
        <w:rPr>
          <w:b/>
          <w:i w:val="0"/>
        </w:rPr>
      </w:pPr>
      <w:r w:rsidRPr="00E0184E">
        <w:rPr>
          <w:b/>
          <w:i w:val="0"/>
        </w:rPr>
        <w:t>Raportarea finanțării stabile pe bază individuală și pe bază consolidată</w:t>
      </w:r>
    </w:p>
    <w:p w14:paraId="46A16391" w14:textId="1F1D7F8C" w:rsidR="00FE0C02" w:rsidRPr="0060035B" w:rsidRDefault="00FE0C02" w:rsidP="00FE0C02">
      <w:r w:rsidRPr="0060035B">
        <w:t xml:space="preserve">Pentru a raporta, pe bază individuală și pe bază consolidată, informațiile cu privire la </w:t>
      </w:r>
      <w:r w:rsidRPr="00E0184E">
        <w:rPr>
          <w:spacing w:val="-4"/>
        </w:rPr>
        <w:t>finanțarea stabilă, în conformitate cu articolul 430 alineatul (1) litera (d) din Regulamentul (UE)</w:t>
      </w:r>
      <w:r w:rsidRPr="0060035B">
        <w:t xml:space="preserve"> nr.</w:t>
      </w:r>
      <w:r w:rsidR="00E0184E">
        <w:t> </w:t>
      </w:r>
      <w:r w:rsidRPr="00E0184E">
        <w:t>575</w:t>
      </w:r>
      <w:r w:rsidRPr="0060035B">
        <w:t>/</w:t>
      </w:r>
      <w:r w:rsidRPr="00E0184E">
        <w:t>2013</w:t>
      </w:r>
      <w:r w:rsidRPr="0060035B">
        <w:t>, instituțiile transmit informațiile specificate în anexa XII în conformitate cu instrucțiunile din anexa XIII, cu o frecvență trimestrială, după cum urmează:</w:t>
      </w:r>
    </w:p>
    <w:p w14:paraId="38759E9F" w14:textId="5BFF3BAD" w:rsidR="00FE0C02" w:rsidRPr="0060035B" w:rsidRDefault="00FE0C02" w:rsidP="00FE0C02">
      <w:pPr>
        <w:pStyle w:val="Point1"/>
      </w:pPr>
      <w:r w:rsidRPr="0060035B">
        <w:t>(a)</w:t>
      </w:r>
      <w:r w:rsidRPr="0060035B">
        <w:tab/>
        <w:t xml:space="preserve">instituțiile mici și cu un grad redus de complexitate care au ales să își calculeze indicatorul de finanțare stabilă netă (NSFR) utilizând metodologia prevăzută în partea a șasea titlul IV capitolele </w:t>
      </w:r>
      <w:r w:rsidRPr="00E0184E">
        <w:t>6</w:t>
      </w:r>
      <w:r w:rsidRPr="0060035B">
        <w:t xml:space="preserve"> și </w:t>
      </w:r>
      <w:r w:rsidRPr="00E0184E">
        <w:t>7</w:t>
      </w:r>
      <w:r w:rsidRPr="0060035B">
        <w:t xml:space="preserve"> din Regulamentul (UE) nr. </w:t>
      </w:r>
      <w:r w:rsidRPr="00E0184E">
        <w:t>575</w:t>
      </w:r>
      <w:r w:rsidRPr="0060035B">
        <w:t>/</w:t>
      </w:r>
      <w:r w:rsidRPr="00E0184E">
        <w:t>2013</w:t>
      </w:r>
      <w:r w:rsidRPr="0060035B">
        <w:t>, cu aprobarea prealabilă a autorității lor competente în conformitate cu articolul</w:t>
      </w:r>
      <w:r w:rsidR="00E0184E">
        <w:t> </w:t>
      </w:r>
      <w:r w:rsidRPr="00E0184E">
        <w:t>428</w:t>
      </w:r>
      <w:r w:rsidRPr="0060035B">
        <w:t xml:space="preserve">ai din regulamentul respectiv, transmit formularele </w:t>
      </w:r>
      <w:r w:rsidRPr="00E0184E">
        <w:t>82</w:t>
      </w:r>
      <w:r w:rsidRPr="0060035B">
        <w:t xml:space="preserve"> și </w:t>
      </w:r>
      <w:r w:rsidRPr="00E0184E">
        <w:t>83</w:t>
      </w:r>
      <w:r w:rsidRPr="0060035B">
        <w:t xml:space="preserve"> din anexa XII la prezentul regulament în conformitate cu instrucțiunile din anexa XIII la prezentul regulament;</w:t>
      </w:r>
    </w:p>
    <w:p w14:paraId="135317A6" w14:textId="77777777" w:rsidR="00FE0C02" w:rsidRPr="0060035B" w:rsidRDefault="00FE0C02" w:rsidP="00FE0C02">
      <w:pPr>
        <w:pStyle w:val="Point1"/>
      </w:pPr>
      <w:r w:rsidRPr="0060035B">
        <w:t>(b)</w:t>
      </w:r>
      <w:r w:rsidRPr="0060035B">
        <w:tab/>
        <w:t xml:space="preserve">instituțiile, altele decât cele menționate la litera (a), transmit formularele </w:t>
      </w:r>
      <w:r w:rsidRPr="00E0184E">
        <w:t>80</w:t>
      </w:r>
      <w:r w:rsidRPr="0060035B">
        <w:t xml:space="preserve"> și </w:t>
      </w:r>
      <w:r w:rsidRPr="00E0184E">
        <w:t>81</w:t>
      </w:r>
      <w:r w:rsidRPr="0060035B">
        <w:t xml:space="preserve"> din anexa XII în conformitate cu instrucțiunile din anexa XIII; </w:t>
      </w:r>
    </w:p>
    <w:p w14:paraId="75BF05A1" w14:textId="77777777" w:rsidR="00FE0C02" w:rsidRPr="0060035B" w:rsidRDefault="00FE0C02" w:rsidP="00FE0C02">
      <w:pPr>
        <w:pStyle w:val="Point1"/>
      </w:pPr>
      <w:r w:rsidRPr="0060035B">
        <w:t>(c)</w:t>
      </w:r>
      <w:r w:rsidRPr="0060035B">
        <w:tab/>
        <w:t xml:space="preserve">toate instituțiile prezintă formularul </w:t>
      </w:r>
      <w:r w:rsidRPr="00E0184E">
        <w:t>84</w:t>
      </w:r>
      <w:r w:rsidRPr="0060035B">
        <w:t xml:space="preserve"> din anexa XII în conformitate cu instrucțiunile din anexa XIII.</w:t>
      </w:r>
    </w:p>
    <w:p w14:paraId="3C47F8E2" w14:textId="77777777" w:rsidR="00FE0C02" w:rsidRPr="00E0184E" w:rsidRDefault="00FE0C02" w:rsidP="00FE0C02">
      <w:pPr>
        <w:pStyle w:val="Titrearticle"/>
      </w:pPr>
      <w:r w:rsidRPr="00E0184E">
        <w:t xml:space="preserve">Articolul </w:t>
      </w:r>
      <w:r w:rsidR="00C601E7" w:rsidRPr="00E0184E">
        <w:fldChar w:fldCharType="begin"/>
      </w:r>
      <w:r w:rsidR="00C601E7" w:rsidRPr="00E0184E">
        <w:instrText xml:space="preserve"> seq article </w:instrText>
      </w:r>
      <w:r w:rsidR="00C601E7" w:rsidRPr="00E0184E">
        <w:fldChar w:fldCharType="separate"/>
      </w:r>
      <w:r w:rsidRPr="00E0184E">
        <w:t>18</w:t>
      </w:r>
      <w:r w:rsidR="00C601E7" w:rsidRPr="00E0184E">
        <w:fldChar w:fldCharType="end"/>
      </w:r>
    </w:p>
    <w:p w14:paraId="3023D8A2" w14:textId="77777777" w:rsidR="00FE0C02" w:rsidRPr="00E0184E" w:rsidRDefault="00FE0C02" w:rsidP="00FE0C02">
      <w:pPr>
        <w:pStyle w:val="Titrearticle"/>
        <w:spacing w:before="120"/>
        <w:rPr>
          <w:b/>
          <w:i w:val="0"/>
        </w:rPr>
      </w:pPr>
      <w:r w:rsidRPr="00E0184E">
        <w:rPr>
          <w:b/>
          <w:i w:val="0"/>
        </w:rPr>
        <w:t>Raportarea indicatorilor suplimentari de monitorizare a lichidității pe bază individuală și pe bază consolidată</w:t>
      </w:r>
    </w:p>
    <w:p w14:paraId="6A3A9338" w14:textId="77777777" w:rsidR="00FE0C02" w:rsidRPr="0060035B" w:rsidRDefault="00FE0C02" w:rsidP="005F180D">
      <w:pPr>
        <w:pStyle w:val="NumPar1"/>
        <w:numPr>
          <w:ilvl w:val="0"/>
          <w:numId w:val="25"/>
        </w:numPr>
      </w:pPr>
      <w:r w:rsidRPr="0060035B">
        <w:t xml:space="preserve">Pentru a raporta, pe bază individuală și pe bază consolidată, informațiile privind indicatorii suplimentari de monitorizare a lichidității în conformitate cu articolul </w:t>
      </w:r>
      <w:r w:rsidRPr="00E0184E">
        <w:t>430</w:t>
      </w:r>
      <w:r w:rsidRPr="0060035B">
        <w:t xml:space="preserve"> alineatul (</w:t>
      </w:r>
      <w:r w:rsidRPr="00E0184E">
        <w:t>1</w:t>
      </w:r>
      <w:r w:rsidRPr="0060035B">
        <w:t xml:space="preserve">) litera (d) din Regulamentul (UE) nr. </w:t>
      </w:r>
      <w:r w:rsidRPr="00E0184E">
        <w:t>575</w:t>
      </w:r>
      <w:r w:rsidRPr="0060035B">
        <w:t>/</w:t>
      </w:r>
      <w:r w:rsidRPr="00E0184E">
        <w:t>2013</w:t>
      </w:r>
      <w:r w:rsidRPr="0060035B">
        <w:t xml:space="preserve">, instituțiile transmit toate informațiile următoare, cu o frecvență lunară: </w:t>
      </w:r>
    </w:p>
    <w:p w14:paraId="642EB969" w14:textId="77777777" w:rsidR="00FE0C02" w:rsidRPr="0060035B" w:rsidRDefault="00FE0C02" w:rsidP="00FE0C02">
      <w:pPr>
        <w:pStyle w:val="Point1"/>
      </w:pPr>
      <w:r w:rsidRPr="0060035B">
        <w:t>(a)</w:t>
      </w:r>
      <w:r w:rsidRPr="0060035B">
        <w:tab/>
        <w:t xml:space="preserve">informațiile specificate în anexa XVIII, în conformitate cu instrucțiunile din anexa XIX; </w:t>
      </w:r>
    </w:p>
    <w:p w14:paraId="6F8BEAD3" w14:textId="77777777" w:rsidR="00FE0C02" w:rsidRPr="0060035B" w:rsidRDefault="00FE0C02" w:rsidP="00FE0C02">
      <w:pPr>
        <w:pStyle w:val="Point1"/>
      </w:pPr>
      <w:r w:rsidRPr="0060035B">
        <w:t>(b)</w:t>
      </w:r>
      <w:r w:rsidRPr="0060035B">
        <w:tab/>
        <w:t xml:space="preserve">informațiile specificate în anexa XX, în conformitate cu instrucțiunile din anexa XXI; </w:t>
      </w:r>
    </w:p>
    <w:p w14:paraId="65BCA041" w14:textId="77777777" w:rsidR="00FE0C02" w:rsidRPr="0060035B" w:rsidRDefault="00FE0C02" w:rsidP="00FE0C02">
      <w:pPr>
        <w:pStyle w:val="Point1"/>
      </w:pPr>
      <w:r w:rsidRPr="0060035B">
        <w:t>(c)</w:t>
      </w:r>
      <w:r w:rsidRPr="0060035B">
        <w:tab/>
        <w:t xml:space="preserve">informațiile specificate în anexa XXII, în conformitate cu instrucțiunile din anexa XXIII. </w:t>
      </w:r>
    </w:p>
    <w:p w14:paraId="105CC458" w14:textId="54E15A0C" w:rsidR="00FE0C02" w:rsidRPr="0060035B" w:rsidRDefault="00FE0C02" w:rsidP="00FE0C02">
      <w:pPr>
        <w:pStyle w:val="NumPar1"/>
        <w:rPr>
          <w:szCs w:val="32"/>
        </w:rPr>
      </w:pPr>
      <w:r w:rsidRPr="0060035B">
        <w:lastRenderedPageBreak/>
        <w:t>Prin derogare de la alineatul (</w:t>
      </w:r>
      <w:r w:rsidRPr="00E0184E">
        <w:t>1</w:t>
      </w:r>
      <w:r w:rsidRPr="0060035B">
        <w:t xml:space="preserve">), o instituție care îndeplinește toate condițiile prevăzute la articolul </w:t>
      </w:r>
      <w:r w:rsidRPr="00E0184E">
        <w:t>4</w:t>
      </w:r>
      <w:r w:rsidRPr="0060035B">
        <w:t xml:space="preserve"> alineatul (</w:t>
      </w:r>
      <w:r w:rsidRPr="00E0184E">
        <w:t>1</w:t>
      </w:r>
      <w:r w:rsidRPr="0060035B">
        <w:t xml:space="preserve">) punctul </w:t>
      </w:r>
      <w:r w:rsidRPr="00E0184E">
        <w:t>145</w:t>
      </w:r>
      <w:r w:rsidRPr="0060035B">
        <w:t xml:space="preserve"> din Regulamentul (UE) nr.</w:t>
      </w:r>
      <w:r w:rsidR="00E0184E">
        <w:t> </w:t>
      </w:r>
      <w:r w:rsidRPr="00E0184E">
        <w:t>575</w:t>
      </w:r>
      <w:r w:rsidRPr="0060035B">
        <w:t>/</w:t>
      </w:r>
      <w:r w:rsidRPr="00E0184E">
        <w:t>2013</w:t>
      </w:r>
      <w:r w:rsidRPr="0060035B">
        <w:t xml:space="preserve"> poate raporta informațiile privind indicatorii suplimentari de monitorizare a lichidității cu o frecvență trimestrială.</w:t>
      </w:r>
    </w:p>
    <w:p w14:paraId="51E51891" w14:textId="77777777" w:rsidR="00FE0C02" w:rsidRPr="00E0184E" w:rsidRDefault="00FE0C02" w:rsidP="00FE0C02">
      <w:pPr>
        <w:pStyle w:val="Titrearticle"/>
      </w:pPr>
      <w:r w:rsidRPr="00E0184E">
        <w:t>Articolul 19</w:t>
      </w:r>
    </w:p>
    <w:p w14:paraId="5CEC6025" w14:textId="77777777" w:rsidR="00FE0C02" w:rsidRPr="0060035B" w:rsidRDefault="00FE0C02" w:rsidP="00FE0C02">
      <w:pPr>
        <w:pStyle w:val="Text1"/>
      </w:pPr>
      <w:r w:rsidRPr="00E0184E">
        <w:rPr>
          <w:b/>
        </w:rPr>
        <w:t>Raportarea grevării cu sarcini a activelor pe bază individuală și pe bază consolidată</w:t>
      </w:r>
    </w:p>
    <w:p w14:paraId="733153BD" w14:textId="77777777" w:rsidR="00FE0C02" w:rsidRPr="0060035B" w:rsidRDefault="00FE0C02" w:rsidP="005F180D">
      <w:pPr>
        <w:pStyle w:val="NumPar1"/>
        <w:numPr>
          <w:ilvl w:val="0"/>
          <w:numId w:val="26"/>
        </w:numPr>
      </w:pPr>
      <w:r w:rsidRPr="0060035B">
        <w:t xml:space="preserve">Pentru a raporta, pe bază individuală și pe bază consolidată, informațiile cu privire la grevarea cu sarcini a activelor, în conformitate cu articolul </w:t>
      </w:r>
      <w:r w:rsidRPr="00E0184E">
        <w:t>430</w:t>
      </w:r>
      <w:r w:rsidRPr="0060035B">
        <w:t xml:space="preserve"> alineatul (</w:t>
      </w:r>
      <w:r w:rsidRPr="00E0184E">
        <w:t>1</w:t>
      </w:r>
      <w:r w:rsidRPr="0060035B">
        <w:t xml:space="preserve">) litera (g) din Regulamentul (UE) nr. </w:t>
      </w:r>
      <w:r w:rsidRPr="00E0184E">
        <w:t>575</w:t>
      </w:r>
      <w:r w:rsidRPr="0060035B">
        <w:t>/</w:t>
      </w:r>
      <w:r w:rsidRPr="00E0184E">
        <w:t>2013</w:t>
      </w:r>
      <w:r w:rsidRPr="0060035B">
        <w:t xml:space="preserve">, instituțiile transmit informațiile specificate în anexa XVI la prezentul regulament conform instrucțiunilor prevăzute în anexa XVII la prezentul regulament. </w:t>
      </w:r>
    </w:p>
    <w:p w14:paraId="466673DE" w14:textId="77777777" w:rsidR="00FE0C02" w:rsidRPr="0060035B" w:rsidRDefault="00FE0C02" w:rsidP="00FE0C02">
      <w:pPr>
        <w:pStyle w:val="NumPar1"/>
        <w:numPr>
          <w:ilvl w:val="0"/>
          <w:numId w:val="10"/>
        </w:numPr>
      </w:pPr>
      <w:r w:rsidRPr="0060035B">
        <w:t>Informațiile menționate la alineatul (</w:t>
      </w:r>
      <w:r w:rsidRPr="00E0184E">
        <w:t>1</w:t>
      </w:r>
      <w:r w:rsidRPr="0060035B">
        <w:t xml:space="preserve">) se furnizează după cum urmează: </w:t>
      </w:r>
    </w:p>
    <w:p w14:paraId="6377EF60" w14:textId="77777777" w:rsidR="00FE0C02" w:rsidRPr="0060035B" w:rsidRDefault="00FE0C02" w:rsidP="00FE0C02">
      <w:pPr>
        <w:pStyle w:val="Point1"/>
      </w:pPr>
      <w:r w:rsidRPr="0060035B">
        <w:t>(a)</w:t>
      </w:r>
      <w:r w:rsidRPr="0060035B">
        <w:tab/>
        <w:t xml:space="preserve">informațiile specificate în anexa XVI părțile A, B și D, cu o frecvență trimestrială; </w:t>
      </w:r>
    </w:p>
    <w:p w14:paraId="0B272D04" w14:textId="77777777" w:rsidR="00FE0C02" w:rsidRPr="0060035B" w:rsidRDefault="00FE0C02" w:rsidP="00FE0C02">
      <w:pPr>
        <w:pStyle w:val="Point1"/>
      </w:pPr>
      <w:r w:rsidRPr="0060035B">
        <w:t>(b)</w:t>
      </w:r>
      <w:r w:rsidRPr="0060035B">
        <w:tab/>
        <w:t xml:space="preserve">informațiile specificate în anexa XVI partea C, cu o frecvență anuală; </w:t>
      </w:r>
    </w:p>
    <w:p w14:paraId="78F69E95" w14:textId="77777777" w:rsidR="00FE0C02" w:rsidRPr="0060035B" w:rsidRDefault="00FE0C02" w:rsidP="00FE0C02">
      <w:pPr>
        <w:pStyle w:val="Point1"/>
      </w:pPr>
      <w:r w:rsidRPr="0060035B">
        <w:t>(c)</w:t>
      </w:r>
      <w:r w:rsidRPr="0060035B">
        <w:tab/>
        <w:t xml:space="preserve">informațiile specificate în anexa XVI partea E, cu o frecvență bianuală. </w:t>
      </w:r>
    </w:p>
    <w:p w14:paraId="282EB9CF" w14:textId="77777777" w:rsidR="00FE0C02" w:rsidRPr="0060035B" w:rsidRDefault="00FE0C02" w:rsidP="00FE0C02">
      <w:pPr>
        <w:pStyle w:val="NumPar1"/>
        <w:numPr>
          <w:ilvl w:val="0"/>
          <w:numId w:val="10"/>
        </w:numPr>
      </w:pPr>
      <w:r w:rsidRPr="0060035B">
        <w:t xml:space="preserve">Instituțiile nu au obligația de a raporta informațiile specificate în anexa XVI părțile B, C și E dacă sunt îndeplinite ambele condiții de mai jos: </w:t>
      </w:r>
    </w:p>
    <w:p w14:paraId="239B0175" w14:textId="77777777" w:rsidR="00FE0C02" w:rsidRPr="0060035B" w:rsidRDefault="00FE0C02" w:rsidP="00FE0C02">
      <w:pPr>
        <w:pStyle w:val="Point1"/>
      </w:pPr>
      <w:r w:rsidRPr="0060035B">
        <w:t>(a)</w:t>
      </w:r>
      <w:r w:rsidRPr="0060035B">
        <w:tab/>
        <w:t>instituția nu este considerată o instituție mare;</w:t>
      </w:r>
    </w:p>
    <w:p w14:paraId="0C93B562" w14:textId="77777777" w:rsidR="00FE0C02" w:rsidRPr="0060035B" w:rsidRDefault="00FE0C02" w:rsidP="00FE0C02">
      <w:pPr>
        <w:pStyle w:val="Point1"/>
      </w:pPr>
      <w:r w:rsidRPr="0060035B">
        <w:t>(b)</w:t>
      </w:r>
      <w:r w:rsidRPr="0060035B">
        <w:tab/>
        <w:t xml:space="preserve">nivelul grevării cu sarcini a activelor instituției, astfel cum a fost calculat în conformitate cu anexa XVII punctul </w:t>
      </w:r>
      <w:r w:rsidRPr="00E0184E">
        <w:t>1</w:t>
      </w:r>
      <w:r w:rsidRPr="0060035B">
        <w:t>.</w:t>
      </w:r>
      <w:r w:rsidRPr="00E0184E">
        <w:t>6</w:t>
      </w:r>
      <w:r w:rsidRPr="0060035B">
        <w:t xml:space="preserve"> subpunctul </w:t>
      </w:r>
      <w:r w:rsidRPr="00E0184E">
        <w:t>9</w:t>
      </w:r>
      <w:r w:rsidRPr="0060035B">
        <w:t xml:space="preserve">, se situează sub </w:t>
      </w:r>
      <w:r w:rsidRPr="00E0184E">
        <w:t>15</w:t>
      </w:r>
      <w:r w:rsidRPr="0060035B">
        <w:t> %.</w:t>
      </w:r>
    </w:p>
    <w:p w14:paraId="19A215D8" w14:textId="77777777" w:rsidR="00FE0C02" w:rsidRPr="0060035B" w:rsidRDefault="00FE0C02" w:rsidP="00FE0C02">
      <w:pPr>
        <w:pStyle w:val="Text1"/>
      </w:pPr>
      <w:r w:rsidRPr="0060035B">
        <w:t>Se aplică criteriile de intrare și de ieșire prevăzute la articolul </w:t>
      </w:r>
      <w:r w:rsidRPr="00E0184E">
        <w:t>4</w:t>
      </w:r>
      <w:r w:rsidRPr="0060035B">
        <w:t xml:space="preserve"> alineatul (</w:t>
      </w:r>
      <w:r w:rsidRPr="00E0184E">
        <w:t>3</w:t>
      </w:r>
      <w:r w:rsidRPr="0060035B">
        <w:t xml:space="preserve">). </w:t>
      </w:r>
    </w:p>
    <w:p w14:paraId="7A2CBD82" w14:textId="77777777" w:rsidR="00FE0C02" w:rsidRPr="0060035B" w:rsidRDefault="00FE0C02" w:rsidP="00FE0C02">
      <w:pPr>
        <w:pStyle w:val="NumPar1"/>
        <w:numPr>
          <w:ilvl w:val="0"/>
          <w:numId w:val="10"/>
        </w:numPr>
      </w:pPr>
      <w:r w:rsidRPr="0060035B">
        <w:t xml:space="preserve">Instituțiile raportează informațiile specificate în anexa XVI partea D numai în cazul în care emit obligațiunile menționate la articolul </w:t>
      </w:r>
      <w:r w:rsidRPr="00E0184E">
        <w:t>52</w:t>
      </w:r>
      <w:r w:rsidRPr="0060035B">
        <w:t xml:space="preserve"> alineatul (</w:t>
      </w:r>
      <w:r w:rsidRPr="00E0184E">
        <w:t>4</w:t>
      </w:r>
      <w:r w:rsidRPr="0060035B">
        <w:t xml:space="preserve">) primul paragraf din Directiva </w:t>
      </w:r>
      <w:r w:rsidRPr="00E0184E">
        <w:t>2009</w:t>
      </w:r>
      <w:r w:rsidRPr="0060035B">
        <w:t>/</w:t>
      </w:r>
      <w:r w:rsidRPr="00E0184E">
        <w:t>65</w:t>
      </w:r>
      <w:r w:rsidRPr="0060035B">
        <w:t>/CE a Parlamentului European și a Consiliului</w:t>
      </w:r>
      <w:r w:rsidRPr="0060035B">
        <w:rPr>
          <w:rStyle w:val="FootnoteReference"/>
        </w:rPr>
        <w:footnoteReference w:id="11"/>
      </w:r>
      <w:r w:rsidRPr="0060035B">
        <w:t xml:space="preserve">. </w:t>
      </w:r>
    </w:p>
    <w:p w14:paraId="216F0D5A" w14:textId="77777777" w:rsidR="00FE0C02" w:rsidRPr="0060035B" w:rsidRDefault="00FE0C02" w:rsidP="00FE0C02">
      <w:pPr>
        <w:pStyle w:val="Text1"/>
      </w:pPr>
      <w:r w:rsidRPr="0060035B">
        <w:t>Se aplică criteriile de intrare și de ieșire prevăzute la articolul </w:t>
      </w:r>
      <w:r w:rsidRPr="00E0184E">
        <w:t>4</w:t>
      </w:r>
      <w:r w:rsidRPr="0060035B">
        <w:t xml:space="preserve"> alineatul (</w:t>
      </w:r>
      <w:r w:rsidRPr="00E0184E">
        <w:t>3</w:t>
      </w:r>
      <w:r w:rsidRPr="0060035B">
        <w:t>).</w:t>
      </w:r>
    </w:p>
    <w:p w14:paraId="3C60098A" w14:textId="77777777" w:rsidR="00FE0C02" w:rsidRPr="00E0184E" w:rsidRDefault="00FE0C02" w:rsidP="00FE0C02">
      <w:pPr>
        <w:pStyle w:val="Titrearticle"/>
      </w:pPr>
      <w:r w:rsidRPr="00E0184E">
        <w:t>Articolul 20</w:t>
      </w:r>
    </w:p>
    <w:p w14:paraId="4B5AD6C9" w14:textId="77777777" w:rsidR="00FE0C02" w:rsidRPr="0060035B" w:rsidRDefault="00FE0C02" w:rsidP="00FE0C02">
      <w:pPr>
        <w:pStyle w:val="Text1"/>
      </w:pPr>
      <w:r w:rsidRPr="00E0184E">
        <w:rPr>
          <w:b/>
        </w:rPr>
        <w:t>Raportarea suplimentară pe bază consolidată cu scopul de a identifica G-SII și de a le atribui acestora rate ale amortizorului</w:t>
      </w:r>
    </w:p>
    <w:p w14:paraId="76EECD2F" w14:textId="26BDB92F" w:rsidR="00FE0C02" w:rsidRPr="0060035B" w:rsidRDefault="00FE0C02" w:rsidP="005F180D">
      <w:pPr>
        <w:pStyle w:val="NumPar1"/>
        <w:numPr>
          <w:ilvl w:val="0"/>
          <w:numId w:val="27"/>
        </w:numPr>
      </w:pPr>
      <w:r w:rsidRPr="0060035B">
        <w:t xml:space="preserve">Pentru a raporta informații suplimentare cu scopul de a identifica G-SII și de a le atribui acestora rate ale amortizorului în temeiul articolului </w:t>
      </w:r>
      <w:r w:rsidRPr="00E0184E">
        <w:t>131</w:t>
      </w:r>
      <w:r w:rsidRPr="0060035B">
        <w:t xml:space="preserve"> din Directiva </w:t>
      </w:r>
      <w:r w:rsidRPr="00E0184E">
        <w:t>2013</w:t>
      </w:r>
      <w:r w:rsidRPr="0060035B">
        <w:t>/</w:t>
      </w:r>
      <w:r w:rsidRPr="00E0184E">
        <w:t>36</w:t>
      </w:r>
      <w:r w:rsidRPr="0060035B">
        <w:t>/UE, instituțiile-mamă din UE, holdingurile financiare mamă din UE și holdingurile financiare mixte mamă din UE transmit informațiile specificate în anexa</w:t>
      </w:r>
      <w:r w:rsidR="00B8468D">
        <w:t> </w:t>
      </w:r>
      <w:r w:rsidRPr="0060035B">
        <w:t>XXVI în conformitate cu instrucțiunile din anexa XXVII, pe bază consolidată, cu o frecvență trimestrială.</w:t>
      </w:r>
    </w:p>
    <w:p w14:paraId="4242810E" w14:textId="5FDC7845" w:rsidR="00FE0C02" w:rsidRPr="0060035B" w:rsidRDefault="00FE0C02" w:rsidP="00FE0C02">
      <w:pPr>
        <w:pStyle w:val="NumPar1"/>
        <w:numPr>
          <w:ilvl w:val="0"/>
          <w:numId w:val="10"/>
        </w:numPr>
      </w:pPr>
      <w:r w:rsidRPr="0060035B">
        <w:lastRenderedPageBreak/>
        <w:t>Instituțiile-mamă din UE, holdingurile financiare mamă din UE și holdingurile financiare mixte mamă din UE transmit informațiile menționate la alineatul (</w:t>
      </w:r>
      <w:r w:rsidRPr="00E0184E">
        <w:t>1</w:t>
      </w:r>
      <w:r w:rsidRPr="0060035B">
        <w:t>) numai dacă sunt îndeplinite ambele condiții de mai jos:</w:t>
      </w:r>
    </w:p>
    <w:p w14:paraId="0C5DCF08" w14:textId="77777777" w:rsidR="00FE0C02" w:rsidRPr="0060035B" w:rsidRDefault="00FE0C02" w:rsidP="00FE0C02">
      <w:pPr>
        <w:pStyle w:val="Point1"/>
      </w:pPr>
      <w:r w:rsidRPr="0060035B">
        <w:t>(a)</w:t>
      </w:r>
      <w:r w:rsidRPr="0060035B">
        <w:tab/>
        <w:t xml:space="preserve">indicatorul de măsurare a expunerii totale a grupului, inclusiv a filialelor de asigurări, este mai mare sau egal cu </w:t>
      </w:r>
      <w:r w:rsidRPr="00E0184E">
        <w:t>125</w:t>
      </w:r>
      <w:r w:rsidRPr="0060035B">
        <w:t> </w:t>
      </w:r>
      <w:r w:rsidRPr="00E0184E">
        <w:t>000</w:t>
      </w:r>
      <w:r w:rsidRPr="0060035B">
        <w:t xml:space="preserve"> de milioane EUR;</w:t>
      </w:r>
    </w:p>
    <w:p w14:paraId="05DC0A53" w14:textId="77777777" w:rsidR="00FE0C02" w:rsidRPr="0060035B" w:rsidRDefault="00FE0C02" w:rsidP="00FE0C02">
      <w:pPr>
        <w:pStyle w:val="Point1"/>
      </w:pPr>
      <w:r w:rsidRPr="0060035B">
        <w:t>(b)</w:t>
      </w:r>
      <w:r w:rsidRPr="0060035B">
        <w:tab/>
        <w:t xml:space="preserve">societatea-mamă din UE sau oricare dintre filialele acesteia sau orice sucursală exploatată de către societatea-mamă ori de o filială este situată într-un stat membru participant, astfel cum este menționat la articolul </w:t>
      </w:r>
      <w:r w:rsidRPr="00E0184E">
        <w:t>4</w:t>
      </w:r>
      <w:r w:rsidRPr="0060035B">
        <w:t xml:space="preserve"> din Regulamentul (UE) nr. </w:t>
      </w:r>
      <w:r w:rsidRPr="00E0184E">
        <w:t>806</w:t>
      </w:r>
      <w:r w:rsidRPr="0060035B">
        <w:t>/</w:t>
      </w:r>
      <w:r w:rsidRPr="00E0184E">
        <w:t>2014</w:t>
      </w:r>
      <w:r w:rsidRPr="0060035B">
        <w:t xml:space="preserve"> al Parlamentului European și al Consiliului</w:t>
      </w:r>
      <w:r w:rsidRPr="0060035B">
        <w:rPr>
          <w:rStyle w:val="FootnoteReference"/>
        </w:rPr>
        <w:footnoteReference w:id="12"/>
      </w:r>
      <w:r w:rsidRPr="0060035B">
        <w:t>.</w:t>
      </w:r>
    </w:p>
    <w:p w14:paraId="6584D044" w14:textId="77777777" w:rsidR="00FE0C02" w:rsidRPr="0060035B" w:rsidRDefault="00FE0C02" w:rsidP="00FE0C02">
      <w:pPr>
        <w:pStyle w:val="NumPar1"/>
        <w:numPr>
          <w:ilvl w:val="0"/>
          <w:numId w:val="10"/>
        </w:numPr>
      </w:pPr>
      <w:r w:rsidRPr="0060035B">
        <w:t xml:space="preserve">Prin derogare de la articolul </w:t>
      </w:r>
      <w:r w:rsidRPr="00E0184E">
        <w:t>3</w:t>
      </w:r>
      <w:r w:rsidRPr="0060035B">
        <w:t xml:space="preserve"> alineatul (</w:t>
      </w:r>
      <w:r w:rsidRPr="00E0184E">
        <w:t>1</w:t>
      </w:r>
      <w:r w:rsidRPr="0060035B">
        <w:t>) litera (b), informațiile menționate la alineatul (</w:t>
      </w:r>
      <w:r w:rsidRPr="00E0184E">
        <w:t>1</w:t>
      </w:r>
      <w:r w:rsidRPr="0060035B">
        <w:t xml:space="preserve">) din prezentul articol se depun până la încheierea activității la următoarele date de transmitere: </w:t>
      </w:r>
      <w:r w:rsidRPr="00E0184E">
        <w:t>1</w:t>
      </w:r>
      <w:r w:rsidRPr="0060035B">
        <w:t xml:space="preserve"> iulie, </w:t>
      </w:r>
      <w:r w:rsidRPr="00E0184E">
        <w:t>1</w:t>
      </w:r>
      <w:r w:rsidRPr="0060035B">
        <w:t xml:space="preserve"> octombrie, </w:t>
      </w:r>
      <w:r w:rsidRPr="00E0184E">
        <w:t>2</w:t>
      </w:r>
      <w:r w:rsidRPr="0060035B">
        <w:t xml:space="preserve"> ianuarie și </w:t>
      </w:r>
      <w:r w:rsidRPr="00E0184E">
        <w:t>1</w:t>
      </w:r>
      <w:r w:rsidRPr="0060035B">
        <w:t xml:space="preserve"> aprilie.</w:t>
      </w:r>
    </w:p>
    <w:p w14:paraId="3336B0CC" w14:textId="77777777" w:rsidR="00FE0C02" w:rsidRPr="0060035B" w:rsidRDefault="00FE0C02" w:rsidP="00FE0C02">
      <w:pPr>
        <w:pStyle w:val="NumPar1"/>
        <w:numPr>
          <w:ilvl w:val="0"/>
          <w:numId w:val="10"/>
        </w:numPr>
      </w:pPr>
      <w:r w:rsidRPr="0060035B">
        <w:t xml:space="preserve">Prin derogare de la articolul </w:t>
      </w:r>
      <w:r w:rsidRPr="00E0184E">
        <w:t>4</w:t>
      </w:r>
      <w:r w:rsidRPr="0060035B">
        <w:t>, se aplică următoarele dispoziții cu privire la pragul menționat la alineatul (</w:t>
      </w:r>
      <w:r w:rsidRPr="00E0184E">
        <w:t>2</w:t>
      </w:r>
      <w:r w:rsidRPr="0060035B">
        <w:t>) litera (a) din prezentul articol:</w:t>
      </w:r>
    </w:p>
    <w:p w14:paraId="542951C2" w14:textId="0D06C811" w:rsidR="00FE0C02" w:rsidRPr="0060035B" w:rsidRDefault="00FE0C02" w:rsidP="00FE0C02">
      <w:pPr>
        <w:pStyle w:val="Point1"/>
      </w:pPr>
      <w:r w:rsidRPr="0060035B">
        <w:t>(a)</w:t>
      </w:r>
      <w:r w:rsidRPr="0060035B">
        <w:tab/>
        <w:t>instituția-mamă din UE, holdingul financiar mamă din UE sau holdingul financiar mixt mamă din UE începe imediat să raporteze informațiile în conformitate cu prezentul articol în cazul în care indicatorul de măsurare a expunerii pentru calcularea indicatorului efectului de levier depășește pragul specificat la sfârșitul exercițiului financiar și raportează aceste informații cel târziu până la sfârșitul exercițiului financiar respectiv și la cele trei date trimestriale de referință ulterioare;</w:t>
      </w:r>
    </w:p>
    <w:p w14:paraId="50325C89" w14:textId="0290171D" w:rsidR="00FE0C02" w:rsidRPr="0060035B" w:rsidRDefault="00FE0C02" w:rsidP="00FE0C02">
      <w:pPr>
        <w:pStyle w:val="Point1"/>
      </w:pPr>
      <w:r w:rsidRPr="0060035B">
        <w:t>(b)</w:t>
      </w:r>
      <w:r w:rsidRPr="0060035B">
        <w:tab/>
        <w:t>instituția-mamă din UE, holdingul financiar mamă din UE sau holdingul financiar mixt mamă din UE încetează imediat raportarea informațiilor în conformitate cu prezentul articol în cazul în care indicatorul său de măsurare a expunerii pentru calcularea indicatorului efectului de levier se situează, la sfârșitul exercițiului financiar, sub pragul specificat.</w:t>
      </w:r>
    </w:p>
    <w:p w14:paraId="3714E48A" w14:textId="77777777" w:rsidR="00FE0C02" w:rsidRPr="00E0184E" w:rsidRDefault="00FE0C02" w:rsidP="00FE0C02">
      <w:pPr>
        <w:pStyle w:val="Titrearticle"/>
      </w:pPr>
      <w:r w:rsidRPr="00E0184E">
        <w:t>Articolul 21</w:t>
      </w:r>
    </w:p>
    <w:p w14:paraId="379043C5" w14:textId="77777777" w:rsidR="00FE0C02" w:rsidRPr="00E0184E" w:rsidRDefault="00FE0C02" w:rsidP="00FE0C02">
      <w:pPr>
        <w:pStyle w:val="Titrearticle"/>
        <w:spacing w:before="120"/>
      </w:pPr>
      <w:r w:rsidRPr="00E0184E">
        <w:rPr>
          <w:b/>
          <w:i w:val="0"/>
        </w:rPr>
        <w:t>Formatele pentru schimbul de date și informațiile care însoțesc datele transmise</w:t>
      </w:r>
    </w:p>
    <w:p w14:paraId="3484BAE7" w14:textId="77777777" w:rsidR="00FE0C02" w:rsidRPr="0060035B" w:rsidRDefault="00FE0C02" w:rsidP="005F180D">
      <w:pPr>
        <w:pStyle w:val="NumPar1"/>
        <w:numPr>
          <w:ilvl w:val="0"/>
          <w:numId w:val="28"/>
        </w:numPr>
      </w:pPr>
      <w:r w:rsidRPr="0060035B">
        <w:t>Instituțiile transmit informațiile în formatele și prezentările pentru schimbul de date specificate de autoritățile competente, respectând definiția punctelor de date inclusă în modelul punctelor de date din anexa XIV și formulele de validare menționate în anexa XV, precum și următoarele specificații:</w:t>
      </w:r>
    </w:p>
    <w:p w14:paraId="6302FDB1" w14:textId="77777777" w:rsidR="00FE0C02" w:rsidRPr="0060035B" w:rsidRDefault="00FE0C02" w:rsidP="00FE0C02">
      <w:pPr>
        <w:pStyle w:val="Point1"/>
      </w:pPr>
      <w:r w:rsidRPr="0060035B">
        <w:t>(a)</w:t>
      </w:r>
      <w:r w:rsidRPr="0060035B">
        <w:tab/>
        <w:t>informațiile care nu sunt necesare sau care nu se aplică nu sunt incluse în transmisia de date;</w:t>
      </w:r>
    </w:p>
    <w:p w14:paraId="04CB5DF9" w14:textId="77777777" w:rsidR="00FE0C02" w:rsidRPr="0060035B" w:rsidRDefault="00FE0C02" w:rsidP="00FE0C02">
      <w:pPr>
        <w:pStyle w:val="Point1"/>
      </w:pPr>
      <w:r w:rsidRPr="0060035B">
        <w:t>(b)</w:t>
      </w:r>
      <w:r w:rsidRPr="0060035B">
        <w:tab/>
        <w:t>valorile numerice se transmit după cum urmează:</w:t>
      </w:r>
    </w:p>
    <w:p w14:paraId="08E0D7CD" w14:textId="77777777" w:rsidR="00FE0C02" w:rsidRPr="0060035B" w:rsidRDefault="00FE0C02" w:rsidP="00FE0C02">
      <w:pPr>
        <w:pStyle w:val="Point2"/>
      </w:pPr>
      <w:r w:rsidRPr="0060035B">
        <w:t>(i)</w:t>
      </w:r>
      <w:r w:rsidRPr="0060035B">
        <w:tab/>
        <w:t>punctele de date cu tipul de date „Monetar” se raportează cu o precizie minimă de mii de unități;</w:t>
      </w:r>
    </w:p>
    <w:p w14:paraId="34C38BBF" w14:textId="77777777" w:rsidR="00FE0C02" w:rsidRPr="0060035B" w:rsidRDefault="00FE0C02" w:rsidP="00FE0C02">
      <w:pPr>
        <w:pStyle w:val="Point2"/>
      </w:pPr>
      <w:r w:rsidRPr="0060035B">
        <w:t>(ii)</w:t>
      </w:r>
      <w:r w:rsidRPr="0060035B">
        <w:tab/>
        <w:t>punctele de date cu tipul de date „Procent” se exprimă per unitate cu o precizie minimă de patru zecimale;</w:t>
      </w:r>
    </w:p>
    <w:p w14:paraId="4CD4E1AC" w14:textId="77777777" w:rsidR="00FE0C02" w:rsidRPr="0060035B" w:rsidRDefault="00FE0C02" w:rsidP="00FE0C02">
      <w:pPr>
        <w:pStyle w:val="Point2"/>
      </w:pPr>
      <w:r w:rsidRPr="0060035B">
        <w:lastRenderedPageBreak/>
        <w:t>(iii)</w:t>
      </w:r>
      <w:r w:rsidRPr="0060035B">
        <w:tab/>
        <w:t>punctele de date cu tipul de date „Număr întreg” sunt raportate fără a se utiliza zecimale și cu o precizie fixată la unități;</w:t>
      </w:r>
    </w:p>
    <w:p w14:paraId="1DE261AC" w14:textId="77777777" w:rsidR="00FE0C02" w:rsidRPr="0060035B" w:rsidRDefault="00FE0C02" w:rsidP="00FE0C02">
      <w:pPr>
        <w:pStyle w:val="Point1"/>
        <w:rPr>
          <w:szCs w:val="24"/>
        </w:rPr>
      </w:pPr>
      <w:r w:rsidRPr="0060035B">
        <w:t>(c)</w:t>
      </w:r>
      <w:r w:rsidRPr="0060035B">
        <w:tab/>
        <w:t>instituțiile și întreprinderile de asigurare trebuie identificate exclusiv cu ajutorul identificatorului entității juridice (LEI);</w:t>
      </w:r>
    </w:p>
    <w:p w14:paraId="10C9C354" w14:textId="77777777" w:rsidR="00FE0C02" w:rsidRPr="0060035B" w:rsidRDefault="00FE0C02" w:rsidP="00FE0C02">
      <w:pPr>
        <w:pStyle w:val="Point1"/>
      </w:pPr>
      <w:r w:rsidRPr="0060035B">
        <w:t>(d) entitățile juridice și contrapărțile, altele decât instituțiile și întreprinderile de asigurare, trebuie identificate cu ajutorul LEI în cazul în care acesta este disponibil.</w:t>
      </w:r>
    </w:p>
    <w:p w14:paraId="275717B4" w14:textId="77777777" w:rsidR="00FE0C02" w:rsidRPr="0060035B" w:rsidRDefault="00FE0C02" w:rsidP="00FE0C02">
      <w:pPr>
        <w:pStyle w:val="NumPar1"/>
        <w:widowControl w:val="0"/>
        <w:numPr>
          <w:ilvl w:val="0"/>
          <w:numId w:val="10"/>
        </w:numPr>
        <w:autoSpaceDE w:val="0"/>
        <w:autoSpaceDN w:val="0"/>
        <w:spacing w:line="228" w:lineRule="auto"/>
        <w:rPr>
          <w:szCs w:val="24"/>
        </w:rPr>
      </w:pPr>
      <w:r w:rsidRPr="0060035B">
        <w:t>Instituțiile însoțesc datele transmise cu următoarele informații:</w:t>
      </w:r>
    </w:p>
    <w:p w14:paraId="533511FB" w14:textId="77777777" w:rsidR="00FE0C02" w:rsidRPr="0060035B" w:rsidRDefault="00FE0C02" w:rsidP="00FE0C02">
      <w:pPr>
        <w:pStyle w:val="Point1"/>
      </w:pPr>
      <w:r w:rsidRPr="0060035B">
        <w:t>(a)</w:t>
      </w:r>
      <w:r w:rsidRPr="0060035B">
        <w:tab/>
        <w:t>data de referință a raportării și perioada de referință;</w:t>
      </w:r>
    </w:p>
    <w:p w14:paraId="35FFAFDD" w14:textId="77777777" w:rsidR="00FE0C02" w:rsidRPr="0060035B" w:rsidRDefault="00FE0C02" w:rsidP="00FE0C02">
      <w:pPr>
        <w:pStyle w:val="Point1"/>
      </w:pPr>
      <w:r w:rsidRPr="0060035B">
        <w:t>(b)</w:t>
      </w:r>
      <w:r w:rsidRPr="0060035B">
        <w:tab/>
        <w:t>moneda de raportare;</w:t>
      </w:r>
    </w:p>
    <w:p w14:paraId="2D0A776B" w14:textId="77777777" w:rsidR="00FE0C02" w:rsidRPr="0060035B" w:rsidRDefault="00FE0C02" w:rsidP="00FE0C02">
      <w:pPr>
        <w:pStyle w:val="Point1"/>
      </w:pPr>
      <w:r w:rsidRPr="0060035B">
        <w:t>(c)</w:t>
      </w:r>
      <w:r w:rsidRPr="0060035B">
        <w:tab/>
        <w:t>standardul de contabilitate;</w:t>
      </w:r>
    </w:p>
    <w:p w14:paraId="05941E50" w14:textId="77777777" w:rsidR="00FE0C02" w:rsidRPr="0060035B" w:rsidRDefault="00FE0C02" w:rsidP="00FE0C02">
      <w:pPr>
        <w:pStyle w:val="Point1"/>
      </w:pPr>
      <w:r w:rsidRPr="0060035B">
        <w:t>(d)</w:t>
      </w:r>
      <w:r w:rsidRPr="0060035B">
        <w:tab/>
        <w:t>identificatorul entității juridice (LEI) al instituției raportoare;</w:t>
      </w:r>
    </w:p>
    <w:p w14:paraId="1E5B9FC2" w14:textId="77777777" w:rsidR="00FE0C02" w:rsidRPr="0060035B" w:rsidRDefault="00FE0C02" w:rsidP="00FE0C02">
      <w:pPr>
        <w:pStyle w:val="Point1"/>
      </w:pPr>
      <w:r w:rsidRPr="0060035B">
        <w:t>(e)</w:t>
      </w:r>
      <w:r w:rsidRPr="0060035B">
        <w:tab/>
        <w:t>perimetrul de consolidare.</w:t>
      </w:r>
    </w:p>
    <w:p w14:paraId="3C0C8DE6" w14:textId="77777777" w:rsidR="00FE0C02" w:rsidRPr="00E0184E" w:rsidRDefault="00FE0C02" w:rsidP="00FE0C02">
      <w:pPr>
        <w:pStyle w:val="Titrearticle"/>
        <w:spacing w:before="120"/>
      </w:pPr>
      <w:r w:rsidRPr="00E0184E">
        <w:t>Articolul 22</w:t>
      </w:r>
    </w:p>
    <w:p w14:paraId="48AC81C7" w14:textId="77777777" w:rsidR="00FE0C02" w:rsidRPr="00E0184E" w:rsidRDefault="00FE0C02" w:rsidP="006B3AF7">
      <w:pPr>
        <w:pStyle w:val="Titrearticle"/>
      </w:pPr>
      <w:r w:rsidRPr="00E0184E">
        <w:t>Abrogarea Regulamentului de punere în aplicare (UE) nr. 680/2014</w:t>
      </w:r>
    </w:p>
    <w:p w14:paraId="1CFB853D" w14:textId="72EA0D3E" w:rsidR="00FE0C02" w:rsidRPr="0060035B" w:rsidRDefault="00FE0C02" w:rsidP="006B3AF7">
      <w:r w:rsidRPr="0060035B">
        <w:t>Regulamentul de punere în aplicare (UE) nr. </w:t>
      </w:r>
      <w:r w:rsidRPr="00E0184E">
        <w:t>680</w:t>
      </w:r>
      <w:r w:rsidRPr="0060035B">
        <w:t>/</w:t>
      </w:r>
      <w:r w:rsidRPr="00E0184E">
        <w:t>2014</w:t>
      </w:r>
      <w:r w:rsidRPr="0060035B">
        <w:t xml:space="preserve"> se abrogă. </w:t>
      </w:r>
    </w:p>
    <w:p w14:paraId="783335BF" w14:textId="7744E337" w:rsidR="00FE0C02" w:rsidRPr="0060035B" w:rsidRDefault="00FE0C02" w:rsidP="006B3AF7">
      <w:r w:rsidRPr="0060035B">
        <w:t>Trimiterile la regulamentul abrogat se interpretează ca trimiteri la prezentul regulament.</w:t>
      </w:r>
    </w:p>
    <w:p w14:paraId="5FA1D041" w14:textId="77777777" w:rsidR="00FE0C02" w:rsidRPr="00E0184E" w:rsidRDefault="00FE0C02" w:rsidP="00FE0C02">
      <w:pPr>
        <w:pStyle w:val="Titrearticle"/>
      </w:pPr>
      <w:r w:rsidRPr="00E0184E">
        <w:t>Articolul 23</w:t>
      </w:r>
    </w:p>
    <w:p w14:paraId="5DBF2ECB" w14:textId="77777777" w:rsidR="00FE0C02" w:rsidRPr="00E0184E" w:rsidRDefault="00FE0C02" w:rsidP="00FE0C02">
      <w:pPr>
        <w:pStyle w:val="Titrearticle"/>
        <w:rPr>
          <w:b/>
          <w:i w:val="0"/>
        </w:rPr>
      </w:pPr>
      <w:r w:rsidRPr="00E0184E">
        <w:rPr>
          <w:b/>
          <w:i w:val="0"/>
        </w:rPr>
        <w:t>Intrarea în vigoare și aplicarea</w:t>
      </w:r>
    </w:p>
    <w:p w14:paraId="0A731224" w14:textId="77777777" w:rsidR="00FE0C02" w:rsidRPr="0060035B" w:rsidRDefault="00FE0C02" w:rsidP="00FE0C02">
      <w:r w:rsidRPr="0060035B">
        <w:t xml:space="preserve">Prezentul regulament intră în vigoare în ziua următoare datei publicării în </w:t>
      </w:r>
      <w:r w:rsidRPr="00E0184E">
        <w:rPr>
          <w:i/>
          <w:iCs/>
        </w:rPr>
        <w:t>Jurnalul Oficial al Uniunii Europene</w:t>
      </w:r>
      <w:r w:rsidRPr="0060035B">
        <w:t>.</w:t>
      </w:r>
    </w:p>
    <w:p w14:paraId="7B8BB43C" w14:textId="77777777" w:rsidR="00FE0C02" w:rsidRPr="0060035B" w:rsidRDefault="00FE0C02" w:rsidP="00FE0C02">
      <w:r w:rsidRPr="0060035B">
        <w:t xml:space="preserve">Acesta se aplică de la </w:t>
      </w:r>
      <w:r w:rsidRPr="00E0184E">
        <w:t>28</w:t>
      </w:r>
      <w:r w:rsidRPr="0060035B">
        <w:t xml:space="preserve"> iunie </w:t>
      </w:r>
      <w:r w:rsidRPr="00E0184E">
        <w:t>2021</w:t>
      </w:r>
      <w:r w:rsidRPr="0060035B">
        <w:t>.</w:t>
      </w:r>
    </w:p>
    <w:p w14:paraId="398E54BD" w14:textId="77777777" w:rsidR="00FE0C02" w:rsidRPr="0060035B" w:rsidRDefault="00FE0C02" w:rsidP="00FE0C02">
      <w:r w:rsidRPr="0060035B">
        <w:t xml:space="preserve">Fără a aduce atingere celui de al doilea paragraf de la prezentul articol, raportarea privind cerința amortizorului pentru indicatorul efectului de levier în cazul instituțiilor identificate drept G-SII, prevăzută în anexa X formularul </w:t>
      </w:r>
      <w:r w:rsidRPr="00E0184E">
        <w:t>47</w:t>
      </w:r>
      <w:r w:rsidRPr="0060035B">
        <w:t xml:space="preserve">, se aplică de la </w:t>
      </w:r>
      <w:r w:rsidRPr="00E0184E">
        <w:t>1</w:t>
      </w:r>
      <w:r w:rsidRPr="0060035B">
        <w:t xml:space="preserve"> ianuarie </w:t>
      </w:r>
      <w:r w:rsidRPr="00E0184E">
        <w:t>2023</w:t>
      </w:r>
      <w:r w:rsidRPr="0060035B">
        <w:t>.</w:t>
      </w:r>
    </w:p>
    <w:p w14:paraId="077B995C" w14:textId="2455A2B7" w:rsidR="00FF364B" w:rsidRPr="0060035B" w:rsidRDefault="00FE0C02" w:rsidP="00FE0C02">
      <w:r w:rsidRPr="0060035B">
        <w:t xml:space="preserve">Articolele </w:t>
      </w:r>
      <w:r w:rsidRPr="00E0184E">
        <w:t>9</w:t>
      </w:r>
      <w:r w:rsidRPr="0060035B">
        <w:t xml:space="preserve"> și </w:t>
      </w:r>
      <w:r w:rsidRPr="00E0184E">
        <w:t>10</w:t>
      </w:r>
      <w:r w:rsidRPr="0060035B">
        <w:t xml:space="preserve"> încetează să se aplice la </w:t>
      </w:r>
      <w:r w:rsidRPr="00E0184E">
        <w:t>26</w:t>
      </w:r>
      <w:r w:rsidRPr="0060035B">
        <w:t xml:space="preserve"> iunie </w:t>
      </w:r>
      <w:r w:rsidRPr="00E0184E">
        <w:t>2026</w:t>
      </w:r>
      <w:r w:rsidRPr="0060035B">
        <w:t>.</w:t>
      </w:r>
    </w:p>
    <w:p w14:paraId="2BB71259" w14:textId="77777777" w:rsidR="0004170D" w:rsidRPr="0060035B" w:rsidRDefault="0004170D" w:rsidP="009675DD">
      <w:pPr>
        <w:pStyle w:val="Applicationdirecte"/>
      </w:pPr>
      <w:r w:rsidRPr="0060035B">
        <w:t>Prezentul regulament este obligatoriu în toate elementele sale și se aplică direct în toate statele membre.</w:t>
      </w:r>
    </w:p>
    <w:p w14:paraId="2947B574" w14:textId="092F8B42" w:rsidR="0004170D" w:rsidRPr="0060035B" w:rsidRDefault="0060035B" w:rsidP="0060035B">
      <w:pPr>
        <w:pStyle w:val="Fait"/>
      </w:pPr>
      <w:r w:rsidRPr="0060035B">
        <w:t>Adoptat la Bruxelles,</w:t>
      </w:r>
    </w:p>
    <w:p w14:paraId="3F08E3CE" w14:textId="77777777" w:rsidR="0004170D" w:rsidRPr="00E0184E" w:rsidRDefault="0004170D" w:rsidP="0004170D">
      <w:pPr>
        <w:pStyle w:val="Institutionquisigne"/>
      </w:pPr>
      <w:r w:rsidRPr="00E0184E">
        <w:tab/>
        <w:t>Pentru Comisie,</w:t>
      </w:r>
    </w:p>
    <w:p w14:paraId="2100579F" w14:textId="77777777" w:rsidR="00A211D2" w:rsidRPr="00E0184E" w:rsidRDefault="0004170D" w:rsidP="0004170D">
      <w:pPr>
        <w:pStyle w:val="Personnequisigne"/>
      </w:pPr>
      <w:r w:rsidRPr="00E0184E">
        <w:tab/>
        <w:t>Președinta</w:t>
      </w:r>
    </w:p>
    <w:p w14:paraId="5318264F" w14:textId="632B2009" w:rsidR="0004170D" w:rsidRPr="00E0184E" w:rsidRDefault="00A211D2" w:rsidP="0004170D">
      <w:pPr>
        <w:pStyle w:val="Personnequisigne"/>
      </w:pPr>
      <w:r w:rsidRPr="00E0184E">
        <w:tab/>
        <w:t xml:space="preserve">Ursula von der Leyen </w:t>
      </w:r>
      <w:r w:rsidRPr="00E0184E">
        <w:br/>
      </w:r>
      <w:r w:rsidRPr="00E0184E">
        <w:tab/>
        <w:t xml:space="preserve"> </w:t>
      </w:r>
      <w:r w:rsidRPr="00E0184E">
        <w:br/>
      </w:r>
      <w:r w:rsidRPr="00E0184E">
        <w:tab/>
        <w:t xml:space="preserve"> </w:t>
      </w:r>
      <w:r w:rsidRPr="00E0184E">
        <w:br/>
      </w:r>
    </w:p>
    <w:sectPr w:rsidR="0004170D" w:rsidRPr="00E0184E" w:rsidSect="00B8468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9E6D0C" w:rsidRDefault="009E6D0C" w:rsidP="0004170D">
      <w:pPr>
        <w:spacing w:before="0" w:after="0"/>
      </w:pPr>
      <w:r>
        <w:separator/>
      </w:r>
    </w:p>
  </w:endnote>
  <w:endnote w:type="continuationSeparator" w:id="0">
    <w:p w14:paraId="5326C0A8" w14:textId="77777777" w:rsidR="009E6D0C" w:rsidRDefault="009E6D0C"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1613" w14:textId="43B7B297" w:rsidR="009E6D0C" w:rsidRPr="00B8468D" w:rsidRDefault="00B8468D" w:rsidP="00B8468D">
    <w:pPr>
      <w:pStyle w:val="Footer"/>
      <w:rPr>
        <w:rFonts w:ascii="Arial" w:hAnsi="Arial" w:cs="Arial"/>
        <w:b/>
        <w:sz w:val="48"/>
      </w:rPr>
    </w:pPr>
    <w:r w:rsidRPr="00B8468D">
      <w:rPr>
        <w:rFonts w:ascii="Arial" w:hAnsi="Arial" w:cs="Arial"/>
        <w:b/>
        <w:sz w:val="48"/>
      </w:rPr>
      <w:t>RO</w:t>
    </w:r>
    <w:r w:rsidRPr="00B8468D">
      <w:rPr>
        <w:rFonts w:ascii="Arial" w:hAnsi="Arial" w:cs="Arial"/>
        <w:b/>
        <w:sz w:val="48"/>
      </w:rPr>
      <w:tab/>
    </w:r>
    <w:r w:rsidRPr="00B8468D">
      <w:rPr>
        <w:rFonts w:ascii="Arial" w:hAnsi="Arial" w:cs="Arial"/>
        <w:b/>
        <w:sz w:val="48"/>
      </w:rPr>
      <w:tab/>
    </w:r>
    <w:r w:rsidRPr="00B8468D">
      <w:tab/>
    </w:r>
    <w:r w:rsidRPr="00B8468D">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9B686" w14:textId="51F15A8A" w:rsidR="00B8468D" w:rsidRPr="00B8468D" w:rsidRDefault="00B8468D" w:rsidP="00B8468D">
    <w:pPr>
      <w:pStyle w:val="Footer"/>
      <w:rPr>
        <w:rFonts w:ascii="Arial" w:hAnsi="Arial" w:cs="Arial"/>
        <w:b/>
        <w:sz w:val="48"/>
      </w:rPr>
    </w:pPr>
    <w:r w:rsidRPr="00B8468D">
      <w:rPr>
        <w:rFonts w:ascii="Arial" w:hAnsi="Arial" w:cs="Arial"/>
        <w:b/>
        <w:sz w:val="48"/>
      </w:rPr>
      <w:t>RO</w:t>
    </w:r>
    <w:r w:rsidRPr="00B8468D">
      <w:rPr>
        <w:rFonts w:ascii="Arial" w:hAnsi="Arial" w:cs="Arial"/>
        <w:b/>
        <w:sz w:val="48"/>
      </w:rPr>
      <w:tab/>
    </w:r>
    <w:r>
      <w:fldChar w:fldCharType="begin"/>
    </w:r>
    <w:r>
      <w:instrText xml:space="preserve"> PAGE  \* MERGEFORMAT </w:instrText>
    </w:r>
    <w:r>
      <w:fldChar w:fldCharType="separate"/>
    </w:r>
    <w:r w:rsidR="006041B2">
      <w:rPr>
        <w:noProof/>
      </w:rPr>
      <w:t>19</w:t>
    </w:r>
    <w:r>
      <w:fldChar w:fldCharType="end"/>
    </w:r>
    <w:r>
      <w:tab/>
    </w:r>
    <w:r w:rsidRPr="00B8468D">
      <w:tab/>
    </w:r>
    <w:r w:rsidRPr="00B8468D">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F99BF" w14:textId="77777777" w:rsidR="00B8468D" w:rsidRPr="00B8468D" w:rsidRDefault="00B8468D" w:rsidP="00B846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9E6D0C" w:rsidRDefault="009E6D0C" w:rsidP="0004170D">
      <w:pPr>
        <w:spacing w:before="0" w:after="0"/>
      </w:pPr>
      <w:r>
        <w:separator/>
      </w:r>
    </w:p>
  </w:footnote>
  <w:footnote w:type="continuationSeparator" w:id="0">
    <w:p w14:paraId="2DCC1F88" w14:textId="77777777" w:rsidR="009E6D0C" w:rsidRDefault="009E6D0C" w:rsidP="0004170D">
      <w:pPr>
        <w:spacing w:before="0" w:after="0"/>
      </w:pPr>
      <w:r>
        <w:continuationSeparator/>
      </w:r>
    </w:p>
  </w:footnote>
  <w:footnote w:id="1">
    <w:p w14:paraId="5E809637" w14:textId="77777777" w:rsidR="009E6D0C" w:rsidRPr="002E4D2B" w:rsidRDefault="009E6D0C" w:rsidP="00AD21AA">
      <w:pPr>
        <w:pStyle w:val="FootnoteText"/>
      </w:pPr>
      <w:r>
        <w:rPr>
          <w:rStyle w:val="FootnoteReference"/>
        </w:rPr>
        <w:footnoteRef/>
      </w:r>
      <w:r>
        <w:tab/>
        <w:t>JO L </w:t>
      </w:r>
      <w:r w:rsidRPr="00E0184E">
        <w:t>176</w:t>
      </w:r>
      <w:r>
        <w:t xml:space="preserve">, </w:t>
      </w:r>
      <w:r w:rsidRPr="00E0184E">
        <w:t>27</w:t>
      </w:r>
      <w:r>
        <w:t>.</w:t>
      </w:r>
      <w:r w:rsidRPr="00E0184E">
        <w:t>6</w:t>
      </w:r>
      <w:r>
        <w:t>.</w:t>
      </w:r>
      <w:r w:rsidRPr="00E0184E">
        <w:t>2013</w:t>
      </w:r>
      <w:r>
        <w:t>, p. </w:t>
      </w:r>
      <w:r w:rsidRPr="00E0184E">
        <w:t>1</w:t>
      </w:r>
      <w:r>
        <w:t>.</w:t>
      </w:r>
    </w:p>
  </w:footnote>
  <w:footnote w:id="2">
    <w:p w14:paraId="433B5035" w14:textId="77777777" w:rsidR="009E6D0C" w:rsidRPr="00BD2EEC" w:rsidRDefault="009E6D0C" w:rsidP="00AD21AA">
      <w:pPr>
        <w:pStyle w:val="FootnoteText"/>
      </w:pPr>
      <w:r>
        <w:rPr>
          <w:rStyle w:val="FootnoteReference"/>
        </w:rPr>
        <w:footnoteRef/>
      </w:r>
      <w:r>
        <w:tab/>
        <w:t xml:space="preserve">Directiva </w:t>
      </w:r>
      <w:r w:rsidRPr="00E0184E">
        <w:t>2013</w:t>
      </w:r>
      <w:r>
        <w:t>/</w:t>
      </w:r>
      <w:r w:rsidRPr="00E0184E">
        <w:t>36</w:t>
      </w:r>
      <w:r>
        <w:t xml:space="preserve">/UE a Parlamentului European și a Consiliului din </w:t>
      </w:r>
      <w:r w:rsidRPr="00E0184E">
        <w:t>26</w:t>
      </w:r>
      <w:r>
        <w:t xml:space="preserve"> iunie </w:t>
      </w:r>
      <w:r w:rsidRPr="00E0184E">
        <w:t>2013</w:t>
      </w:r>
      <w:r>
        <w:t xml:space="preserve"> cu privire la accesul la activitatea instituțiilor de credit și supravegherea prudențială a instituțiilor de credit și a firmelor de investiții, de modificare a Directivei </w:t>
      </w:r>
      <w:r w:rsidRPr="00E0184E">
        <w:t>2002</w:t>
      </w:r>
      <w:r>
        <w:t>/</w:t>
      </w:r>
      <w:r w:rsidRPr="00E0184E">
        <w:t>87</w:t>
      </w:r>
      <w:r>
        <w:t xml:space="preserve">/CE și de abrogare a Directivelor </w:t>
      </w:r>
      <w:r w:rsidRPr="00E0184E">
        <w:t>2006</w:t>
      </w:r>
      <w:r>
        <w:t>/</w:t>
      </w:r>
      <w:r w:rsidRPr="00E0184E">
        <w:t>48</w:t>
      </w:r>
      <w:r>
        <w:t xml:space="preserve">/CE și </w:t>
      </w:r>
      <w:r w:rsidRPr="00E0184E">
        <w:t>2006</w:t>
      </w:r>
      <w:r>
        <w:t>/</w:t>
      </w:r>
      <w:r w:rsidRPr="00E0184E">
        <w:t>49</w:t>
      </w:r>
      <w:r>
        <w:t xml:space="preserve">/CE (JO L </w:t>
      </w:r>
      <w:r w:rsidRPr="00E0184E">
        <w:t>176</w:t>
      </w:r>
      <w:r>
        <w:t xml:space="preserve">, </w:t>
      </w:r>
      <w:r w:rsidRPr="00E0184E">
        <w:t>27</w:t>
      </w:r>
      <w:r>
        <w:t>.</w:t>
      </w:r>
      <w:r w:rsidRPr="00E0184E">
        <w:t>6</w:t>
      </w:r>
      <w:r>
        <w:t>.</w:t>
      </w:r>
      <w:r w:rsidRPr="00E0184E">
        <w:t>2013</w:t>
      </w:r>
      <w:r>
        <w:t xml:space="preserve">, p. </w:t>
      </w:r>
      <w:r w:rsidRPr="00E0184E">
        <w:t>338</w:t>
      </w:r>
      <w:r>
        <w:t>).</w:t>
      </w:r>
    </w:p>
  </w:footnote>
  <w:footnote w:id="3">
    <w:p w14:paraId="5580D4CD" w14:textId="77777777" w:rsidR="009E6D0C" w:rsidRPr="00A45B5C" w:rsidRDefault="009E6D0C" w:rsidP="00AD21AA">
      <w:pPr>
        <w:pStyle w:val="FootnoteText"/>
      </w:pPr>
      <w:r>
        <w:rPr>
          <w:rStyle w:val="FootnoteReference"/>
        </w:rPr>
        <w:footnoteRef/>
      </w:r>
      <w:r>
        <w:tab/>
        <w:t xml:space="preserve">Regulamentul de punere în aplicare (UE) nr. </w:t>
      </w:r>
      <w:r w:rsidRPr="00E0184E">
        <w:t>680</w:t>
      </w:r>
      <w:r>
        <w:t>/</w:t>
      </w:r>
      <w:r w:rsidRPr="00E0184E">
        <w:t>2014</w:t>
      </w:r>
      <w:r>
        <w:t xml:space="preserve"> al Comisiei de stabilire a unor standarde tehnice de punere în aplicare cu privire la raportarea în scopuri de supraveghere a instituțiilor în conformitate cu Regulamentul (UE) nr. </w:t>
      </w:r>
      <w:r w:rsidRPr="00E0184E">
        <w:t>575</w:t>
      </w:r>
      <w:r>
        <w:t>/</w:t>
      </w:r>
      <w:r w:rsidRPr="00E0184E">
        <w:t>2013</w:t>
      </w:r>
      <w:r>
        <w:t xml:space="preserve"> (JO L </w:t>
      </w:r>
      <w:r w:rsidRPr="00E0184E">
        <w:t>191</w:t>
      </w:r>
      <w:r>
        <w:t xml:space="preserve">, </w:t>
      </w:r>
      <w:r w:rsidRPr="00E0184E">
        <w:t>28</w:t>
      </w:r>
      <w:r>
        <w:t>.</w:t>
      </w:r>
      <w:r w:rsidRPr="00E0184E">
        <w:t>6</w:t>
      </w:r>
      <w:r>
        <w:t>.</w:t>
      </w:r>
      <w:r w:rsidRPr="00E0184E">
        <w:t>2014</w:t>
      </w:r>
      <w:r>
        <w:t>, p. </w:t>
      </w:r>
      <w:r w:rsidRPr="00E0184E">
        <w:t>1</w:t>
      </w:r>
      <w:r>
        <w:t>).</w:t>
      </w:r>
    </w:p>
  </w:footnote>
  <w:footnote w:id="4">
    <w:p w14:paraId="4A709B42" w14:textId="77777777" w:rsidR="009E6D0C" w:rsidRPr="002E4D2B" w:rsidRDefault="009E6D0C" w:rsidP="00AD21AA">
      <w:pPr>
        <w:pStyle w:val="FootnoteText"/>
      </w:pPr>
      <w:r>
        <w:rPr>
          <w:rStyle w:val="FootnoteReference"/>
        </w:rPr>
        <w:footnoteRef/>
      </w:r>
      <w:r>
        <w:tab/>
        <w:t xml:space="preserve">Regulamentul (UE) </w:t>
      </w:r>
      <w:r w:rsidRPr="00E0184E">
        <w:t>2019</w:t>
      </w:r>
      <w:r>
        <w:t>/</w:t>
      </w:r>
      <w:r w:rsidRPr="00E0184E">
        <w:t>876</w:t>
      </w:r>
      <w:r>
        <w:t xml:space="preserve"> al Parlamentului European și al Consiliului din </w:t>
      </w:r>
      <w:r w:rsidRPr="00E0184E">
        <w:t>20</w:t>
      </w:r>
      <w:r>
        <w:t xml:space="preserve"> mai </w:t>
      </w:r>
      <w:r w:rsidRPr="00E0184E">
        <w:t>2019</w:t>
      </w:r>
      <w:r>
        <w:t xml:space="preserve"> de modificare a Regulamentului (UE) nr. </w:t>
      </w:r>
      <w:r w:rsidRPr="00E0184E">
        <w:t>575</w:t>
      </w:r>
      <w:r>
        <w:t>/</w:t>
      </w:r>
      <w:r w:rsidRPr="00E0184E">
        <w:t>2013</w:t>
      </w:r>
      <w:r>
        <w:t xml:space="preserve"> în ceea ce privește indicatorul efectului de levier, indicatorul de finanțare stabilă netă, cerințele privind fondurile proprii și pasivele eligibile, riscul de credit al contrapărții, riscul de piață, expunerile față de contrapărți centrale, expunerile față de organisme de plasament colectiv, expunerile mari și cerințele referitoare la raportare și la publicarea informațiilor, și a Regulamentului (UE) nr. </w:t>
      </w:r>
      <w:r w:rsidRPr="00E0184E">
        <w:t>648</w:t>
      </w:r>
      <w:r>
        <w:t>/</w:t>
      </w:r>
      <w:r w:rsidRPr="00E0184E">
        <w:t>2012</w:t>
      </w:r>
      <w:r>
        <w:t xml:space="preserve"> (JO L </w:t>
      </w:r>
      <w:r w:rsidRPr="00E0184E">
        <w:t>150</w:t>
      </w:r>
      <w:r>
        <w:t xml:space="preserve">, </w:t>
      </w:r>
      <w:r w:rsidRPr="00E0184E">
        <w:t>7</w:t>
      </w:r>
      <w:r>
        <w:t>.</w:t>
      </w:r>
      <w:r w:rsidRPr="00E0184E">
        <w:t>6</w:t>
      </w:r>
      <w:r>
        <w:t>.</w:t>
      </w:r>
      <w:r w:rsidRPr="00E0184E">
        <w:t>2019</w:t>
      </w:r>
      <w:r>
        <w:t xml:space="preserve">, p. </w:t>
      </w:r>
      <w:r w:rsidRPr="00E0184E">
        <w:t>1</w:t>
      </w:r>
      <w:r>
        <w:t>).</w:t>
      </w:r>
    </w:p>
  </w:footnote>
  <w:footnote w:id="5">
    <w:p w14:paraId="5D010433" w14:textId="77777777" w:rsidR="009E6D0C" w:rsidRPr="002E4D2B" w:rsidRDefault="009E6D0C" w:rsidP="00AD21AA">
      <w:pPr>
        <w:pStyle w:val="FootnoteText"/>
      </w:pPr>
      <w:r>
        <w:rPr>
          <w:rStyle w:val="FootnoteReference"/>
        </w:rPr>
        <w:footnoteRef/>
      </w:r>
      <w:r>
        <w:tab/>
        <w:t xml:space="preserve">Regulamentul (UE) </w:t>
      </w:r>
      <w:r w:rsidRPr="00E0184E">
        <w:t>2019</w:t>
      </w:r>
      <w:r>
        <w:t>/</w:t>
      </w:r>
      <w:r w:rsidRPr="00E0184E">
        <w:t>630</w:t>
      </w:r>
      <w:r>
        <w:t xml:space="preserve"> al Parlamentului European și al Consiliului din </w:t>
      </w:r>
      <w:r w:rsidRPr="00E0184E">
        <w:t>17</w:t>
      </w:r>
      <w:r>
        <w:t xml:space="preserve"> aprilie </w:t>
      </w:r>
      <w:r w:rsidRPr="00E0184E">
        <w:t>2019</w:t>
      </w:r>
      <w:r>
        <w:t xml:space="preserve"> de modificare a Regulamentului (UE) nr. </w:t>
      </w:r>
      <w:r w:rsidRPr="00E0184E">
        <w:t>575</w:t>
      </w:r>
      <w:r>
        <w:t>/</w:t>
      </w:r>
      <w:r w:rsidRPr="00E0184E">
        <w:t>2013</w:t>
      </w:r>
      <w:r>
        <w:t xml:space="preserve"> în ceea ce privește acoperirea minimă a pierderilor pentru expunerile neperformante (JO L </w:t>
      </w:r>
      <w:r w:rsidRPr="00E0184E">
        <w:t>111</w:t>
      </w:r>
      <w:r>
        <w:t xml:space="preserve">, </w:t>
      </w:r>
      <w:r w:rsidRPr="00E0184E">
        <w:t>25</w:t>
      </w:r>
      <w:r>
        <w:t>.</w:t>
      </w:r>
      <w:r w:rsidRPr="00E0184E">
        <w:t>4</w:t>
      </w:r>
      <w:r>
        <w:t>.</w:t>
      </w:r>
      <w:r w:rsidRPr="00E0184E">
        <w:t>2019</w:t>
      </w:r>
      <w:r>
        <w:t xml:space="preserve">, p. </w:t>
      </w:r>
      <w:r w:rsidRPr="00E0184E">
        <w:t>4</w:t>
      </w:r>
      <w:r>
        <w:t xml:space="preserve">). </w:t>
      </w:r>
    </w:p>
  </w:footnote>
  <w:footnote w:id="6">
    <w:p w14:paraId="0B0AEE79" w14:textId="3EA7066E" w:rsidR="009E6D0C" w:rsidRPr="008B4A3F" w:rsidRDefault="009E6D0C" w:rsidP="00AD21AA">
      <w:pPr>
        <w:pStyle w:val="FootnoteText"/>
      </w:pPr>
      <w:r>
        <w:rPr>
          <w:rStyle w:val="FootnoteReference"/>
        </w:rPr>
        <w:footnoteRef/>
      </w:r>
      <w:r>
        <w:tab/>
        <w:t xml:space="preserve">Regulamentul (UE) </w:t>
      </w:r>
      <w:r w:rsidRPr="00E0184E">
        <w:t>2019</w:t>
      </w:r>
      <w:r>
        <w:t>/</w:t>
      </w:r>
      <w:r w:rsidRPr="00E0184E">
        <w:t>2033</w:t>
      </w:r>
      <w:r>
        <w:t xml:space="preserve"> al Parlamentului European și al Consiliului din </w:t>
      </w:r>
      <w:r w:rsidRPr="00E0184E">
        <w:t>27</w:t>
      </w:r>
      <w:r>
        <w:t xml:space="preserve"> noiembrie </w:t>
      </w:r>
      <w:r w:rsidRPr="00E0184E">
        <w:t>2019</w:t>
      </w:r>
      <w:r>
        <w:t xml:space="preserve"> privind cerințele prudențiale ale firmelor de investiții și de modificare a Regulamentelor (UE) nr. </w:t>
      </w:r>
      <w:r w:rsidRPr="00E0184E">
        <w:t>1093</w:t>
      </w:r>
      <w:r>
        <w:t>/</w:t>
      </w:r>
      <w:r w:rsidRPr="00E0184E">
        <w:t>2010</w:t>
      </w:r>
      <w:r>
        <w:t xml:space="preserve">, (UE) nr. </w:t>
      </w:r>
      <w:r w:rsidRPr="00E0184E">
        <w:t>575</w:t>
      </w:r>
      <w:r>
        <w:t>/</w:t>
      </w:r>
      <w:r w:rsidRPr="00E0184E">
        <w:t>2013</w:t>
      </w:r>
      <w:r>
        <w:t xml:space="preserve">, (UE) nr. </w:t>
      </w:r>
      <w:r w:rsidRPr="00E0184E">
        <w:t>600</w:t>
      </w:r>
      <w:r>
        <w:t>/</w:t>
      </w:r>
      <w:r w:rsidRPr="00E0184E">
        <w:t>2014</w:t>
      </w:r>
      <w:r>
        <w:t xml:space="preserve"> și (UE) nr. </w:t>
      </w:r>
      <w:r w:rsidRPr="00E0184E">
        <w:t>806</w:t>
      </w:r>
      <w:r>
        <w:t>/</w:t>
      </w:r>
      <w:r w:rsidRPr="00E0184E">
        <w:t>2014</w:t>
      </w:r>
      <w:r>
        <w:t xml:space="preserve"> (JO L </w:t>
      </w:r>
      <w:r w:rsidRPr="00E0184E">
        <w:t>314</w:t>
      </w:r>
      <w:r>
        <w:t xml:space="preserve">, </w:t>
      </w:r>
      <w:r w:rsidRPr="00E0184E">
        <w:t>5</w:t>
      </w:r>
      <w:r>
        <w:t>.</w:t>
      </w:r>
      <w:r w:rsidRPr="00E0184E">
        <w:t>12</w:t>
      </w:r>
      <w:r>
        <w:t>.</w:t>
      </w:r>
      <w:r w:rsidRPr="00E0184E">
        <w:t>2019</w:t>
      </w:r>
      <w:r>
        <w:t xml:space="preserve">, p. </w:t>
      </w:r>
      <w:r w:rsidRPr="00E0184E">
        <w:t>1</w:t>
      </w:r>
      <w:r>
        <w:t>).</w:t>
      </w:r>
    </w:p>
  </w:footnote>
  <w:footnote w:id="7">
    <w:p w14:paraId="3D6B588C" w14:textId="1C69D305" w:rsidR="009E6D0C" w:rsidRPr="0069688A" w:rsidRDefault="009E6D0C" w:rsidP="00AD21AA">
      <w:pPr>
        <w:pStyle w:val="FootnoteText"/>
      </w:pPr>
      <w:r>
        <w:rPr>
          <w:rStyle w:val="FootnoteReference"/>
        </w:rPr>
        <w:footnoteRef/>
      </w:r>
      <w:r>
        <w:tab/>
        <w:t xml:space="preserve">Regulamentul (UE) </w:t>
      </w:r>
      <w:r w:rsidRPr="00E0184E">
        <w:t>2020</w:t>
      </w:r>
      <w:r>
        <w:t>/</w:t>
      </w:r>
      <w:r w:rsidRPr="00E0184E">
        <w:t>873</w:t>
      </w:r>
      <w:r>
        <w:t xml:space="preserve"> al Parlamentului European și a Consiliului din </w:t>
      </w:r>
      <w:r w:rsidRPr="00E0184E">
        <w:t>24</w:t>
      </w:r>
      <w:r>
        <w:t xml:space="preserve"> iunie </w:t>
      </w:r>
      <w:r w:rsidRPr="00E0184E">
        <w:t>2020</w:t>
      </w:r>
      <w:r>
        <w:t xml:space="preserve"> de modificare a Regulamentelor (UE) nr. </w:t>
      </w:r>
      <w:r w:rsidRPr="00E0184E">
        <w:t>575</w:t>
      </w:r>
      <w:r>
        <w:t>/</w:t>
      </w:r>
      <w:r w:rsidRPr="00E0184E">
        <w:t>2013</w:t>
      </w:r>
      <w:r>
        <w:t xml:space="preserve"> și (UE) </w:t>
      </w:r>
      <w:r w:rsidRPr="00E0184E">
        <w:t>2019</w:t>
      </w:r>
      <w:r>
        <w:t>/</w:t>
      </w:r>
      <w:r w:rsidRPr="00E0184E">
        <w:t>876</w:t>
      </w:r>
      <w:r>
        <w:t xml:space="preserve"> în ceea ce privește anumite ajustări ca răspuns la pandemia de COVID-</w:t>
      </w:r>
      <w:r w:rsidRPr="00E0184E">
        <w:t>19</w:t>
      </w:r>
      <w:r>
        <w:t xml:space="preserve"> (JO L </w:t>
      </w:r>
      <w:r w:rsidRPr="00E0184E">
        <w:t>204</w:t>
      </w:r>
      <w:r>
        <w:t xml:space="preserve">, </w:t>
      </w:r>
      <w:r w:rsidRPr="00E0184E">
        <w:t>26</w:t>
      </w:r>
      <w:r>
        <w:t>.</w:t>
      </w:r>
      <w:r w:rsidRPr="00E0184E">
        <w:t>6</w:t>
      </w:r>
      <w:r>
        <w:t>.</w:t>
      </w:r>
      <w:r w:rsidRPr="00E0184E">
        <w:t>2020</w:t>
      </w:r>
      <w:r>
        <w:t xml:space="preserve">, p. </w:t>
      </w:r>
      <w:r w:rsidRPr="00E0184E">
        <w:t>4</w:t>
      </w:r>
      <w:r>
        <w:t>).</w:t>
      </w:r>
    </w:p>
  </w:footnote>
  <w:footnote w:id="8">
    <w:p w14:paraId="5A30BC5D" w14:textId="77777777" w:rsidR="009E6D0C" w:rsidRPr="002E4D2B" w:rsidRDefault="009E6D0C" w:rsidP="00AD21AA">
      <w:pPr>
        <w:pStyle w:val="FootnoteText"/>
      </w:pPr>
      <w:r>
        <w:rPr>
          <w:rStyle w:val="FootnoteReference"/>
        </w:rPr>
        <w:footnoteRef/>
      </w:r>
      <w:r>
        <w:tab/>
        <w:t xml:space="preserve">Regulamentul (UE) nr. </w:t>
      </w:r>
      <w:r w:rsidRPr="00E0184E">
        <w:t>1093</w:t>
      </w:r>
      <w:r>
        <w:t>/</w:t>
      </w:r>
      <w:r w:rsidRPr="00E0184E">
        <w:t>2010</w:t>
      </w:r>
      <w:r>
        <w:t xml:space="preserve"> al Parlamentului European și al Consiliului din </w:t>
      </w:r>
      <w:r w:rsidRPr="00E0184E">
        <w:t>24</w:t>
      </w:r>
      <w:r>
        <w:t xml:space="preserve"> noiembrie </w:t>
      </w:r>
      <w:r w:rsidRPr="00E0184E">
        <w:t>2010</w:t>
      </w:r>
      <w:r>
        <w:t xml:space="preserve"> de instituire a Autorității europene de supraveghere (Autoritatea bancară europeană), de modificare a Deciziei nr. </w:t>
      </w:r>
      <w:r w:rsidRPr="00E0184E">
        <w:t>716</w:t>
      </w:r>
      <w:r>
        <w:t>/</w:t>
      </w:r>
      <w:r w:rsidRPr="00E0184E">
        <w:t>2009</w:t>
      </w:r>
      <w:r>
        <w:t xml:space="preserve">/CE și de abrogare a Deciziei </w:t>
      </w:r>
      <w:r w:rsidRPr="00E0184E">
        <w:t>2009</w:t>
      </w:r>
      <w:r>
        <w:t>/</w:t>
      </w:r>
      <w:r w:rsidRPr="00E0184E">
        <w:t>78</w:t>
      </w:r>
      <w:r>
        <w:t>/CE a Comisiei (JO L </w:t>
      </w:r>
      <w:r w:rsidRPr="00E0184E">
        <w:t>331</w:t>
      </w:r>
      <w:r>
        <w:t xml:space="preserve">, </w:t>
      </w:r>
      <w:r w:rsidRPr="00E0184E">
        <w:t>15</w:t>
      </w:r>
      <w:r>
        <w:t>.</w:t>
      </w:r>
      <w:r w:rsidRPr="00E0184E">
        <w:t>12</w:t>
      </w:r>
      <w:r>
        <w:t>.</w:t>
      </w:r>
      <w:r w:rsidRPr="00E0184E">
        <w:t>2010</w:t>
      </w:r>
      <w:r>
        <w:t>, p. </w:t>
      </w:r>
      <w:r w:rsidRPr="00E0184E">
        <w:t>12</w:t>
      </w:r>
      <w:r>
        <w:t>).</w:t>
      </w:r>
    </w:p>
  </w:footnote>
  <w:footnote w:id="9">
    <w:p w14:paraId="2F6DC588" w14:textId="77777777" w:rsidR="009E6D0C" w:rsidRPr="002E4D2B" w:rsidRDefault="009E6D0C" w:rsidP="0014552F">
      <w:pPr>
        <w:pStyle w:val="FootnoteText"/>
      </w:pPr>
      <w:r>
        <w:rPr>
          <w:rStyle w:val="FootnoteReference"/>
        </w:rPr>
        <w:footnoteRef/>
      </w:r>
      <w:r>
        <w:tab/>
        <w:t xml:space="preserve">Regulamentul delegat (UE) </w:t>
      </w:r>
      <w:r w:rsidRPr="00E0184E">
        <w:t>2016</w:t>
      </w:r>
      <w:r>
        <w:t>/</w:t>
      </w:r>
      <w:r w:rsidRPr="00E0184E">
        <w:t>101</w:t>
      </w:r>
      <w:r>
        <w:t xml:space="preserve"> al Comisiei din </w:t>
      </w:r>
      <w:r w:rsidRPr="00E0184E">
        <w:t>26</w:t>
      </w:r>
      <w:r>
        <w:t> octombrie </w:t>
      </w:r>
      <w:r w:rsidRPr="00E0184E">
        <w:t>2015</w:t>
      </w:r>
      <w:r>
        <w:t xml:space="preserve"> de completare a Regulamentului (UE) nr. </w:t>
      </w:r>
      <w:r w:rsidRPr="00E0184E">
        <w:t>575</w:t>
      </w:r>
      <w:r>
        <w:t>/</w:t>
      </w:r>
      <w:r w:rsidRPr="00E0184E">
        <w:t>2013</w:t>
      </w:r>
      <w:r>
        <w:t xml:space="preserve"> al Parlamentului European și al Consiliului în ceea ce privește standardele tehnice de reglementare pentru evaluarea prudentă prevăzute la articolul </w:t>
      </w:r>
      <w:r w:rsidRPr="00E0184E">
        <w:t>105</w:t>
      </w:r>
      <w:r>
        <w:t xml:space="preserve"> alineatul (</w:t>
      </w:r>
      <w:r w:rsidRPr="00E0184E">
        <w:t>14</w:t>
      </w:r>
      <w:r>
        <w:t>) (JO L </w:t>
      </w:r>
      <w:r w:rsidRPr="00E0184E">
        <w:t>21</w:t>
      </w:r>
      <w:r>
        <w:t xml:space="preserve">, </w:t>
      </w:r>
      <w:r w:rsidRPr="00E0184E">
        <w:t>28</w:t>
      </w:r>
      <w:r>
        <w:t>.</w:t>
      </w:r>
      <w:r w:rsidRPr="00E0184E">
        <w:t>1</w:t>
      </w:r>
      <w:r>
        <w:t>.</w:t>
      </w:r>
      <w:r w:rsidRPr="00E0184E">
        <w:t>2016</w:t>
      </w:r>
      <w:r>
        <w:t xml:space="preserve">, p. </w:t>
      </w:r>
      <w:r w:rsidRPr="00E0184E">
        <w:t>54</w:t>
      </w:r>
      <w:r>
        <w:t>).</w:t>
      </w:r>
    </w:p>
  </w:footnote>
  <w:footnote w:id="10">
    <w:p w14:paraId="0D4E857F" w14:textId="659ADEF0" w:rsidR="009E6D0C" w:rsidRPr="00B60583" w:rsidRDefault="009E6D0C" w:rsidP="00FE0C02">
      <w:pPr>
        <w:pStyle w:val="FootnoteText"/>
      </w:pPr>
      <w:r>
        <w:rPr>
          <w:rStyle w:val="FootnoteReference"/>
        </w:rPr>
        <w:footnoteRef/>
      </w:r>
      <w:r>
        <w:tab/>
        <w:t xml:space="preserve">Regulamentul (CE) nr. </w:t>
      </w:r>
      <w:r w:rsidRPr="00E0184E">
        <w:t>1606</w:t>
      </w:r>
      <w:r>
        <w:t>/</w:t>
      </w:r>
      <w:r w:rsidRPr="00E0184E">
        <w:t>2002</w:t>
      </w:r>
      <w:r>
        <w:t xml:space="preserve"> al Parlamentului European și al Consiliului din </w:t>
      </w:r>
      <w:r w:rsidRPr="00E0184E">
        <w:t>19</w:t>
      </w:r>
      <w:r>
        <w:t xml:space="preserve"> iulie </w:t>
      </w:r>
      <w:r w:rsidRPr="00E0184E">
        <w:t>2002</w:t>
      </w:r>
      <w:r>
        <w:t xml:space="preserve"> privind aplicarea standardelor internaționale de contabilitate (JO L </w:t>
      </w:r>
      <w:r w:rsidRPr="00E0184E">
        <w:t>243</w:t>
      </w:r>
      <w:r>
        <w:t xml:space="preserve">, </w:t>
      </w:r>
      <w:r w:rsidRPr="00E0184E">
        <w:t>11</w:t>
      </w:r>
      <w:r>
        <w:t>.</w:t>
      </w:r>
      <w:r w:rsidRPr="00E0184E">
        <w:t>9</w:t>
      </w:r>
      <w:r>
        <w:t>.</w:t>
      </w:r>
      <w:r w:rsidRPr="00E0184E">
        <w:t>2002</w:t>
      </w:r>
      <w:r>
        <w:t xml:space="preserve">, p. </w:t>
      </w:r>
      <w:r w:rsidRPr="00E0184E">
        <w:t>1</w:t>
      </w:r>
      <w:r>
        <w:t>).</w:t>
      </w:r>
    </w:p>
  </w:footnote>
  <w:footnote w:id="11">
    <w:p w14:paraId="186408CB" w14:textId="77777777" w:rsidR="009E6D0C" w:rsidRPr="00383524" w:rsidRDefault="009E6D0C" w:rsidP="00FE0C02">
      <w:pPr>
        <w:pStyle w:val="FootnoteText"/>
      </w:pPr>
      <w:r>
        <w:rPr>
          <w:rStyle w:val="FootnoteReference"/>
        </w:rPr>
        <w:footnoteRef/>
      </w:r>
      <w:r>
        <w:tab/>
        <w:t xml:space="preserve">Directiva </w:t>
      </w:r>
      <w:r w:rsidRPr="00E0184E">
        <w:t>2009</w:t>
      </w:r>
      <w:r>
        <w:t>/</w:t>
      </w:r>
      <w:r w:rsidRPr="00E0184E">
        <w:t>65</w:t>
      </w:r>
      <w:r>
        <w:t xml:space="preserve">/CE a Parlamentului European și a Consiliului din </w:t>
      </w:r>
      <w:r w:rsidRPr="00E0184E">
        <w:t>13</w:t>
      </w:r>
      <w:r>
        <w:t xml:space="preserve"> iulie </w:t>
      </w:r>
      <w:r w:rsidRPr="00E0184E">
        <w:t>2009</w:t>
      </w:r>
      <w:r>
        <w:t xml:space="preserve"> de coordonare a actelor cu putere de lege și a actelor administrative privind organismele de plasament colectiv în valori mobiliare (OPCVM) (JO L </w:t>
      </w:r>
      <w:r w:rsidRPr="00E0184E">
        <w:t>302</w:t>
      </w:r>
      <w:r>
        <w:t xml:space="preserve">, </w:t>
      </w:r>
      <w:r w:rsidRPr="00E0184E">
        <w:t>17</w:t>
      </w:r>
      <w:r>
        <w:t>.</w:t>
      </w:r>
      <w:r w:rsidRPr="00E0184E">
        <w:t>11</w:t>
      </w:r>
      <w:r>
        <w:t>.</w:t>
      </w:r>
      <w:r w:rsidRPr="00E0184E">
        <w:t>2009</w:t>
      </w:r>
      <w:r>
        <w:t xml:space="preserve">, p. </w:t>
      </w:r>
      <w:r w:rsidRPr="00E0184E">
        <w:t>32</w:t>
      </w:r>
      <w:r>
        <w:t>).</w:t>
      </w:r>
    </w:p>
  </w:footnote>
  <w:footnote w:id="12">
    <w:p w14:paraId="50B21B4D" w14:textId="77777777" w:rsidR="009E6D0C" w:rsidRPr="00EF0DDB" w:rsidRDefault="009E6D0C" w:rsidP="00FE0C02">
      <w:pPr>
        <w:pStyle w:val="FootnoteText"/>
      </w:pPr>
      <w:r>
        <w:rPr>
          <w:rStyle w:val="FootnoteReference"/>
        </w:rPr>
        <w:footnoteRef/>
      </w:r>
      <w:r>
        <w:tab/>
        <w:t>Regulamentul (UE) nr. </w:t>
      </w:r>
      <w:r w:rsidRPr="00E0184E">
        <w:t>806</w:t>
      </w:r>
      <w:r>
        <w:t>/</w:t>
      </w:r>
      <w:r w:rsidRPr="00E0184E">
        <w:t>2014</w:t>
      </w:r>
      <w:r>
        <w:t xml:space="preserve"> al Parlamentului European și al Consiliului din </w:t>
      </w:r>
      <w:r w:rsidRPr="00E0184E">
        <w:t>15</w:t>
      </w:r>
      <w:r>
        <w:t xml:space="preserve"> iulie </w:t>
      </w:r>
      <w:r w:rsidRPr="00E0184E">
        <w:t>2014</w:t>
      </w:r>
      <w:r>
        <w:t xml:space="preserve"> de stabilire a unor norme uniforme și a unei proceduri uniforme de rezoluție a instituțiilor de credit și a anumitor firme de investiții în cadrul unui mecanism unic de rezoluție și al unui fond unic de rezoluție și de modificare a Regulamentului (UE) nr. </w:t>
      </w:r>
      <w:r w:rsidRPr="00E0184E">
        <w:t>1093</w:t>
      </w:r>
      <w:r>
        <w:t>/</w:t>
      </w:r>
      <w:r w:rsidRPr="00E0184E">
        <w:t>2010</w:t>
      </w:r>
      <w:r>
        <w:t xml:space="preserve"> (JO L </w:t>
      </w:r>
      <w:r w:rsidRPr="00E0184E">
        <w:t>225</w:t>
      </w:r>
      <w:r>
        <w:t xml:space="preserve">, </w:t>
      </w:r>
      <w:r w:rsidRPr="00E0184E">
        <w:t>30</w:t>
      </w:r>
      <w:r>
        <w:t>.</w:t>
      </w:r>
      <w:r w:rsidRPr="00E0184E">
        <w:t>7</w:t>
      </w:r>
      <w:r>
        <w:t>.</w:t>
      </w:r>
      <w:r w:rsidRPr="00E0184E">
        <w:t>2014</w:t>
      </w:r>
      <w:r>
        <w:t>, p. </w:t>
      </w:r>
      <w:r w:rsidRPr="00E0184E">
        <w:t>1</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6:07:3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85C9872C-E49C-4B9E-8C7A-83F57F9C6728"/>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stabilire a standardelor tehnice de punere în aplicare pentru aplicarea Regulamentului (UE) nr. 575/2013 al Parlamentului European \u537?i al Consiliului în ceea ce prive\u537?te raportarea în scopuri de supraveghere a institu\u539?iilor \u537?i de abrogare a Regulamentului de punere în aplicare (UE) nr. 680/2014 _x000b_"/>
    <w:docVar w:name="LW_TYPE.DOC.CP" w:val="REGULAMENTUL DE PUNERE ÎN APLICARE (UE) \u8230?/\u8230? AL COMISIEI"/>
  </w:docVars>
  <w:rsids>
    <w:rsidRoot w:val="0004170D"/>
    <w:rsid w:val="00003960"/>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74DCC"/>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0035B"/>
    <w:rsid w:val="006041B2"/>
    <w:rsid w:val="00627D4B"/>
    <w:rsid w:val="006337FF"/>
    <w:rsid w:val="00635726"/>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3531"/>
    <w:rsid w:val="007E5F66"/>
    <w:rsid w:val="007F0EBD"/>
    <w:rsid w:val="007F1531"/>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9E0082"/>
    <w:rsid w:val="009E6D0C"/>
    <w:rsid w:val="00A07896"/>
    <w:rsid w:val="00A10245"/>
    <w:rsid w:val="00A10398"/>
    <w:rsid w:val="00A211D2"/>
    <w:rsid w:val="00A228D5"/>
    <w:rsid w:val="00A26E4D"/>
    <w:rsid w:val="00A3263C"/>
    <w:rsid w:val="00A5494A"/>
    <w:rsid w:val="00A62EBB"/>
    <w:rsid w:val="00A74743"/>
    <w:rsid w:val="00A74CAC"/>
    <w:rsid w:val="00A92406"/>
    <w:rsid w:val="00AD21AA"/>
    <w:rsid w:val="00AE51EF"/>
    <w:rsid w:val="00AE6C16"/>
    <w:rsid w:val="00B33923"/>
    <w:rsid w:val="00B36013"/>
    <w:rsid w:val="00B5497D"/>
    <w:rsid w:val="00B80AC9"/>
    <w:rsid w:val="00B8468D"/>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601E7"/>
    <w:rsid w:val="00C8383A"/>
    <w:rsid w:val="00C901BD"/>
    <w:rsid w:val="00CA348C"/>
    <w:rsid w:val="00CF106C"/>
    <w:rsid w:val="00D9176D"/>
    <w:rsid w:val="00DC2475"/>
    <w:rsid w:val="00E00226"/>
    <w:rsid w:val="00E0184E"/>
    <w:rsid w:val="00E03572"/>
    <w:rsid w:val="00E10715"/>
    <w:rsid w:val="00E14194"/>
    <w:rsid w:val="00E23D3B"/>
    <w:rsid w:val="00E76D3F"/>
    <w:rsid w:val="00E8608B"/>
    <w:rsid w:val="00EA3E25"/>
    <w:rsid w:val="00EA6449"/>
    <w:rsid w:val="00ED391B"/>
    <w:rsid w:val="00EF4651"/>
    <w:rsid w:val="00F335A5"/>
    <w:rsid w:val="00F37163"/>
    <w:rsid w:val="00F642FD"/>
    <w:rsid w:val="00F84190"/>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ro-RO"/>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ro-RO"/>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ro-RO"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90236-0803-4E44-A996-F2292242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20</Pages>
  <Words>7848</Words>
  <Characters>45446</Characters>
  <Application>Microsoft Office Word</Application>
  <DocSecurity>0</DocSecurity>
  <Lines>770</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2020-12-21T08:14:00Z</dcterms:created>
  <dcterms:modified xsi:type="dcterms:W3CDTF">2020-12-21T08:14:00Z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