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11301" w14:textId="4475C7FE" w:rsidR="0040604D" w:rsidRPr="003E55AB" w:rsidRDefault="0040604D" w:rsidP="003E55AB">
      <w:pPr>
        <w:spacing w:before="0"/>
        <w:jc w:val="center"/>
        <w:rPr>
          <w:rFonts w:ascii="Times New Roman" w:hAnsi="Times New Roman"/>
          <w:sz w:val="24"/>
        </w:rPr>
      </w:pPr>
      <w:r>
        <w:rPr>
          <w:rFonts w:ascii="Times New Roman" w:hAnsi="Times New Roman"/>
          <w:sz w:val="24"/>
        </w:rPr>
        <w:t>ΠΑΡΑΡΤΗΜΑ XXI</w:t>
      </w:r>
    </w:p>
    <w:p w14:paraId="55B2E7E1" w14:textId="065A927F" w:rsidR="0040604D" w:rsidRDefault="0040604D" w:rsidP="003E55AB">
      <w:pPr>
        <w:spacing w:before="0"/>
        <w:jc w:val="center"/>
        <w:rPr>
          <w:rFonts w:ascii="Times New Roman" w:hAnsi="Times New Roman"/>
          <w:b/>
          <w:sz w:val="24"/>
        </w:rPr>
      </w:pPr>
      <w:r>
        <w:rPr>
          <w:rFonts w:ascii="Times New Roman" w:hAnsi="Times New Roman"/>
          <w:b/>
          <w:sz w:val="24"/>
        </w:rPr>
        <w:t>ΟΔΗΓΙΕΣ ΓΙΑ ΤΗΝ ΥΠΟΒΟΛΗ ΑΝΑΦΟΡΩΝ ΣΧΕΤΙΚΑ ΜΕ ΤΗ ΣΥΓΚΕΝΤΡΩΣΗ ΙΚΑΝΟΤΗΤΑΣ ΑΝΤΙΣΤΑΘΜΙΣΗΣ</w:t>
      </w:r>
    </w:p>
    <w:p w14:paraId="6C60C302" w14:textId="77777777" w:rsidR="0081623B" w:rsidRPr="003E55AB" w:rsidRDefault="0081623B" w:rsidP="003E55AB">
      <w:pPr>
        <w:spacing w:before="0"/>
        <w:jc w:val="center"/>
        <w:rPr>
          <w:rFonts w:ascii="Times New Roman" w:hAnsi="Times New Roman"/>
          <w:b/>
          <w:sz w:val="24"/>
        </w:rPr>
      </w:pPr>
    </w:p>
    <w:p w14:paraId="2314BCB9" w14:textId="3D6E6875" w:rsidR="00B1719D"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1.</w:t>
      </w:r>
      <w:r>
        <w:tab/>
      </w:r>
      <w:r>
        <w:rPr>
          <w:rFonts w:ascii="Times New Roman" w:hAnsi="Times New Roman"/>
          <w:sz w:val="24"/>
        </w:rPr>
        <w:t>Προκειμένου για τη συλλογή πληροφοριών σχετικά με τη συγκέντρωση ικανότητας αντιστάθμισης των ιδρυμάτων που υποβάλλουν αναφορά, ως προς τα δέκα μεγαλύτερα κατεχόμενα στοιχεία ενεργητικού ή τις διευκολύνσεις ρευστότητας που χορηγήθηκαν στο ίδρυμα για τον σκοπό αυτό, σύμφωνα με το υπόδειγμα C 71.00, τα ιδρύματα εφαρμόζουν τις οδηγίες που περιέχονται στο παρόν παράρτημα.</w:t>
      </w:r>
    </w:p>
    <w:p w14:paraId="6D98D095" w14:textId="6A747233" w:rsidR="00672B1B"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2.</w:t>
      </w:r>
      <w:r>
        <w:tab/>
      </w:r>
      <w:r>
        <w:rPr>
          <w:rFonts w:ascii="Times New Roman" w:hAnsi="Times New Roman"/>
          <w:sz w:val="24"/>
        </w:rPr>
        <w:t xml:space="preserve">Σε περίπτωση που σε έναν εκδότη ή αντισυμβαλλόμενο έχουν αποδοθεί πλέον του ενός είδη προϊόντος, νομίσματα ή πλέον της μίας βαθμίδες πιστωτικής ποιότητας, αναφέρεται το συνολικό ποσό. Το είδος προϊόντος, το νόμισμα ή η βαθμίδα πιστωτικής ποιότητας που πρέπει να αναφερθούν είναι εκείνα που αντιστοιχούν στο μεγαλύτερο ποσοστό της συγκέντρωσης ικανότητας αντιστάθμισης. </w:t>
      </w:r>
    </w:p>
    <w:p w14:paraId="1A86D9FE" w14:textId="2D9CE2DF" w:rsidR="00FF4741"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3.</w:t>
      </w:r>
      <w:r>
        <w:tab/>
      </w:r>
      <w:r>
        <w:rPr>
          <w:rFonts w:ascii="Times New Roman" w:hAnsi="Times New Roman"/>
          <w:sz w:val="24"/>
        </w:rPr>
        <w:t>Η ικανότητα αντιστάθμισης που δηλώνεται στο υπόδειγμα C 71.00 είναι η ίδια με αυτή που δηλώνεται στο C 66.01, με τη διευκρίνιση ότι τα στοιχεία ενεργητικού που αναφέρονται ως ικανότητα αντιστάθμισης για τους σκοπούς του C 71.00 είναι μη βεβαρημένα, ώστε το ίδρυμα να τα έχει διαθέσιμα για μετατροπή σε μετρητά κατά την ημερομηνία αναφοράς για την υποβολή αναφορών.</w:t>
      </w:r>
    </w:p>
    <w:p w14:paraId="52C95F92" w14:textId="76B8503D" w:rsidR="00EF029F"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4.</w:t>
      </w:r>
      <w:r>
        <w:tab/>
      </w:r>
      <w:r>
        <w:rPr>
          <w:rFonts w:ascii="Times New Roman" w:hAnsi="Times New Roman"/>
          <w:sz w:val="24"/>
        </w:rPr>
        <w:t>Για τον υπολογισμό των συγκεντρώσεων για τον σκοπό του υποδείγματος υποβολής αναφοράς C 71.00 ανά σημαντικό νόμισμα, τα ιδρύματα χρησιμοποιούν τις συγκεντρώσεις σε όλα τα νομίσματα.</w:t>
      </w:r>
    </w:p>
    <w:p w14:paraId="5D592CDE" w14:textId="137C55E0" w:rsidR="0005633D"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5.</w:t>
      </w:r>
      <w:r>
        <w:tab/>
      </w:r>
      <w:r>
        <w:rPr>
          <w:rFonts w:ascii="Times New Roman" w:hAnsi="Times New Roman"/>
          <w:sz w:val="24"/>
        </w:rPr>
        <w:t>Όταν εκδότης ή αντισυμβαλλόμενος ανήκει σε διάφορες ομάδες συνδεδεμένων πελατών, αναφέρεται μόνο μία φορά, στην ομάδα με την υψηλότερη συγκέντρωση ικανότητας αντιστάθμισης.</w:t>
      </w:r>
    </w:p>
    <w:p w14:paraId="2C0B2260" w14:textId="17EB1C17" w:rsidR="00CB05F9"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6.</w:t>
      </w:r>
      <w:r>
        <w:tab/>
      </w:r>
      <w:r>
        <w:rPr>
          <w:rFonts w:ascii="Times New Roman" w:hAnsi="Times New Roman"/>
          <w:sz w:val="24"/>
        </w:rPr>
        <w:t>Με την εξαίρεση της γραμμής 120, στο παρόν υπόδειγμα δεν αναφέρονται οι συγκεντρώσεις ικανότητας αντιστάθμισης με κεντρική τράπεζα ως εκδότη ή αντισυμβαλλόμενο. Σε περίπτωση που ένα ίδρυμα έχει καταθέσει εκ των προτέρων στοιχεία ενεργητικού σε κεντρική τράπεζα για τακτικές πράξεις παροχής ρευστότητας, και στον βαθμό που τα εν λόγω στοιχεία ενεργητικού εμπίπτουν στην κατηγορία των δέκα μεγαλύτερων εκδοτών ή αντισυμβαλλομένων όσον αφορά μη βεβαρημένη ικανότητα αντιστάθμισης, το ίδρυμα αναφέρει τον αρχικό εκδότη και το αρχικό είδος προϊόντος.</w:t>
      </w:r>
    </w:p>
    <w:p w14:paraId="423289FA" w14:textId="77777777" w:rsidR="00E05204" w:rsidRPr="00E84A93" w:rsidRDefault="00E05204" w:rsidP="003E55AB">
      <w:pPr>
        <w:spacing w:before="0"/>
        <w:rPr>
          <w:rFonts w:ascii="Times New Roman" w:hAnsi="Times New Roman"/>
          <w:sz w:val="24"/>
        </w:rPr>
      </w:pPr>
    </w:p>
    <w:tbl>
      <w:tblPr>
        <w:tblStyle w:val="TableGrid"/>
        <w:tblW w:w="0" w:type="auto"/>
        <w:tblLook w:val="04A0" w:firstRow="1" w:lastRow="0" w:firstColumn="1" w:lastColumn="0" w:noHBand="0" w:noVBand="1"/>
      </w:tblPr>
      <w:tblGrid>
        <w:gridCol w:w="990"/>
        <w:gridCol w:w="7306"/>
      </w:tblGrid>
      <w:tr w:rsidR="00E05204" w:rsidRPr="0081623B" w14:paraId="4310E2B4" w14:textId="77777777" w:rsidTr="00845EB1">
        <w:tc>
          <w:tcPr>
            <w:tcW w:w="990" w:type="dxa"/>
            <w:shd w:val="clear" w:color="auto" w:fill="EEECE1" w:themeFill="background2"/>
          </w:tcPr>
          <w:p w14:paraId="27E41224" w14:textId="77777777" w:rsidR="00E05204" w:rsidRPr="0081623B" w:rsidRDefault="00E05204" w:rsidP="003E55AB">
            <w:pPr>
              <w:spacing w:before="0"/>
              <w:rPr>
                <w:rFonts w:ascii="Times New Roman" w:hAnsi="Times New Roman"/>
                <w:sz w:val="24"/>
              </w:rPr>
            </w:pPr>
            <w:r>
              <w:rPr>
                <w:rFonts w:ascii="Times New Roman" w:hAnsi="Times New Roman"/>
                <w:sz w:val="24"/>
              </w:rPr>
              <w:t>Στήλη</w:t>
            </w:r>
          </w:p>
        </w:tc>
        <w:tc>
          <w:tcPr>
            <w:tcW w:w="7306" w:type="dxa"/>
            <w:shd w:val="clear" w:color="auto" w:fill="EEECE1" w:themeFill="background2"/>
          </w:tcPr>
          <w:p w14:paraId="7398AC24" w14:textId="77777777" w:rsidR="00E05204" w:rsidRPr="0081623B" w:rsidRDefault="00E05204" w:rsidP="003E55AB">
            <w:pPr>
              <w:spacing w:before="0"/>
              <w:rPr>
                <w:rFonts w:ascii="Times New Roman" w:hAnsi="Times New Roman"/>
                <w:sz w:val="24"/>
              </w:rPr>
            </w:pPr>
            <w:r>
              <w:rPr>
                <w:rFonts w:ascii="Times New Roman" w:hAnsi="Times New Roman"/>
                <w:sz w:val="24"/>
              </w:rPr>
              <w:t>Νομικά κείμενα αναφοράς και οδηγίες</w:t>
            </w:r>
          </w:p>
        </w:tc>
      </w:tr>
      <w:tr w:rsidR="00E05204" w:rsidRPr="0081623B" w14:paraId="32AA40F1" w14:textId="77777777" w:rsidTr="00845EB1">
        <w:tc>
          <w:tcPr>
            <w:tcW w:w="990" w:type="dxa"/>
          </w:tcPr>
          <w:p w14:paraId="79D5F65E" w14:textId="77777777" w:rsidR="00E05204" w:rsidRPr="0081623B" w:rsidRDefault="00125C48" w:rsidP="003E55AB">
            <w:pPr>
              <w:spacing w:before="0"/>
              <w:rPr>
                <w:rFonts w:ascii="Times New Roman" w:hAnsi="Times New Roman"/>
                <w:sz w:val="24"/>
              </w:rPr>
            </w:pPr>
            <w:r>
              <w:rPr>
                <w:rFonts w:ascii="Times New Roman" w:hAnsi="Times New Roman"/>
                <w:sz w:val="24"/>
              </w:rPr>
              <w:t>010</w:t>
            </w:r>
          </w:p>
        </w:tc>
        <w:tc>
          <w:tcPr>
            <w:tcW w:w="7306" w:type="dxa"/>
          </w:tcPr>
          <w:p w14:paraId="20597254" w14:textId="73E89BCB" w:rsidR="00E05204" w:rsidRPr="0081623B" w:rsidRDefault="004C1638" w:rsidP="003E55AB">
            <w:pPr>
              <w:spacing w:before="0"/>
              <w:rPr>
                <w:rFonts w:ascii="Times New Roman" w:hAnsi="Times New Roman"/>
                <w:b/>
                <w:sz w:val="24"/>
                <w:u w:val="single"/>
              </w:rPr>
            </w:pPr>
            <w:r>
              <w:rPr>
                <w:rFonts w:ascii="Times New Roman" w:hAnsi="Times New Roman"/>
                <w:b/>
                <w:sz w:val="24"/>
                <w:u w:val="single"/>
              </w:rPr>
              <w:t>Όνομα εκδότη</w:t>
            </w:r>
          </w:p>
          <w:p w14:paraId="36B02E7E" w14:textId="56EF9FD1" w:rsidR="00E05204" w:rsidRPr="0081623B" w:rsidRDefault="00E05204" w:rsidP="003E55AB">
            <w:pPr>
              <w:spacing w:before="0"/>
              <w:rPr>
                <w:rFonts w:ascii="Times New Roman" w:hAnsi="Times New Roman"/>
                <w:sz w:val="24"/>
              </w:rPr>
            </w:pPr>
            <w:r>
              <w:rPr>
                <w:rFonts w:ascii="Times New Roman" w:hAnsi="Times New Roman"/>
                <w:sz w:val="24"/>
              </w:rPr>
              <w:t xml:space="preserve">Τα ονόματα των δέκα μεγαλύτερων εκδοτών μη βεβαρημένων στοιχείων ενεργητικού ή αντισυμβαλλομένων μη αναληφθεισών δεσμευμένων διευκολύνσεων ρευστότητας που χορηγήθηκαν στο ίδρυμα καταγράφονται στη στήλη 010 κατά φθίνουσα σειρά. Το μεγαλύτερο στοιχείο καταγράφεται στο στοιχείο 1.01, το δεύτερο μεγαλύτερο στο </w:t>
            </w:r>
            <w:r>
              <w:rPr>
                <w:rFonts w:ascii="Times New Roman" w:hAnsi="Times New Roman"/>
                <w:sz w:val="24"/>
              </w:rPr>
              <w:lastRenderedPageBreak/>
              <w:t>στοιχείο 1.02, και ούτω καθεξής. Εκδότες και αντισυμβαλλόμενοι που σχηματίζουν ομάδα συνδεδεμένων πελατών αναφέρονται ως μία και μόνη συγκέντρωση.</w:t>
            </w:r>
          </w:p>
          <w:p w14:paraId="4E01B5DA" w14:textId="4F0E946D" w:rsidR="00E05204" w:rsidRPr="0081623B" w:rsidRDefault="00E05204" w:rsidP="003E55AB">
            <w:pPr>
              <w:spacing w:before="0"/>
              <w:rPr>
                <w:rFonts w:ascii="Times New Roman" w:hAnsi="Times New Roman"/>
                <w:sz w:val="24"/>
              </w:rPr>
            </w:pPr>
            <w:r>
              <w:rPr>
                <w:rFonts w:ascii="Times New Roman" w:hAnsi="Times New Roman"/>
                <w:sz w:val="24"/>
              </w:rPr>
              <w:t>Το καταγραφόμενο όνομα εκδότη ή αντισυμβαλλομένου συνίσταται στην πλήρη επωνυμία της νομικής οντότητας που εξέδωσε τα στοιχεία ενεργητικού ή χορήγησε τις πιστωτικές διευκολύνσεις, συμπεριλαμβανομένων οποιωνδήποτε προσδιοριστικών του είδους της εταιρείας σύμφωνα με το εθνικό εταιρικό δίκαιο.</w:t>
            </w:r>
          </w:p>
        </w:tc>
      </w:tr>
      <w:tr w:rsidR="00E05204" w:rsidRPr="0081623B" w14:paraId="5485249F" w14:textId="77777777" w:rsidTr="00845EB1">
        <w:tc>
          <w:tcPr>
            <w:tcW w:w="990" w:type="dxa"/>
          </w:tcPr>
          <w:p w14:paraId="488A21BC" w14:textId="77777777" w:rsidR="00E05204" w:rsidRPr="0081623B" w:rsidRDefault="00125C48" w:rsidP="003E55AB">
            <w:pPr>
              <w:spacing w:before="0"/>
              <w:rPr>
                <w:rFonts w:ascii="Times New Roman" w:hAnsi="Times New Roman"/>
                <w:sz w:val="24"/>
              </w:rPr>
            </w:pPr>
            <w:r>
              <w:rPr>
                <w:rFonts w:ascii="Times New Roman" w:hAnsi="Times New Roman"/>
                <w:sz w:val="24"/>
              </w:rPr>
              <w:lastRenderedPageBreak/>
              <w:t>020</w:t>
            </w:r>
          </w:p>
        </w:tc>
        <w:tc>
          <w:tcPr>
            <w:tcW w:w="7306" w:type="dxa"/>
          </w:tcPr>
          <w:p w14:paraId="763D0E5F" w14:textId="77777777" w:rsidR="00E05204" w:rsidRPr="0081623B" w:rsidRDefault="00E05204" w:rsidP="003E55AB">
            <w:pPr>
              <w:spacing w:before="0"/>
              <w:rPr>
                <w:rStyle w:val="InstructionsTabelleberschrift"/>
                <w:rFonts w:ascii="Times New Roman" w:hAnsi="Times New Roman"/>
                <w:sz w:val="24"/>
              </w:rPr>
            </w:pPr>
            <w:r>
              <w:rPr>
                <w:rStyle w:val="InstructionsTabelleberschrift"/>
                <w:rFonts w:ascii="Times New Roman" w:hAnsi="Times New Roman"/>
                <w:sz w:val="24"/>
              </w:rPr>
              <w:t>Κωδικός LEI</w:t>
            </w:r>
          </w:p>
          <w:p w14:paraId="7861A1B2" w14:textId="190A7764" w:rsidR="00E05204" w:rsidRPr="003E55AB" w:rsidRDefault="00E05204" w:rsidP="003E55AB">
            <w:pPr>
              <w:spacing w:before="0"/>
              <w:rPr>
                <w:rFonts w:ascii="Times New Roman" w:hAnsi="Times New Roman"/>
                <w:b/>
                <w:sz w:val="24"/>
              </w:rPr>
            </w:pPr>
            <w:r>
              <w:rPr>
                <w:rFonts w:ascii="Times New Roman" w:hAnsi="Times New Roman"/>
                <w:sz w:val="24"/>
              </w:rPr>
              <w:t xml:space="preserve">Ο αναγνωριστικός κωδικός </w:t>
            </w:r>
            <w:r>
              <w:rPr>
                <w:rFonts w:ascii="Times New Roman" w:hAnsi="Times New Roman"/>
                <w:bCs/>
                <w:sz w:val="24"/>
              </w:rPr>
              <w:t>νομικής οντότητας</w:t>
            </w:r>
            <w:r>
              <w:rPr>
                <w:rFonts w:ascii="Times New Roman" w:hAnsi="Times New Roman"/>
                <w:sz w:val="24"/>
              </w:rPr>
              <w:t xml:space="preserve"> </w:t>
            </w:r>
            <w:r>
              <w:rPr>
                <w:rFonts w:ascii="Times New Roman" w:hAnsi="Times New Roman"/>
                <w:bCs/>
                <w:sz w:val="24"/>
              </w:rPr>
              <w:t>του αντισυμβαλλομένου</w:t>
            </w:r>
            <w:r>
              <w:rPr>
                <w:rFonts w:ascii="Times New Roman" w:hAnsi="Times New Roman"/>
                <w:sz w:val="24"/>
              </w:rPr>
              <w:t>.</w:t>
            </w:r>
            <w:r>
              <w:rPr>
                <w:rFonts w:ascii="Times New Roman" w:hAnsi="Times New Roman"/>
                <w:bCs/>
                <w:sz w:val="24"/>
              </w:rPr>
              <w:t xml:space="preserve"> </w:t>
            </w:r>
          </w:p>
        </w:tc>
      </w:tr>
      <w:tr w:rsidR="00E05204" w:rsidRPr="0081623B" w14:paraId="2B1BAA00" w14:textId="77777777" w:rsidTr="00845EB1">
        <w:tc>
          <w:tcPr>
            <w:tcW w:w="990" w:type="dxa"/>
          </w:tcPr>
          <w:p w14:paraId="12DAC473" w14:textId="77777777" w:rsidR="00E05204" w:rsidRPr="0081623B" w:rsidRDefault="00125C48" w:rsidP="003E55AB">
            <w:pPr>
              <w:spacing w:before="0"/>
              <w:rPr>
                <w:rFonts w:ascii="Times New Roman" w:hAnsi="Times New Roman"/>
                <w:sz w:val="24"/>
              </w:rPr>
            </w:pPr>
            <w:r>
              <w:rPr>
                <w:rFonts w:ascii="Times New Roman" w:hAnsi="Times New Roman"/>
                <w:sz w:val="24"/>
              </w:rPr>
              <w:t>030</w:t>
            </w:r>
          </w:p>
        </w:tc>
        <w:tc>
          <w:tcPr>
            <w:tcW w:w="7306" w:type="dxa"/>
          </w:tcPr>
          <w:p w14:paraId="6DAF3DB3" w14:textId="4B8E1486" w:rsidR="00E05204" w:rsidRPr="0081623B" w:rsidRDefault="004C1638" w:rsidP="003E55AB">
            <w:pPr>
              <w:spacing w:before="0"/>
              <w:rPr>
                <w:rFonts w:ascii="Times New Roman" w:hAnsi="Times New Roman"/>
                <w:b/>
                <w:sz w:val="24"/>
                <w:u w:val="single"/>
              </w:rPr>
            </w:pPr>
            <w:r>
              <w:rPr>
                <w:rFonts w:ascii="Times New Roman" w:hAnsi="Times New Roman"/>
                <w:b/>
                <w:sz w:val="24"/>
                <w:u w:val="single"/>
              </w:rPr>
              <w:t>Τομέας εκδότη</w:t>
            </w:r>
          </w:p>
          <w:p w14:paraId="62F53B63" w14:textId="27347E6E" w:rsidR="00E05204" w:rsidRPr="003E55AB" w:rsidRDefault="00E05204" w:rsidP="003E55AB">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Κάθε εκδότης ή αντισυμβαλλόμενος κατανέμεται σε έναν τομέα βάσει των κατηγοριών οικονομικών τομέων, στο πλαίσιο της χρηματοοικονομικής αναφοράς (FINREP):</w:t>
            </w:r>
          </w:p>
          <w:p w14:paraId="563180C8" w14:textId="51C79659" w:rsidR="00E05204" w:rsidRPr="0081623B" w:rsidRDefault="00E84A93" w:rsidP="003E55AB">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i</w:t>
            </w:r>
            <w:r w:rsidR="00E05204">
              <w:rPr>
                <w:rStyle w:val="FormatvorlageInstructionsTabelleText"/>
                <w:rFonts w:ascii="Times New Roman" w:hAnsi="Times New Roman"/>
                <w:sz w:val="24"/>
              </w:rPr>
              <w:t xml:space="preserve">) γενικές κυβερνήσεις· ii) πιστωτικά ιδρύματα· iii) άλλες χρηματοδοτικές εταιρείες· iv) μη χρηματοδοτικές εταιρείες· v) νοικοκυριά. </w:t>
            </w:r>
          </w:p>
          <w:p w14:paraId="3E53ACDF" w14:textId="14712E31" w:rsidR="00E05204" w:rsidRPr="0081623B" w:rsidRDefault="00E05204" w:rsidP="003E55AB">
            <w:pPr>
              <w:spacing w:before="0"/>
              <w:rPr>
                <w:rFonts w:ascii="Times New Roman" w:hAnsi="Times New Roman"/>
                <w:sz w:val="24"/>
              </w:rPr>
            </w:pPr>
            <w:r>
              <w:rPr>
                <w:rStyle w:val="FormatvorlageInstructionsTabelleText"/>
                <w:rFonts w:ascii="Times New Roman" w:hAnsi="Times New Roman"/>
                <w:sz w:val="24"/>
              </w:rPr>
              <w:t>Για ομάδες</w:t>
            </w:r>
            <w:r>
              <w:rPr>
                <w:rFonts w:ascii="Times New Roman" w:hAnsi="Times New Roman"/>
                <w:sz w:val="24"/>
              </w:rPr>
              <w:t xml:space="preserve"> </w:t>
            </w:r>
            <w:r>
              <w:rPr>
                <w:rStyle w:val="FormatvorlageInstructionsTabelleText"/>
                <w:rFonts w:ascii="Times New Roman" w:hAnsi="Times New Roman"/>
                <w:sz w:val="24"/>
              </w:rPr>
              <w:t xml:space="preserve">συνδεδεμένων πελατών, δεν αναφέρεται τομέας. </w:t>
            </w:r>
          </w:p>
        </w:tc>
      </w:tr>
      <w:tr w:rsidR="00E05204" w:rsidRPr="0081623B" w14:paraId="66F40C8E" w14:textId="77777777" w:rsidTr="00845EB1">
        <w:tc>
          <w:tcPr>
            <w:tcW w:w="990" w:type="dxa"/>
          </w:tcPr>
          <w:p w14:paraId="5F55844F" w14:textId="77777777" w:rsidR="00E05204" w:rsidRPr="0081623B" w:rsidRDefault="00125C48" w:rsidP="003E55AB">
            <w:pPr>
              <w:spacing w:before="0"/>
              <w:rPr>
                <w:rFonts w:ascii="Times New Roman" w:hAnsi="Times New Roman"/>
                <w:sz w:val="24"/>
              </w:rPr>
            </w:pPr>
            <w:r>
              <w:rPr>
                <w:rFonts w:ascii="Times New Roman" w:hAnsi="Times New Roman"/>
                <w:sz w:val="24"/>
              </w:rPr>
              <w:t>040</w:t>
            </w:r>
          </w:p>
        </w:tc>
        <w:tc>
          <w:tcPr>
            <w:tcW w:w="7306" w:type="dxa"/>
          </w:tcPr>
          <w:p w14:paraId="6EC1C162" w14:textId="488287EA"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 xml:space="preserve">Τόπος κατοικίας εκδότη </w:t>
            </w:r>
          </w:p>
          <w:p w14:paraId="0F33DF35" w14:textId="52A4F552" w:rsidR="00E05204" w:rsidRPr="0081623B" w:rsidRDefault="00E05204" w:rsidP="003E55AB">
            <w:pPr>
              <w:spacing w:before="0"/>
              <w:rPr>
                <w:rStyle w:val="FormatvorlageInstructionsTabelleText"/>
                <w:rFonts w:ascii="Times New Roman" w:hAnsi="Times New Roman"/>
                <w:sz w:val="24"/>
              </w:rPr>
            </w:pPr>
            <w:r>
              <w:rPr>
                <w:rStyle w:val="FormatvorlageInstructionsTabelleText"/>
                <w:rFonts w:ascii="Times New Roman" w:hAnsi="Times New Roman"/>
                <w:sz w:val="24"/>
              </w:rPr>
              <w:t xml:space="preserve">Χρησιμοποιείται ο κωδικός ISO 3166-1-alpha-2 της χώρας σύστασης του εκδότη ή του αντισυμβαλλομένου, περιλαμβανομένων των ψευδοκωδικών ISO για τους διεθνείς οργανισμούς, που είναι διαθέσιμοι στην τελευταία έκδοση του «Οδηγού ισοζυγίου πληρωμών» της Eurostat. </w:t>
            </w:r>
          </w:p>
          <w:p w14:paraId="60598FF1" w14:textId="5505D19C" w:rsidR="00E05204" w:rsidRPr="0081623B" w:rsidRDefault="00E05204" w:rsidP="003E55AB">
            <w:pPr>
              <w:spacing w:before="0"/>
              <w:rPr>
                <w:rFonts w:ascii="Times New Roman" w:hAnsi="Times New Roman"/>
                <w:sz w:val="24"/>
              </w:rPr>
            </w:pPr>
            <w:r>
              <w:rPr>
                <w:rStyle w:val="FormatvorlageInstructionsTabelleText"/>
                <w:rFonts w:ascii="Times New Roman" w:hAnsi="Times New Roman"/>
                <w:sz w:val="24"/>
              </w:rPr>
              <w:t xml:space="preserve">Για ομάδες συνδεδεμένων πελατών, δεν αναφέρεται χώρα. </w:t>
            </w:r>
          </w:p>
        </w:tc>
      </w:tr>
      <w:tr w:rsidR="00E05204" w:rsidRPr="0081623B" w14:paraId="0F08D697" w14:textId="77777777" w:rsidTr="00845EB1">
        <w:tc>
          <w:tcPr>
            <w:tcW w:w="990" w:type="dxa"/>
          </w:tcPr>
          <w:p w14:paraId="3B929507" w14:textId="77777777" w:rsidR="00E05204" w:rsidRPr="0081623B" w:rsidRDefault="00125C48" w:rsidP="003E55AB">
            <w:pPr>
              <w:spacing w:before="0"/>
              <w:rPr>
                <w:rFonts w:ascii="Times New Roman" w:hAnsi="Times New Roman"/>
                <w:sz w:val="24"/>
              </w:rPr>
            </w:pPr>
            <w:r>
              <w:rPr>
                <w:rFonts w:ascii="Times New Roman" w:hAnsi="Times New Roman"/>
                <w:sz w:val="24"/>
              </w:rPr>
              <w:t>050</w:t>
            </w:r>
          </w:p>
        </w:tc>
        <w:tc>
          <w:tcPr>
            <w:tcW w:w="7306" w:type="dxa"/>
          </w:tcPr>
          <w:p w14:paraId="016C0789"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Είδος προϊόντος</w:t>
            </w:r>
          </w:p>
          <w:p w14:paraId="7DC48699" w14:textId="3405D5A6" w:rsidR="00E05204" w:rsidRPr="0081623B" w:rsidRDefault="00E05204" w:rsidP="003E55AB">
            <w:pPr>
              <w:spacing w:before="0"/>
              <w:rPr>
                <w:rFonts w:ascii="Times New Roman" w:hAnsi="Times New Roman"/>
                <w:sz w:val="24"/>
              </w:rPr>
            </w:pPr>
            <w:r>
              <w:rPr>
                <w:rFonts w:ascii="Times New Roman" w:hAnsi="Times New Roman"/>
                <w:sz w:val="24"/>
              </w:rPr>
              <w:t xml:space="preserve">Στους εκδότες/αντισυμβαλλομένους που καταγράφονται στη στήλη 010 αποδίδεται ένα είδος προϊόντος που </w:t>
            </w:r>
            <w:r>
              <w:rPr>
                <w:rStyle w:val="FormatvorlageInstructionsTabelleText"/>
                <w:rFonts w:ascii="Times New Roman" w:hAnsi="Times New Roman"/>
                <w:sz w:val="24"/>
              </w:rPr>
              <w:t>αντιστοιχεί</w:t>
            </w:r>
            <w:r>
              <w:rPr>
                <w:rFonts w:ascii="Times New Roman" w:hAnsi="Times New Roman"/>
                <w:sz w:val="24"/>
              </w:rPr>
              <w:t xml:space="preserve"> στο προϊόν στο οποίο διατηρείται το στοιχείο ενεργητικού ή έχει ληφθεί η εφεδρική διευκόλυνση ρευστότητας, με τους ακόλουθους κωδικούς που σημειώνονται με έντονους χαρακτήρες:</w:t>
            </w:r>
          </w:p>
          <w:p w14:paraId="1CB9AEA2" w14:textId="7907C866"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 xml:space="preserve">SrB </w:t>
            </w:r>
            <w:r>
              <w:rPr>
                <w:rFonts w:ascii="Times New Roman" w:hAnsi="Times New Roman"/>
                <w:sz w:val="24"/>
              </w:rPr>
              <w:t xml:space="preserve">(ομόλογο </w:t>
            </w:r>
            <w:r>
              <w:rPr>
                <w:rStyle w:val="FormatvorlageInstructionsTabelleText"/>
                <w:rFonts w:ascii="Times New Roman" w:hAnsi="Times New Roman"/>
                <w:sz w:val="24"/>
              </w:rPr>
              <w:t>με εξοφλητική προτεραιότητα</w:t>
            </w:r>
            <w:r w:rsidR="0035741F">
              <w:rPr>
                <w:rFonts w:ascii="Times New Roman" w:hAnsi="Times New Roman"/>
                <w:sz w:val="24"/>
              </w:rPr>
              <w:t>)·</w:t>
            </w:r>
          </w:p>
          <w:p w14:paraId="6ADB0D10" w14:textId="7357AEF5"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 xml:space="preserve">SubB </w:t>
            </w:r>
            <w:r>
              <w:rPr>
                <w:rFonts w:ascii="Times New Roman" w:hAnsi="Times New Roman"/>
                <w:sz w:val="24"/>
              </w:rPr>
              <w:t xml:space="preserve">(ομόλογο </w:t>
            </w:r>
            <w:r>
              <w:rPr>
                <w:rStyle w:val="FormatvorlageInstructionsTabelleText"/>
                <w:rFonts w:ascii="Times New Roman" w:hAnsi="Times New Roman"/>
                <w:sz w:val="24"/>
              </w:rPr>
              <w:t>μειωμένης εξασφάλισης</w:t>
            </w:r>
            <w:r>
              <w:rPr>
                <w:rFonts w:ascii="Times New Roman" w:hAnsi="Times New Roman"/>
                <w:sz w:val="24"/>
              </w:rPr>
              <w:t>)·</w:t>
            </w:r>
          </w:p>
          <w:p w14:paraId="08EFBEC2" w14:textId="5FF6EE23"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 xml:space="preserve">CP </w:t>
            </w:r>
            <w:r>
              <w:rPr>
                <w:rFonts w:ascii="Times New Roman" w:hAnsi="Times New Roman"/>
                <w:sz w:val="24"/>
              </w:rPr>
              <w:t>(</w:t>
            </w:r>
            <w:r>
              <w:rPr>
                <w:rStyle w:val="FormatvorlageInstructionsTabelleText"/>
                <w:rFonts w:ascii="Times New Roman" w:hAnsi="Times New Roman"/>
                <w:sz w:val="24"/>
              </w:rPr>
              <w:t>εμπορικό</w:t>
            </w:r>
            <w:r>
              <w:rPr>
                <w:rFonts w:ascii="Times New Roman" w:hAnsi="Times New Roman"/>
                <w:sz w:val="24"/>
              </w:rPr>
              <w:t xml:space="preserve"> χρεόγραφο)·</w:t>
            </w:r>
          </w:p>
          <w:p w14:paraId="71AB267C" w14:textId="4BCCBDFD"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 xml:space="preserve">CB </w:t>
            </w:r>
            <w:r>
              <w:rPr>
                <w:rFonts w:ascii="Times New Roman" w:hAnsi="Times New Roman"/>
                <w:sz w:val="24"/>
              </w:rPr>
              <w:t xml:space="preserve">(καλυμμένα </w:t>
            </w:r>
            <w:r>
              <w:rPr>
                <w:rStyle w:val="FormatvorlageInstructionsTabelleText"/>
                <w:rFonts w:ascii="Times New Roman" w:hAnsi="Times New Roman"/>
                <w:sz w:val="24"/>
              </w:rPr>
              <w:t>ομόλογα</w:t>
            </w:r>
            <w:r w:rsidR="0035741F">
              <w:rPr>
                <w:rFonts w:ascii="Times New Roman" w:hAnsi="Times New Roman"/>
                <w:sz w:val="24"/>
              </w:rPr>
              <w:t>)·</w:t>
            </w:r>
          </w:p>
          <w:p w14:paraId="16004F55" w14:textId="4EBDEEC7"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US (</w:t>
            </w:r>
            <w:r>
              <w:rPr>
                <w:rStyle w:val="FormatvorlageInstructionsTabelleText"/>
                <w:rFonts w:ascii="Times New Roman" w:hAnsi="Times New Roman"/>
                <w:sz w:val="24"/>
              </w:rPr>
              <w:t>τίτλοι</w:t>
            </w:r>
            <w:r>
              <w:rPr>
                <w:rFonts w:ascii="Times New Roman" w:hAnsi="Times New Roman"/>
                <w:sz w:val="24"/>
              </w:rPr>
              <w:t xml:space="preserve"> ΟΣΕΚΑ, δηλαδή χρηματοπιστωτικά μέσα που αντιπροσωπεύουν μια μετοχή ή έναν τίτλο που έχει εκδοθεί από οργανισμό συλλογικών επενδύσεων σε κινητές αξίες)·</w:t>
            </w:r>
          </w:p>
          <w:p w14:paraId="2E54EB88" w14:textId="73B3ACBF"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ABS (</w:t>
            </w:r>
            <w:r>
              <w:rPr>
                <w:rFonts w:ascii="Times New Roman" w:hAnsi="Times New Roman"/>
                <w:sz w:val="24"/>
              </w:rPr>
              <w:t>τίτλος εξασφαλισμένος με στοιχεία ενεργητικού)·</w:t>
            </w:r>
          </w:p>
          <w:p w14:paraId="47B806DE" w14:textId="0B534D77"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 xml:space="preserve">CrCl </w:t>
            </w:r>
            <w:r>
              <w:rPr>
                <w:rFonts w:ascii="Times New Roman" w:hAnsi="Times New Roman"/>
                <w:sz w:val="24"/>
              </w:rPr>
              <w:t xml:space="preserve">(δανειακή </w:t>
            </w:r>
            <w:r>
              <w:rPr>
                <w:rStyle w:val="FormatvorlageInstructionsTabelleText"/>
                <w:rFonts w:ascii="Times New Roman" w:hAnsi="Times New Roman"/>
                <w:sz w:val="24"/>
              </w:rPr>
              <w:t>απαίτηση</w:t>
            </w:r>
            <w:r>
              <w:rPr>
                <w:rFonts w:ascii="Times New Roman" w:hAnsi="Times New Roman"/>
                <w:sz w:val="24"/>
              </w:rPr>
              <w:t>)·</w:t>
            </w:r>
          </w:p>
          <w:p w14:paraId="77F497F4" w14:textId="220D3D3A"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 xml:space="preserve">Eq </w:t>
            </w:r>
            <w:r>
              <w:rPr>
                <w:rFonts w:ascii="Times New Roman" w:hAnsi="Times New Roman"/>
                <w:sz w:val="24"/>
              </w:rPr>
              <w:t>(</w:t>
            </w:r>
            <w:r>
              <w:rPr>
                <w:rStyle w:val="FormatvorlageInstructionsTabelleText"/>
                <w:rFonts w:ascii="Times New Roman" w:hAnsi="Times New Roman"/>
                <w:sz w:val="24"/>
              </w:rPr>
              <w:t>μετοχή</w:t>
            </w:r>
            <w:r>
              <w:rPr>
                <w:rFonts w:ascii="Times New Roman" w:hAnsi="Times New Roman"/>
                <w:sz w:val="24"/>
              </w:rPr>
              <w:t>)·</w:t>
            </w:r>
          </w:p>
          <w:p w14:paraId="3F4E3AAB" w14:textId="5007592A" w:rsidR="00E05204" w:rsidRPr="0081623B" w:rsidRDefault="00E05204" w:rsidP="003E55AB">
            <w:pPr>
              <w:pStyle w:val="ListParagraph"/>
              <w:numPr>
                <w:ilvl w:val="0"/>
                <w:numId w:val="4"/>
              </w:numPr>
              <w:spacing w:before="0"/>
              <w:rPr>
                <w:rFonts w:ascii="Times New Roman" w:hAnsi="Times New Roman"/>
                <w:b/>
                <w:sz w:val="24"/>
              </w:rPr>
            </w:pPr>
            <w:r>
              <w:rPr>
                <w:rFonts w:ascii="Times New Roman" w:hAnsi="Times New Roman"/>
                <w:b/>
                <w:sz w:val="24"/>
              </w:rPr>
              <w:t>Χρυσός</w:t>
            </w:r>
            <w:r>
              <w:rPr>
                <w:rFonts w:ascii="Times New Roman" w:hAnsi="Times New Roman"/>
                <w:sz w:val="24"/>
              </w:rPr>
              <w:t xml:space="preserve"> (εάν είναι φυσικός χρυσός, που μπορεί να αντιμετωπιστεί ως ένας και μόνος αντισυμβαλλόμενος)·</w:t>
            </w:r>
          </w:p>
          <w:p w14:paraId="6AE61C73" w14:textId="026D514D"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 xml:space="preserve">LiqL </w:t>
            </w:r>
            <w:r>
              <w:rPr>
                <w:rFonts w:ascii="Times New Roman" w:hAnsi="Times New Roman"/>
                <w:sz w:val="24"/>
              </w:rPr>
              <w:t>(</w:t>
            </w:r>
            <w:r>
              <w:rPr>
                <w:rStyle w:val="FormatvorlageInstructionsTabelleText"/>
                <w:rFonts w:ascii="Times New Roman" w:hAnsi="Times New Roman"/>
                <w:sz w:val="24"/>
              </w:rPr>
              <w:t>μη αναληφθείσα</w:t>
            </w:r>
            <w:r>
              <w:rPr>
                <w:rFonts w:ascii="Times New Roman" w:hAnsi="Times New Roman"/>
                <w:sz w:val="24"/>
              </w:rPr>
              <w:t xml:space="preserve"> δεσμευμένη διευκόλυνση ρευστότητας που έχει χορηγηθεί στο ίδρυμα)·</w:t>
            </w:r>
          </w:p>
          <w:p w14:paraId="23B5C30F" w14:textId="792C14AB" w:rsidR="00E05204" w:rsidRPr="0081623B" w:rsidRDefault="00E05204" w:rsidP="003E55AB">
            <w:pPr>
              <w:pStyle w:val="ListParagraph"/>
              <w:numPr>
                <w:ilvl w:val="0"/>
                <w:numId w:val="4"/>
              </w:numPr>
              <w:spacing w:before="0"/>
              <w:rPr>
                <w:rFonts w:ascii="Times New Roman" w:hAnsi="Times New Roman"/>
                <w:b/>
                <w:sz w:val="24"/>
              </w:rPr>
            </w:pPr>
            <w:r>
              <w:rPr>
                <w:b/>
              </w:rPr>
              <w:lastRenderedPageBreak/>
              <w:t xml:space="preserve">OPT </w:t>
            </w:r>
            <w:r>
              <w:rPr>
                <w:rFonts w:ascii="Times New Roman" w:hAnsi="Times New Roman"/>
                <w:sz w:val="24"/>
              </w:rPr>
              <w:t>(</w:t>
            </w:r>
            <w:r>
              <w:rPr>
                <w:rStyle w:val="FormatvorlageInstructionsTabelleText"/>
                <w:rFonts w:ascii="Times New Roman" w:hAnsi="Times New Roman"/>
                <w:sz w:val="24"/>
              </w:rPr>
              <w:t>άλλο</w:t>
            </w:r>
            <w:r>
              <w:rPr>
                <w:rFonts w:ascii="Times New Roman" w:hAnsi="Times New Roman"/>
                <w:sz w:val="24"/>
              </w:rPr>
              <w:t xml:space="preserve"> είδος προϊόντος)</w:t>
            </w:r>
            <w:r>
              <w:t>.</w:t>
            </w:r>
          </w:p>
        </w:tc>
      </w:tr>
      <w:tr w:rsidR="00E05204" w:rsidRPr="0081623B" w14:paraId="4C932A7E" w14:textId="77777777" w:rsidTr="00845EB1">
        <w:tc>
          <w:tcPr>
            <w:tcW w:w="990" w:type="dxa"/>
          </w:tcPr>
          <w:p w14:paraId="611D24E9" w14:textId="77777777" w:rsidR="00E05204" w:rsidRPr="0081623B" w:rsidRDefault="00125C48" w:rsidP="003E55AB">
            <w:pPr>
              <w:spacing w:before="0"/>
              <w:rPr>
                <w:rFonts w:ascii="Times New Roman" w:hAnsi="Times New Roman"/>
                <w:sz w:val="24"/>
              </w:rPr>
            </w:pPr>
            <w:r>
              <w:rPr>
                <w:rFonts w:ascii="Times New Roman" w:hAnsi="Times New Roman"/>
                <w:sz w:val="24"/>
              </w:rPr>
              <w:lastRenderedPageBreak/>
              <w:t>060</w:t>
            </w:r>
          </w:p>
        </w:tc>
        <w:tc>
          <w:tcPr>
            <w:tcW w:w="7306" w:type="dxa"/>
          </w:tcPr>
          <w:p w14:paraId="361DF87B"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Νόμισμα</w:t>
            </w:r>
          </w:p>
          <w:p w14:paraId="1D458B95" w14:textId="65954469" w:rsidR="00C05CCA" w:rsidRPr="0081623B" w:rsidRDefault="004C1638" w:rsidP="003E55AB">
            <w:pPr>
              <w:spacing w:before="0"/>
              <w:rPr>
                <w:rFonts w:ascii="Times New Roman" w:hAnsi="Times New Roman"/>
                <w:sz w:val="24"/>
              </w:rPr>
            </w:pPr>
            <w:r>
              <w:rPr>
                <w:rFonts w:ascii="Times New Roman" w:hAnsi="Times New Roman"/>
                <w:sz w:val="24"/>
              </w:rPr>
              <w:t xml:space="preserve">Στους εκδότες ή αντισυμβαλλομένους που καταγράφονται στη στήλη 010 αποδίδεται ένας κωδικός νομίσματος ISO στη στήλη 060, ο οποίος αντιστοιχεί στο νόμισμα στο οποίο είναι εκφρασμένο το ληφθέν στοιχείο ενεργητικού ή οι μη αναληφθείσες δεσμευμένες διευκολύνσεις ρευστότητας που έχουν χορηγηθεί στο ίδρυμα. Δηλώνεται ο τριψήφιος κωδικός νομίσματος σύμφωνα με το ISO 4217. </w:t>
            </w:r>
            <w:bookmarkStart w:id="0" w:name="_GoBack"/>
            <w:bookmarkEnd w:id="0"/>
          </w:p>
          <w:p w14:paraId="74611C9A" w14:textId="73FE19CB" w:rsidR="00774708" w:rsidRPr="0081623B" w:rsidRDefault="00047ECB" w:rsidP="003E55AB">
            <w:pPr>
              <w:spacing w:before="0"/>
              <w:rPr>
                <w:rFonts w:ascii="Times New Roman" w:hAnsi="Times New Roman"/>
                <w:sz w:val="24"/>
              </w:rPr>
            </w:pPr>
            <w:r>
              <w:rPr>
                <w:rFonts w:ascii="Times New Roman" w:hAnsi="Times New Roman"/>
                <w:sz w:val="24"/>
              </w:rPr>
              <w:t>Όταν μια διευκόλυνση πολλών νομισμάτων αποτελεί μέρος μιας συγκέντρωσης ικανότητας αντιστάθμισης, η διευκόλυνση υπολογίζεται στο νόμισμα που είναι το επικρατέστερο στο υπόλοιπο μέρος της συγκέντρωσης. Όσον αφορά τη χωριστή υποβολή αναφορών σε σημαντικά νομίσματα, όπως καθορίζεται στο άρθρο 415 παράγραφος 2 του κανονισμού (ΕΕ) αριθ. 575/2013, τα ιδρύματα αξιολογούν το νόμισμα στο οποίο είναι πιθανό να πραγματοποιηθεί η ροή και αναφέρουν το στοιχείο μόνο σε αυτό το σημαντικό νόμισμα, σύμφωνα με τις οδηγίες για τη χωριστή υποβολή αναφορών για σημαντικά νομίσματα στον δείκτη κάλυψης ρευστότητας (LCR), σύμφωνα με τον κανονισμό (ΕΕ) 2016/322.</w:t>
            </w:r>
          </w:p>
        </w:tc>
      </w:tr>
      <w:tr w:rsidR="00E05204" w:rsidRPr="0081623B" w14:paraId="73A43F51" w14:textId="77777777" w:rsidTr="00845EB1">
        <w:tc>
          <w:tcPr>
            <w:tcW w:w="990" w:type="dxa"/>
          </w:tcPr>
          <w:p w14:paraId="44D208DA" w14:textId="77777777" w:rsidR="00E05204" w:rsidRPr="0081623B" w:rsidRDefault="00125C48" w:rsidP="003E55AB">
            <w:pPr>
              <w:spacing w:before="0"/>
              <w:rPr>
                <w:rFonts w:ascii="Times New Roman" w:hAnsi="Times New Roman"/>
                <w:sz w:val="24"/>
              </w:rPr>
            </w:pPr>
            <w:r>
              <w:rPr>
                <w:rFonts w:ascii="Times New Roman" w:hAnsi="Times New Roman"/>
                <w:sz w:val="24"/>
              </w:rPr>
              <w:t>070</w:t>
            </w:r>
          </w:p>
        </w:tc>
        <w:tc>
          <w:tcPr>
            <w:tcW w:w="7306" w:type="dxa"/>
          </w:tcPr>
          <w:p w14:paraId="48AA6E4F"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Βαθμίδα πιστωτικής ποιότητας</w:t>
            </w:r>
          </w:p>
          <w:p w14:paraId="692CB839" w14:textId="76307C3A" w:rsidR="00E05204" w:rsidRPr="0081623B" w:rsidRDefault="00966F82" w:rsidP="003E55AB">
            <w:pPr>
              <w:spacing w:before="0"/>
              <w:rPr>
                <w:rFonts w:ascii="Times New Roman" w:hAnsi="Times New Roman"/>
                <w:sz w:val="24"/>
                <w:u w:val="single"/>
              </w:rPr>
            </w:pPr>
            <w:r>
              <w:rPr>
                <w:rFonts w:ascii="Times New Roman" w:hAnsi="Times New Roman"/>
                <w:sz w:val="24"/>
              </w:rPr>
              <w:t>Η κατάλληλη βαθμίδα πιστωτικής ποιότητας αποδίδεται σύμφωνα με τον κανονισμό (ΕΕ) αριθ. 575/2013, και πρέπει να είναι ίδια με τη βαθμίδα των στοιχείων που υποβάλλονται στον πίνακα ληκτότητας. Εάν δεν υπάρχει πιστοληπτική αξιολόγηση, αποδίδεται η βαθμίδα «χωρίς διαβάθμιση».</w:t>
            </w:r>
          </w:p>
        </w:tc>
      </w:tr>
      <w:tr w:rsidR="00E05204" w:rsidRPr="0081623B" w14:paraId="2461383F" w14:textId="77777777" w:rsidTr="00845EB1">
        <w:tc>
          <w:tcPr>
            <w:tcW w:w="990" w:type="dxa"/>
          </w:tcPr>
          <w:p w14:paraId="7F1DF3BE" w14:textId="77777777" w:rsidR="00E05204" w:rsidRPr="0081623B" w:rsidRDefault="00125C48" w:rsidP="003E55AB">
            <w:pPr>
              <w:spacing w:before="0"/>
              <w:rPr>
                <w:rFonts w:ascii="Times New Roman" w:hAnsi="Times New Roman"/>
                <w:sz w:val="24"/>
              </w:rPr>
            </w:pPr>
            <w:r>
              <w:rPr>
                <w:rFonts w:ascii="Times New Roman" w:hAnsi="Times New Roman"/>
                <w:sz w:val="24"/>
              </w:rPr>
              <w:t>080</w:t>
            </w:r>
          </w:p>
        </w:tc>
        <w:tc>
          <w:tcPr>
            <w:tcW w:w="7306" w:type="dxa"/>
          </w:tcPr>
          <w:p w14:paraId="3B1CC0D3"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Αξία/ονομαστική αξία τρέχουσας τιμής αγοράς (MtM)</w:t>
            </w:r>
          </w:p>
          <w:p w14:paraId="78CE7B68" w14:textId="7B52544C" w:rsidR="00E05204" w:rsidRPr="0081623B" w:rsidRDefault="00E05204" w:rsidP="003E55AB">
            <w:pPr>
              <w:spacing w:before="0"/>
              <w:rPr>
                <w:rFonts w:ascii="Times New Roman" w:hAnsi="Times New Roman"/>
                <w:sz w:val="24"/>
              </w:rPr>
            </w:pPr>
            <w:r>
              <w:rPr>
                <w:rFonts w:ascii="Times New Roman" w:hAnsi="Times New Roman"/>
                <w:sz w:val="24"/>
              </w:rPr>
              <w:t xml:space="preserve">Η αγοραία αξία ή η εύλογη αξία των στοιχείων ενεργητικού ή, κατά περίπτωση, η ονομαστική αξία της μη αναληφθείσας διευκόλυνσης ρευστότητας που έχει χορηγηθεί στο ίδρυμα. </w:t>
            </w:r>
          </w:p>
        </w:tc>
      </w:tr>
      <w:tr w:rsidR="00E05204" w:rsidRPr="0081623B" w14:paraId="74EA2D80" w14:textId="77777777" w:rsidTr="00845EB1">
        <w:tc>
          <w:tcPr>
            <w:tcW w:w="990" w:type="dxa"/>
          </w:tcPr>
          <w:p w14:paraId="40B79F48" w14:textId="77777777" w:rsidR="00E05204" w:rsidRPr="0081623B" w:rsidRDefault="00125C48" w:rsidP="003E55AB">
            <w:pPr>
              <w:spacing w:before="0"/>
              <w:rPr>
                <w:rFonts w:ascii="Times New Roman" w:hAnsi="Times New Roman"/>
                <w:sz w:val="24"/>
              </w:rPr>
            </w:pPr>
            <w:r>
              <w:rPr>
                <w:rFonts w:ascii="Times New Roman" w:hAnsi="Times New Roman"/>
                <w:sz w:val="24"/>
              </w:rPr>
              <w:t>090</w:t>
            </w:r>
          </w:p>
        </w:tc>
        <w:tc>
          <w:tcPr>
            <w:tcW w:w="7306" w:type="dxa"/>
          </w:tcPr>
          <w:p w14:paraId="5F665131"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Αξία εξασφαλίσεων επιλέξιμων από ΚΤ</w:t>
            </w:r>
          </w:p>
          <w:p w14:paraId="507C4FE8" w14:textId="2078D53B" w:rsidR="00E05204" w:rsidRPr="0081623B" w:rsidRDefault="00E05204" w:rsidP="003E55AB">
            <w:pPr>
              <w:spacing w:before="0"/>
              <w:rPr>
                <w:rFonts w:ascii="Times New Roman" w:hAnsi="Times New Roman"/>
                <w:sz w:val="24"/>
              </w:rPr>
            </w:pPr>
            <w:r>
              <w:rPr>
                <w:rFonts w:ascii="Times New Roman" w:hAnsi="Times New Roman"/>
                <w:sz w:val="24"/>
              </w:rPr>
              <w:t xml:space="preserve">Η αξία των </w:t>
            </w:r>
            <w:r>
              <w:rPr>
                <w:rStyle w:val="FormatvorlageInstructionsTabelleText"/>
                <w:rFonts w:ascii="Times New Roman" w:hAnsi="Times New Roman"/>
                <w:sz w:val="24"/>
              </w:rPr>
              <w:t>εξασφαλίσεων</w:t>
            </w:r>
            <w:r>
              <w:rPr>
                <w:rFonts w:ascii="Times New Roman" w:hAnsi="Times New Roman"/>
                <w:sz w:val="24"/>
              </w:rPr>
              <w:t xml:space="preserve"> σύμφωνα με τους κανόνες της κεντρικής τράπεζας για πάγιες διευκολύνσεις για τα συγκεκριμένα στοιχεία ενεργητικού.</w:t>
            </w:r>
          </w:p>
          <w:p w14:paraId="4C124B93" w14:textId="3D1AA419" w:rsidR="00BA0551" w:rsidRPr="0081623B" w:rsidRDefault="00B457F4" w:rsidP="003E55AB">
            <w:pPr>
              <w:spacing w:before="0"/>
              <w:rPr>
                <w:rFonts w:ascii="Times New Roman" w:hAnsi="Times New Roman"/>
                <w:sz w:val="24"/>
              </w:rPr>
            </w:pPr>
            <w:r>
              <w:rPr>
                <w:rFonts w:ascii="Times New Roman" w:hAnsi="Times New Roman"/>
                <w:sz w:val="24"/>
              </w:rPr>
              <w:t>Όσον αφορά τα στοιχεία ενεργητικού που εκφράζονται σε νόμισμα το οποίο περιλαμβάνεται στον κανονισμό (ΕΕ) 2015/233 ως νόμισμα για το οποίο ισχύει εξαιρετικά στενός ορισμός επιλεξιμότητας από κεντρική τράπεζα, τα ιδρύματα αφήνουν το πεδίο αυτό κενό.</w:t>
            </w:r>
          </w:p>
        </w:tc>
      </w:tr>
    </w:tbl>
    <w:p w14:paraId="56E0854E" w14:textId="56990862" w:rsidR="00D02FE4" w:rsidRPr="003E55AB" w:rsidRDefault="00D02FE4" w:rsidP="003E55AB">
      <w:pPr>
        <w:pStyle w:val="InstructionsText"/>
        <w:spacing w:after="120"/>
        <w:rPr>
          <w:rStyle w:val="InstructionsTabelleText"/>
          <w:rFonts w:ascii="Times New Roman" w:hAnsi="Times New Roman"/>
          <w:b/>
          <w:sz w:val="24"/>
        </w:rPr>
      </w:pPr>
    </w:p>
    <w:sectPr w:rsidR="00D02FE4" w:rsidRPr="003E55AB" w:rsidSect="001C50E6">
      <w:headerReference w:type="default" r:id="rId9"/>
      <w:footerReference w:type="default" r:id="rId10"/>
      <w:headerReference w:type="first" r:id="rId11"/>
      <w:footerReference w:type="first" r:id="rId12"/>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9F10D2" w14:textId="77777777" w:rsidR="00BA6907" w:rsidRDefault="00BA6907">
      <w:r>
        <w:separator/>
      </w:r>
    </w:p>
  </w:endnote>
  <w:endnote w:type="continuationSeparator" w:id="0">
    <w:p w14:paraId="2F7EC688" w14:textId="77777777" w:rsidR="00BA6907" w:rsidRDefault="00BA6907">
      <w:r>
        <w:continuationSeparator/>
      </w:r>
    </w:p>
  </w:endnote>
  <w:endnote w:type="continuationNotice" w:id="1">
    <w:p w14:paraId="7D387A61" w14:textId="77777777" w:rsidR="00BA6907" w:rsidRDefault="00BA690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37DBC5F1" w:rsidR="008E3ABF" w:rsidRDefault="008E3ABF">
        <w:pPr>
          <w:pStyle w:val="Footer"/>
          <w:jc w:val="center"/>
        </w:pPr>
        <w:r>
          <w:fldChar w:fldCharType="begin"/>
        </w:r>
        <w:r>
          <w:instrText xml:space="preserve"> PAGE   \* MERGEFORMAT </w:instrText>
        </w:r>
        <w:r>
          <w:fldChar w:fldCharType="separate"/>
        </w:r>
        <w:r w:rsidR="00835E29">
          <w:rPr>
            <w:noProof/>
          </w:rPr>
          <w:t>3</w:t>
        </w:r>
        <w:r>
          <w:fldChar w:fldCharType="end"/>
        </w:r>
      </w:p>
    </w:sdtContent>
  </w:sdt>
  <w:p w14:paraId="75EDC8A2" w14:textId="77777777" w:rsidR="008E3ABF" w:rsidRDefault="008E3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7F1933F7" w:rsidR="009B3D8D" w:rsidRDefault="009B3D8D">
        <w:pPr>
          <w:pStyle w:val="Footer"/>
          <w:jc w:val="center"/>
        </w:pPr>
        <w:r>
          <w:fldChar w:fldCharType="begin"/>
        </w:r>
        <w:r>
          <w:instrText xml:space="preserve"> PAGE   \* MERGEFORMAT </w:instrText>
        </w:r>
        <w:r>
          <w:fldChar w:fldCharType="separate"/>
        </w:r>
        <w:r w:rsidR="00835E29">
          <w:rPr>
            <w:noProof/>
          </w:rP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64267A" w14:textId="77777777" w:rsidR="00BA6907" w:rsidRDefault="00BA6907">
      <w:r>
        <w:separator/>
      </w:r>
    </w:p>
  </w:footnote>
  <w:footnote w:type="continuationSeparator" w:id="0">
    <w:p w14:paraId="26559DA9" w14:textId="77777777" w:rsidR="00BA6907" w:rsidRDefault="00BA6907">
      <w:r>
        <w:continuationSeparator/>
      </w:r>
    </w:p>
  </w:footnote>
  <w:footnote w:type="continuationNotice" w:id="1">
    <w:p w14:paraId="12537E07" w14:textId="77777777" w:rsidR="00BA6907" w:rsidRDefault="00BA690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77777777" w:rsidR="00B85053" w:rsidRDefault="00B85053" w:rsidP="00CB367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77777777"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31250521"/>
    <w:multiLevelType w:val="hybridMultilevel"/>
    <w:tmpl w:val="DFE4B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136"/>
    <w:rsid w:val="00166BAD"/>
    <w:rsid w:val="0017040C"/>
    <w:rsid w:val="00170712"/>
    <w:rsid w:val="00174660"/>
    <w:rsid w:val="00174D74"/>
    <w:rsid w:val="0017510B"/>
    <w:rsid w:val="0018393C"/>
    <w:rsid w:val="0018399F"/>
    <w:rsid w:val="00187112"/>
    <w:rsid w:val="00191CE8"/>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5741F"/>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55AB"/>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38F5"/>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219"/>
    <w:rsid w:val="00672329"/>
    <w:rsid w:val="00672684"/>
    <w:rsid w:val="00672B1B"/>
    <w:rsid w:val="006761DC"/>
    <w:rsid w:val="00680437"/>
    <w:rsid w:val="00680CBC"/>
    <w:rsid w:val="00681960"/>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623B"/>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5E29"/>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357"/>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575"/>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907"/>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11B2"/>
    <w:rsid w:val="00DC139C"/>
    <w:rsid w:val="00DC1D2D"/>
    <w:rsid w:val="00DC20BD"/>
    <w:rsid w:val="00DC29A9"/>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2617"/>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4A93"/>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F5D04F"/>
  <w15:docId w15:val="{499A08ED-D142-4EED-8F03-08BADD85C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el-GR"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el-GR"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el-GR"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l-GR" w:eastAsia="en-US" w:bidi="ar-SA"/>
    </w:rPr>
  </w:style>
  <w:style w:type="character" w:customStyle="1" w:styleId="FunoteChar">
    <w:name w:val="Fußnote Char"/>
    <w:aliases w:val=" Char Char Char"/>
    <w:semiHidden/>
    <w:rsid w:val="009D253B"/>
    <w:rPr>
      <w:rFonts w:ascii="Arial" w:hAnsi="Arial"/>
      <w:sz w:val="18"/>
      <w:lang w:val="el-GR"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l-GR"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l-GR"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l-GR"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el-GR"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el-GR"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el-GR"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7C72A-0A34-411D-9B61-DFC4FFF3D6AF}">
  <ds:schemaRefs>
    <ds:schemaRef ds:uri="http://schemas.openxmlformats.org/officeDocument/2006/bibliography"/>
  </ds:schemaRefs>
</ds:datastoreItem>
</file>

<file path=customXml/itemProps2.xml><?xml version="1.0" encoding="utf-8"?>
<ds:datastoreItem xmlns:ds="http://schemas.openxmlformats.org/officeDocument/2006/customXml" ds:itemID="{6FCFB523-C477-420B-A7A1-59B64D684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909</Words>
  <Characters>5716</Characters>
  <Application>Microsoft Office Word</Application>
  <DocSecurity>0</DocSecurity>
  <Lines>136</Lines>
  <Paragraphs>62</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PART II: TEMPLATE RELATED INSTRUCTIONS</vt:lpstr>
      <vt:lpstr>PART II: TEMPLATE RELATED INSTRUCTIONS</vt:lpstr>
    </vt:vector>
  </TitlesOfParts>
  <Company>Financial Services Authority</Company>
  <LinksUpToDate>false</LinksUpToDate>
  <CharactersWithSpaces>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KOKKINOU Aspasia (DGT)</cp:lastModifiedBy>
  <cp:revision>5</cp:revision>
  <cp:lastPrinted>2014-06-12T12:55:00Z</cp:lastPrinted>
  <dcterms:created xsi:type="dcterms:W3CDTF">2020-12-15T00:41:00Z</dcterms:created>
  <dcterms:modified xsi:type="dcterms:W3CDTF">2020-12-15T00:46:00Z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gFAAXJDLFUo5N7unGP9kUBbqvhLQIJscQnjJY4xD+dGpziffwBYUZ621pbLrBPs/WcwN0tcAGQtHvCFM_x000d_
3T/x091d1AWUwMNDdE/Av0CQqYk2Hg/F4Nh6coUUsSD+Tsg4a5ZJenvs72R3+1eLh12dR8xbcXWv_x000d_
K5+xf2hCyazLXhs9NmyqwQNZRDQ2BALi6j02xnsO2ZBYnEuDLhVHmhIl+CEZ9Mda6DOmAr5HhIA0_x000d_
YnlSqt8jOWdj4Tyg8</vt:lpwstr>
  </property>
  <property fmtid="{D5CDD505-2E9C-101B-9397-08002B2CF9AE}" pid="3" name="MAIL_MSG_ID2">
    <vt:lpwstr>WJ8XpAoQxKdbXxCn1bR9Z6fxKZW95BRMdMhhT7m/8Ejv14Oa89m9ZgLkNVM_x000d_
Ussb5/SdsbiPhKK0JA2MqwXAHnFG/VSBfRjOzA==</vt:lpwstr>
  </property>
  <property fmtid="{D5CDD505-2E9C-101B-9397-08002B2CF9AE}" pid="4" name="RESPONSE_SENDER_NAME">
    <vt:lpwstr>sAAA4E8dREqJqIqQ8043TmSfpK2Y3z+Vu+xReiKSeWwV8v0=</vt:lpwstr>
  </property>
  <property fmtid="{D5CDD505-2E9C-101B-9397-08002B2CF9AE}" pid="5" name="EMAIL_OWNER_ADDRESS">
    <vt:lpwstr>4AAAyjQjm0EOGgLdpxEAuTOStZAPJflHB1hBCjK4hju38YpqEB5SAx5tcA==</vt:lpwstr>
  </property>
  <property fmtid="{D5CDD505-2E9C-101B-9397-08002B2CF9AE}" pid="6" name="_NewReviewCycle">
    <vt:lpwstr/>
  </property>
</Properties>
</file>