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11301" w14:textId="4475C7FE" w:rsidR="0040604D" w:rsidRPr="003E55AB" w:rsidRDefault="0040604D" w:rsidP="003E55AB">
      <w:pPr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XXI. MELLÉKLET</w:t>
      </w:r>
    </w:p>
    <w:p w14:paraId="55B2E7E1" w14:textId="065A927F" w:rsidR="0040604D" w:rsidRDefault="0040604D" w:rsidP="003E55AB">
      <w:pPr>
        <w:spacing w:befor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ÚTMUTATÓ </w:t>
      </w:r>
      <w:proofErr w:type="gramStart"/>
      <w:r>
        <w:rPr>
          <w:rFonts w:ascii="Times New Roman" w:hAnsi="Times New Roman"/>
          <w:b/>
          <w:sz w:val="24"/>
        </w:rPr>
        <w:t>A</w:t>
      </w:r>
      <w:proofErr w:type="gramEnd"/>
      <w:r>
        <w:rPr>
          <w:rFonts w:ascii="Times New Roman" w:hAnsi="Times New Roman"/>
          <w:b/>
          <w:sz w:val="24"/>
        </w:rPr>
        <w:t xml:space="preserve"> KIEGYENSÚLYOZÓ KAPACITÁS KONCENTRÁCIÓJÁRA VONATKOZÓ ADATSZOLGÁLTATÁSHOZ</w:t>
      </w:r>
    </w:p>
    <w:p w14:paraId="6C60C302" w14:textId="77777777" w:rsidR="0081623B" w:rsidRPr="003E55AB" w:rsidRDefault="0081623B" w:rsidP="003E55AB">
      <w:pPr>
        <w:spacing w:before="0"/>
        <w:jc w:val="center"/>
        <w:rPr>
          <w:rFonts w:ascii="Times New Roman" w:hAnsi="Times New Roman"/>
          <w:b/>
          <w:sz w:val="24"/>
        </w:rPr>
      </w:pPr>
    </w:p>
    <w:p w14:paraId="2314BCB9" w14:textId="3D6E6875" w:rsidR="00B1719D" w:rsidRPr="0081623B" w:rsidRDefault="00292B75" w:rsidP="003E55AB">
      <w:pPr>
        <w:widowControl w:val="0"/>
        <w:spacing w:before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tab/>
      </w:r>
      <w:r>
        <w:rPr>
          <w:rFonts w:ascii="Times New Roman" w:hAnsi="Times New Roman"/>
          <w:sz w:val="24"/>
        </w:rPr>
        <w:t xml:space="preserve">Az adatot szolgáltató intézmény kiegyensúlyozó </w:t>
      </w:r>
      <w:proofErr w:type="gramStart"/>
      <w:r>
        <w:rPr>
          <w:rFonts w:ascii="Times New Roman" w:hAnsi="Times New Roman"/>
          <w:sz w:val="24"/>
        </w:rPr>
        <w:t>kapacitásának</w:t>
      </w:r>
      <w:proofErr w:type="gramEnd"/>
      <w:r>
        <w:rPr>
          <w:rFonts w:ascii="Times New Roman" w:hAnsi="Times New Roman"/>
          <w:sz w:val="24"/>
        </w:rPr>
        <w:t xml:space="preserve"> koncentrációjára vonatkozó, a tíz legnagyobb eszközállomány vagy az intézmény rendelkezésére bocsátott likviditási hitelkeret alapján bontott adatoknak a C 71.00-es táblában történő megadásához az intézményeknek az e mellékletben található útmutatót kell alkalmazniuk.</w:t>
      </w:r>
    </w:p>
    <w:p w14:paraId="6D98D095" w14:textId="6A747233" w:rsidR="00672B1B" w:rsidRPr="0081623B" w:rsidRDefault="00292B75" w:rsidP="003E55AB">
      <w:pPr>
        <w:widowControl w:val="0"/>
        <w:spacing w:before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tab/>
      </w:r>
      <w:r>
        <w:rPr>
          <w:rFonts w:ascii="Times New Roman" w:hAnsi="Times New Roman"/>
          <w:sz w:val="24"/>
        </w:rPr>
        <w:t xml:space="preserve">Amennyiben egy kibocsátóhoz vagy partnerhez egynél több terméktípus, pénznem vagy hitelminőségi besorolás tartozik, a teljes összeget kell megadni. Itt a kiegyensúlyozó </w:t>
      </w:r>
      <w:proofErr w:type="gramStart"/>
      <w:r>
        <w:rPr>
          <w:rFonts w:ascii="Times New Roman" w:hAnsi="Times New Roman"/>
          <w:sz w:val="24"/>
        </w:rPr>
        <w:t>kapacitás</w:t>
      </w:r>
      <w:proofErr w:type="gramEnd"/>
      <w:r>
        <w:rPr>
          <w:rFonts w:ascii="Times New Roman" w:hAnsi="Times New Roman"/>
          <w:sz w:val="24"/>
        </w:rPr>
        <w:t xml:space="preserve"> koncentrációjának legnagyobb részét kitevő terméktípust, pénznemet vagy hitelminőségi besorolást kell feltüntetni. </w:t>
      </w:r>
    </w:p>
    <w:p w14:paraId="1A86D9FE" w14:textId="2D9CE2DF" w:rsidR="00FF4741" w:rsidRPr="0081623B" w:rsidRDefault="00292B75" w:rsidP="003E55AB">
      <w:pPr>
        <w:widowControl w:val="0"/>
        <w:spacing w:before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tab/>
      </w:r>
      <w:r>
        <w:rPr>
          <w:rFonts w:ascii="Times New Roman" w:hAnsi="Times New Roman"/>
          <w:sz w:val="24"/>
        </w:rPr>
        <w:t xml:space="preserve">A C 71.00-es táblában megadott kiegyensúlyozó </w:t>
      </w:r>
      <w:proofErr w:type="gramStart"/>
      <w:r>
        <w:rPr>
          <w:rFonts w:ascii="Times New Roman" w:hAnsi="Times New Roman"/>
          <w:sz w:val="24"/>
        </w:rPr>
        <w:t>kapacitásnak</w:t>
      </w:r>
      <w:proofErr w:type="gramEnd"/>
      <w:r>
        <w:rPr>
          <w:rFonts w:ascii="Times New Roman" w:hAnsi="Times New Roman"/>
          <w:sz w:val="24"/>
        </w:rPr>
        <w:t xml:space="preserve"> meg kell egyeznie a C 66.01-es táblában feltüntetett adattal, azzal a fenntartással, hogy a C 71.00-es táblában kiegyensúlyozó kapacitásként jelentett eszközöknek meg nem terhelt eszközöknek kell lenniük, amelyek az intézmény rendelkezésére állnak, hogy azokat az adatszolgáltatási vonatkozási időpontban készpénzre válthassa.</w:t>
      </w:r>
    </w:p>
    <w:p w14:paraId="52C95F92" w14:textId="76B8503D" w:rsidR="00EF029F" w:rsidRPr="0081623B" w:rsidRDefault="00292B75" w:rsidP="003E55AB">
      <w:pPr>
        <w:widowControl w:val="0"/>
        <w:spacing w:before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tab/>
      </w:r>
      <w:r>
        <w:rPr>
          <w:rFonts w:ascii="Times New Roman" w:hAnsi="Times New Roman"/>
          <w:sz w:val="24"/>
        </w:rPr>
        <w:t xml:space="preserve">A C 71.00-es adatszolgáltatási táblában feltüntetendő, jelentős pénznemek szerinti </w:t>
      </w:r>
      <w:proofErr w:type="gramStart"/>
      <w:r>
        <w:rPr>
          <w:rFonts w:ascii="Times New Roman" w:hAnsi="Times New Roman"/>
          <w:sz w:val="24"/>
        </w:rPr>
        <w:t>koncentrációk</w:t>
      </w:r>
      <w:proofErr w:type="gramEnd"/>
      <w:r>
        <w:rPr>
          <w:rFonts w:ascii="Times New Roman" w:hAnsi="Times New Roman"/>
          <w:sz w:val="24"/>
        </w:rPr>
        <w:t xml:space="preserve"> kiszámításához az intézményeknek az összes pénznemben megállapított koncentrációt kell használniuk.</w:t>
      </w:r>
    </w:p>
    <w:p w14:paraId="5D592CDE" w14:textId="137C55E0" w:rsidR="0005633D" w:rsidRPr="0081623B" w:rsidRDefault="00292B75" w:rsidP="003E55AB">
      <w:pPr>
        <w:widowControl w:val="0"/>
        <w:spacing w:before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>
        <w:tab/>
      </w:r>
      <w:r>
        <w:rPr>
          <w:rFonts w:ascii="Times New Roman" w:hAnsi="Times New Roman"/>
          <w:sz w:val="24"/>
        </w:rPr>
        <w:t xml:space="preserve">Amennyiben egy kibocsátó vagy partner egymással kapcsolatban álló ügyfelek több csoportjához tartozik, csak egyszer kell jelenteni abban a csoportban, amelyik esetében nagyobb a kiegyensúlyozó </w:t>
      </w:r>
      <w:proofErr w:type="gramStart"/>
      <w:r>
        <w:rPr>
          <w:rFonts w:ascii="Times New Roman" w:hAnsi="Times New Roman"/>
          <w:sz w:val="24"/>
        </w:rPr>
        <w:t>kapacitás</w:t>
      </w:r>
      <w:proofErr w:type="gramEnd"/>
      <w:r>
        <w:rPr>
          <w:rFonts w:ascii="Times New Roman" w:hAnsi="Times New Roman"/>
          <w:sz w:val="24"/>
        </w:rPr>
        <w:t xml:space="preserve"> koncentrációja.</w:t>
      </w:r>
    </w:p>
    <w:p w14:paraId="2C0B2260" w14:textId="17EB1C17" w:rsidR="00CB05F9" w:rsidRPr="0081623B" w:rsidRDefault="00292B75" w:rsidP="003E55AB">
      <w:pPr>
        <w:widowControl w:val="0"/>
        <w:spacing w:before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>
        <w:tab/>
      </w:r>
      <w:r>
        <w:rPr>
          <w:rFonts w:ascii="Times New Roman" w:hAnsi="Times New Roman"/>
          <w:sz w:val="24"/>
        </w:rPr>
        <w:t xml:space="preserve">Amennyiben a kibocsátó vagy partner központi bank, a kiegyensúlyozó </w:t>
      </w:r>
      <w:proofErr w:type="gramStart"/>
      <w:r>
        <w:rPr>
          <w:rFonts w:ascii="Times New Roman" w:hAnsi="Times New Roman"/>
          <w:sz w:val="24"/>
        </w:rPr>
        <w:t>kapacitás</w:t>
      </w:r>
      <w:proofErr w:type="gramEnd"/>
      <w:r>
        <w:rPr>
          <w:rFonts w:ascii="Times New Roman" w:hAnsi="Times New Roman"/>
          <w:sz w:val="24"/>
        </w:rPr>
        <w:t xml:space="preserve"> hozzá tartozó koncentrációját nem kell jelenteni ebben a táblában, csak a 120-as sorban. Abban az esetben, ha egy intézmény valamely központi banknál standard </w:t>
      </w:r>
      <w:proofErr w:type="gramStart"/>
      <w:r>
        <w:rPr>
          <w:rFonts w:ascii="Times New Roman" w:hAnsi="Times New Roman"/>
          <w:sz w:val="24"/>
        </w:rPr>
        <w:t>likviditási</w:t>
      </w:r>
      <w:proofErr w:type="gramEnd"/>
      <w:r>
        <w:rPr>
          <w:rFonts w:ascii="Times New Roman" w:hAnsi="Times New Roman"/>
          <w:sz w:val="24"/>
        </w:rPr>
        <w:t xml:space="preserve"> műveletek céljából előzetesen rendelkezésre bocsátott eszközökkel rendelkezik, és amennyiben ezek az eszközök a meg nem terhelt kiegyensúlyozó kapacitás tíz legfőbb kibocsátója vagy partnere alá tartoznak, az intézmény az eredeti kibocsátót és az eredeti terméktípust tünteti fel.</w:t>
      </w:r>
    </w:p>
    <w:p w14:paraId="423289FA" w14:textId="77777777" w:rsidR="00E05204" w:rsidRPr="0081623B" w:rsidRDefault="00E05204" w:rsidP="003E55AB">
      <w:pPr>
        <w:spacing w:before="0"/>
        <w:rPr>
          <w:rFonts w:ascii="Times New Roman" w:hAnsi="Times New Roman"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7306"/>
      </w:tblGrid>
      <w:tr w:rsidR="00E05204" w:rsidRPr="0081623B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Oszlop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Jogszabályi hivatkozások és útmutató</w:t>
            </w:r>
          </w:p>
        </w:tc>
      </w:tr>
      <w:tr w:rsidR="00E05204" w:rsidRPr="0081623B" w14:paraId="32AA40F1" w14:textId="77777777" w:rsidTr="00845EB1">
        <w:tc>
          <w:tcPr>
            <w:tcW w:w="990" w:type="dxa"/>
          </w:tcPr>
          <w:p w14:paraId="79D5F65E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</w:t>
            </w:r>
          </w:p>
        </w:tc>
        <w:tc>
          <w:tcPr>
            <w:tcW w:w="7306" w:type="dxa"/>
          </w:tcPr>
          <w:p w14:paraId="20597254" w14:textId="73E89BCB" w:rsidR="00E05204" w:rsidRPr="0081623B" w:rsidRDefault="004C1638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Kibocsátó neve</w:t>
            </w:r>
          </w:p>
          <w:p w14:paraId="36B02E7E" w14:textId="56EF9FD1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Az intézmény részére meg nem terhelt eszközöket kibocsátó, illetve le nem hívott, folyósítási kötelezettséget tartalmazó </w:t>
            </w:r>
            <w:proofErr w:type="gramStart"/>
            <w:r>
              <w:rPr>
                <w:rFonts w:ascii="Times New Roman" w:hAnsi="Times New Roman"/>
                <w:sz w:val="24"/>
              </w:rPr>
              <w:t>likviditási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hitelkeretet rendelkezésre tartó tíz legfőbb kibocsátó vagy partner nevét a 010-es oszlopban csökkenő sorrendben kell feltüntetni. A legnagyobb tételt az 1.01-es, a sorrendben utána következőt az 1.02-es sorban kell megadni, és így tovább. Az egymással kapcsolatban álló ügyfelek csoportját alkotó kibocsátókat és partnereket egyetlen </w:t>
            </w:r>
            <w:proofErr w:type="gramStart"/>
            <w:r>
              <w:rPr>
                <w:rFonts w:ascii="Times New Roman" w:hAnsi="Times New Roman"/>
                <w:sz w:val="24"/>
              </w:rPr>
              <w:t>koncentráció</w:t>
            </w:r>
            <w:proofErr w:type="gramEnd"/>
            <w:r>
              <w:rPr>
                <w:rFonts w:ascii="Times New Roman" w:hAnsi="Times New Roman"/>
                <w:sz w:val="24"/>
              </w:rPr>
              <w:t>ként kell megadni.</w:t>
            </w:r>
          </w:p>
          <w:p w14:paraId="4E01B5DA" w14:textId="4F0E946D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A kibocsátó vagy a partner neveként annak a jogi személynek a teljes nevét kell feltüntetni, amely az eszközöket kibocsátotta, illetőleg a </w:t>
            </w:r>
            <w:proofErr w:type="gramStart"/>
            <w:r>
              <w:rPr>
                <w:rFonts w:ascii="Times New Roman" w:hAnsi="Times New Roman"/>
                <w:sz w:val="24"/>
              </w:rPr>
              <w:t>likviditási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hitelkereteket nyújtotta, a nemzeti társasági jognak megfelelő társasági forma megjelölésével együtt.</w:t>
            </w:r>
          </w:p>
        </w:tc>
      </w:tr>
      <w:tr w:rsidR="00E05204" w:rsidRPr="0081623B" w14:paraId="5485249F" w14:textId="77777777" w:rsidTr="00845EB1">
        <w:tc>
          <w:tcPr>
            <w:tcW w:w="990" w:type="dxa"/>
          </w:tcPr>
          <w:p w14:paraId="488A21BC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020</w:t>
            </w:r>
          </w:p>
        </w:tc>
        <w:tc>
          <w:tcPr>
            <w:tcW w:w="7306" w:type="dxa"/>
          </w:tcPr>
          <w:p w14:paraId="763D0E5F" w14:textId="77777777" w:rsidR="00E05204" w:rsidRPr="0081623B" w:rsidRDefault="00E05204" w:rsidP="003E55AB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LEI-kód</w:t>
            </w:r>
          </w:p>
          <w:p w14:paraId="7861A1B2" w14:textId="190A7764" w:rsidR="00E05204" w:rsidRPr="003E55A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Ez a kód a partner jogalany-azonosító kódja.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</w:tr>
      <w:tr w:rsidR="00E05204" w:rsidRPr="0081623B" w14:paraId="2B1BAA00" w14:textId="77777777" w:rsidTr="00845EB1">
        <w:tc>
          <w:tcPr>
            <w:tcW w:w="990" w:type="dxa"/>
          </w:tcPr>
          <w:p w14:paraId="12DAC473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030</w:t>
            </w:r>
          </w:p>
        </w:tc>
        <w:tc>
          <w:tcPr>
            <w:tcW w:w="7306" w:type="dxa"/>
          </w:tcPr>
          <w:p w14:paraId="6DAF3DB3" w14:textId="4B8E1486" w:rsidR="00E05204" w:rsidRPr="0081623B" w:rsidRDefault="004C1638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Kibocsátó ágazata</w:t>
            </w:r>
          </w:p>
          <w:p w14:paraId="62F53B63" w14:textId="27347E6E" w:rsidR="00E05204" w:rsidRPr="003E55AB" w:rsidRDefault="00E05204" w:rsidP="003E55AB">
            <w:pPr>
              <w:pStyle w:val="InstructionsText"/>
              <w:spacing w:after="12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Minden kibocsátóhoz vagy partnerhez ágazatot kell rendelni a FINREP gazdasági ágazatai alapján:</w:t>
            </w:r>
          </w:p>
          <w:p w14:paraId="563180C8" w14:textId="31A14F6F" w:rsidR="00E05204" w:rsidRPr="0081623B" w:rsidRDefault="00E05204" w:rsidP="003E55AB">
            <w:pPr>
              <w:pStyle w:val="InstructionsText"/>
              <w:spacing w:after="12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i. államháztartások; ii. hitelintézetek; iii. egyéb pénzügyi vállalatok; iv. nem pénzügyi vállalatok; v. háztartások. </w:t>
            </w:r>
          </w:p>
          <w:p w14:paraId="3E53ACDF" w14:textId="14712E31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Egymással kapcsolatban álló ügyfelek csoportja esetében nem kell ágazatot feltüntetni. </w:t>
            </w:r>
          </w:p>
        </w:tc>
      </w:tr>
      <w:tr w:rsidR="00E05204" w:rsidRPr="0081623B" w14:paraId="66F40C8E" w14:textId="77777777" w:rsidTr="00845EB1">
        <w:tc>
          <w:tcPr>
            <w:tcW w:w="990" w:type="dxa"/>
          </w:tcPr>
          <w:p w14:paraId="5F55844F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040</w:t>
            </w:r>
          </w:p>
        </w:tc>
        <w:tc>
          <w:tcPr>
            <w:tcW w:w="7306" w:type="dxa"/>
          </w:tcPr>
          <w:p w14:paraId="6EC1C162" w14:textId="488287EA" w:rsidR="00E05204" w:rsidRPr="0081623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Kibocsátó székhelye </w:t>
            </w:r>
          </w:p>
          <w:p w14:paraId="0F33DF35" w14:textId="52A4F552" w:rsidR="00E05204" w:rsidRPr="0081623B" w:rsidRDefault="00E05204" w:rsidP="003E55AB">
            <w:pPr>
              <w:spacing w:before="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 kibocsátó vagy partner bejegyzése szerinti ország ISO 3166-1 alpha-2 kódját kell alkalmazni, ideértve a nemzetközi szervezetek esetében</w:t>
            </w:r>
            <w:r>
              <w:rPr>
                <w:rFonts w:ascii="Times New Roman" w:hAnsi="Times New Roman"/>
                <w:sz w:val="24"/>
              </w:rPr>
              <w:t xml:space="preserve"> az Eurostat fizetésimérleg kézikönyvének legújabb kiadásában található </w:t>
            </w:r>
            <w:proofErr w:type="spellStart"/>
            <w:r>
              <w:rPr>
                <w:rFonts w:ascii="Times New Roman" w:hAnsi="Times New Roman"/>
                <w:sz w:val="24"/>
              </w:rPr>
              <w:t>pszeudo</w:t>
            </w:r>
            <w:proofErr w:type="spellEnd"/>
            <w:r>
              <w:rPr>
                <w:rFonts w:ascii="Times New Roman" w:hAnsi="Times New Roman"/>
                <w:sz w:val="24"/>
              </w:rPr>
              <w:t>-ISO kódokat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60598FF1" w14:textId="5505D19C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Kapcsolatban álló ügyfelek csoportjai esetében nem kell országot megadni. </w:t>
            </w:r>
          </w:p>
        </w:tc>
      </w:tr>
      <w:tr w:rsidR="00E05204" w:rsidRPr="0081623B" w14:paraId="0F08D697" w14:textId="77777777" w:rsidTr="00845EB1">
        <w:tc>
          <w:tcPr>
            <w:tcW w:w="990" w:type="dxa"/>
          </w:tcPr>
          <w:p w14:paraId="3B929507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050</w:t>
            </w:r>
          </w:p>
        </w:tc>
        <w:tc>
          <w:tcPr>
            <w:tcW w:w="7306" w:type="dxa"/>
          </w:tcPr>
          <w:p w14:paraId="016C0789" w14:textId="77777777" w:rsidR="00E05204" w:rsidRPr="0081623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Terméktípus</w:t>
            </w:r>
          </w:p>
          <w:p w14:paraId="7DC48699" w14:textId="3405D5A6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 010-es oszlopban feltüntetett kibocsátókhoz/partnerekhez terméktípust kell rendelni annak a terméknek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megfelelően</w:t>
            </w:r>
            <w:r>
              <w:rPr>
                <w:rFonts w:ascii="Times New Roman" w:hAnsi="Times New Roman"/>
                <w:sz w:val="24"/>
              </w:rPr>
              <w:t xml:space="preserve">, amelyben az intézmény az eszközt tartja, vagy amelyben a készenléti </w:t>
            </w:r>
            <w:proofErr w:type="gramStart"/>
            <w:r>
              <w:rPr>
                <w:rFonts w:ascii="Times New Roman" w:hAnsi="Times New Roman"/>
                <w:sz w:val="24"/>
              </w:rPr>
              <w:t>likviditási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hitelkeretet a rendelkezésére bocsátották, az alábbi félkövérrel kiemelt kódok alkalmazásával:</w:t>
            </w:r>
          </w:p>
          <w:p w14:paraId="1CB9AEA2" w14:textId="6EDC6F2E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bookmarkStart w:id="0" w:name="OLE_LINK1"/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SrB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előresorolt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kötvény) </w:t>
            </w:r>
          </w:p>
          <w:p w14:paraId="6ADB0D10" w14:textId="7357AEF5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SubB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alárendelt</w:t>
            </w:r>
            <w:r>
              <w:rPr>
                <w:rFonts w:ascii="Times New Roman" w:hAnsi="Times New Roman"/>
                <w:sz w:val="24"/>
              </w:rPr>
              <w:t xml:space="preserve"> kötvény)</w:t>
            </w:r>
          </w:p>
          <w:p w14:paraId="08EFBEC2" w14:textId="5FF6EE23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CP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kereskedelmi</w:t>
            </w:r>
            <w:r>
              <w:rPr>
                <w:rFonts w:ascii="Times New Roman" w:hAnsi="Times New Roman"/>
                <w:sz w:val="24"/>
              </w:rPr>
              <w:t xml:space="preserve"> értékpapír)</w:t>
            </w:r>
          </w:p>
          <w:p w14:paraId="71AB267C" w14:textId="2722007C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CB</w:t>
            </w:r>
            <w:r>
              <w:rPr>
                <w:rFonts w:ascii="Times New Roman" w:hAnsi="Times New Roman"/>
                <w:sz w:val="24"/>
              </w:rPr>
              <w:t xml:space="preserve"> (fedezett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kötvény</w:t>
            </w:r>
            <w:r>
              <w:rPr>
                <w:rFonts w:ascii="Times New Roman" w:hAnsi="Times New Roman"/>
                <w:sz w:val="24"/>
              </w:rPr>
              <w:t xml:space="preserve">) </w:t>
            </w:r>
          </w:p>
          <w:p w14:paraId="16004F55" w14:textId="4EBDEEC7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US</w:t>
            </w:r>
            <w:r>
              <w:rPr>
                <w:rFonts w:ascii="Times New Roman" w:hAnsi="Times New Roman"/>
                <w:sz w:val="24"/>
              </w:rPr>
              <w:t xml:space="preserve"> (ÁÉKBV-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értékpapír</w:t>
            </w:r>
            <w:r>
              <w:rPr>
                <w:rFonts w:ascii="Times New Roman" w:hAnsi="Times New Roman"/>
                <w:sz w:val="24"/>
              </w:rPr>
              <w:t xml:space="preserve">, azaz átruházható értékpapírokkal foglalkozó </w:t>
            </w:r>
            <w:proofErr w:type="gramStart"/>
            <w:r>
              <w:rPr>
                <w:rFonts w:ascii="Times New Roman" w:hAnsi="Times New Roman"/>
                <w:sz w:val="24"/>
              </w:rPr>
              <w:t>kollektív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befektetési vállalkozásban meglévő részesedést megtestesítő vagy ilyen vállalkozás által kibocsátott pénzügyi instrumentum)</w:t>
            </w:r>
          </w:p>
          <w:p w14:paraId="2E54EB88" w14:textId="73B3ACBF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ABS</w:t>
            </w:r>
            <w:r>
              <w:rPr>
                <w:rFonts w:ascii="Times New Roman" w:hAnsi="Times New Roman"/>
                <w:sz w:val="24"/>
              </w:rPr>
              <w:t xml:space="preserve"> (eszközfedezetű értékpapír)</w:t>
            </w:r>
          </w:p>
          <w:p w14:paraId="47B806DE" w14:textId="0B534D77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CrCl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hitelkövetelés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14:paraId="77F497F4" w14:textId="220D3D3A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Eq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részvény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14:paraId="3F4E3AAB" w14:textId="5007592A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Arany</w:t>
            </w:r>
            <w:r>
              <w:rPr>
                <w:rFonts w:ascii="Times New Roman" w:hAnsi="Times New Roman"/>
                <w:sz w:val="24"/>
              </w:rPr>
              <w:t xml:space="preserve"> (amennyiben fizikailag létező arany, amely egyetlen partnerként kezelhető)</w:t>
            </w:r>
          </w:p>
          <w:p w14:paraId="6AE61C73" w14:textId="026D514D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</w:rPr>
              <w:t>LiqL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(az intézmény rendelkezésére tartott,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le nem hívott</w:t>
            </w:r>
            <w:r>
              <w:rPr>
                <w:rFonts w:ascii="Times New Roman" w:hAnsi="Times New Roman"/>
                <w:sz w:val="24"/>
              </w:rPr>
              <w:t xml:space="preserve">, folyósítási kötelezettséget tartalmazó </w:t>
            </w:r>
            <w:proofErr w:type="gramStart"/>
            <w:r>
              <w:rPr>
                <w:rFonts w:ascii="Times New Roman" w:hAnsi="Times New Roman"/>
                <w:sz w:val="24"/>
              </w:rPr>
              <w:t>likviditási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hitelkeret)</w:t>
            </w:r>
          </w:p>
          <w:p w14:paraId="23B5C30F" w14:textId="792C14AB" w:rsidR="00E05204" w:rsidRPr="00751249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/>
                <w:b/>
                <w:sz w:val="24"/>
              </w:rPr>
            </w:pPr>
            <w:r w:rsidRPr="00751249">
              <w:rPr>
                <w:rFonts w:ascii="Times New Roman" w:hAnsi="Times New Roman"/>
                <w:b/>
                <w:sz w:val="24"/>
              </w:rPr>
              <w:t>OPT</w:t>
            </w:r>
            <w:r w:rsidRPr="00751249">
              <w:rPr>
                <w:rFonts w:ascii="Times New Roman" w:hAnsi="Times New Roman"/>
                <w:sz w:val="24"/>
              </w:rPr>
              <w:t xml:space="preserve"> (</w:t>
            </w:r>
            <w:r w:rsidRPr="00751249">
              <w:rPr>
                <w:rStyle w:val="FormatvorlageInstructionsTabelleText"/>
                <w:rFonts w:ascii="Times New Roman" w:hAnsi="Times New Roman"/>
                <w:sz w:val="24"/>
              </w:rPr>
              <w:t>egyéb</w:t>
            </w:r>
            <w:r w:rsidRPr="00751249">
              <w:rPr>
                <w:rFonts w:ascii="Times New Roman" w:hAnsi="Times New Roman"/>
                <w:sz w:val="24"/>
              </w:rPr>
              <w:t xml:space="preserve"> terméktípus)</w:t>
            </w:r>
            <w:bookmarkEnd w:id="0"/>
            <w:r w:rsidRPr="00751249">
              <w:rPr>
                <w:rFonts w:ascii="Times New Roman" w:hAnsi="Times New Roman"/>
                <w:sz w:val="24"/>
              </w:rPr>
              <w:t>.</w:t>
            </w:r>
          </w:p>
        </w:tc>
      </w:tr>
      <w:tr w:rsidR="00E05204" w:rsidRPr="0081623B" w14:paraId="4C932A7E" w14:textId="77777777" w:rsidTr="00845EB1">
        <w:tc>
          <w:tcPr>
            <w:tcW w:w="990" w:type="dxa"/>
          </w:tcPr>
          <w:p w14:paraId="611D24E9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060</w:t>
            </w:r>
          </w:p>
        </w:tc>
        <w:tc>
          <w:tcPr>
            <w:tcW w:w="7306" w:type="dxa"/>
          </w:tcPr>
          <w:p w14:paraId="361DF87B" w14:textId="77777777" w:rsidR="00E05204" w:rsidRPr="0081623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Pénznem</w:t>
            </w:r>
          </w:p>
          <w:p w14:paraId="1D458B95" w14:textId="65954469" w:rsidR="00C05CCA" w:rsidRPr="0081623B" w:rsidRDefault="004C163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A 010-es oszlopban feltüntetett kibocsátókhoz vagy partnerekhez a 060-as oszlopban ISO-pénznemkódot kell rendelni a kapott eszköz vagy az intézmény rendelkezésére tartott, le nem hívott, folyósítási kötelezettséget tartalmazó </w:t>
            </w:r>
            <w:proofErr w:type="gramStart"/>
            <w:r>
              <w:rPr>
                <w:rFonts w:ascii="Times New Roman" w:hAnsi="Times New Roman"/>
                <w:sz w:val="24"/>
              </w:rPr>
              <w:t>likviditási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hitelkeret pénznemének megfelelően. Az ISO 4217 szerinti hárombetűs pénznemkódot kell megadni. </w:t>
            </w:r>
          </w:p>
          <w:p w14:paraId="74611C9A" w14:textId="73FE19CB" w:rsidR="00774708" w:rsidRPr="0081623B" w:rsidRDefault="00047ECB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Amennyiben a kiegyensúlyozó </w:t>
            </w:r>
            <w:proofErr w:type="gramStart"/>
            <w:r>
              <w:rPr>
                <w:rFonts w:ascii="Times New Roman" w:hAnsi="Times New Roman"/>
                <w:sz w:val="24"/>
              </w:rPr>
              <w:t>kapacitás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koncentrációjához többdevizás hitelkeret is tartozik, a keretet abban a pénznemben kell figyelembe venni, amely a koncentráció fennmaradó részében meghatározó. Az 575/2013/EU rendelet 415. cikkének (2) bekezdésében meghatározott, a jelentős pénznemekre vonatkozó külön adatszolgáltatás tekintetében az intézmények értékelik a pénznemet, amelyben az áramlásra várhatóan sor kerül, és a tételt csak ebben a jelentős pénznemben adják meg, összhangban az LCR jelentős pénznemekben való külön adatszolgáltatásra vonatkozó utasításaival, az (EU) 2016/322 rendeletnek megfelelően.</w:t>
            </w:r>
          </w:p>
        </w:tc>
      </w:tr>
      <w:tr w:rsidR="00E05204" w:rsidRPr="0081623B" w14:paraId="73A43F51" w14:textId="77777777" w:rsidTr="00845EB1">
        <w:tc>
          <w:tcPr>
            <w:tcW w:w="990" w:type="dxa"/>
          </w:tcPr>
          <w:p w14:paraId="44D208DA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070</w:t>
            </w:r>
          </w:p>
        </w:tc>
        <w:tc>
          <w:tcPr>
            <w:tcW w:w="7306" w:type="dxa"/>
          </w:tcPr>
          <w:p w14:paraId="48AA6E4F" w14:textId="77777777" w:rsidR="00E05204" w:rsidRPr="0081623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Hitelminőségi besorolás</w:t>
            </w:r>
          </w:p>
          <w:p w14:paraId="692CB839" w14:textId="1EE45EF0" w:rsidR="00E05204" w:rsidRPr="0081623B" w:rsidRDefault="00966F82" w:rsidP="00751249">
            <w:pPr>
              <w:spacing w:before="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Az 575/2013/EU rendelet szerinti megfelelő hitelminőségi besorolást kell megadni, amelynek meg kell egyeznie a tételek lejárati 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</w:rPr>
              <w:t xml:space="preserve">táblában megadott hitelminőségi besorolásával. Amennyiben nincs minősítés, a „nem minősített” </w:t>
            </w:r>
            <w:proofErr w:type="gramStart"/>
            <w:r>
              <w:rPr>
                <w:rFonts w:ascii="Times New Roman" w:hAnsi="Times New Roman"/>
                <w:sz w:val="24"/>
              </w:rPr>
              <w:t>kategóriát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kell megadni.</w:t>
            </w:r>
          </w:p>
        </w:tc>
      </w:tr>
      <w:tr w:rsidR="00E05204" w:rsidRPr="0081623B" w14:paraId="2461383F" w14:textId="77777777" w:rsidTr="00845EB1">
        <w:tc>
          <w:tcPr>
            <w:tcW w:w="990" w:type="dxa"/>
          </w:tcPr>
          <w:p w14:paraId="7F1DF3BE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080</w:t>
            </w:r>
          </w:p>
        </w:tc>
        <w:tc>
          <w:tcPr>
            <w:tcW w:w="7306" w:type="dxa"/>
          </w:tcPr>
          <w:p w14:paraId="3B1CC0D3" w14:textId="77777777" w:rsidR="00E05204" w:rsidRPr="0081623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Piaci érték/névérték</w:t>
            </w:r>
          </w:p>
          <w:p w14:paraId="78CE7B68" w14:textId="7B52544C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Az eszközök piaci értéke vagy valós értéke, illetve – adott esetben – az intézménynek nyújtott, le nem hívott </w:t>
            </w:r>
            <w:proofErr w:type="gramStart"/>
            <w:r>
              <w:rPr>
                <w:rFonts w:ascii="Times New Roman" w:hAnsi="Times New Roman"/>
                <w:sz w:val="24"/>
              </w:rPr>
              <w:t>likviditási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hitelkeret névértéke. </w:t>
            </w:r>
          </w:p>
        </w:tc>
      </w:tr>
      <w:tr w:rsidR="00E05204" w:rsidRPr="0081623B" w14:paraId="74EA2D80" w14:textId="77777777" w:rsidTr="00845EB1">
        <w:tc>
          <w:tcPr>
            <w:tcW w:w="990" w:type="dxa"/>
          </w:tcPr>
          <w:p w14:paraId="40B79F48" w14:textId="77777777" w:rsidR="00E05204" w:rsidRPr="0081623B" w:rsidRDefault="00125C48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090</w:t>
            </w:r>
          </w:p>
        </w:tc>
        <w:tc>
          <w:tcPr>
            <w:tcW w:w="7306" w:type="dxa"/>
          </w:tcPr>
          <w:p w14:paraId="5F665131" w14:textId="77777777" w:rsidR="00E05204" w:rsidRPr="0081623B" w:rsidRDefault="00E05204" w:rsidP="003E55AB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Központi bank által elfogadható biztosítéki érték</w:t>
            </w:r>
          </w:p>
          <w:p w14:paraId="507C4FE8" w14:textId="2078D53B" w:rsidR="00E05204" w:rsidRPr="0081623B" w:rsidRDefault="00E0520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Az adott eszközöknek a jegybanki rendelkezésre állás szabályai szerint megállapított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biztosítéki</w:t>
            </w:r>
            <w:r>
              <w:rPr>
                <w:rFonts w:ascii="Times New Roman" w:hAnsi="Times New Roman"/>
                <w:sz w:val="24"/>
              </w:rPr>
              <w:t xml:space="preserve"> értéke.</w:t>
            </w:r>
          </w:p>
          <w:p w14:paraId="4C124B93" w14:textId="3D1AA419" w:rsidR="00BA0551" w:rsidRPr="0081623B" w:rsidRDefault="00B457F4" w:rsidP="003E55AB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Az (EU) 2015/233 rendeletben szereplő olyan pénznemben denominált eszközök esetében, amelynek tekintetében rendkívül szűk a központi bank által elfogadható </w:t>
            </w:r>
            <w:proofErr w:type="spellStart"/>
            <w:r>
              <w:rPr>
                <w:rFonts w:ascii="Times New Roman" w:hAnsi="Times New Roman"/>
                <w:sz w:val="24"/>
              </w:rPr>
              <w:t>fedezetek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köre, a mezőt üresen kell hagyni.</w:t>
            </w:r>
          </w:p>
        </w:tc>
      </w:tr>
    </w:tbl>
    <w:p w14:paraId="56E0854E" w14:textId="56990862" w:rsidR="00D02FE4" w:rsidRPr="003E55AB" w:rsidRDefault="00D02FE4" w:rsidP="003E55AB">
      <w:pPr>
        <w:pStyle w:val="InstructionsText"/>
        <w:spacing w:after="120"/>
        <w:rPr>
          <w:rStyle w:val="InstructionsTabelleText"/>
          <w:rFonts w:ascii="Times New Roman" w:hAnsi="Times New Roman"/>
          <w:b/>
          <w:sz w:val="24"/>
        </w:rPr>
      </w:pPr>
    </w:p>
    <w:sectPr w:rsidR="00D02FE4" w:rsidRPr="003E55AB" w:rsidSect="001C50E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29E81FB8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1249">
          <w:rPr>
            <w:noProof/>
          </w:rPr>
          <w:t>3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3972CC0D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1249">
          <w:rPr>
            <w:noProof/>
          </w:rPr>
          <w:t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DA46" w14:textId="77777777" w:rsidR="00B85053" w:rsidRDefault="00B85053" w:rsidP="00CB3679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4103" w14:textId="77777777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31250521"/>
    <w:multiLevelType w:val="hybridMultilevel"/>
    <w:tmpl w:val="DFE4B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136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55AB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38F5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219"/>
    <w:rsid w:val="00672329"/>
    <w:rsid w:val="00672684"/>
    <w:rsid w:val="00672B1B"/>
    <w:rsid w:val="006761DC"/>
    <w:rsid w:val="00680437"/>
    <w:rsid w:val="00680CBC"/>
    <w:rsid w:val="00681960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249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623B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357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575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11B2"/>
    <w:rsid w:val="00DC139C"/>
    <w:rsid w:val="00DC1D2D"/>
    <w:rsid w:val="00DC20BD"/>
    <w:rsid w:val="00DC29A9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15F5D04F"/>
  <w15:docId w15:val="{499A08ED-D142-4EED-8F03-08BADD85C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hu-HU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hu-HU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hu-HU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hu-HU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hu-HU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hu-HU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hu-H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hu-HU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hu-HU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hu-HU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eastAsia="fr-FR"/>
    </w:rPr>
  </w:style>
  <w:style w:type="table" w:styleId="TableGrid">
    <w:name w:val="Table Grid"/>
    <w:basedOn w:val="TableNormal"/>
    <w:uiPriority w:val="59"/>
    <w:rsid w:val="00E052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hu-HU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0953A-D938-403F-8D2A-15B9F91C34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415F6D-169F-4616-84CD-DB6D1DC5D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751</Words>
  <Characters>5534</Characters>
  <Application>Microsoft Office Word</Application>
  <DocSecurity>0</DocSecurity>
  <Lines>134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GORDOS Agnes (DGT)</cp:lastModifiedBy>
  <cp:revision>6</cp:revision>
  <cp:lastPrinted>2014-06-12T12:55:00Z</cp:lastPrinted>
  <dcterms:created xsi:type="dcterms:W3CDTF">2020-10-01T13:01:00Z</dcterms:created>
  <dcterms:modified xsi:type="dcterms:W3CDTF">2020-12-14T09:39:00Z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gFAAXJDLFUo5N7unGP9kUBbqvhLQIJscQnjJY4xD+dGpziffwBYUZ621pbLrBPs/WcwN0tcAGQtHvCFM_x000d_
3T/x091d1AWUwMNDdE/Av0CQqYk2Hg/F4Nh6coUUsSD+Tsg4a5ZJenvs72R3+1eLh12dR8xbcXWv_x000d_
K5+xf2hCyazLXhs9NmyqwQNZRDQ2BALi6j02xnsO2ZBYnEuDLhVHmhIl+CEZ9Mda6DOmAr5HhIA0_x000d_
YnlSqt8jOWdj4Tyg8</vt:lpwstr>
  </property>
  <property fmtid="{D5CDD505-2E9C-101B-9397-08002B2CF9AE}" pid="3" name="MAIL_MSG_ID2">
    <vt:lpwstr>WJ8XpAoQxKdbXxCn1bR9Z6fxKZW95BRMdMhhT7m/8Ejv14Oa89m9ZgLkNVM_x000d_
Ussb5/SdsbiPhKK0JA2MqwXAHnFG/VSBfRjOzA==</vt:lpwstr>
  </property>
  <property fmtid="{D5CDD505-2E9C-101B-9397-08002B2CF9AE}" pid="4" name="RESPONSE_SENDER_NAME">
    <vt:lpwstr>sAAA4E8dREqJqIqQ8043TmSfpK2Y3z+Vu+xReiKSeWwV8v0=</vt:lpwstr>
  </property>
  <property fmtid="{D5CDD505-2E9C-101B-9397-08002B2CF9AE}" pid="5" name="EMAIL_OWNER_ADDRESS">
    <vt:lpwstr>4AAAyjQjm0EOGgLdpxEAuTOStZAPJflHB1hBCjK4hju38YpqEB5SAx5tcA==</vt:lpwstr>
  </property>
  <property fmtid="{D5CDD505-2E9C-101B-9397-08002B2CF9AE}" pid="6" name="_NewReviewCycle">
    <vt:lpwstr/>
  </property>
</Properties>
</file>