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XXVII PRIEDAS</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NURODYMAI DĖL INFORMACIJOS TEIKIMO G-SII REZERVO NORMŲ NUSTATYMO IR PASKYRIMO TIKSLAIS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Turinys</w:t>
      </w:r>
    </w:p>
    <w:p w14:paraId="5EF98F28" w14:textId="391C66E6" w:rsidR="0027626D"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758341" w:history="1">
        <w:r w:rsidR="0027626D" w:rsidRPr="009778A5">
          <w:rPr>
            <w:rStyle w:val="Hyperlink"/>
          </w:rPr>
          <w:t>I DALIS. BENDRIEJI NURODYMAI</w:t>
        </w:r>
        <w:r w:rsidR="0027626D">
          <w:rPr>
            <w:webHidden/>
          </w:rPr>
          <w:tab/>
        </w:r>
        <w:r w:rsidR="0027626D">
          <w:rPr>
            <w:webHidden/>
          </w:rPr>
          <w:fldChar w:fldCharType="begin"/>
        </w:r>
        <w:r w:rsidR="0027626D">
          <w:rPr>
            <w:webHidden/>
          </w:rPr>
          <w:instrText xml:space="preserve"> PAGEREF _Toc58758341 \h </w:instrText>
        </w:r>
        <w:r w:rsidR="0027626D">
          <w:rPr>
            <w:webHidden/>
          </w:rPr>
        </w:r>
        <w:r w:rsidR="0027626D">
          <w:rPr>
            <w:webHidden/>
          </w:rPr>
          <w:fldChar w:fldCharType="separate"/>
        </w:r>
        <w:r w:rsidR="0027626D">
          <w:rPr>
            <w:webHidden/>
          </w:rPr>
          <w:t>2</w:t>
        </w:r>
        <w:r w:rsidR="0027626D">
          <w:rPr>
            <w:webHidden/>
          </w:rPr>
          <w:fldChar w:fldCharType="end"/>
        </w:r>
      </w:hyperlink>
    </w:p>
    <w:p w14:paraId="26F5E898" w14:textId="620812FA" w:rsidR="0027626D" w:rsidRDefault="00F62F4E">
      <w:pPr>
        <w:pStyle w:val="TOC2"/>
        <w:rPr>
          <w:rFonts w:asciiTheme="minorHAnsi" w:eastAsiaTheme="minorEastAsia" w:hAnsiTheme="minorHAnsi" w:cstheme="minorBidi"/>
          <w:b w:val="0"/>
          <w:smallCaps w:val="0"/>
          <w:sz w:val="22"/>
          <w:lang w:val="en-US"/>
        </w:rPr>
      </w:pPr>
      <w:hyperlink w:anchor="_Toc58758342" w:history="1">
        <w:r w:rsidR="0027626D" w:rsidRPr="009778A5">
          <w:rPr>
            <w:rStyle w:val="Hyperlink"/>
          </w:rPr>
          <w:t>1.1</w:t>
        </w:r>
        <w:r w:rsidR="0027626D">
          <w:rPr>
            <w:rFonts w:asciiTheme="minorHAnsi" w:eastAsiaTheme="minorEastAsia" w:hAnsiTheme="minorHAnsi" w:cstheme="minorBidi"/>
            <w:b w:val="0"/>
            <w:smallCaps w:val="0"/>
            <w:sz w:val="22"/>
            <w:lang w:val="en-US"/>
          </w:rPr>
          <w:tab/>
        </w:r>
        <w:r w:rsidR="0027626D" w:rsidRPr="009778A5">
          <w:rPr>
            <w:rStyle w:val="Hyperlink"/>
          </w:rPr>
          <w:t>1. Struktūra ir tvarka</w:t>
        </w:r>
        <w:r w:rsidR="0027626D">
          <w:rPr>
            <w:webHidden/>
          </w:rPr>
          <w:tab/>
        </w:r>
        <w:r w:rsidR="0027626D">
          <w:rPr>
            <w:webHidden/>
          </w:rPr>
          <w:fldChar w:fldCharType="begin"/>
        </w:r>
        <w:r w:rsidR="0027626D">
          <w:rPr>
            <w:webHidden/>
          </w:rPr>
          <w:instrText xml:space="preserve"> PAGEREF _Toc58758342 \h </w:instrText>
        </w:r>
        <w:r w:rsidR="0027626D">
          <w:rPr>
            <w:webHidden/>
          </w:rPr>
        </w:r>
        <w:r w:rsidR="0027626D">
          <w:rPr>
            <w:webHidden/>
          </w:rPr>
          <w:fldChar w:fldCharType="separate"/>
        </w:r>
        <w:r w:rsidR="0027626D">
          <w:rPr>
            <w:webHidden/>
          </w:rPr>
          <w:t>2</w:t>
        </w:r>
        <w:r w:rsidR="0027626D">
          <w:rPr>
            <w:webHidden/>
          </w:rPr>
          <w:fldChar w:fldCharType="end"/>
        </w:r>
      </w:hyperlink>
    </w:p>
    <w:p w14:paraId="42E8DABF" w14:textId="5F5F7A5B" w:rsidR="0027626D" w:rsidRDefault="00F62F4E">
      <w:pPr>
        <w:pStyle w:val="TOC2"/>
        <w:rPr>
          <w:rFonts w:asciiTheme="minorHAnsi" w:eastAsiaTheme="minorEastAsia" w:hAnsiTheme="minorHAnsi" w:cstheme="minorBidi"/>
          <w:b w:val="0"/>
          <w:smallCaps w:val="0"/>
          <w:sz w:val="22"/>
          <w:lang w:val="en-US"/>
        </w:rPr>
      </w:pPr>
      <w:hyperlink w:anchor="_Toc58758343" w:history="1">
        <w:r w:rsidR="0027626D" w:rsidRPr="009778A5">
          <w:rPr>
            <w:rStyle w:val="Hyperlink"/>
          </w:rPr>
          <w:t>2.1</w:t>
        </w:r>
        <w:r w:rsidR="0027626D">
          <w:rPr>
            <w:rFonts w:asciiTheme="minorHAnsi" w:eastAsiaTheme="minorEastAsia" w:hAnsiTheme="minorHAnsi" w:cstheme="minorBidi"/>
            <w:b w:val="0"/>
            <w:smallCaps w:val="0"/>
            <w:sz w:val="22"/>
            <w:lang w:val="en-US"/>
          </w:rPr>
          <w:tab/>
        </w:r>
        <w:r w:rsidR="0027626D" w:rsidRPr="009778A5">
          <w:rPr>
            <w:rStyle w:val="Hyperlink"/>
          </w:rPr>
          <w:t>1.1. Struktūra</w:t>
        </w:r>
        <w:r w:rsidR="0027626D">
          <w:rPr>
            <w:webHidden/>
          </w:rPr>
          <w:tab/>
        </w:r>
        <w:r w:rsidR="0027626D">
          <w:rPr>
            <w:webHidden/>
          </w:rPr>
          <w:fldChar w:fldCharType="begin"/>
        </w:r>
        <w:r w:rsidR="0027626D">
          <w:rPr>
            <w:webHidden/>
          </w:rPr>
          <w:instrText xml:space="preserve"> PAGEREF _Toc58758343 \h </w:instrText>
        </w:r>
        <w:r w:rsidR="0027626D">
          <w:rPr>
            <w:webHidden/>
          </w:rPr>
        </w:r>
        <w:r w:rsidR="0027626D">
          <w:rPr>
            <w:webHidden/>
          </w:rPr>
          <w:fldChar w:fldCharType="separate"/>
        </w:r>
        <w:r w:rsidR="0027626D">
          <w:rPr>
            <w:webHidden/>
          </w:rPr>
          <w:t>2</w:t>
        </w:r>
        <w:r w:rsidR="0027626D">
          <w:rPr>
            <w:webHidden/>
          </w:rPr>
          <w:fldChar w:fldCharType="end"/>
        </w:r>
      </w:hyperlink>
    </w:p>
    <w:p w14:paraId="7A1CAED2" w14:textId="2DB7BBEE" w:rsidR="0027626D" w:rsidRDefault="00F62F4E">
      <w:pPr>
        <w:pStyle w:val="TOC2"/>
        <w:rPr>
          <w:rFonts w:asciiTheme="minorHAnsi" w:eastAsiaTheme="minorEastAsia" w:hAnsiTheme="minorHAnsi" w:cstheme="minorBidi"/>
          <w:b w:val="0"/>
          <w:smallCaps w:val="0"/>
          <w:sz w:val="22"/>
          <w:lang w:val="en-US"/>
        </w:rPr>
      </w:pPr>
      <w:hyperlink w:anchor="_Toc58758344" w:history="1">
        <w:r w:rsidR="0027626D" w:rsidRPr="009778A5">
          <w:rPr>
            <w:rStyle w:val="Hyperlink"/>
          </w:rPr>
          <w:t>3.1</w:t>
        </w:r>
        <w:r w:rsidR="0027626D">
          <w:rPr>
            <w:rFonts w:asciiTheme="minorHAnsi" w:eastAsiaTheme="minorEastAsia" w:hAnsiTheme="minorHAnsi" w:cstheme="minorBidi"/>
            <w:b w:val="0"/>
            <w:smallCaps w:val="0"/>
            <w:sz w:val="22"/>
            <w:lang w:val="en-US"/>
          </w:rPr>
          <w:tab/>
        </w:r>
        <w:r w:rsidR="0027626D" w:rsidRPr="009778A5">
          <w:rPr>
            <w:rStyle w:val="Hyperlink"/>
          </w:rPr>
          <w:t>1.2. Numeravimo tvarka</w:t>
        </w:r>
        <w:r w:rsidR="0027626D">
          <w:rPr>
            <w:webHidden/>
          </w:rPr>
          <w:tab/>
        </w:r>
        <w:r w:rsidR="0027626D">
          <w:rPr>
            <w:webHidden/>
          </w:rPr>
          <w:fldChar w:fldCharType="begin"/>
        </w:r>
        <w:r w:rsidR="0027626D">
          <w:rPr>
            <w:webHidden/>
          </w:rPr>
          <w:instrText xml:space="preserve"> PAGEREF _Toc58758344 \h </w:instrText>
        </w:r>
        <w:r w:rsidR="0027626D">
          <w:rPr>
            <w:webHidden/>
          </w:rPr>
        </w:r>
        <w:r w:rsidR="0027626D">
          <w:rPr>
            <w:webHidden/>
          </w:rPr>
          <w:fldChar w:fldCharType="separate"/>
        </w:r>
        <w:r w:rsidR="0027626D">
          <w:rPr>
            <w:webHidden/>
          </w:rPr>
          <w:t>2</w:t>
        </w:r>
        <w:r w:rsidR="0027626D">
          <w:rPr>
            <w:webHidden/>
          </w:rPr>
          <w:fldChar w:fldCharType="end"/>
        </w:r>
      </w:hyperlink>
    </w:p>
    <w:p w14:paraId="396B9B89" w14:textId="5863F8DC" w:rsidR="0027626D" w:rsidRDefault="00F62F4E">
      <w:pPr>
        <w:pStyle w:val="TOC2"/>
        <w:rPr>
          <w:rFonts w:asciiTheme="minorHAnsi" w:eastAsiaTheme="minorEastAsia" w:hAnsiTheme="minorHAnsi" w:cstheme="minorBidi"/>
          <w:b w:val="0"/>
          <w:smallCaps w:val="0"/>
          <w:sz w:val="22"/>
          <w:lang w:val="en-US"/>
        </w:rPr>
      </w:pPr>
      <w:hyperlink w:anchor="_Toc58758345" w:history="1">
        <w:r w:rsidR="0027626D" w:rsidRPr="009778A5">
          <w:rPr>
            <w:rStyle w:val="Hyperlink"/>
          </w:rPr>
          <w:t>4.1</w:t>
        </w:r>
        <w:r w:rsidR="0027626D">
          <w:rPr>
            <w:rFonts w:asciiTheme="minorHAnsi" w:eastAsiaTheme="minorEastAsia" w:hAnsiTheme="minorHAnsi" w:cstheme="minorBidi"/>
            <w:b w:val="0"/>
            <w:smallCaps w:val="0"/>
            <w:sz w:val="22"/>
            <w:lang w:val="en-US"/>
          </w:rPr>
          <w:tab/>
        </w:r>
        <w:r w:rsidR="0027626D" w:rsidRPr="009778A5">
          <w:rPr>
            <w:rStyle w:val="Hyperlink"/>
          </w:rPr>
          <w:t>1.3. Ženklų tvarka</w:t>
        </w:r>
        <w:r w:rsidR="0027626D">
          <w:rPr>
            <w:webHidden/>
          </w:rPr>
          <w:tab/>
        </w:r>
        <w:r w:rsidR="0027626D">
          <w:rPr>
            <w:webHidden/>
          </w:rPr>
          <w:fldChar w:fldCharType="begin"/>
        </w:r>
        <w:r w:rsidR="0027626D">
          <w:rPr>
            <w:webHidden/>
          </w:rPr>
          <w:instrText xml:space="preserve"> PAGEREF _Toc58758345 \h </w:instrText>
        </w:r>
        <w:r w:rsidR="0027626D">
          <w:rPr>
            <w:webHidden/>
          </w:rPr>
        </w:r>
        <w:r w:rsidR="0027626D">
          <w:rPr>
            <w:webHidden/>
          </w:rPr>
          <w:fldChar w:fldCharType="separate"/>
        </w:r>
        <w:r w:rsidR="0027626D">
          <w:rPr>
            <w:webHidden/>
          </w:rPr>
          <w:t>2</w:t>
        </w:r>
        <w:r w:rsidR="0027626D">
          <w:rPr>
            <w:webHidden/>
          </w:rPr>
          <w:fldChar w:fldCharType="end"/>
        </w:r>
      </w:hyperlink>
    </w:p>
    <w:p w14:paraId="703AAA50" w14:textId="3157CD00" w:rsidR="0027626D" w:rsidRDefault="00F62F4E">
      <w:pPr>
        <w:pStyle w:val="TOC2"/>
        <w:rPr>
          <w:rFonts w:asciiTheme="minorHAnsi" w:eastAsiaTheme="minorEastAsia" w:hAnsiTheme="minorHAnsi" w:cstheme="minorBidi"/>
          <w:b w:val="0"/>
          <w:smallCaps w:val="0"/>
          <w:sz w:val="22"/>
          <w:lang w:val="en-US"/>
        </w:rPr>
      </w:pPr>
      <w:hyperlink w:anchor="_Toc58758346" w:history="1">
        <w:r w:rsidR="0027626D" w:rsidRPr="009778A5">
          <w:rPr>
            <w:rStyle w:val="Hyperlink"/>
          </w:rPr>
          <w:t>5.1</w:t>
        </w:r>
        <w:r w:rsidR="0027626D">
          <w:rPr>
            <w:rFonts w:asciiTheme="minorHAnsi" w:eastAsiaTheme="minorEastAsia" w:hAnsiTheme="minorHAnsi" w:cstheme="minorBidi"/>
            <w:b w:val="0"/>
            <w:smallCaps w:val="0"/>
            <w:sz w:val="22"/>
            <w:lang w:val="en-US"/>
          </w:rPr>
          <w:tab/>
        </w:r>
        <w:r w:rsidR="0027626D" w:rsidRPr="009778A5">
          <w:rPr>
            <w:rStyle w:val="Hyperlink"/>
          </w:rPr>
          <w:t>1.4. Santrumpos</w:t>
        </w:r>
        <w:r w:rsidR="0027626D">
          <w:rPr>
            <w:webHidden/>
          </w:rPr>
          <w:tab/>
        </w:r>
        <w:r w:rsidR="0027626D">
          <w:rPr>
            <w:webHidden/>
          </w:rPr>
          <w:fldChar w:fldCharType="begin"/>
        </w:r>
        <w:r w:rsidR="0027626D">
          <w:rPr>
            <w:webHidden/>
          </w:rPr>
          <w:instrText xml:space="preserve"> PAGEREF _Toc58758346 \h </w:instrText>
        </w:r>
        <w:r w:rsidR="0027626D">
          <w:rPr>
            <w:webHidden/>
          </w:rPr>
        </w:r>
        <w:r w:rsidR="0027626D">
          <w:rPr>
            <w:webHidden/>
          </w:rPr>
          <w:fldChar w:fldCharType="separate"/>
        </w:r>
        <w:r w:rsidR="0027626D">
          <w:rPr>
            <w:webHidden/>
          </w:rPr>
          <w:t>2</w:t>
        </w:r>
        <w:r w:rsidR="0027626D">
          <w:rPr>
            <w:webHidden/>
          </w:rPr>
          <w:fldChar w:fldCharType="end"/>
        </w:r>
      </w:hyperlink>
    </w:p>
    <w:p w14:paraId="15A4AD36" w14:textId="7DC5BE66" w:rsidR="0027626D" w:rsidRDefault="00F62F4E">
      <w:pPr>
        <w:pStyle w:val="TOC2"/>
        <w:rPr>
          <w:rFonts w:asciiTheme="minorHAnsi" w:eastAsiaTheme="minorEastAsia" w:hAnsiTheme="minorHAnsi" w:cstheme="minorBidi"/>
          <w:b w:val="0"/>
          <w:smallCaps w:val="0"/>
          <w:sz w:val="22"/>
          <w:lang w:val="en-US"/>
        </w:rPr>
      </w:pPr>
      <w:hyperlink w:anchor="_Toc58758347" w:history="1">
        <w:r w:rsidR="0027626D" w:rsidRPr="009778A5">
          <w:rPr>
            <w:rStyle w:val="Hyperlink"/>
          </w:rPr>
          <w:t>II DALIS. SU FORMA SUSIJĘ NURODYMAI</w:t>
        </w:r>
        <w:r w:rsidR="0027626D">
          <w:rPr>
            <w:webHidden/>
          </w:rPr>
          <w:tab/>
        </w:r>
        <w:r w:rsidR="0027626D">
          <w:rPr>
            <w:webHidden/>
          </w:rPr>
          <w:fldChar w:fldCharType="begin"/>
        </w:r>
        <w:r w:rsidR="0027626D">
          <w:rPr>
            <w:webHidden/>
          </w:rPr>
          <w:instrText xml:space="preserve"> PAGEREF _Toc58758347 \h </w:instrText>
        </w:r>
        <w:r w:rsidR="0027626D">
          <w:rPr>
            <w:webHidden/>
          </w:rPr>
        </w:r>
        <w:r w:rsidR="0027626D">
          <w:rPr>
            <w:webHidden/>
          </w:rPr>
          <w:fldChar w:fldCharType="separate"/>
        </w:r>
        <w:r w:rsidR="0027626D">
          <w:rPr>
            <w:webHidden/>
          </w:rPr>
          <w:t>3</w:t>
        </w:r>
        <w:r w:rsidR="0027626D">
          <w:rPr>
            <w:webHidden/>
          </w:rPr>
          <w:fldChar w:fldCharType="end"/>
        </w:r>
      </w:hyperlink>
    </w:p>
    <w:p w14:paraId="6995A4B1" w14:textId="13B9D802" w:rsidR="0027626D" w:rsidRDefault="00F62F4E">
      <w:pPr>
        <w:pStyle w:val="TOC2"/>
        <w:rPr>
          <w:rFonts w:asciiTheme="minorHAnsi" w:eastAsiaTheme="minorEastAsia" w:hAnsiTheme="minorHAnsi" w:cstheme="minorBidi"/>
          <w:b w:val="0"/>
          <w:smallCaps w:val="0"/>
          <w:sz w:val="22"/>
          <w:lang w:val="en-US"/>
        </w:rPr>
      </w:pPr>
      <w:hyperlink w:anchor="_Toc58758348" w:history="1">
        <w:r w:rsidR="0027626D" w:rsidRPr="009778A5">
          <w:rPr>
            <w:rStyle w:val="Hyperlink"/>
          </w:rPr>
          <w:t>6.1</w:t>
        </w:r>
        <w:r w:rsidR="0027626D">
          <w:rPr>
            <w:rFonts w:asciiTheme="minorHAnsi" w:eastAsiaTheme="minorEastAsia" w:hAnsiTheme="minorHAnsi" w:cstheme="minorBidi"/>
            <w:b w:val="0"/>
            <w:smallCaps w:val="0"/>
            <w:sz w:val="22"/>
            <w:lang w:val="en-US"/>
          </w:rPr>
          <w:tab/>
        </w:r>
        <w:r w:rsidR="0027626D" w:rsidRPr="009778A5">
          <w:rPr>
            <w:rStyle w:val="Hyperlink"/>
          </w:rPr>
          <w:t>1. Bendrosios pastabos</w:t>
        </w:r>
        <w:r w:rsidR="0027626D">
          <w:rPr>
            <w:webHidden/>
          </w:rPr>
          <w:tab/>
        </w:r>
        <w:r w:rsidR="0027626D">
          <w:rPr>
            <w:webHidden/>
          </w:rPr>
          <w:fldChar w:fldCharType="begin"/>
        </w:r>
        <w:r w:rsidR="0027626D">
          <w:rPr>
            <w:webHidden/>
          </w:rPr>
          <w:instrText xml:space="preserve"> PAGEREF _Toc58758348 \h </w:instrText>
        </w:r>
        <w:r w:rsidR="0027626D">
          <w:rPr>
            <w:webHidden/>
          </w:rPr>
        </w:r>
        <w:r w:rsidR="0027626D">
          <w:rPr>
            <w:webHidden/>
          </w:rPr>
          <w:fldChar w:fldCharType="separate"/>
        </w:r>
        <w:r w:rsidR="0027626D">
          <w:rPr>
            <w:webHidden/>
          </w:rPr>
          <w:t>3</w:t>
        </w:r>
        <w:r w:rsidR="0027626D">
          <w:rPr>
            <w:webHidden/>
          </w:rPr>
          <w:fldChar w:fldCharType="end"/>
        </w:r>
      </w:hyperlink>
    </w:p>
    <w:p w14:paraId="2CDBFD5C" w14:textId="6B0400A9" w:rsidR="0027626D" w:rsidRDefault="00F62F4E">
      <w:pPr>
        <w:pStyle w:val="TOC2"/>
        <w:rPr>
          <w:rFonts w:asciiTheme="minorHAnsi" w:eastAsiaTheme="minorEastAsia" w:hAnsiTheme="minorHAnsi" w:cstheme="minorBidi"/>
          <w:b w:val="0"/>
          <w:smallCaps w:val="0"/>
          <w:sz w:val="22"/>
          <w:lang w:val="en-US"/>
        </w:rPr>
      </w:pPr>
      <w:hyperlink w:anchor="_Toc58758349" w:history="1">
        <w:r w:rsidR="0027626D" w:rsidRPr="009778A5">
          <w:rPr>
            <w:rStyle w:val="Hyperlink"/>
          </w:rPr>
          <w:t>7.1</w:t>
        </w:r>
        <w:r w:rsidR="0027626D">
          <w:rPr>
            <w:rFonts w:asciiTheme="minorHAnsi" w:eastAsiaTheme="minorEastAsia" w:hAnsiTheme="minorHAnsi" w:cstheme="minorBidi"/>
            <w:b w:val="0"/>
            <w:smallCaps w:val="0"/>
            <w:sz w:val="22"/>
            <w:lang w:val="en-US"/>
          </w:rPr>
          <w:tab/>
        </w:r>
        <w:r w:rsidR="0027626D" w:rsidRPr="009778A5">
          <w:rPr>
            <w:rStyle w:val="Hyperlink"/>
          </w:rPr>
          <w:t>2. Nurodymai dėl konkrečių pozicijų</w:t>
        </w:r>
        <w:r w:rsidR="0027626D">
          <w:rPr>
            <w:webHidden/>
          </w:rPr>
          <w:tab/>
        </w:r>
        <w:r w:rsidR="0027626D">
          <w:rPr>
            <w:webHidden/>
          </w:rPr>
          <w:fldChar w:fldCharType="begin"/>
        </w:r>
        <w:r w:rsidR="0027626D">
          <w:rPr>
            <w:webHidden/>
          </w:rPr>
          <w:instrText xml:space="preserve"> PAGEREF _Toc58758349 \h </w:instrText>
        </w:r>
        <w:r w:rsidR="0027626D">
          <w:rPr>
            <w:webHidden/>
          </w:rPr>
        </w:r>
        <w:r w:rsidR="0027626D">
          <w:rPr>
            <w:webHidden/>
          </w:rPr>
          <w:fldChar w:fldCharType="separate"/>
        </w:r>
        <w:r w:rsidR="0027626D">
          <w:rPr>
            <w:webHidden/>
          </w:rPr>
          <w:t>3</w:t>
        </w:r>
        <w:r w:rsidR="0027626D">
          <w:rPr>
            <w:webHidden/>
          </w:rPr>
          <w:fldChar w:fldCharType="end"/>
        </w:r>
      </w:hyperlink>
    </w:p>
    <w:p w14:paraId="7AC7042C" w14:textId="04021558"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758341"/>
      <w:r>
        <w:lastRenderedPageBreak/>
        <w:t>I DALIS.</w:t>
      </w:r>
      <w:bookmarkEnd w:id="2"/>
      <w:r>
        <w:t xml:space="preserve"> BENDRIEJI NURODYMAI</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758342"/>
      <w:r>
        <w:rPr>
          <w:sz w:val="24"/>
        </w:rPr>
        <w:t>1.</w:t>
      </w:r>
      <w:r>
        <w:tab/>
      </w:r>
      <w:r>
        <w:rPr>
          <w:sz w:val="24"/>
        </w:rPr>
        <w:t>Struktūra ir tvarka</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758343"/>
      <w:bookmarkStart w:id="12" w:name="_Toc264038399"/>
      <w:bookmarkStart w:id="13" w:name="_Toc294018834"/>
      <w:r>
        <w:rPr>
          <w:sz w:val="24"/>
        </w:rPr>
        <w:t>1.1.</w:t>
      </w:r>
      <w:r>
        <w:tab/>
      </w:r>
      <w:r>
        <w:rPr>
          <w:sz w:val="24"/>
        </w:rPr>
        <w:t>Struktūra</w:t>
      </w:r>
      <w:bookmarkEnd w:id="9"/>
      <w:bookmarkEnd w:id="10"/>
      <w:bookmarkEnd w:id="11"/>
    </w:p>
    <w:p w14:paraId="6C67B776" w14:textId="5BE94C55" w:rsidR="005643EA" w:rsidRPr="00EC067D" w:rsidRDefault="00125707" w:rsidP="00004542">
      <w:pPr>
        <w:pStyle w:val="InstructionsText2"/>
        <w:numPr>
          <w:ilvl w:val="0"/>
          <w:numId w:val="0"/>
        </w:numPr>
        <w:ind w:left="993"/>
      </w:pPr>
      <w:r>
        <w:t>1.</w:t>
      </w:r>
      <w:r>
        <w:tab/>
        <w:t>Šią sistemą sudaro viena forma, kurioje pateikiama informacija apie pasaulinės sisteminės svarbos rodiklius ir konkrečius straipsnius, kurių reikia norint taikyti ES metodiką pasaulinės sisteminės svarbos įstaigoms (G-SII) nustatyti ir atitinkamoms G-SII rezervo normoms paskirti.</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758344"/>
      <w:r>
        <w:rPr>
          <w:sz w:val="24"/>
        </w:rPr>
        <w:t>1.2.</w:t>
      </w:r>
      <w:r>
        <w:tab/>
      </w:r>
      <w:r>
        <w:rPr>
          <w:sz w:val="24"/>
        </w:rPr>
        <w:t>Numeravimo tvarka</w:t>
      </w:r>
      <w:bookmarkEnd w:id="14"/>
      <w:bookmarkEnd w:id="15"/>
      <w:bookmarkEnd w:id="16"/>
    </w:p>
    <w:p w14:paraId="3C0F0268" w14:textId="5212C39C" w:rsidR="002648B0" w:rsidRPr="00EC067D" w:rsidRDefault="006137FD" w:rsidP="00004542">
      <w:pPr>
        <w:pStyle w:val="InstructionsText2"/>
        <w:numPr>
          <w:ilvl w:val="0"/>
          <w:numId w:val="0"/>
        </w:numPr>
        <w:ind w:left="993"/>
      </w:pPr>
      <w:r>
        <w:t>2.</w:t>
      </w:r>
      <w:r>
        <w:tab/>
        <w:t>Dokumente nurodant formų skiltis, eilutes ir laukelius taikoma 3–5 punktuose nurodyta žymėjimo tvarka. Tie skaitiniai kodai plačiai naudojami patvirtinimo taisyklėse.</w:t>
      </w:r>
    </w:p>
    <w:p w14:paraId="26DC2799" w14:textId="2C43513E" w:rsidR="005643EA" w:rsidRPr="00EC067D" w:rsidRDefault="006137FD" w:rsidP="00004542">
      <w:pPr>
        <w:pStyle w:val="InstructionsText2"/>
        <w:numPr>
          <w:ilvl w:val="0"/>
          <w:numId w:val="0"/>
        </w:numPr>
        <w:ind w:left="993"/>
      </w:pPr>
      <w:r>
        <w:t>3.</w:t>
      </w:r>
      <w:r>
        <w:tab/>
        <w:t>Nurodymuose laikomasi šios bendros žymėjimo tvarkos: {forma; eilutė; skiltis}.</w:t>
      </w:r>
    </w:p>
    <w:p w14:paraId="6A9F72AA" w14:textId="1B191E59" w:rsidR="005643EA" w:rsidRPr="00EC067D" w:rsidRDefault="006137FD" w:rsidP="00004542">
      <w:pPr>
        <w:pStyle w:val="InstructionsText2"/>
        <w:numPr>
          <w:ilvl w:val="0"/>
          <w:numId w:val="0"/>
        </w:numPr>
        <w:ind w:left="993"/>
      </w:pPr>
      <w:r>
        <w:t>4.</w:t>
      </w:r>
      <w:r>
        <w:tab/>
        <w:t>Kai formoje yra nuorodų ir naudojami tik tos formos duomenų vienetai, pati forma nenurodoma: {eilutė; skiltis}. Kai formas sudaro tik viena skiltis, nurodomos tik eilutės: {forma; eilutė}.</w:t>
      </w:r>
    </w:p>
    <w:p w14:paraId="01FECE3C" w14:textId="482B71E1" w:rsidR="002648B0" w:rsidRPr="00EC067D" w:rsidRDefault="006137FD" w:rsidP="00004542">
      <w:pPr>
        <w:pStyle w:val="InstructionsText2"/>
        <w:numPr>
          <w:ilvl w:val="0"/>
          <w:numId w:val="0"/>
        </w:numPr>
        <w:ind w:left="993"/>
      </w:pPr>
      <w:r>
        <w:t>5.</w:t>
      </w:r>
      <w:r>
        <w:tab/>
        <w:t>Žvaigždutės ženklas naudojamas, kai norima pažymėti, kad nuoroda apima pirmiau nurodytas eilutes arba skiltis.</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758345"/>
      <w:r>
        <w:rPr>
          <w:sz w:val="24"/>
        </w:rPr>
        <w:t>1.3.</w:t>
      </w:r>
      <w:r>
        <w:tab/>
      </w:r>
      <w:r>
        <w:rPr>
          <w:sz w:val="24"/>
        </w:rPr>
        <w:t>Ženklų tvarka</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Bet kuri suma, dėl kurios padidėja rodiklio, turto, įsipareigojimų arba pozicijų vertė, nurodoma teigiamu skaičiumi. Bet kuri suma, dėl kurios sumažėja rodiklio, turto, įsipareigojimų arba pozicijų vertė, nurodoma neigiamu skaičiumi. Prieš straipsnio pavadinimą įrašytas minuso ženklas (−) reiškia prielaidą, kad tame straipsnyje teigiamas skaičius nebus rašomas.</w:t>
      </w:r>
    </w:p>
    <w:p w14:paraId="318F1B9B" w14:textId="19EFDD0F" w:rsidR="00304CA5" w:rsidRPr="00EC067D" w:rsidRDefault="00304CA5" w:rsidP="00EC067D">
      <w:pPr>
        <w:pStyle w:val="Instructionsberschrift2"/>
        <w:rPr>
          <w:rFonts w:cs="Times New Roman"/>
          <w:sz w:val="24"/>
        </w:rPr>
      </w:pPr>
      <w:bookmarkStart w:id="20" w:name="_Toc58758346"/>
      <w:r>
        <w:rPr>
          <w:sz w:val="24"/>
        </w:rPr>
        <w:t>1.4.</w:t>
      </w:r>
      <w:r>
        <w:tab/>
      </w:r>
      <w:r>
        <w:rPr>
          <w:sz w:val="24"/>
        </w:rPr>
        <w:t>Santrumpos</w:t>
      </w:r>
      <w:bookmarkEnd w:id="20"/>
    </w:p>
    <w:p w14:paraId="5A22E3D2" w14:textId="07D28013" w:rsidR="00304CA5" w:rsidRPr="00EC067D" w:rsidRDefault="006137FD" w:rsidP="00004542">
      <w:pPr>
        <w:pStyle w:val="InstructionsText2"/>
        <w:numPr>
          <w:ilvl w:val="0"/>
          <w:numId w:val="0"/>
        </w:numPr>
        <w:ind w:left="993"/>
      </w:pPr>
      <w:r>
        <w:t>7. Šiame priede darant nuorodą į Europos Parlamento ir Tarybos reglamentą (ES) Nr. 575/2013</w:t>
      </w:r>
      <w:r>
        <w:rPr>
          <w:rStyle w:val="FootnoteReference"/>
          <w:rFonts w:ascii="Times New Roman" w:hAnsi="Times New Roman"/>
          <w:sz w:val="24"/>
          <w:szCs w:val="24"/>
          <w:vertAlign w:val="superscript"/>
        </w:rPr>
        <w:footnoteReference w:id="2"/>
      </w:r>
      <w:r>
        <w:t xml:space="preserve"> vartojama santrumpa KRR, o į Europos Parlamento ir Tarybos direktyvą 2013/36/ES</w:t>
      </w:r>
      <w:r>
        <w:rPr>
          <w:rStyle w:val="FootnoteReference"/>
          <w:rFonts w:ascii="Times New Roman" w:hAnsi="Times New Roman"/>
          <w:sz w:val="24"/>
          <w:szCs w:val="24"/>
          <w:vertAlign w:val="superscript"/>
        </w:rPr>
        <w:footnoteReference w:id="3"/>
      </w:r>
      <w:r>
        <w:t xml:space="preserve"> – KRD.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58758347"/>
      <w:r>
        <w:lastRenderedPageBreak/>
        <w:t>II DALIS. SU FORMA SUSIJĘ NURODYMAI</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758348"/>
      <w:r>
        <w:rPr>
          <w:sz w:val="24"/>
        </w:rPr>
        <w:t>1.</w:t>
      </w:r>
      <w:r>
        <w:tab/>
      </w:r>
      <w:bookmarkStart w:id="28" w:name="_Toc308175819"/>
      <w:bookmarkStart w:id="29" w:name="_Toc360188324"/>
      <w:bookmarkStart w:id="30" w:name="_Toc473560872"/>
      <w:bookmarkEnd w:id="25"/>
      <w:bookmarkEnd w:id="26"/>
      <w:r>
        <w:rPr>
          <w:sz w:val="24"/>
        </w:rPr>
        <w:t>Bendrosios pastabos</w:t>
      </w:r>
      <w:bookmarkEnd w:id="27"/>
      <w:bookmarkEnd w:id="28"/>
      <w:bookmarkEnd w:id="29"/>
      <w:bookmarkEnd w:id="30"/>
    </w:p>
    <w:p w14:paraId="410557ED" w14:textId="2C0E81CE" w:rsidR="006137FD" w:rsidRPr="00EC067D" w:rsidRDefault="00004542" w:rsidP="00004542">
      <w:pPr>
        <w:pStyle w:val="InstructionsText2"/>
        <w:numPr>
          <w:ilvl w:val="0"/>
          <w:numId w:val="0"/>
        </w:numPr>
        <w:ind w:left="993"/>
      </w:pPr>
      <w:r>
        <w:t>8.</w:t>
      </w:r>
      <w:r>
        <w:tab/>
        <w:t xml:space="preserve">Forma yra padalyta į dvi dalis. Viršutinėje G-SII rodiklių formos dalyje pateikiami rodikliai, pagal kuriuos nustatomos pasaulinės sisteminės svarbos įstaigos, kaip apibrėžta Bazelio bankų priežiūros komiteto parengtoje metodikoje. Apatinėje dalyje pateikiami keli straipsniai, reikalingi atitinkamiems rodikliams apskaičiuoti pagal metodiką, nustatytą pagal KRD 131 straipsnio 18 dalį. </w:t>
      </w:r>
    </w:p>
    <w:p w14:paraId="285BFC5F" w14:textId="50F4BAE2" w:rsidR="005643EA" w:rsidRPr="00EC067D" w:rsidRDefault="00004542" w:rsidP="00004542">
      <w:pPr>
        <w:pStyle w:val="InstructionsText2"/>
        <w:numPr>
          <w:ilvl w:val="0"/>
          <w:numId w:val="0"/>
        </w:numPr>
        <w:ind w:left="993"/>
      </w:pPr>
      <w:r>
        <w:t>9.</w:t>
      </w:r>
      <w:r>
        <w:tab/>
        <w:t>Kai tinkama, šioje formoje pateikiama informacija atitinka informaciją, teikiamą atitinkamoms valdžios institucijoms, renkančioms rodiklių vertes, kaip nustatyta Komisijos deleguotojo reglamento (ES) Nr. 1222/2014 3 straipsnio 2 dalyje.</w:t>
      </w:r>
    </w:p>
    <w:p w14:paraId="1640AAF5" w14:textId="0F89A136" w:rsidR="002648B0" w:rsidRPr="00EC067D"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758349"/>
      <w:r>
        <w:rPr>
          <w:sz w:val="24"/>
        </w:rPr>
        <w:t>2.</w:t>
      </w:r>
      <w:r>
        <w:tab/>
      </w:r>
      <w:bookmarkStart w:id="35" w:name="_Toc308175821"/>
      <w:r>
        <w:rPr>
          <w:sz w:val="24"/>
        </w:rPr>
        <w:t>Nurodymai dėl konkrečių</w:t>
      </w:r>
      <w:bookmarkEnd w:id="31"/>
      <w:bookmarkEnd w:id="35"/>
      <w:r>
        <w:rPr>
          <w:sz w:val="24"/>
        </w:rPr>
        <w:t xml:space="preserve"> pozicijų</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rodikliai</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Rodiklių apibrėžtis yra tokia pati kaip apibrėžtis, taikoma nustatant Komisijos deleguotojo reglamento (ES) Nr. 1222/2014 priede nurodytą informaciją.</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Jei metodika keičiama, teikiant tų pačių finansinių metų pirmojo, antrojo ir trečiojo ketvirčio pabaigos informaciją taikoma ta pati metodika, kuri buvo taikyta nustatant finansinių metų pabaigos rodiklių vertes.</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Srautų mato rodikliai nurodomi bendra suma, atitinkamai nuo kalendorinių arba finansinių metų pradžios.</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teikiami reikalavimai</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priklausantys įsipareigojimai</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pozicijų suma (sverto koeficientas)</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Finansų sistemos vidaus turtas</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Finansų sistemos vidaus įsipareigojimai</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Išleisti vertybiniai popieriai </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Saugomas turtas</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Mokėjimo veikla</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Garantuoti sandoriai skolos ir nuosavybės vertybinių popierių rinkose</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apimtis</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Ne biržos išvestinių finansinių priemonių tariamoji suma</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3 lygio turtas</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ir parduoti laikomi vertybiniai popieriai</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Straipsniai, kuriuose Europos bankų sąjunga laikoma viena jurisdikcija</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Siekiant nustatyti toliau nurodytus straipsnius ir tuo atveju, kai toliau pateikti nurodymai nėra konkretūs, taikomos apibrėžtys ir sąvokos turi būti kuo labiau </w:t>
            </w:r>
            <w:r>
              <w:rPr>
                <w:rStyle w:val="FormatvorlageInstructionsTabelleText"/>
                <w:rFonts w:ascii="Times New Roman" w:hAnsi="Times New Roman"/>
                <w:sz w:val="24"/>
              </w:rPr>
              <w:lastRenderedPageBreak/>
              <w:t xml:space="preserve">suderintos su apibrėžtimis ir sąvokomis, apibrėžtomis Tarptautinės bankininkystės veiklos statistinių duomenų teikimo Tarptautinių atsiskaitymų bankui (TAB) gairėse (angl. </w:t>
            </w:r>
            <w:proofErr w:type="spellStart"/>
            <w:r>
              <w:rPr>
                <w:rStyle w:val="FormatvorlageInstructionsTabelleText"/>
                <w:rFonts w:ascii="Times New Roman" w:hAnsi="Times New Roman"/>
                <w:i/>
                <w:sz w:val="24"/>
              </w:rPr>
              <w:t>Reporting</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guidelines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for</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the</w:t>
            </w:r>
            <w:proofErr w:type="spellEnd"/>
            <w:r>
              <w:rPr>
                <w:rStyle w:val="FormatvorlageInstructionsTabelleText"/>
                <w:rFonts w:ascii="Times New Roman" w:hAnsi="Times New Roman"/>
                <w:i/>
                <w:sz w:val="24"/>
              </w:rPr>
              <w:t xml:space="preserve"> BIS </w:t>
            </w:r>
            <w:proofErr w:type="spellStart"/>
            <w:r>
              <w:rPr>
                <w:rStyle w:val="FormatvorlageInstructionsTabelleText"/>
                <w:rFonts w:ascii="Times New Roman" w:hAnsi="Times New Roman"/>
                <w:i/>
                <w:sz w:val="24"/>
              </w:rPr>
              <w:t>international</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banking</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statistics</w:t>
            </w:r>
            <w:proofErr w:type="spellEnd"/>
            <w:r>
              <w:rPr>
                <w:rStyle w:val="FormatvorlageInstructionsTabelleText"/>
                <w:rFonts w:ascii="Times New Roman" w:hAnsi="Times New Roman"/>
                <w:sz w:val="24"/>
              </w:rPr>
              <w:t>).</w:t>
            </w:r>
          </w:p>
          <w:p w14:paraId="624545C8" w14:textId="29B8CE0C"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Nukrypstant nuo to, informaciją teikiančių subjektų veikla dalyvaujančiose valstybėse narėse, nurodytose</w:t>
            </w:r>
            <w:r w:rsidR="00F62F4E">
              <w:rPr>
                <w:rStyle w:val="FormatvorlageInstructionsTabelleText"/>
                <w:rFonts w:ascii="Times New Roman" w:hAnsi="Times New Roman"/>
                <w:sz w:val="24"/>
              </w:rPr>
              <w:t xml:space="preserve"> Europos Parlamento ir Tarybos r</w:t>
            </w:r>
            <w:bookmarkStart w:id="36" w:name="_GoBack"/>
            <w:bookmarkEnd w:id="36"/>
            <w:r>
              <w:rPr>
                <w:rStyle w:val="FormatvorlageInstructionsTabelleText"/>
                <w:rFonts w:ascii="Times New Roman" w:hAnsi="Times New Roman"/>
                <w:sz w:val="24"/>
              </w:rPr>
              <w:t>eglamento (ES) Nr. 806/2014</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4 straipsnyje,</w:t>
            </w:r>
            <w:r>
              <w:t xml:space="preserve"> </w:t>
            </w:r>
            <w:r>
              <w:rPr>
                <w:rStyle w:val="FormatvorlageInstructionsTabelleText"/>
                <w:rFonts w:ascii="Times New Roman" w:hAnsi="Times New Roman"/>
                <w:sz w:val="24"/>
              </w:rPr>
              <w:t>neįtraukiama, t. y. dalyvaujančios valstybės narės laikomos viena jurisdikcija.</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užsienio subjektų teikiamų reikalavimų galutinės rizikos pagrindu suma</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Bendra užsienio subjektų teikiamų reikalavimų suma yra tarpvalstybinių reikalavimų ir su užsieniu susijusių įmonių vietos reikalavimų vietos arba užsienio valiuta suma. Reikalavimai, susiję su išvestinių finansinių priemonių sutarčių pozicijomis, neįtraukiami. „Reikalavimai“, „tarpvalstybiniai reikalavimai“ ir „su užsieniu susijusių įmonių vietos reikalavimai užsienio ir vietos valiuta“ turi tą pačią reikšmę, kaip apibrėžta Tarptautinės bankininkystės veiklos statistinių duomenų teikimo TAB gairėse.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„Galutinės rizikos pagrindu“ reiškia, kad siekiant nustatyti, ar reikalavimas yra tarpvalstybinis, ar vietos, pozicija priskiriama trečiajai šaliai, kuri yra sudariusi sutartį prisiimti pirminės sandorio šalies skolas ar įsipareigojimus, jeigu ta sandorio šalis nevykdys savo įsipareigojimų, kai tokia trečioji šalis egzistuoja. Šis priskyrimas atliekamas vadovaujantis nuostatomis dėl rizikos perleidimo, nustatytomis Tarptautinės bankininkystės veiklos statistinių duomenų teikimo TAB gairėse.</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teikiami išvestinių finansinių priemonių reikalavimai galutinės rizikos pagrindu</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Visų išvestinių finansinių priemonių reikalavimų, kurie yra tarpvalstybiniai reikalavimai arba su užsieniu susijusių įmonių vietos reikalavimai vietos arba užsienio valiuta, teigiama tikroji vertė.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Išvestinės finansinės priemonės apima išankstinius sandorius, apsikeitimo sandorius ir pasirinkimo sandorius, susijusius su užsienio valiuta, palūkanų norma, nuosavybės vertybiniais popieriais, biržos prekėmis ir kredito priemonėmis. Jos apima įsigytas kredito išvestines finansines priemones, kuriomis apdraudžiamas arba padengiamas parduotas kredito užtikrinimas arba kurios yra skirtos parduoti.</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Tokių įsigytų kredito išvestinių finansinių priemonių vertė neapribojama tiesioginio reikalavimo, kuriam garantuoti jos buvo įsigytos, verte.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teigiamas tikrąsias vertes galima išskaityti iš neigiamų tikrųjų verčių tik tuo atveju, jei pozicijos buvo įvykdytos su ta pačia sandorio šalimi pagal teisiškai vykdytiną užskaitos susitarimą. Į šį straipsnį įrašomos tik užskaitos grupės, kurių vertė teigiama.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Išvestinių finansinių priemonių reikalavimai nurodomi neatskaičius piniginių užtikrinimo priemonių.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Teikiant informaciją galutinės rizikos pagrindu, taikomos šios nuostatos:</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kai galutinė rizika tenka sandorio šaliai, išvestinė finansinė priemonė laikoma užsienio subjektų priemone, jei sandorio šalis nepriklauso informaciją teikiančių subjektų buveinės jurisdikcijai;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kai galutinė rizika tenka garantui, išvestinė finansinė priemonė laikoma užsienio subjektų priemone, jei garantas nepriklauso informaciją teikiančių subjektų buveinės jurisdikcijai.</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įsipareigojimai tiesioginės rizikos pagrindu, įskaitant išvestines finansines priemones</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Užsienio subjektų įsipareigojimai, įkaitant išvestines finansines priemones, yra užsienio subjektų įsipareigojimų ir užsienio subjektų įsipareigojimų, atsirandančių dėl išvestinių finansinių priemonių, suma. Į šį straipsnį neįtraukiami vertybinių popierių įsipareigojimai, kurie yra informaciją teikiančios įstaigos išleistas finansinis turtas, kuriuo galima prekiauti.</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Išvestinių finansinių priemonių apibrėžtis yra tokia pati, kaip taikoma 0140 eilutei.</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neigiamas tikrąsias vertes galima išskaityti iš teigiamų tikrųjų verčių tik tuo atveju, jei pozicijos buvo įvykdytos su ta pačia sandorio šalimi pagal teisiškai vykdytiną užskaitos susitarimą. Išvestinių finansinių priemonių įsipareigojimai nurodomi neatskaičius jokių užtikrinimo priemonių (piniginių ir nepiniginių).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„Tiesioginės rizikos pagrindu“ reiškia, kad siekiant nustatyti, ar reikalavimas yra tarpvalstybinis, ar vietos, pozicija priskiriama tiesioginei sutarties sandorio šaliai.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jų: užsienio subjektų išvestinių finansinių priemonių įsipareigojimai tiesioginės rizikos pagrindu</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 eilutės pogrupis, apimantis išvestinių finansinių priemonių įsipareigojimus.</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DBBB1" w14:textId="77777777" w:rsidR="00D71C21" w:rsidRDefault="00D71C21" w:rsidP="00D946DB">
      <w:pPr>
        <w:spacing w:before="0" w:after="0"/>
      </w:pPr>
      <w:r>
        <w:separator/>
      </w:r>
    </w:p>
  </w:endnote>
  <w:endnote w:type="continuationSeparator" w:id="0">
    <w:p w14:paraId="2BD4E1AE" w14:textId="77777777" w:rsidR="00D71C21" w:rsidRDefault="00D71C21" w:rsidP="00D946DB">
      <w:pPr>
        <w:spacing w:before="0" w:after="0"/>
      </w:pPr>
      <w:r>
        <w:continuationSeparator/>
      </w:r>
    </w:p>
  </w:endnote>
  <w:endnote w:type="continuationNotice" w:id="1">
    <w:p w14:paraId="324F2A25" w14:textId="77777777" w:rsidR="00D71C21" w:rsidRDefault="00D71C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918087A"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62F4E">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3AAAEC4"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62F4E">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BCFFD96"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62F4E">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D19D4" w14:textId="77777777" w:rsidR="00D71C21" w:rsidRDefault="00D71C21" w:rsidP="00D946DB">
      <w:pPr>
        <w:spacing w:before="0" w:after="0"/>
      </w:pPr>
      <w:r>
        <w:separator/>
      </w:r>
    </w:p>
  </w:footnote>
  <w:footnote w:type="continuationSeparator" w:id="0">
    <w:p w14:paraId="63CF7145" w14:textId="77777777" w:rsidR="00D71C21" w:rsidRDefault="00D71C21" w:rsidP="00D946DB">
      <w:pPr>
        <w:spacing w:before="0" w:after="0"/>
      </w:pPr>
      <w:r>
        <w:continuationSeparator/>
      </w:r>
    </w:p>
  </w:footnote>
  <w:footnote w:type="continuationNotice" w:id="1">
    <w:p w14:paraId="38814E03" w14:textId="77777777" w:rsidR="00D71C21" w:rsidRDefault="00D71C21">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 xml:space="preserve">2013 m. birželio 26 d. Europos Parlamento ir Tarybos reglamentas (ES) Nr. 575/2013 dėl </w:t>
      </w:r>
      <w:proofErr w:type="spellStart"/>
      <w:r>
        <w:rPr>
          <w:rFonts w:ascii="Times New Roman" w:hAnsi="Times New Roman"/>
          <w:color w:val="444444"/>
          <w:sz w:val="20"/>
          <w:szCs w:val="20"/>
        </w:rPr>
        <w:t>prudencinių</w:t>
      </w:r>
      <w:proofErr w:type="spellEnd"/>
      <w:r>
        <w:rPr>
          <w:rFonts w:ascii="Times New Roman" w:hAnsi="Times New Roman"/>
          <w:color w:val="444444"/>
          <w:sz w:val="20"/>
          <w:szCs w:val="20"/>
        </w:rPr>
        <w:t xml:space="preserve"> reikalavimų kredito įstaigoms ir investicinėms įmonėms ir kuriuo iš dalies keičiamas Reglamentas (ES) Nr. 648/2012 (</w:t>
      </w:r>
      <w:r>
        <w:rPr>
          <w:rFonts w:ascii="Times New Roman" w:hAnsi="Times New Roman"/>
          <w:iCs/>
          <w:color w:val="444444"/>
          <w:sz w:val="20"/>
          <w:szCs w:val="20"/>
        </w:rPr>
        <w:t>OL L 176, 2013 6 27, p.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4">
    <w:p w14:paraId="7E81C75F" w14:textId="7AFAACB8" w:rsidR="000359E7" w:rsidRPr="00EF0DDB" w:rsidRDefault="000359E7">
      <w:pPr>
        <w:pStyle w:val="FootnoteText"/>
      </w:pPr>
      <w:r>
        <w:rPr>
          <w:rStyle w:val="FootnoteReference"/>
        </w:rPr>
        <w:footnoteRef/>
      </w:r>
      <w:r>
        <w:tab/>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(OL L 225, 2014 7 30,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26D"/>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1C21"/>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2F4E"/>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12670-B77F-43BD-9395-2C4308146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1046</Words>
  <Characters>8078</Characters>
  <Application>Microsoft Office Word</Application>
  <DocSecurity>0</DocSecurity>
  <Lines>187</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SARKAUSKAS Remigijus (DGT-EXT)</cp:lastModifiedBy>
  <cp:revision>5</cp:revision>
  <dcterms:created xsi:type="dcterms:W3CDTF">2020-12-02T17:25:00Z</dcterms:created>
  <dcterms:modified xsi:type="dcterms:W3CDTF">2020-12-13T14:57:00Z</dcterms:modified>
</cp:coreProperties>
</file>