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5FBDAA" w14:textId="77777777" w:rsidR="00C87CEE" w:rsidRPr="00F4528F" w:rsidRDefault="009F0F81" w:rsidP="00D64B66">
      <w:pPr>
        <w:pStyle w:val="Titrearticle"/>
        <w:keepNext w:val="0"/>
        <w:outlineLvl w:val="0"/>
        <w:rPr>
          <w:i w:val="0"/>
        </w:rPr>
      </w:pPr>
      <w:bookmarkStart w:id="0" w:name="_Toc262568021"/>
      <w:bookmarkStart w:id="1" w:name="_Toc295829847"/>
      <w:r>
        <w:rPr>
          <w:i w:val="0"/>
        </w:rPr>
        <w:t>VII. MELLÉKLET</w:t>
      </w:r>
    </w:p>
    <w:p w14:paraId="26FC133A" w14:textId="59A74890" w:rsidR="00C87CEE" w:rsidRPr="00F4528F" w:rsidRDefault="00713F52" w:rsidP="00C87CE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ÚTMUTATÓ AZ INGATLANNAL FEDEZETT HITELEZÉSBŐL SZÁRMAZÓ VESZTESÉGEKRE VONATKOZÓ ADATSZOLGÁLTATÁSHOZ</w:t>
      </w:r>
    </w:p>
    <w:p w14:paraId="2F7A6433" w14:textId="77777777" w:rsidR="00502390" w:rsidRPr="00F4528F" w:rsidRDefault="00502390" w:rsidP="00C87CEE">
      <w:pPr>
        <w:jc w:val="center"/>
        <w:rPr>
          <w:rFonts w:ascii="Times New Roman" w:hAnsi="Times New Roman"/>
          <w:b/>
          <w:sz w:val="24"/>
          <w:lang w:eastAsia="de-DE"/>
        </w:rPr>
        <w:sectPr w:rsidR="00502390" w:rsidRPr="00F4528F" w:rsidSect="00E577B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</w:p>
    <w:p w14:paraId="0562C0FD" w14:textId="14E648F1" w:rsidR="00C87CEE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lastRenderedPageBreak/>
        <w:t>1.</w:t>
      </w:r>
      <w:r w:rsidR="00436F76"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  <w:u w:val="none"/>
        </w:rPr>
        <w:t>Ez a melléklet a rendelet VI. mellékletében szereplő táblákkal kapcsolatos útmutatót tartalmaz.</w:t>
      </w:r>
    </w:p>
    <w:p w14:paraId="38924FD3" w14:textId="211DA2A4" w:rsidR="00013EF3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2.</w:t>
      </w:r>
      <w:r w:rsidR="00436F76"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  <w:u w:val="none"/>
        </w:rPr>
        <w:t>A rendelet II. mellékletének I. részében szereplő általános útmutató szintén alkalmazandó.</w:t>
      </w:r>
    </w:p>
    <w:p w14:paraId="600D280B" w14:textId="1D249F0C" w:rsidR="00325A59" w:rsidRPr="008A4E00" w:rsidRDefault="001E7A23" w:rsidP="001E7A23">
      <w:pPr>
        <w:pStyle w:val="Instructionsberschrift2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u w:val="none"/>
        </w:rPr>
        <w:t>1.</w:t>
      </w:r>
      <w:r w:rsidR="00436F76">
        <w:rPr>
          <w:rFonts w:ascii="Times New Roman" w:hAnsi="Times New Roman"/>
          <w:sz w:val="24"/>
          <w:u w:val="none"/>
        </w:rPr>
        <w:tab/>
      </w:r>
      <w:r w:rsidR="00436F76"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</w:rPr>
        <w:t>Az adatszolgáltatás hatálya</w:t>
      </w:r>
    </w:p>
    <w:p w14:paraId="73C61864" w14:textId="01DAF9F1" w:rsidR="00FB175F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3.</w:t>
      </w:r>
      <w:r w:rsidR="00436F76"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  <w:u w:val="none"/>
        </w:rPr>
        <w:t xml:space="preserve">Azon intézményeknek, amelyek a CRR harmadik része II. címének alkalmazásában ingatlant használnak, a CRR 430a. cikke (1) bekezdésének megfelelően kell adatot szolgáltatniuk. </w:t>
      </w:r>
    </w:p>
    <w:p w14:paraId="11A2B1D6" w14:textId="27DFCF0B" w:rsidR="00FA5CA1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4.</w:t>
      </w:r>
      <w:r w:rsidR="00436F76"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  <w:u w:val="none"/>
        </w:rPr>
        <w:t xml:space="preserve">A tábla minden olyan nemzeti piacot lefed, ahol az intézmény/intézménycsoport kitettséggel rendelkezik (lásd a CRR 430a. cikkének (1) bekezdését). A 430a. cikk (2) bekezdése harmadik mondatának megfelelően az Unión belüli minden egyes ingatlanpiac vonatkozásában külön kell adatot szolgáltatni. </w:t>
      </w:r>
    </w:p>
    <w:p w14:paraId="298D1BCF" w14:textId="77777777" w:rsidR="00363FCE" w:rsidRPr="008A4E00" w:rsidRDefault="001E7A23" w:rsidP="001E7A23">
      <w:pPr>
        <w:pStyle w:val="Instructionsberschrift2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u w:val="none"/>
        </w:rPr>
        <w:t>2.</w:t>
      </w:r>
      <w:r w:rsidRPr="00FF5B89">
        <w:rPr>
          <w:u w:val="none"/>
        </w:rPr>
        <w:tab/>
      </w:r>
      <w:r>
        <w:rPr>
          <w:rFonts w:ascii="Times New Roman" w:hAnsi="Times New Roman"/>
          <w:sz w:val="24"/>
        </w:rPr>
        <w:t>Fogalommeghatározások</w:t>
      </w:r>
    </w:p>
    <w:p w14:paraId="2570AF77" w14:textId="48BBFEF2" w:rsidR="00373A71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5.</w:t>
      </w:r>
      <w:r w:rsidR="00436F76"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  <w:u w:val="none"/>
        </w:rPr>
        <w:t xml:space="preserve">„Veszteség”: a CRR 5. cikkének (2) bekezdésében meghatározottak szerinti veszteség, beleértve a lízingelt ingatlanból származó veszteségeket is. </w:t>
      </w:r>
      <w:r>
        <w:rPr>
          <w:rStyle w:val="InstructionsTabelleText"/>
          <w:rFonts w:ascii="Times New Roman" w:hAnsi="Times New Roman"/>
          <w:sz w:val="24"/>
          <w:u w:val="none"/>
        </w:rPr>
        <w:t xml:space="preserve">Az egyéb forrásokból (pl. bankgaranciákból, életbiztosításból stb.) származó megtérülések nem jeleníthetők meg veszteséget csökkentő tényezőként az ingatlanból származó veszteség számításánál. </w:t>
      </w:r>
      <w:r>
        <w:rPr>
          <w:rFonts w:ascii="Times New Roman" w:hAnsi="Times New Roman"/>
          <w:sz w:val="24"/>
          <w:u w:val="none"/>
        </w:rPr>
        <w:t>Valamely pozíció vesztesége nem számolható el egy sikeresen megtérült másik pozíció nyereségével szemben.</w:t>
      </w:r>
    </w:p>
    <w:p w14:paraId="6F0824D8" w14:textId="57FFB0CC" w:rsidR="00920D63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6.</w:t>
      </w:r>
      <w:r w:rsidR="00436F76"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  <w:u w:val="none"/>
        </w:rPr>
        <w:t xml:space="preserve">A lakó- és kereskedelmi ingatlanokkal biztosított kitettségek esetén a gazdasági veszteség kiszámításánál az adatszolgáltatás napján fennálló kitettségértékből kell kiindulni, és annak legalább a következőket kell tartalmaznia: i. a biztosíték érvényesítéséből származó bevételek; ii. a közvetlen költségek (beleértve a kamatfizetéseket és a biztosíték érvényesítéséhez kapcsolódó behajtás költségeit); és iii. a közvetett költségek (beleértve </w:t>
      </w:r>
      <w:r>
        <w:rPr>
          <w:rFonts w:ascii="Times New Roman" w:hAnsi="Times New Roman"/>
          <w:sz w:val="24"/>
          <w:u w:val="none"/>
        </w:rPr>
        <w:lastRenderedPageBreak/>
        <w:t>a kintlévőség-kezelési egység működési költségeit). Minden elemet diszkontálni kell az adatszolgáltatás vonatkozási napjára.</w:t>
      </w:r>
    </w:p>
    <w:p w14:paraId="267A70A6" w14:textId="33B02398" w:rsidR="004345C2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7.</w:t>
      </w:r>
      <w:r w:rsidR="00436F76"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  <w:u w:val="none"/>
        </w:rPr>
        <w:t>A kitettségértéket a CRR harmadik részének II. címében rögzített szabályok szerint kell meghatározni (a sztenderd módszer szerint működő intézmények esetében lásd a 2. fejezetet, míg az IRB-módszer szerint működő intézmények esetében a 3. fejezetet).</w:t>
      </w:r>
    </w:p>
    <w:p w14:paraId="424065A6" w14:textId="1323111C" w:rsidR="004345C2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8.</w:t>
      </w:r>
      <w:r w:rsidR="00436F76"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  <w:u w:val="none"/>
        </w:rPr>
        <w:t xml:space="preserve">Az ingatlanértéket a CRR harmadik </w:t>
      </w:r>
      <w:r w:rsidRPr="008A0E07">
        <w:rPr>
          <w:rFonts w:ascii="Times New Roman" w:hAnsi="Times New Roman"/>
          <w:sz w:val="24"/>
          <w:u w:val="none"/>
        </w:rPr>
        <w:t>rész</w:t>
      </w:r>
      <w:r w:rsidR="008A0E07">
        <w:rPr>
          <w:rFonts w:ascii="Times New Roman" w:hAnsi="Times New Roman"/>
          <w:sz w:val="24"/>
          <w:u w:val="none"/>
        </w:rPr>
        <w:t>ének</w:t>
      </w:r>
      <w:r w:rsidRPr="008A0E07">
        <w:rPr>
          <w:rFonts w:ascii="Times New Roman" w:hAnsi="Times New Roman"/>
          <w:sz w:val="24"/>
          <w:u w:val="none"/>
        </w:rPr>
        <w:t xml:space="preserve"> I</w:t>
      </w:r>
      <w:r>
        <w:rPr>
          <w:rFonts w:ascii="Times New Roman" w:hAnsi="Times New Roman"/>
          <w:sz w:val="24"/>
          <w:u w:val="none"/>
        </w:rPr>
        <w:t>I. címében rögzített szabályoknak megfelelően kell meghatározni.</w:t>
      </w:r>
    </w:p>
    <w:p w14:paraId="3B8866E0" w14:textId="38D2A631" w:rsidR="00840FC0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9.</w:t>
      </w:r>
      <w:r w:rsidR="00436F76"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  <w:u w:val="none"/>
        </w:rPr>
        <w:t>Devizahatás: az összegeket az adatszolgáltatás időpontjában érvényes árfolyammal kell átváltani az adatszolgáltatás pénznemére. Továbbá, a gazdasági veszteségekre vonatkozó becsléseknek figyelembe kell venniük a devizahatást, ha a kitettség vagy a biztosíték más pénznemben denominált.</w:t>
      </w:r>
    </w:p>
    <w:p w14:paraId="7ADF637B" w14:textId="77777777" w:rsidR="00363FCE" w:rsidRPr="008A4E00" w:rsidRDefault="001E7A23" w:rsidP="001E7A23">
      <w:pPr>
        <w:pStyle w:val="Instructionsberschrift2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u w:val="none"/>
        </w:rPr>
        <w:t>3.</w:t>
      </w:r>
      <w:r w:rsidRPr="007E37CA">
        <w:rPr>
          <w:u w:val="none"/>
        </w:rPr>
        <w:tab/>
      </w:r>
      <w:r>
        <w:rPr>
          <w:rFonts w:ascii="Times New Roman" w:hAnsi="Times New Roman"/>
          <w:sz w:val="24"/>
        </w:rPr>
        <w:t>Földrajzi megoszlás</w:t>
      </w:r>
    </w:p>
    <w:p w14:paraId="66F86A28" w14:textId="65E58943" w:rsidR="002779CE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10.</w:t>
      </w:r>
      <w:r w:rsidR="00436F76"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  <w:u w:val="none"/>
        </w:rPr>
        <w:t>Az intézményeknek a következő táblákat kell kitölteniük:</w:t>
      </w:r>
    </w:p>
    <w:p w14:paraId="630D5FC3" w14:textId="34FAD0FE" w:rsidR="002779CE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a)</w:t>
      </w:r>
      <w:r w:rsidR="00436F76"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  <w:u w:val="none"/>
        </w:rPr>
        <w:t>egy összesítő tábla</w:t>
      </w:r>
    </w:p>
    <w:p w14:paraId="131FB6E0" w14:textId="4EB4E93F" w:rsidR="002779CE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b)</w:t>
      </w:r>
      <w:r w:rsidR="00436F76"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  <w:u w:val="none"/>
        </w:rPr>
        <w:t>külön tábla az Unión belüli minden olyan nemzeti piac vonatkozásában, ahol az intézmény kitettséggel rendelkezik, továbbá</w:t>
      </w:r>
    </w:p>
    <w:p w14:paraId="42B76C97" w14:textId="61720043" w:rsidR="002779CE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c)</w:t>
      </w:r>
      <w:r w:rsidR="00436F76"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  <w:u w:val="none"/>
        </w:rPr>
        <w:t xml:space="preserve">egy, az Unión kívüli minden olyan nemzeti piac adatát összesítő tábla, ahol az intézmény kitettséggel rendelkezik. </w:t>
      </w:r>
    </w:p>
    <w:p w14:paraId="11CDC60F" w14:textId="77777777" w:rsidR="00363FCE" w:rsidRPr="008A4E00" w:rsidRDefault="001E7A23" w:rsidP="001E7A23">
      <w:pPr>
        <w:pStyle w:val="Instructionsberschrift2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u w:val="none"/>
        </w:rPr>
        <w:t>4.</w:t>
      </w:r>
      <w:r w:rsidRPr="00C20A43">
        <w:rPr>
          <w:u w:val="none"/>
        </w:rPr>
        <w:tab/>
      </w:r>
      <w:r>
        <w:rPr>
          <w:rFonts w:ascii="Times New Roman" w:hAnsi="Times New Roman"/>
          <w:sz w:val="24"/>
        </w:rPr>
        <w:t>Kitettségekre és veszteségekre vonatkozó adatszolgáltatás</w:t>
      </w:r>
    </w:p>
    <w:p w14:paraId="1E33E1D4" w14:textId="57906502" w:rsidR="000471B0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11.</w:t>
      </w:r>
      <w:r w:rsidR="00436F76"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  <w:u w:val="none"/>
        </w:rPr>
        <w:t>Kitettségek: a C 15.00 táblában a CRR harmadik részének II. címében előírt követelmények hatálya alá tartozó valamennyi kitettséget és az olyan eseteket kell szerepeltetni, ahol a biztosíték a kockázattal súlyozott kitettségérték csökkentését szolgálja. Ez azt is jelenti, hogy nem kell megadni az érintett kitettségeket és veszteségeket abban az esetben, ha az ingatlan kockázatmérséklő hatását kizárólag belső célokra (pl. a 2. pillér keretében) vagy nagy kitettségekre (lásd a CRR negyedik részét) használják.</w:t>
      </w:r>
    </w:p>
    <w:p w14:paraId="476B3438" w14:textId="696765AA" w:rsidR="000471B0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12.</w:t>
      </w:r>
      <w:r w:rsidR="00436F76"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  <w:u w:val="none"/>
        </w:rPr>
        <w:t>Veszteségek: a veszteségeket az adatszolgáltatási időszak végén kitettséggel rendelkező intézménynek kell jelentenie. A veszteségeket a céltartalékok számviteli szabályok szerinti lekönyvelésekor kell jelenteni. Fel kell tüntetni a becsült veszteségeket is. Az ingatlannal fedezett kitettségekből származó veszteségeket minden egyes hitelre vonatkozóan kell kiszámítani és adatszolgáltatási célból összesíteni kell.</w:t>
      </w:r>
    </w:p>
    <w:p w14:paraId="76BF16A4" w14:textId="6C26EBD7" w:rsidR="000471B0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13.</w:t>
      </w:r>
      <w:r w:rsidR="00436F76"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  <w:u w:val="none"/>
        </w:rPr>
        <w:t xml:space="preserve">Vonatkozási időpont: a nemteljesítéskori kitettségértéket kell használni. </w:t>
      </w:r>
    </w:p>
    <w:p w14:paraId="1BD48AAA" w14:textId="15B55D89" w:rsidR="008D7ACC" w:rsidRPr="008A4E00" w:rsidRDefault="001E7A23" w:rsidP="001E7A23">
      <w:pPr>
        <w:pStyle w:val="InstructionsText2"/>
        <w:numPr>
          <w:ilvl w:val="0"/>
          <w:numId w:val="0"/>
        </w:numPr>
        <w:tabs>
          <w:tab w:val="left" w:pos="720"/>
        </w:tabs>
        <w:ind w:left="720" w:hanging="360"/>
        <w:rPr>
          <w:rFonts w:ascii="Times New Roman" w:hAnsi="Times New Roman"/>
          <w:bCs/>
          <w:sz w:val="24"/>
          <w:szCs w:val="24"/>
          <w:u w:val="none"/>
        </w:rPr>
      </w:pPr>
      <w:r>
        <w:rPr>
          <w:rFonts w:ascii="Times New Roman" w:hAnsi="Times New Roman"/>
          <w:bCs/>
          <w:sz w:val="24"/>
          <w:szCs w:val="24"/>
          <w:u w:val="none"/>
        </w:rPr>
        <w:t>a)</w:t>
      </w:r>
      <w:r w:rsidR="00436F76">
        <w:rPr>
          <w:rFonts w:ascii="Times New Roman" w:hAnsi="Times New Roman"/>
          <w:bCs/>
          <w:sz w:val="24"/>
          <w:szCs w:val="24"/>
          <w:u w:val="none"/>
        </w:rPr>
        <w:tab/>
      </w:r>
      <w:r>
        <w:rPr>
          <w:rFonts w:ascii="Times New Roman" w:hAnsi="Times New Roman"/>
          <w:bCs/>
          <w:sz w:val="24"/>
          <w:szCs w:val="24"/>
          <w:u w:val="none"/>
        </w:rPr>
        <w:t>Az ingatlannal fedezett hitelek adatszolgáltatási időszak alatt bekövetkezett valamennyi nemteljesítésének veszteségét jelenteni kell függetlenül attól, hogy a behajtás lezárult-e. A december 31-én jelentett veszteségadatoknak a teljes naptári évre kell vonatkozniuk. Mivel jelentős lehet a nemteljesítés és a veszteség (még le nem zárt behajtást is tartalmazó) megjelenítése közötti időbeli eltérés, a veszteség becslését kell megadni olyan esetekben, amikor a behajtás az adatszolgáltatási időszak alatt nem zárult le.</w:t>
      </w:r>
    </w:p>
    <w:p w14:paraId="43D8639D" w14:textId="12656C1D" w:rsidR="008D7ACC" w:rsidRPr="008A4E00" w:rsidRDefault="001E7A23" w:rsidP="001E7A23">
      <w:pPr>
        <w:pStyle w:val="InstructionsText2"/>
        <w:numPr>
          <w:ilvl w:val="0"/>
          <w:numId w:val="0"/>
        </w:numPr>
        <w:tabs>
          <w:tab w:val="left" w:pos="720"/>
        </w:tabs>
        <w:ind w:left="720" w:hanging="360"/>
        <w:rPr>
          <w:rFonts w:ascii="Times New Roman" w:hAnsi="Times New Roman"/>
          <w:bCs/>
          <w:sz w:val="24"/>
          <w:szCs w:val="24"/>
          <w:u w:val="none"/>
        </w:rPr>
      </w:pPr>
      <w:r>
        <w:rPr>
          <w:rFonts w:ascii="Times New Roman" w:hAnsi="Times New Roman"/>
          <w:bCs/>
          <w:sz w:val="24"/>
          <w:szCs w:val="24"/>
          <w:u w:val="none"/>
        </w:rPr>
        <w:t>b)</w:t>
      </w:r>
      <w:r w:rsidR="00436F76">
        <w:rPr>
          <w:rFonts w:ascii="Times New Roman" w:hAnsi="Times New Roman"/>
          <w:bCs/>
          <w:sz w:val="24"/>
          <w:szCs w:val="24"/>
          <w:u w:val="none"/>
        </w:rPr>
        <w:tab/>
      </w:r>
      <w:r>
        <w:rPr>
          <w:rFonts w:ascii="Times New Roman" w:hAnsi="Times New Roman"/>
          <w:bCs/>
          <w:sz w:val="24"/>
          <w:szCs w:val="24"/>
          <w:u w:val="none"/>
        </w:rPr>
        <w:t xml:space="preserve">Az adatszolgáltatási időszak alatt bekövetkező minden nemteljesítésre három forgatókönyv létezik: i. a nemteljesítő hitel átstrukturálható úgy, hogy azt ne nemteljesítőként </w:t>
      </w:r>
      <w:r>
        <w:rPr>
          <w:rFonts w:ascii="Times New Roman" w:hAnsi="Times New Roman"/>
          <w:bCs/>
          <w:sz w:val="24"/>
          <w:szCs w:val="24"/>
          <w:u w:val="none"/>
        </w:rPr>
        <w:lastRenderedPageBreak/>
        <w:t>kezeljük (veszteség nem jelentkezett); ii. minden biztosíték érvényesítése megtörtént (lezárult behajtás, a tényleges veszteség ismert); vagy iii. le nem zárult behajtás (veszteségbecslést kell használni). A veszteségre vonatkozó adatszolgáltatás csak a ii. forgatókönyv – biztosíték érvényesítése (bekövetkezett veszteség) és a iii. forgatókönyv – le nem zárult behajtás (veszteségbecslés) veszteségeit tartalmazza.</w:t>
      </w:r>
    </w:p>
    <w:p w14:paraId="5F725F4A" w14:textId="017BB033" w:rsidR="008D7ACC" w:rsidRPr="008A4E00" w:rsidRDefault="001E7A23" w:rsidP="001E7A23">
      <w:pPr>
        <w:pStyle w:val="InstructionsText2"/>
        <w:numPr>
          <w:ilvl w:val="0"/>
          <w:numId w:val="0"/>
        </w:numPr>
        <w:tabs>
          <w:tab w:val="left" w:pos="720"/>
        </w:tabs>
        <w:ind w:left="720" w:hanging="360"/>
        <w:rPr>
          <w:rFonts w:ascii="Times New Roman" w:hAnsi="Times New Roman"/>
          <w:bCs/>
          <w:sz w:val="24"/>
          <w:szCs w:val="24"/>
          <w:u w:val="none"/>
        </w:rPr>
      </w:pPr>
      <w:r>
        <w:rPr>
          <w:rFonts w:ascii="Times New Roman" w:hAnsi="Times New Roman"/>
          <w:bCs/>
          <w:sz w:val="24"/>
          <w:szCs w:val="24"/>
          <w:u w:val="none"/>
        </w:rPr>
        <w:t>c)</w:t>
      </w:r>
      <w:r w:rsidR="00436F76">
        <w:rPr>
          <w:rFonts w:ascii="Times New Roman" w:hAnsi="Times New Roman"/>
          <w:bCs/>
          <w:sz w:val="24"/>
          <w:szCs w:val="24"/>
          <w:u w:val="none"/>
        </w:rPr>
        <w:tab/>
      </w:r>
      <w:r>
        <w:rPr>
          <w:rFonts w:ascii="Times New Roman" w:hAnsi="Times New Roman"/>
          <w:bCs/>
          <w:sz w:val="24"/>
          <w:szCs w:val="24"/>
          <w:u w:val="none"/>
        </w:rPr>
        <w:t>Mivel csak az adatszolgáltatási időszak alatt nemteljesítővé váló kitettségekből származó veszteségeket kell jelenteni, az előző adatszolgáltatási időszakok alatt nemteljesítővé vált kitettségeken keletkező veszteségek változásait az adatszolgáltatás adatai nem tükrözik, tehát a biztosíték érvényesítéséből egy későbbi adatszolgáltatási időszak alatt származó bevételeket vagy a korábban becsültnél alacsonyabb realizált költségeket nem kell jelenteni.</w:t>
      </w:r>
    </w:p>
    <w:p w14:paraId="41BE913E" w14:textId="68F56C65" w:rsidR="000471B0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14.</w:t>
      </w:r>
      <w:r w:rsidR="00436F76"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  <w:u w:val="none"/>
        </w:rPr>
        <w:t>Az ingatlan értékelésének szerepe: a kitettségek ingatlanra bejegyzett zálogjoggal fedezett részének feltüntetéséhez a kitettség nemteljesítésének napját mint vonatkozási időpontot megelőző legfrissebb ingatlanértékelést kell figyelembe venni. A nemteljesítés után az ingatlan újraértékelhető. Ez az új érték azonban nem lehet releváns a kitettség azon részének meghatározása szempontjából, amely eredetileg teljes mértékben (és teljeskörűen) zálogjoggal volt fedezve. Az ingatlan új értékét azonban a gazdasági veszteség jelentésekor figyelembe kell venni (a csökkent ingatlanérték a gazdasági költségek részét képezi). Másképp fogalmazva: a nemteljesítés időpontja előtti legutolsó ingatlanértékelést kell használni annak meghatározására, hogy a veszteség mely részét kell a 0010-es (teljes mértékben és teljeskörűen fedezett kitettségértékek meghatározása) oszlopban szerepeltetni, a jelentendő összeghez tartozó újraértékelt ingatlanértéket (a biztosíték esetleges behajtásából származó bevétel becslése) pedig a 0010-es és 0030-as oszlopban kell feltüntetni.</w:t>
      </w:r>
    </w:p>
    <w:p w14:paraId="46D6DEED" w14:textId="5151FFDD" w:rsidR="000471B0" w:rsidRPr="008A4E00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15.</w:t>
      </w:r>
      <w:r w:rsidR="00436F76"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  <w:u w:val="none"/>
        </w:rPr>
        <w:t>A követelések átruházásának kezelése az adatszolgáltatási időszak alatt: a veszteségeket az adatszolgáltatási időszak végén kitettséggel rendelkező intézménynek kell jelentenie, de csak akkor, ha az adott kitettség vonatkozásában nemteljesítést tártak fel.</w:t>
      </w:r>
    </w:p>
    <w:p w14:paraId="3C32F70D" w14:textId="77777777" w:rsidR="00713F52" w:rsidRPr="008A4E00" w:rsidRDefault="001E7A23" w:rsidP="001E7A23">
      <w:pPr>
        <w:pStyle w:val="Instructionsberschrift2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</w:rPr>
      </w:pPr>
      <w:bookmarkStart w:id="2" w:name="_Toc310008820"/>
      <w:r>
        <w:rPr>
          <w:rFonts w:ascii="Times New Roman" w:hAnsi="Times New Roman"/>
          <w:sz w:val="24"/>
          <w:u w:val="none"/>
        </w:rPr>
        <w:t>5.</w:t>
      </w:r>
      <w:bookmarkStart w:id="3" w:name="_GoBack"/>
      <w:r w:rsidRPr="00DE4344">
        <w:rPr>
          <w:u w:val="none"/>
        </w:rPr>
        <w:tab/>
      </w:r>
      <w:bookmarkEnd w:id="3"/>
      <w:r>
        <w:rPr>
          <w:rFonts w:ascii="Times New Roman" w:hAnsi="Times New Roman"/>
          <w:sz w:val="24"/>
        </w:rPr>
        <w:t>A tábla egyes részeire vonatkozó útmutató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004"/>
      </w:tblGrid>
      <w:tr w:rsidR="00713F52" w:rsidRPr="00F4528F" w14:paraId="4C8BAF1E" w14:textId="77777777" w:rsidTr="00165232">
        <w:tc>
          <w:tcPr>
            <w:tcW w:w="8856" w:type="dxa"/>
            <w:gridSpan w:val="2"/>
            <w:shd w:val="clear" w:color="auto" w:fill="CCCCCC"/>
          </w:tcPr>
          <w:p w14:paraId="0A3C761B" w14:textId="77777777" w:rsidR="00713F52" w:rsidRPr="008A4E00" w:rsidRDefault="00713F52" w:rsidP="00A6020A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Oszlopok</w:t>
            </w:r>
          </w:p>
        </w:tc>
      </w:tr>
      <w:tr w:rsidR="00713F52" w:rsidRPr="00F4528F" w14:paraId="65785922" w14:textId="77777777" w:rsidTr="00165232">
        <w:tc>
          <w:tcPr>
            <w:tcW w:w="852" w:type="dxa"/>
          </w:tcPr>
          <w:p w14:paraId="25C9EC6A" w14:textId="77777777" w:rsidR="00713F52" w:rsidRPr="008A4E00" w:rsidRDefault="00B33BBC" w:rsidP="00A6020A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004" w:type="dxa"/>
          </w:tcPr>
          <w:p w14:paraId="4E7F622B" w14:textId="77777777" w:rsidR="000471B0" w:rsidRPr="008A4E00" w:rsidRDefault="00713F52" w:rsidP="00A6020A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 referenciaarányokig történő hitelezésből származó veszteségek összege</w:t>
            </w:r>
          </w:p>
          <w:p w14:paraId="07E5E64A" w14:textId="08167C78" w:rsidR="000471B0" w:rsidRPr="008A4E00" w:rsidRDefault="00B9443C" w:rsidP="00A6020A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A CRR 430a. cikke (1) bekezdésének a), illetve d) pontja. </w:t>
            </w:r>
          </w:p>
          <w:p w14:paraId="19C0501E" w14:textId="61B1C329" w:rsidR="000471B0" w:rsidRPr="008A4E00" w:rsidRDefault="00713F52" w:rsidP="00A6020A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Piaci érték és jelzálog-hitelbiztosítéki érték a CRR 4. cikke (1) bekezdésének 74. és 76. pontja szerint.</w:t>
            </w:r>
          </w:p>
          <w:p w14:paraId="01CE6153" w14:textId="77777777" w:rsidR="000471B0" w:rsidRPr="008A4E00" w:rsidRDefault="00D87924" w:rsidP="00C60BE1">
            <w:pPr>
              <w:spacing w:beforeLines="60" w:before="144" w:afterLines="60" w:after="144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Ez az oszlop a lakóingatlannal vagy kereskedelmi ingatlannal fedezett hitelezésből származó összes veszteséget összesíti a CRR 124. cikkének (1) bekezdése értelmében a kitettség teljes mértékben és teljeskörűen fedezettként kezelt részéig.</w:t>
            </w:r>
          </w:p>
        </w:tc>
      </w:tr>
      <w:tr w:rsidR="00713F52" w:rsidRPr="00F4528F" w14:paraId="0AB8D4AD" w14:textId="77777777" w:rsidTr="00165232">
        <w:tc>
          <w:tcPr>
            <w:tcW w:w="852" w:type="dxa"/>
          </w:tcPr>
          <w:p w14:paraId="55005F18" w14:textId="77777777" w:rsidR="00713F52" w:rsidRPr="008A4E00" w:rsidRDefault="00B33BBC" w:rsidP="00A6020A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004" w:type="dxa"/>
          </w:tcPr>
          <w:p w14:paraId="0A4D0239" w14:textId="77777777" w:rsidR="000471B0" w:rsidRPr="008A4E00" w:rsidRDefault="00713F52" w:rsidP="00A6020A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ebből: jelzálog-hitelbiztosítéki értéken értékelt ingatlan</w:t>
            </w:r>
          </w:p>
          <w:p w14:paraId="475B0AC4" w14:textId="77777777" w:rsidR="000471B0" w:rsidRPr="008A4E00" w:rsidRDefault="00713F52" w:rsidP="00A6020A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Itt azon veszteségeket kell jelenteni, amelyeknél a biztosíték értékét jelzálog-hitelbiztosítéki értékként számították.</w:t>
            </w:r>
          </w:p>
        </w:tc>
      </w:tr>
      <w:tr w:rsidR="00713F52" w:rsidRPr="00F4528F" w14:paraId="1CB24F02" w14:textId="77777777" w:rsidTr="00165232">
        <w:tc>
          <w:tcPr>
            <w:tcW w:w="852" w:type="dxa"/>
          </w:tcPr>
          <w:p w14:paraId="6FC3B1A8" w14:textId="77777777" w:rsidR="00713F52" w:rsidRPr="008A4E00" w:rsidRDefault="00B33BBC" w:rsidP="00A6020A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004" w:type="dxa"/>
          </w:tcPr>
          <w:p w14:paraId="41837ECE" w14:textId="77777777" w:rsidR="000471B0" w:rsidRPr="008A4E00" w:rsidRDefault="00713F52" w:rsidP="00A6020A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 teljes veszteség összege</w:t>
            </w:r>
          </w:p>
          <w:p w14:paraId="7CD90D4F" w14:textId="04D3C8EE" w:rsidR="000471B0" w:rsidRPr="008A4E00" w:rsidRDefault="00B9443C" w:rsidP="00A6020A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A CRR 430a. cikke (1) bekezdésének b), illetve e) pontja; piaci érték és jelzálog-hitelbiztosítéki érték a CRR 4. cikke (1) bekezdésének 74. és 76. pontja szerint.</w:t>
            </w:r>
          </w:p>
          <w:p w14:paraId="2DE09B4B" w14:textId="4BD0021D" w:rsidR="000471B0" w:rsidRPr="008A4E00" w:rsidRDefault="00713F52" w:rsidP="00C60BE1">
            <w:pPr>
              <w:spacing w:beforeLines="60" w:before="144" w:afterLines="60" w:after="144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Ez az oszlop a lakóingatlannal vagy kereskedelmi ingatlannal fedezett hitelezésből származó összes veszteséget összesíti a CRR 124. cikkének (1) bekezdése értelmében a kitettség teljes mértékben fedezettként kezelt részéig.</w:t>
            </w:r>
          </w:p>
        </w:tc>
      </w:tr>
      <w:tr w:rsidR="00713F52" w:rsidRPr="00F4528F" w14:paraId="394C42F4" w14:textId="77777777" w:rsidTr="00165232">
        <w:tc>
          <w:tcPr>
            <w:tcW w:w="852" w:type="dxa"/>
          </w:tcPr>
          <w:p w14:paraId="7F8DD37E" w14:textId="77777777" w:rsidR="00713F52" w:rsidRPr="008A4E00" w:rsidRDefault="00B33BBC" w:rsidP="00A6020A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0040</w:t>
            </w:r>
          </w:p>
        </w:tc>
        <w:tc>
          <w:tcPr>
            <w:tcW w:w="8004" w:type="dxa"/>
          </w:tcPr>
          <w:p w14:paraId="7EF78BD2" w14:textId="77777777" w:rsidR="000471B0" w:rsidRPr="008A4E00" w:rsidRDefault="00713F52" w:rsidP="00A6020A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ebből: jelzálog-hitelbiztosítéki értéken értékelt ingatlan</w:t>
            </w:r>
          </w:p>
          <w:p w14:paraId="79BBEBA6" w14:textId="05EE0075" w:rsidR="000471B0" w:rsidRPr="008A4E00" w:rsidRDefault="0075401D" w:rsidP="00A6020A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Az intézményeknek azokat a veszteségeket kell feltüntetniük, amelyeknél a biztosíték értékét jelzálog-hitelbiztosítéki értékként számították.</w:t>
            </w:r>
          </w:p>
        </w:tc>
      </w:tr>
      <w:tr w:rsidR="00713F52" w:rsidRPr="00F4528F" w14:paraId="348F65B2" w14:textId="77777777" w:rsidTr="00165232">
        <w:tc>
          <w:tcPr>
            <w:tcW w:w="852" w:type="dxa"/>
          </w:tcPr>
          <w:p w14:paraId="3DB16A06" w14:textId="77777777" w:rsidR="00713F52" w:rsidRPr="008A4E00" w:rsidRDefault="00B33BBC" w:rsidP="00A6020A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004" w:type="dxa"/>
          </w:tcPr>
          <w:p w14:paraId="5A3D4AC9" w14:textId="77777777" w:rsidR="000471B0" w:rsidRPr="008A4E00" w:rsidRDefault="00713F52" w:rsidP="00A6020A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Kitettségek összege</w:t>
            </w:r>
          </w:p>
          <w:p w14:paraId="7C6ADC5B" w14:textId="527CDEF2" w:rsidR="000471B0" w:rsidRPr="008A4E00" w:rsidRDefault="00B9443C" w:rsidP="00A6020A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A CRR 430a. cikke (1) bekezdésének c) és f) pontja.</w:t>
            </w:r>
          </w:p>
          <w:p w14:paraId="2A947902" w14:textId="77777777" w:rsidR="000471B0" w:rsidRPr="008A4E00" w:rsidRDefault="00E66FEA" w:rsidP="00A6020A">
            <w:pPr>
              <w:spacing w:beforeLines="60" w:before="144" w:afterLines="60" w:after="144"/>
              <w:jc w:val="lef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Az adatszolgáltatásban szerepeltetendő összeg a kitettségértéknek csak a teljes mértékben fedezettként kezelt része, vagyis a fedezetlenként kezelt rész a veszteség jelentése szempontjából nem releváns.</w:t>
            </w:r>
          </w:p>
          <w:p w14:paraId="1CF31593" w14:textId="688454CE" w:rsidR="00A122F8" w:rsidRPr="008A4E00" w:rsidRDefault="00A122F8" w:rsidP="00980064">
            <w:pPr>
              <w:spacing w:beforeLines="60" w:before="144" w:afterLines="60" w:after="144"/>
              <w:jc w:val="lef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Nemteljesítés esetén kitettségértékként a nemteljesítést közvetlenül megelőző kitettségértéket kell megadni.</w:t>
            </w:r>
          </w:p>
        </w:tc>
      </w:tr>
    </w:tbl>
    <w:p w14:paraId="7C3D2777" w14:textId="77777777" w:rsidR="00713F52" w:rsidRPr="008A4E00" w:rsidRDefault="00713F52" w:rsidP="00713F52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004"/>
      </w:tblGrid>
      <w:tr w:rsidR="00713F52" w:rsidRPr="00F4528F" w14:paraId="5341D98E" w14:textId="77777777" w:rsidTr="00165232">
        <w:tc>
          <w:tcPr>
            <w:tcW w:w="8856" w:type="dxa"/>
            <w:gridSpan w:val="2"/>
            <w:shd w:val="clear" w:color="auto" w:fill="CCCCCC"/>
          </w:tcPr>
          <w:p w14:paraId="511FFD36" w14:textId="77777777" w:rsidR="00713F52" w:rsidRPr="008A4E00" w:rsidRDefault="00713F52" w:rsidP="00A6020A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Sorok</w:t>
            </w:r>
          </w:p>
        </w:tc>
      </w:tr>
      <w:tr w:rsidR="00713F52" w:rsidRPr="00F4528F" w14:paraId="4992A2CA" w14:textId="77777777" w:rsidTr="00165232">
        <w:tc>
          <w:tcPr>
            <w:tcW w:w="852" w:type="dxa"/>
          </w:tcPr>
          <w:p w14:paraId="20440DBB" w14:textId="77777777" w:rsidR="00713F52" w:rsidRPr="008A4E00" w:rsidRDefault="00B33BBC" w:rsidP="00A6020A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004" w:type="dxa"/>
          </w:tcPr>
          <w:p w14:paraId="6DCF7D0C" w14:textId="77777777" w:rsidR="000471B0" w:rsidRDefault="00F76469" w:rsidP="00F7646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Lakóingatlan </w:t>
            </w:r>
          </w:p>
          <w:p w14:paraId="4BFD2574" w14:textId="77777777" w:rsidR="00835C71" w:rsidRPr="008A4E00" w:rsidRDefault="00835C71" w:rsidP="00F7646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A CRR 4. cikke (1) bekezdése 75. pontjának fogalommeghatározása szerinti lakóingatlan.</w:t>
            </w:r>
          </w:p>
        </w:tc>
      </w:tr>
      <w:tr w:rsidR="00713F52" w:rsidRPr="00F4528F" w14:paraId="738518EC" w14:textId="77777777" w:rsidTr="00165232">
        <w:tc>
          <w:tcPr>
            <w:tcW w:w="852" w:type="dxa"/>
          </w:tcPr>
          <w:p w14:paraId="197BFC72" w14:textId="77777777" w:rsidR="00713F52" w:rsidRPr="008A4E00" w:rsidRDefault="00B33BBC" w:rsidP="00A6020A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0020 </w:t>
            </w:r>
          </w:p>
        </w:tc>
        <w:tc>
          <w:tcPr>
            <w:tcW w:w="8004" w:type="dxa"/>
          </w:tcPr>
          <w:p w14:paraId="44906BD1" w14:textId="77777777" w:rsidR="000471B0" w:rsidRPr="008A4E00" w:rsidRDefault="00F76469" w:rsidP="00A6020A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Kereskedelmi ingatlan </w:t>
            </w:r>
          </w:p>
        </w:tc>
      </w:tr>
      <w:bookmarkEnd w:id="0"/>
      <w:bookmarkEnd w:id="1"/>
      <w:bookmarkEnd w:id="2"/>
    </w:tbl>
    <w:p w14:paraId="541A1A6E" w14:textId="77777777" w:rsidR="00D92396" w:rsidRPr="008A4E00" w:rsidRDefault="00D92396" w:rsidP="00713F52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</w:rPr>
      </w:pPr>
    </w:p>
    <w:sectPr w:rsidR="00D92396" w:rsidRPr="008A4E00" w:rsidSect="00B51F42"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3A9929" w14:textId="77777777" w:rsidR="004B5E54" w:rsidRDefault="004B5E54" w:rsidP="00D946DB">
      <w:pPr>
        <w:spacing w:before="0" w:after="0"/>
      </w:pPr>
      <w:r>
        <w:separator/>
      </w:r>
    </w:p>
  </w:endnote>
  <w:endnote w:type="continuationSeparator" w:id="0">
    <w:p w14:paraId="088DC31F" w14:textId="77777777" w:rsidR="004B5E54" w:rsidRDefault="004B5E54" w:rsidP="00D946D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98FD0" w14:textId="77777777" w:rsidR="00422064" w:rsidRDefault="005D254B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F8ED0D7" w14:textId="77777777" w:rsidR="00422064" w:rsidRDefault="004220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1845FA" w14:textId="6669A977" w:rsidR="00422064" w:rsidRDefault="005D254B">
    <w:pPr>
      <w:pStyle w:val="Footer"/>
      <w:tabs>
        <w:tab w:val="left" w:pos="8640"/>
      </w:tabs>
      <w:ind w:right="6"/>
      <w:jc w:val="right"/>
    </w:pPr>
    <w:r>
      <w:rPr>
        <w:rStyle w:val="PageNumber"/>
        <w:rFonts w:cs="Verdana"/>
        <w:szCs w:val="20"/>
      </w:rPr>
      <w:fldChar w:fldCharType="begin"/>
    </w:r>
    <w:r>
      <w:rPr>
        <w:rStyle w:val="PageNumber"/>
        <w:rFonts w:cs="Verdana"/>
        <w:szCs w:val="20"/>
      </w:rPr>
      <w:instrText xml:space="preserve">PAGE  </w:instrText>
    </w:r>
    <w:r>
      <w:rPr>
        <w:rStyle w:val="PageNumber"/>
        <w:rFonts w:cs="Verdana"/>
        <w:szCs w:val="20"/>
      </w:rPr>
      <w:fldChar w:fldCharType="separate"/>
    </w:r>
    <w:r w:rsidR="00DE4344">
      <w:rPr>
        <w:rStyle w:val="PageNumber"/>
        <w:rFonts w:cs="Verdana"/>
        <w:noProof/>
        <w:szCs w:val="20"/>
      </w:rPr>
      <w:t>5</w:t>
    </w:r>
    <w:r>
      <w:rPr>
        <w:rStyle w:val="PageNumber"/>
        <w:rFonts w:cs="Verdana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56746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AC63BD4" w14:textId="0FA774BE" w:rsidR="00D452AA" w:rsidRDefault="00D452A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5B89">
          <w:rPr>
            <w:noProof/>
          </w:rPr>
          <w:t>1</w:t>
        </w:r>
        <w:r>
          <w:fldChar w:fldCharType="end"/>
        </w:r>
      </w:p>
    </w:sdtContent>
  </w:sdt>
  <w:p w14:paraId="61F2028A" w14:textId="77777777" w:rsidR="00A6020A" w:rsidRDefault="00A602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7291FB" w14:textId="77777777" w:rsidR="004B5E54" w:rsidRDefault="004B5E54" w:rsidP="00D946DB">
      <w:pPr>
        <w:spacing w:before="0" w:after="0"/>
      </w:pPr>
      <w:r>
        <w:separator/>
      </w:r>
    </w:p>
  </w:footnote>
  <w:footnote w:type="continuationSeparator" w:id="0">
    <w:p w14:paraId="5B2578DB" w14:textId="77777777" w:rsidR="004B5E54" w:rsidRDefault="004B5E54" w:rsidP="00D946D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4EAA8" w14:textId="77777777" w:rsidR="00D25D7E" w:rsidRDefault="00D25D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6862A" w14:textId="60EACB8B" w:rsidR="00A6020A" w:rsidRDefault="005B250C" w:rsidP="00E577B1">
    <w:pPr>
      <w:pStyle w:val="Header"/>
      <w:jc w:val="center"/>
    </w:pPr>
    <w:r>
      <w:t>HU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AD72C" w14:textId="77777777" w:rsidR="00D25D7E" w:rsidRDefault="00D25D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2" w15:restartNumberingAfterBreak="0">
    <w:nsid w:val="19B7337E"/>
    <w:multiLevelType w:val="hybridMultilevel"/>
    <w:tmpl w:val="65CCD6C0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D82C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3D860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088B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845B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90A98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D84D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5EB90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91472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8824E3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7D7F02"/>
    <w:multiLevelType w:val="multilevel"/>
    <w:tmpl w:val="0407001D"/>
    <w:numStyleLink w:val="Formatvorlage3"/>
  </w:abstractNum>
  <w:abstractNum w:abstractNumId="7" w15:restartNumberingAfterBreak="0">
    <w:nsid w:val="33057CB8"/>
    <w:multiLevelType w:val="hybridMultilevel"/>
    <w:tmpl w:val="EA70702C"/>
    <w:lvl w:ilvl="0" w:tplc="236EA62C">
      <w:start w:val="1"/>
      <w:numFmt w:val="decimal"/>
      <w:pStyle w:val="InstructionsText2"/>
      <w:lvlText w:val="%1."/>
      <w:lvlJc w:val="left"/>
      <w:pPr>
        <w:ind w:left="720" w:hanging="360"/>
      </w:pPr>
    </w:lvl>
    <w:lvl w:ilvl="1" w:tplc="04070003">
      <w:start w:val="1"/>
      <w:numFmt w:val="lowerLetter"/>
      <w:lvlText w:val="%2."/>
      <w:lvlJc w:val="left"/>
      <w:pPr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BB79FB"/>
    <w:multiLevelType w:val="multilevel"/>
    <w:tmpl w:val="AB961BA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0" w15:restartNumberingAfterBreak="0">
    <w:nsid w:val="6C1A6AB9"/>
    <w:multiLevelType w:val="multilevel"/>
    <w:tmpl w:val="B4A6BEF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1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22"/>
  </w:num>
  <w:num w:numId="4">
    <w:abstractNumId w:val="11"/>
  </w:num>
  <w:num w:numId="5">
    <w:abstractNumId w:val="18"/>
  </w:num>
  <w:num w:numId="6">
    <w:abstractNumId w:val="10"/>
  </w:num>
  <w:num w:numId="7">
    <w:abstractNumId w:val="21"/>
  </w:num>
  <w:num w:numId="8">
    <w:abstractNumId w:val="3"/>
  </w:num>
  <w:num w:numId="9">
    <w:abstractNumId w:val="16"/>
  </w:num>
  <w:num w:numId="10">
    <w:abstractNumId w:val="8"/>
  </w:num>
  <w:num w:numId="11">
    <w:abstractNumId w:val="13"/>
  </w:num>
  <w:num w:numId="12">
    <w:abstractNumId w:val="5"/>
  </w:num>
  <w:num w:numId="13">
    <w:abstractNumId w:val="17"/>
  </w:num>
  <w:num w:numId="14">
    <w:abstractNumId w:val="14"/>
  </w:num>
  <w:num w:numId="15">
    <w:abstractNumId w:val="20"/>
  </w:num>
  <w:num w:numId="16">
    <w:abstractNumId w:val="7"/>
  </w:num>
  <w:num w:numId="17">
    <w:abstractNumId w:val="12"/>
  </w:num>
  <w:num w:numId="18">
    <w:abstractNumId w:val="6"/>
  </w:num>
  <w:num w:numId="19">
    <w:abstractNumId w:val="19"/>
  </w:num>
  <w:num w:numId="20">
    <w:abstractNumId w:val="1"/>
  </w:num>
  <w:num w:numId="21">
    <w:abstractNumId w:val="4"/>
  </w:num>
  <w:num w:numId="22">
    <w:abstractNumId w:val="2"/>
  </w:num>
  <w:num w:numId="23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884FEB"/>
    <w:rsid w:val="000020E5"/>
    <w:rsid w:val="00004FE8"/>
    <w:rsid w:val="00005765"/>
    <w:rsid w:val="00005FFC"/>
    <w:rsid w:val="000078BB"/>
    <w:rsid w:val="00007D0D"/>
    <w:rsid w:val="00011BD0"/>
    <w:rsid w:val="00013EF3"/>
    <w:rsid w:val="00014890"/>
    <w:rsid w:val="00020A6B"/>
    <w:rsid w:val="000232E2"/>
    <w:rsid w:val="000243CE"/>
    <w:rsid w:val="0002657F"/>
    <w:rsid w:val="000326C1"/>
    <w:rsid w:val="00037093"/>
    <w:rsid w:val="000471B0"/>
    <w:rsid w:val="0005400A"/>
    <w:rsid w:val="0005609F"/>
    <w:rsid w:val="00057362"/>
    <w:rsid w:val="00061E48"/>
    <w:rsid w:val="00063085"/>
    <w:rsid w:val="00072201"/>
    <w:rsid w:val="00076091"/>
    <w:rsid w:val="00076880"/>
    <w:rsid w:val="000828C6"/>
    <w:rsid w:val="000858A9"/>
    <w:rsid w:val="00097D02"/>
    <w:rsid w:val="000A1640"/>
    <w:rsid w:val="000B0613"/>
    <w:rsid w:val="000B0EBE"/>
    <w:rsid w:val="000C03AE"/>
    <w:rsid w:val="000C4999"/>
    <w:rsid w:val="000D220D"/>
    <w:rsid w:val="000E13C0"/>
    <w:rsid w:val="000E1572"/>
    <w:rsid w:val="000E20F0"/>
    <w:rsid w:val="000E29C9"/>
    <w:rsid w:val="000E7BA8"/>
    <w:rsid w:val="000F2F09"/>
    <w:rsid w:val="000F4183"/>
    <w:rsid w:val="000F4702"/>
    <w:rsid w:val="000F6A80"/>
    <w:rsid w:val="000F6B25"/>
    <w:rsid w:val="00102A42"/>
    <w:rsid w:val="0012049B"/>
    <w:rsid w:val="00124B85"/>
    <w:rsid w:val="001273B5"/>
    <w:rsid w:val="00133AC1"/>
    <w:rsid w:val="00136316"/>
    <w:rsid w:val="001402DB"/>
    <w:rsid w:val="00141BC0"/>
    <w:rsid w:val="001432EE"/>
    <w:rsid w:val="00153D11"/>
    <w:rsid w:val="001570C4"/>
    <w:rsid w:val="00163DBA"/>
    <w:rsid w:val="00165232"/>
    <w:rsid w:val="001721BD"/>
    <w:rsid w:val="00175742"/>
    <w:rsid w:val="00175957"/>
    <w:rsid w:val="00183B7A"/>
    <w:rsid w:val="00184E8A"/>
    <w:rsid w:val="001854F6"/>
    <w:rsid w:val="00185877"/>
    <w:rsid w:val="001919E9"/>
    <w:rsid w:val="001A44B3"/>
    <w:rsid w:val="001A45DE"/>
    <w:rsid w:val="001B416C"/>
    <w:rsid w:val="001B4EA5"/>
    <w:rsid w:val="001C05DD"/>
    <w:rsid w:val="001C1392"/>
    <w:rsid w:val="001E01BA"/>
    <w:rsid w:val="001E0746"/>
    <w:rsid w:val="001E0A00"/>
    <w:rsid w:val="001E1770"/>
    <w:rsid w:val="001E5A75"/>
    <w:rsid w:val="001E6B9D"/>
    <w:rsid w:val="001E7A23"/>
    <w:rsid w:val="001F2920"/>
    <w:rsid w:val="001F5AC3"/>
    <w:rsid w:val="0021389C"/>
    <w:rsid w:val="00213DC3"/>
    <w:rsid w:val="0021767A"/>
    <w:rsid w:val="002201EA"/>
    <w:rsid w:val="00221103"/>
    <w:rsid w:val="00221BC8"/>
    <w:rsid w:val="00222AC6"/>
    <w:rsid w:val="00225D42"/>
    <w:rsid w:val="0023488F"/>
    <w:rsid w:val="002357EA"/>
    <w:rsid w:val="00245325"/>
    <w:rsid w:val="00250176"/>
    <w:rsid w:val="002506A3"/>
    <w:rsid w:val="00253022"/>
    <w:rsid w:val="00254DF6"/>
    <w:rsid w:val="00262C1B"/>
    <w:rsid w:val="002664C7"/>
    <w:rsid w:val="00271C8B"/>
    <w:rsid w:val="002779CE"/>
    <w:rsid w:val="00281D57"/>
    <w:rsid w:val="00285E2F"/>
    <w:rsid w:val="00291779"/>
    <w:rsid w:val="002920FF"/>
    <w:rsid w:val="002A04D3"/>
    <w:rsid w:val="002A076F"/>
    <w:rsid w:val="002A7FF5"/>
    <w:rsid w:val="002B264F"/>
    <w:rsid w:val="002C41F1"/>
    <w:rsid w:val="002C6263"/>
    <w:rsid w:val="002D4E10"/>
    <w:rsid w:val="002D6B9E"/>
    <w:rsid w:val="002E053A"/>
    <w:rsid w:val="002E2061"/>
    <w:rsid w:val="002E3720"/>
    <w:rsid w:val="002E4EB7"/>
    <w:rsid w:val="002E587F"/>
    <w:rsid w:val="002F170E"/>
    <w:rsid w:val="00300224"/>
    <w:rsid w:val="00302E9C"/>
    <w:rsid w:val="00306AD1"/>
    <w:rsid w:val="00306F71"/>
    <w:rsid w:val="00310F05"/>
    <w:rsid w:val="00311B2D"/>
    <w:rsid w:val="003137B9"/>
    <w:rsid w:val="00323F44"/>
    <w:rsid w:val="00325A59"/>
    <w:rsid w:val="003261B0"/>
    <w:rsid w:val="00331FE6"/>
    <w:rsid w:val="00333A44"/>
    <w:rsid w:val="00340064"/>
    <w:rsid w:val="00345E53"/>
    <w:rsid w:val="00347FF9"/>
    <w:rsid w:val="00357F63"/>
    <w:rsid w:val="003616A1"/>
    <w:rsid w:val="00363FCE"/>
    <w:rsid w:val="00371593"/>
    <w:rsid w:val="00373A71"/>
    <w:rsid w:val="00387E40"/>
    <w:rsid w:val="00390DDA"/>
    <w:rsid w:val="00393539"/>
    <w:rsid w:val="003A0C05"/>
    <w:rsid w:val="003A200A"/>
    <w:rsid w:val="003A3C8E"/>
    <w:rsid w:val="003A449C"/>
    <w:rsid w:val="003B3DBB"/>
    <w:rsid w:val="003C2566"/>
    <w:rsid w:val="003C60B9"/>
    <w:rsid w:val="003D108A"/>
    <w:rsid w:val="003D10E9"/>
    <w:rsid w:val="003D431C"/>
    <w:rsid w:val="003D56DE"/>
    <w:rsid w:val="003E0595"/>
    <w:rsid w:val="003E2A3B"/>
    <w:rsid w:val="003F15BB"/>
    <w:rsid w:val="003F4BA1"/>
    <w:rsid w:val="00401111"/>
    <w:rsid w:val="00405B22"/>
    <w:rsid w:val="00406A75"/>
    <w:rsid w:val="00412D44"/>
    <w:rsid w:val="00415627"/>
    <w:rsid w:val="00415A1B"/>
    <w:rsid w:val="00417752"/>
    <w:rsid w:val="00422064"/>
    <w:rsid w:val="0043001B"/>
    <w:rsid w:val="004345C2"/>
    <w:rsid w:val="00435F58"/>
    <w:rsid w:val="00436F76"/>
    <w:rsid w:val="004377DA"/>
    <w:rsid w:val="004377E2"/>
    <w:rsid w:val="00443003"/>
    <w:rsid w:val="00445E06"/>
    <w:rsid w:val="00446C32"/>
    <w:rsid w:val="00452FEF"/>
    <w:rsid w:val="0045477F"/>
    <w:rsid w:val="00455364"/>
    <w:rsid w:val="0046092C"/>
    <w:rsid w:val="00461A5A"/>
    <w:rsid w:val="0047503C"/>
    <w:rsid w:val="0048116C"/>
    <w:rsid w:val="00484DDA"/>
    <w:rsid w:val="004901BE"/>
    <w:rsid w:val="004965AF"/>
    <w:rsid w:val="00496F5D"/>
    <w:rsid w:val="004A23BC"/>
    <w:rsid w:val="004A4CEC"/>
    <w:rsid w:val="004A5880"/>
    <w:rsid w:val="004A6C52"/>
    <w:rsid w:val="004B18DC"/>
    <w:rsid w:val="004B2302"/>
    <w:rsid w:val="004B2A17"/>
    <w:rsid w:val="004B3DB3"/>
    <w:rsid w:val="004B5E54"/>
    <w:rsid w:val="004E04BF"/>
    <w:rsid w:val="00502390"/>
    <w:rsid w:val="00502FC6"/>
    <w:rsid w:val="00503445"/>
    <w:rsid w:val="0050399F"/>
    <w:rsid w:val="005067A1"/>
    <w:rsid w:val="005135D6"/>
    <w:rsid w:val="00530FC7"/>
    <w:rsid w:val="005324B7"/>
    <w:rsid w:val="0053327A"/>
    <w:rsid w:val="00533D6A"/>
    <w:rsid w:val="00536020"/>
    <w:rsid w:val="00541F3E"/>
    <w:rsid w:val="005429A0"/>
    <w:rsid w:val="00543CDC"/>
    <w:rsid w:val="005511AD"/>
    <w:rsid w:val="00552E3E"/>
    <w:rsid w:val="0055791B"/>
    <w:rsid w:val="005616B4"/>
    <w:rsid w:val="00563313"/>
    <w:rsid w:val="00563728"/>
    <w:rsid w:val="00564A89"/>
    <w:rsid w:val="00565031"/>
    <w:rsid w:val="0057435E"/>
    <w:rsid w:val="00585466"/>
    <w:rsid w:val="005911AC"/>
    <w:rsid w:val="00593E1F"/>
    <w:rsid w:val="005A18FB"/>
    <w:rsid w:val="005A2363"/>
    <w:rsid w:val="005A6305"/>
    <w:rsid w:val="005A79D0"/>
    <w:rsid w:val="005B02DE"/>
    <w:rsid w:val="005B0C8D"/>
    <w:rsid w:val="005B13A0"/>
    <w:rsid w:val="005B1BC6"/>
    <w:rsid w:val="005B1CE2"/>
    <w:rsid w:val="005B250C"/>
    <w:rsid w:val="005B6F8B"/>
    <w:rsid w:val="005C1BC9"/>
    <w:rsid w:val="005C287F"/>
    <w:rsid w:val="005C453E"/>
    <w:rsid w:val="005C7A91"/>
    <w:rsid w:val="005D254B"/>
    <w:rsid w:val="005F5B6B"/>
    <w:rsid w:val="005F6FDF"/>
    <w:rsid w:val="00601450"/>
    <w:rsid w:val="006108B8"/>
    <w:rsid w:val="00611073"/>
    <w:rsid w:val="006128D7"/>
    <w:rsid w:val="006145C7"/>
    <w:rsid w:val="0061482E"/>
    <w:rsid w:val="0061552A"/>
    <w:rsid w:val="00616264"/>
    <w:rsid w:val="00616690"/>
    <w:rsid w:val="006167E0"/>
    <w:rsid w:val="00616E90"/>
    <w:rsid w:val="006177FE"/>
    <w:rsid w:val="00627143"/>
    <w:rsid w:val="006317A9"/>
    <w:rsid w:val="00643011"/>
    <w:rsid w:val="00646CBA"/>
    <w:rsid w:val="00650DB8"/>
    <w:rsid w:val="00651C18"/>
    <w:rsid w:val="00652DF7"/>
    <w:rsid w:val="00652F11"/>
    <w:rsid w:val="0066173C"/>
    <w:rsid w:val="006746DB"/>
    <w:rsid w:val="006771CE"/>
    <w:rsid w:val="006778A2"/>
    <w:rsid w:val="006916DC"/>
    <w:rsid w:val="00696F12"/>
    <w:rsid w:val="006A01F5"/>
    <w:rsid w:val="006A5CCF"/>
    <w:rsid w:val="006B19A0"/>
    <w:rsid w:val="006B2A31"/>
    <w:rsid w:val="006B55D6"/>
    <w:rsid w:val="006B5BA8"/>
    <w:rsid w:val="006B7228"/>
    <w:rsid w:val="006C0915"/>
    <w:rsid w:val="006C11BB"/>
    <w:rsid w:val="006C22E7"/>
    <w:rsid w:val="006C3FF9"/>
    <w:rsid w:val="006C4174"/>
    <w:rsid w:val="006C45C6"/>
    <w:rsid w:val="006D49F3"/>
    <w:rsid w:val="006E52E7"/>
    <w:rsid w:val="006F11C3"/>
    <w:rsid w:val="00704711"/>
    <w:rsid w:val="007111EB"/>
    <w:rsid w:val="00711F3A"/>
    <w:rsid w:val="00712B6C"/>
    <w:rsid w:val="00713F52"/>
    <w:rsid w:val="0072061E"/>
    <w:rsid w:val="00721A22"/>
    <w:rsid w:val="00721CEA"/>
    <w:rsid w:val="007247ED"/>
    <w:rsid w:val="007260B2"/>
    <w:rsid w:val="0073581C"/>
    <w:rsid w:val="00736AD5"/>
    <w:rsid w:val="00736D27"/>
    <w:rsid w:val="007420C6"/>
    <w:rsid w:val="007434D0"/>
    <w:rsid w:val="007503D4"/>
    <w:rsid w:val="0075401D"/>
    <w:rsid w:val="0075517F"/>
    <w:rsid w:val="0076257F"/>
    <w:rsid w:val="00763A4B"/>
    <w:rsid w:val="00764E61"/>
    <w:rsid w:val="00766432"/>
    <w:rsid w:val="0076755A"/>
    <w:rsid w:val="00770527"/>
    <w:rsid w:val="0078015D"/>
    <w:rsid w:val="00781160"/>
    <w:rsid w:val="007827A3"/>
    <w:rsid w:val="00785E60"/>
    <w:rsid w:val="007864CA"/>
    <w:rsid w:val="00787CDE"/>
    <w:rsid w:val="007A1D61"/>
    <w:rsid w:val="007B0068"/>
    <w:rsid w:val="007B0AC3"/>
    <w:rsid w:val="007B5523"/>
    <w:rsid w:val="007C4C33"/>
    <w:rsid w:val="007D2AEF"/>
    <w:rsid w:val="007D7518"/>
    <w:rsid w:val="007E18BB"/>
    <w:rsid w:val="007E33D4"/>
    <w:rsid w:val="007E37CA"/>
    <w:rsid w:val="007E475F"/>
    <w:rsid w:val="007E4FF6"/>
    <w:rsid w:val="007F0442"/>
    <w:rsid w:val="007F6890"/>
    <w:rsid w:val="007F7A60"/>
    <w:rsid w:val="008024B2"/>
    <w:rsid w:val="00815352"/>
    <w:rsid w:val="00816B32"/>
    <w:rsid w:val="00820E23"/>
    <w:rsid w:val="0083444D"/>
    <w:rsid w:val="00835434"/>
    <w:rsid w:val="00835C71"/>
    <w:rsid w:val="00840FC0"/>
    <w:rsid w:val="008420D9"/>
    <w:rsid w:val="008427C5"/>
    <w:rsid w:val="00845545"/>
    <w:rsid w:val="00856854"/>
    <w:rsid w:val="00861241"/>
    <w:rsid w:val="00862FC2"/>
    <w:rsid w:val="0087489F"/>
    <w:rsid w:val="00875044"/>
    <w:rsid w:val="008774F3"/>
    <w:rsid w:val="008815DE"/>
    <w:rsid w:val="0088172D"/>
    <w:rsid w:val="00884FEB"/>
    <w:rsid w:val="0088630E"/>
    <w:rsid w:val="00895A26"/>
    <w:rsid w:val="008A0E07"/>
    <w:rsid w:val="008A4E00"/>
    <w:rsid w:val="008A7A5D"/>
    <w:rsid w:val="008B2F5E"/>
    <w:rsid w:val="008B6066"/>
    <w:rsid w:val="008B622E"/>
    <w:rsid w:val="008B7267"/>
    <w:rsid w:val="008C122C"/>
    <w:rsid w:val="008C6E0B"/>
    <w:rsid w:val="008D2210"/>
    <w:rsid w:val="008D72DD"/>
    <w:rsid w:val="008D7ACC"/>
    <w:rsid w:val="008E0E86"/>
    <w:rsid w:val="008E0F08"/>
    <w:rsid w:val="008E3CA9"/>
    <w:rsid w:val="008E47D2"/>
    <w:rsid w:val="008F1D51"/>
    <w:rsid w:val="00900C1D"/>
    <w:rsid w:val="00906126"/>
    <w:rsid w:val="00920D63"/>
    <w:rsid w:val="00924EEF"/>
    <w:rsid w:val="00942368"/>
    <w:rsid w:val="00943222"/>
    <w:rsid w:val="00950950"/>
    <w:rsid w:val="00955F25"/>
    <w:rsid w:val="00965272"/>
    <w:rsid w:val="00971A2C"/>
    <w:rsid w:val="00980064"/>
    <w:rsid w:val="0098245F"/>
    <w:rsid w:val="00985397"/>
    <w:rsid w:val="0098778D"/>
    <w:rsid w:val="00991C37"/>
    <w:rsid w:val="0099694B"/>
    <w:rsid w:val="009A1317"/>
    <w:rsid w:val="009A2E43"/>
    <w:rsid w:val="009A4B3E"/>
    <w:rsid w:val="009A6E08"/>
    <w:rsid w:val="009B389F"/>
    <w:rsid w:val="009B5A09"/>
    <w:rsid w:val="009C001E"/>
    <w:rsid w:val="009C2C58"/>
    <w:rsid w:val="009C3801"/>
    <w:rsid w:val="009C4291"/>
    <w:rsid w:val="009C7D6A"/>
    <w:rsid w:val="009D3244"/>
    <w:rsid w:val="009F0F81"/>
    <w:rsid w:val="009F3AD0"/>
    <w:rsid w:val="009F4E0B"/>
    <w:rsid w:val="00A01C72"/>
    <w:rsid w:val="00A02850"/>
    <w:rsid w:val="00A03C89"/>
    <w:rsid w:val="00A03DC9"/>
    <w:rsid w:val="00A047BA"/>
    <w:rsid w:val="00A0483F"/>
    <w:rsid w:val="00A1207F"/>
    <w:rsid w:val="00A122F8"/>
    <w:rsid w:val="00A136CD"/>
    <w:rsid w:val="00A24751"/>
    <w:rsid w:val="00A320B1"/>
    <w:rsid w:val="00A35584"/>
    <w:rsid w:val="00A4309F"/>
    <w:rsid w:val="00A6020A"/>
    <w:rsid w:val="00A64421"/>
    <w:rsid w:val="00A64C0C"/>
    <w:rsid w:val="00A72DF3"/>
    <w:rsid w:val="00A801A9"/>
    <w:rsid w:val="00A80A02"/>
    <w:rsid w:val="00A85CE0"/>
    <w:rsid w:val="00A90BDF"/>
    <w:rsid w:val="00AA38AA"/>
    <w:rsid w:val="00AB0383"/>
    <w:rsid w:val="00AB2F46"/>
    <w:rsid w:val="00AB4E51"/>
    <w:rsid w:val="00AC13D0"/>
    <w:rsid w:val="00AC14E2"/>
    <w:rsid w:val="00AC5975"/>
    <w:rsid w:val="00AC5F45"/>
    <w:rsid w:val="00AD061B"/>
    <w:rsid w:val="00AD3F2E"/>
    <w:rsid w:val="00AD4571"/>
    <w:rsid w:val="00AE1CD7"/>
    <w:rsid w:val="00AF13EE"/>
    <w:rsid w:val="00AF3AC6"/>
    <w:rsid w:val="00AF51F7"/>
    <w:rsid w:val="00AF62BC"/>
    <w:rsid w:val="00AF672F"/>
    <w:rsid w:val="00B00AEB"/>
    <w:rsid w:val="00B01163"/>
    <w:rsid w:val="00B01830"/>
    <w:rsid w:val="00B057CA"/>
    <w:rsid w:val="00B12EA6"/>
    <w:rsid w:val="00B15280"/>
    <w:rsid w:val="00B17100"/>
    <w:rsid w:val="00B31A22"/>
    <w:rsid w:val="00B33BBC"/>
    <w:rsid w:val="00B36BA6"/>
    <w:rsid w:val="00B439B1"/>
    <w:rsid w:val="00B5171B"/>
    <w:rsid w:val="00B51AB6"/>
    <w:rsid w:val="00B51F42"/>
    <w:rsid w:val="00B53022"/>
    <w:rsid w:val="00B62EC8"/>
    <w:rsid w:val="00B822A4"/>
    <w:rsid w:val="00B9443C"/>
    <w:rsid w:val="00B97547"/>
    <w:rsid w:val="00BA6E03"/>
    <w:rsid w:val="00BB50BB"/>
    <w:rsid w:val="00BC068F"/>
    <w:rsid w:val="00BD0C03"/>
    <w:rsid w:val="00BE1311"/>
    <w:rsid w:val="00BE16D7"/>
    <w:rsid w:val="00BE1EE0"/>
    <w:rsid w:val="00BE358B"/>
    <w:rsid w:val="00BF34CE"/>
    <w:rsid w:val="00C029A7"/>
    <w:rsid w:val="00C029BC"/>
    <w:rsid w:val="00C04D37"/>
    <w:rsid w:val="00C06D30"/>
    <w:rsid w:val="00C074C4"/>
    <w:rsid w:val="00C12FEB"/>
    <w:rsid w:val="00C14552"/>
    <w:rsid w:val="00C20A43"/>
    <w:rsid w:val="00C25670"/>
    <w:rsid w:val="00C2636B"/>
    <w:rsid w:val="00C2758E"/>
    <w:rsid w:val="00C277FB"/>
    <w:rsid w:val="00C3194E"/>
    <w:rsid w:val="00C356C8"/>
    <w:rsid w:val="00C367B4"/>
    <w:rsid w:val="00C36B2D"/>
    <w:rsid w:val="00C40D60"/>
    <w:rsid w:val="00C43A7D"/>
    <w:rsid w:val="00C46DB1"/>
    <w:rsid w:val="00C47BD3"/>
    <w:rsid w:val="00C54763"/>
    <w:rsid w:val="00C563A1"/>
    <w:rsid w:val="00C60BE1"/>
    <w:rsid w:val="00C62E09"/>
    <w:rsid w:val="00C635CF"/>
    <w:rsid w:val="00C66CDE"/>
    <w:rsid w:val="00C707EE"/>
    <w:rsid w:val="00C7499D"/>
    <w:rsid w:val="00C84817"/>
    <w:rsid w:val="00C84BAF"/>
    <w:rsid w:val="00C87CEE"/>
    <w:rsid w:val="00C941FF"/>
    <w:rsid w:val="00C960CE"/>
    <w:rsid w:val="00C973FB"/>
    <w:rsid w:val="00CB484B"/>
    <w:rsid w:val="00CB70A8"/>
    <w:rsid w:val="00CC6811"/>
    <w:rsid w:val="00CD7ED8"/>
    <w:rsid w:val="00CE5ACF"/>
    <w:rsid w:val="00CF25FB"/>
    <w:rsid w:val="00D02770"/>
    <w:rsid w:val="00D02EE5"/>
    <w:rsid w:val="00D054C0"/>
    <w:rsid w:val="00D06F70"/>
    <w:rsid w:val="00D14A32"/>
    <w:rsid w:val="00D2018B"/>
    <w:rsid w:val="00D20C67"/>
    <w:rsid w:val="00D2506C"/>
    <w:rsid w:val="00D25D7E"/>
    <w:rsid w:val="00D27CDE"/>
    <w:rsid w:val="00D27F99"/>
    <w:rsid w:val="00D30BE6"/>
    <w:rsid w:val="00D31C7A"/>
    <w:rsid w:val="00D35C30"/>
    <w:rsid w:val="00D36501"/>
    <w:rsid w:val="00D452AA"/>
    <w:rsid w:val="00D52FEA"/>
    <w:rsid w:val="00D56AF5"/>
    <w:rsid w:val="00D60795"/>
    <w:rsid w:val="00D60F96"/>
    <w:rsid w:val="00D6494A"/>
    <w:rsid w:val="00D64B66"/>
    <w:rsid w:val="00D70C93"/>
    <w:rsid w:val="00D8369E"/>
    <w:rsid w:val="00D84EB7"/>
    <w:rsid w:val="00D87924"/>
    <w:rsid w:val="00D87BAB"/>
    <w:rsid w:val="00D92396"/>
    <w:rsid w:val="00D938B7"/>
    <w:rsid w:val="00D946DB"/>
    <w:rsid w:val="00DA3B36"/>
    <w:rsid w:val="00DA77E1"/>
    <w:rsid w:val="00DB0F07"/>
    <w:rsid w:val="00DC2D05"/>
    <w:rsid w:val="00DC40DA"/>
    <w:rsid w:val="00DC5E71"/>
    <w:rsid w:val="00DD2656"/>
    <w:rsid w:val="00DD5371"/>
    <w:rsid w:val="00DD72AA"/>
    <w:rsid w:val="00DE0962"/>
    <w:rsid w:val="00DE2DDE"/>
    <w:rsid w:val="00DE4344"/>
    <w:rsid w:val="00DE4EF2"/>
    <w:rsid w:val="00E00D48"/>
    <w:rsid w:val="00E019D7"/>
    <w:rsid w:val="00E02641"/>
    <w:rsid w:val="00E048CD"/>
    <w:rsid w:val="00E052A9"/>
    <w:rsid w:val="00E07C8E"/>
    <w:rsid w:val="00E11F7B"/>
    <w:rsid w:val="00E133A7"/>
    <w:rsid w:val="00E1378D"/>
    <w:rsid w:val="00E143FD"/>
    <w:rsid w:val="00E1696D"/>
    <w:rsid w:val="00E1750A"/>
    <w:rsid w:val="00E17F31"/>
    <w:rsid w:val="00E27969"/>
    <w:rsid w:val="00E32DA2"/>
    <w:rsid w:val="00E33161"/>
    <w:rsid w:val="00E41A58"/>
    <w:rsid w:val="00E46936"/>
    <w:rsid w:val="00E47CCD"/>
    <w:rsid w:val="00E54B05"/>
    <w:rsid w:val="00E577B1"/>
    <w:rsid w:val="00E66FEA"/>
    <w:rsid w:val="00E75993"/>
    <w:rsid w:val="00E804CC"/>
    <w:rsid w:val="00E82ECC"/>
    <w:rsid w:val="00EA3FEF"/>
    <w:rsid w:val="00EA419C"/>
    <w:rsid w:val="00EB154B"/>
    <w:rsid w:val="00EB4529"/>
    <w:rsid w:val="00EB5804"/>
    <w:rsid w:val="00EB6F18"/>
    <w:rsid w:val="00EC35BA"/>
    <w:rsid w:val="00EC5046"/>
    <w:rsid w:val="00ED1CE1"/>
    <w:rsid w:val="00ED55F7"/>
    <w:rsid w:val="00ED74D4"/>
    <w:rsid w:val="00ED7C8E"/>
    <w:rsid w:val="00EE2205"/>
    <w:rsid w:val="00EF0DA4"/>
    <w:rsid w:val="00EF68B1"/>
    <w:rsid w:val="00F015E6"/>
    <w:rsid w:val="00F0322C"/>
    <w:rsid w:val="00F12EA3"/>
    <w:rsid w:val="00F1455C"/>
    <w:rsid w:val="00F16ACE"/>
    <w:rsid w:val="00F30076"/>
    <w:rsid w:val="00F325B9"/>
    <w:rsid w:val="00F356CE"/>
    <w:rsid w:val="00F423F0"/>
    <w:rsid w:val="00F44634"/>
    <w:rsid w:val="00F4528F"/>
    <w:rsid w:val="00F463F5"/>
    <w:rsid w:val="00F5381F"/>
    <w:rsid w:val="00F5524C"/>
    <w:rsid w:val="00F60EC7"/>
    <w:rsid w:val="00F60F37"/>
    <w:rsid w:val="00F61095"/>
    <w:rsid w:val="00F620A2"/>
    <w:rsid w:val="00F63BA7"/>
    <w:rsid w:val="00F6799F"/>
    <w:rsid w:val="00F7072C"/>
    <w:rsid w:val="00F76469"/>
    <w:rsid w:val="00F777C7"/>
    <w:rsid w:val="00F875F5"/>
    <w:rsid w:val="00F93B5F"/>
    <w:rsid w:val="00FA1268"/>
    <w:rsid w:val="00FA5CA1"/>
    <w:rsid w:val="00FB175F"/>
    <w:rsid w:val="00FB199D"/>
    <w:rsid w:val="00FB1C26"/>
    <w:rsid w:val="00FB1D44"/>
    <w:rsid w:val="00FB2B2F"/>
    <w:rsid w:val="00FB4960"/>
    <w:rsid w:val="00FB5258"/>
    <w:rsid w:val="00FC371D"/>
    <w:rsid w:val="00FC4D06"/>
    <w:rsid w:val="00FD7524"/>
    <w:rsid w:val="00FE4AE0"/>
    <w:rsid w:val="00FE4D22"/>
    <w:rsid w:val="00FF5B89"/>
    <w:rsid w:val="00FF5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5B2C6"/>
  <w15:docId w15:val="{BF6105D1-D5C4-424F-9566-3D2ADEBDD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hu-H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1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1"/>
    <w:lsdException w:name="endnote text" w:uiPriority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b/>
      <w:u w:val="single"/>
      <w:lang w:eastAsia="x-none"/>
    </w:rPr>
  </w:style>
  <w:style w:type="paragraph" w:styleId="Heading3">
    <w:name w:val="heading 3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8"/>
      </w:numPr>
      <w:spacing w:before="16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semiHidden/>
    <w:unhideWhenUsed/>
    <w:rsid w:val="001E5A75"/>
    <w:pPr>
      <w:spacing w:before="240" w:after="60"/>
      <w:outlineLvl w:val="6"/>
    </w:pPr>
    <w:rPr>
      <w:rFonts w:ascii="Times New Roman" w:eastAsia="Arial" w:hAnsi="Times New Roman"/>
      <w:sz w:val="24"/>
      <w:szCs w:val="20"/>
      <w:lang w:eastAsia="de-DE"/>
    </w:rPr>
  </w:style>
  <w:style w:type="paragraph" w:styleId="Heading8">
    <w:name w:val="heading 8"/>
    <w:basedOn w:val="Normal"/>
    <w:next w:val="Normal"/>
    <w:link w:val="Heading8Char"/>
    <w:semiHidden/>
    <w:unhideWhenUsed/>
    <w:rsid w:val="001E5A75"/>
    <w:pPr>
      <w:spacing w:before="240" w:after="60"/>
      <w:outlineLvl w:val="7"/>
    </w:pPr>
    <w:rPr>
      <w:rFonts w:ascii="Times New Roman" w:eastAsia="Arial" w:hAnsi="Times New Roman"/>
      <w:i/>
      <w:iCs/>
      <w:sz w:val="24"/>
      <w:szCs w:val="20"/>
      <w:lang w:eastAsia="de-DE"/>
    </w:rPr>
  </w:style>
  <w:style w:type="paragraph" w:styleId="Heading9">
    <w:name w:val="heading 9"/>
    <w:basedOn w:val="Normal"/>
    <w:next w:val="Normal"/>
    <w:link w:val="Heading9Char"/>
    <w:semiHidden/>
    <w:unhideWhenUsed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A6305"/>
    <w:rPr>
      <w:rFonts w:ascii="Verdana" w:eastAsia="Times New Roman" w:hAnsi="Verdana" w:cs="Times New Roman"/>
      <w:b/>
      <w:sz w:val="20"/>
      <w:szCs w:val="20"/>
      <w:u w:val="single"/>
      <w:lang w:val="hu-HU"/>
    </w:rPr>
  </w:style>
  <w:style w:type="paragraph" w:styleId="TableofFigures">
    <w:name w:val="table of figures"/>
    <w:basedOn w:val="Normal"/>
    <w:next w:val="Normal"/>
    <w:semiHidden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numbering" w:customStyle="1" w:styleId="Formatvorlage1">
    <w:name w:val="Formatvorlage1"/>
    <w:uiPriority w:val="99"/>
    <w:rsid w:val="001E5A75"/>
    <w:pPr>
      <w:numPr>
        <w:numId w:val="5"/>
      </w:numPr>
    </w:pPr>
  </w:style>
  <w:style w:type="numbering" w:customStyle="1" w:styleId="Formatvorlage2">
    <w:name w:val="Formatvorlage2"/>
    <w:uiPriority w:val="99"/>
    <w:rsid w:val="001E5A75"/>
    <w:pPr>
      <w:numPr>
        <w:numId w:val="6"/>
      </w:numPr>
    </w:pPr>
  </w:style>
  <w:style w:type="paragraph" w:styleId="FootnoteText">
    <w:name w:val="footnote text"/>
    <w:basedOn w:val="Normal"/>
    <w:link w:val="FootnoteTextChar"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rsid w:val="00C2636B"/>
    <w:rPr>
      <w:rFonts w:ascii="Arial" w:hAnsi="Arial"/>
      <w:sz w:val="16"/>
      <w:szCs w:val="16"/>
      <w:lang w:eastAsia="de-DE"/>
    </w:rPr>
  </w:style>
  <w:style w:type="character" w:styleId="FootnoteReference">
    <w:name w:val="footnote reference"/>
    <w:rsid w:val="001E5A75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14"/>
      <w:lang w:eastAsia="de-DE"/>
    </w:rPr>
  </w:style>
  <w:style w:type="character" w:customStyle="1" w:styleId="FooterChar">
    <w:name w:val="Footer Char"/>
    <w:link w:val="Footer"/>
    <w:uiPriority w:val="99"/>
    <w:rsid w:val="001E5A75"/>
    <w:rPr>
      <w:rFonts w:ascii="Arial" w:hAnsi="Arial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rsid w:val="001E5A75"/>
    <w:rPr>
      <w:rFonts w:ascii="Arial" w:hAnsi="Arial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/>
      <w:sz w:val="22"/>
      <w:szCs w:val="22"/>
    </w:rPr>
  </w:style>
  <w:style w:type="character" w:customStyle="1" w:styleId="Heading2Char">
    <w:name w:val="Heading 2 Char"/>
    <w:link w:val="Heading2"/>
    <w:uiPriority w:val="99"/>
    <w:rsid w:val="00EC5046"/>
    <w:rPr>
      <w:rFonts w:ascii="Verdana" w:eastAsia="Times New Roman" w:hAnsi="Verdana" w:cs="Times New Roman"/>
      <w:b/>
      <w:szCs w:val="24"/>
      <w:u w:val="single"/>
      <w:lang w:val="hu-HU"/>
    </w:rPr>
  </w:style>
  <w:style w:type="character" w:customStyle="1" w:styleId="Heading3Char1">
    <w:name w:val="Heading 3 Char1"/>
    <w:link w:val="Heading3"/>
    <w:uiPriority w:val="99"/>
    <w:rsid w:val="001E5A75"/>
    <w:rPr>
      <w:rFonts w:ascii="Arial" w:hAnsi="Arial"/>
      <w:b/>
      <w:szCs w:val="20"/>
      <w:lang w:eastAsia="de-DE"/>
    </w:rPr>
  </w:style>
  <w:style w:type="character" w:customStyle="1" w:styleId="Heading4Char">
    <w:name w:val="Heading 4 Char"/>
    <w:link w:val="Heading4"/>
    <w:uiPriority w:val="99"/>
    <w:rsid w:val="00DE0962"/>
    <w:rPr>
      <w:rFonts w:ascii="Verdana" w:eastAsia="Times New Roman" w:hAnsi="Verdana"/>
      <w:b/>
      <w:szCs w:val="24"/>
      <w:u w:val="single"/>
      <w:lang w:val="hu-HU" w:eastAsia="en-US"/>
    </w:rPr>
  </w:style>
  <w:style w:type="character" w:customStyle="1" w:styleId="Heading5Char">
    <w:name w:val="Heading 5 Char"/>
    <w:link w:val="Heading5"/>
    <w:uiPriority w:val="1"/>
    <w:rsid w:val="001E5A75"/>
    <w:rPr>
      <w:rFonts w:ascii="Arial" w:hAnsi="Arial"/>
      <w:b/>
      <w:i/>
      <w:szCs w:val="20"/>
      <w:lang w:eastAsia="de-DE"/>
    </w:rPr>
  </w:style>
  <w:style w:type="character" w:customStyle="1" w:styleId="Heading6Char">
    <w:name w:val="Heading 6 Char"/>
    <w:link w:val="Heading6"/>
    <w:semiHidden/>
    <w:rsid w:val="001E5A75"/>
    <w:rPr>
      <w:rFonts w:ascii="Times New Roman" w:hAnsi="Times New Roman"/>
      <w:b/>
      <w:bCs/>
      <w:lang w:eastAsia="de-DE"/>
    </w:rPr>
  </w:style>
  <w:style w:type="character" w:customStyle="1" w:styleId="Heading7Char">
    <w:name w:val="Heading 7 Char"/>
    <w:link w:val="Heading7"/>
    <w:semiHidden/>
    <w:rsid w:val="001E5A75"/>
    <w:rPr>
      <w:rFonts w:ascii="Times New Roman" w:hAnsi="Times New Roman"/>
      <w:sz w:val="24"/>
      <w:szCs w:val="20"/>
      <w:lang w:eastAsia="de-DE"/>
    </w:rPr>
  </w:style>
  <w:style w:type="character" w:customStyle="1" w:styleId="Heading8Char">
    <w:name w:val="Heading 8 Char"/>
    <w:link w:val="Heading8"/>
    <w:semiHidden/>
    <w:rsid w:val="001E5A75"/>
    <w:rPr>
      <w:rFonts w:ascii="Times New Roman" w:hAnsi="Times New Roman"/>
      <w:i/>
      <w:iCs/>
      <w:sz w:val="24"/>
      <w:szCs w:val="20"/>
      <w:lang w:eastAsia="de-DE"/>
    </w:rPr>
  </w:style>
  <w:style w:type="character" w:customStyle="1" w:styleId="Heading9Char">
    <w:name w:val="Heading 9 Char"/>
    <w:link w:val="Heading9"/>
    <w:semiHidden/>
    <w:rsid w:val="001E5A75"/>
    <w:rPr>
      <w:rFonts w:ascii="Arial" w:hAnsi="Arial" w:cs="Arial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napToGrid w:val="0"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semiHidden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rsid w:val="001E5A75"/>
    <w:rPr>
      <w:rFonts w:ascii="Arial" w:hAnsi="Arial"/>
      <w:i/>
      <w:iCs/>
      <w:color w:val="00000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 w:val="16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rsid w:val="001E5A75"/>
    <w:rPr>
      <w:rFonts w:ascii="Arial" w:hAnsi="Arial"/>
      <w:sz w:val="16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/>
      <w:color w:val="auto"/>
      <w:position w:val="4"/>
      <w:sz w:val="12"/>
      <w:vertAlign w:val="baseline"/>
    </w:rPr>
  </w:style>
  <w:style w:type="character" w:customStyle="1" w:styleId="Heading3Char">
    <w:name w:val="Heading 3 Char"/>
    <w:uiPriority w:val="99"/>
    <w:locked/>
    <w:rsid w:val="00884FEB"/>
    <w:rPr>
      <w:rFonts w:cs="Times New Roman"/>
      <w:sz w:val="24"/>
      <w:szCs w:val="24"/>
      <w:lang w:val="hu-HU" w:eastAsia="en-US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rsid w:val="00884FEB"/>
    <w:rPr>
      <w:rFonts w:ascii="Verdana" w:eastAsia="Times New Roman" w:hAnsi="Verdana" w:cs="Times New Roman"/>
      <w:sz w:val="20"/>
      <w:szCs w:val="20"/>
      <w:lang w:val="hu-HU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rsid w:val="00884FEB"/>
    <w:rPr>
      <w:rFonts w:ascii="Tahoma" w:eastAsia="Times New Roman" w:hAnsi="Tahoma" w:cs="Tahoma"/>
      <w:sz w:val="16"/>
      <w:szCs w:val="16"/>
      <w:lang w:val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884FEB"/>
    <w:rPr>
      <w:rFonts w:ascii="Verdana" w:eastAsia="Times New Roman" w:hAnsi="Verdana" w:cs="Times New Roman"/>
      <w:b/>
      <w:bCs/>
      <w:sz w:val="20"/>
      <w:szCs w:val="20"/>
      <w:lang w:val="hu-HU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val="hu-HU" w:eastAsia="en-US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szCs w:val="26"/>
      <w:u w:val="single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 w:cs="Arial"/>
      <w:b/>
      <w:szCs w:val="26"/>
      <w:u w:val="single"/>
      <w:lang w:val="hu-HU"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AE1CD7"/>
    <w:pPr>
      <w:spacing w:before="0" w:after="0"/>
      <w:ind w:left="33"/>
    </w:pPr>
    <w:rPr>
      <w:szCs w:val="17"/>
      <w:u w:val="single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val="hu-HU" w:eastAsia="en-US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rsid w:val="00884FEB"/>
    <w:rPr>
      <w:rFonts w:ascii="Verdana" w:eastAsia="Times New Roman" w:hAnsi="Verdana" w:cs="Times New Roman"/>
      <w:sz w:val="20"/>
      <w:szCs w:val="20"/>
      <w:lang w:val="hu-HU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AE1CD7"/>
    <w:rPr>
      <w:rFonts w:ascii="Verdana" w:eastAsia="Times New Roman" w:hAnsi="Verdana" w:cs="Times New Roman"/>
      <w:sz w:val="20"/>
      <w:szCs w:val="17"/>
      <w:u w:val="single"/>
      <w:lang w:val="hu-HU" w:eastAsia="de-DE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/>
    </w:rPr>
  </w:style>
  <w:style w:type="paragraph" w:styleId="ListParagraph">
    <w:name w:val="List Paragraph"/>
    <w:basedOn w:val="Normal"/>
    <w:uiPriority w:val="99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color w:val="808080"/>
    </w:rPr>
  </w:style>
  <w:style w:type="paragraph" w:customStyle="1" w:styleId="InstructionsText2">
    <w:name w:val="Instructions Text 2"/>
    <w:basedOn w:val="InstructionsText"/>
    <w:qFormat/>
    <w:rsid w:val="00F620A2"/>
    <w:pPr>
      <w:numPr>
        <w:numId w:val="16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Cs w:val="26"/>
      <w:u w:val="single"/>
      <w:lang w:val="hu-HU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numbering" w:customStyle="1" w:styleId="Formatvorlage3">
    <w:name w:val="Formatvorlage3"/>
    <w:uiPriority w:val="99"/>
    <w:rsid w:val="00DE0962"/>
    <w:pPr>
      <w:numPr>
        <w:numId w:val="17"/>
      </w:numPr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88630E"/>
    <w:pPr>
      <w:spacing w:before="0" w:after="0"/>
    </w:pPr>
    <w:rPr>
      <w:rFonts w:ascii="Tahoma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rsid w:val="0088630E"/>
    <w:rPr>
      <w:rFonts w:ascii="Tahoma" w:eastAsia="Times New Roman" w:hAnsi="Tahoma" w:cs="Tahoma"/>
      <w:sz w:val="16"/>
      <w:szCs w:val="16"/>
      <w:lang w:val="hu-HU"/>
    </w:rPr>
  </w:style>
  <w:style w:type="numbering" w:customStyle="1" w:styleId="Formatvorlage4">
    <w:name w:val="Formatvorlage4"/>
    <w:uiPriority w:val="99"/>
    <w:rsid w:val="00FB1D44"/>
    <w:pPr>
      <w:numPr>
        <w:numId w:val="19"/>
      </w:numPr>
    </w:p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20"/>
      </w:numPr>
      <w:spacing w:before="0" w:after="240"/>
    </w:pPr>
    <w:rPr>
      <w:rFonts w:ascii="Times New Roman" w:hAnsi="Times New Roman"/>
      <w:sz w:val="24"/>
      <w:lang w:eastAsia="en-GB"/>
    </w:rPr>
  </w:style>
  <w:style w:type="character" w:customStyle="1" w:styleId="BaseparagraphnumberedChar">
    <w:name w:val="Base paragraph numbered Char"/>
    <w:link w:val="Baseparagraphnumbered"/>
    <w:rsid w:val="00C87CEE"/>
    <w:rPr>
      <w:rFonts w:ascii="Times New Roman" w:eastAsia="Times New Roman" w:hAnsi="Times New Roman"/>
      <w:sz w:val="24"/>
      <w:szCs w:val="24"/>
      <w:lang w:val="hu-HU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73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93007-D690-4C85-A6E8-5632760DD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1472</Words>
  <Characters>7262</Characters>
  <Application>Microsoft Office Word</Application>
  <DocSecurity>0</DocSecurity>
  <Lines>127</Lines>
  <Paragraphs>41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Deutsche Bundesbank</Company>
  <LinksUpToDate>false</LinksUpToDate>
  <CharactersWithSpaces>8693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EBA</dc:creator>
  <cp:lastModifiedBy>SIMON Reka (DGT)</cp:lastModifiedBy>
  <cp:revision>9</cp:revision>
  <cp:lastPrinted>2011-11-25T18:26:00Z</cp:lastPrinted>
  <dcterms:created xsi:type="dcterms:W3CDTF">2020-12-02T08:15:00Z</dcterms:created>
  <dcterms:modified xsi:type="dcterms:W3CDTF">2020-12-14T10:59:00Z</dcterms:modified>
</cp:coreProperties>
</file>