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szCs w:val="24"/>
        </w:rPr>
        <w:t>LIITE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rPr>
        <w:t>VELKAANTUNEISUUSRAPORTOINTIA KOSKEVAT OHJEET</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12816519" w14:textId="0ED7F102" w:rsidR="007472E5" w:rsidRDefault="00391EF9">
      <w:pPr>
        <w:pStyle w:val="TOC1"/>
        <w:rPr>
          <w:rFonts w:asciiTheme="minorHAnsi" w:eastAsiaTheme="minorEastAsia" w:hAnsiTheme="minorHAnsi" w:cstheme="minorBidi"/>
          <w:color w:val="auto"/>
          <w:sz w:val="22"/>
          <w:szCs w:val="22"/>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932765" w:history="1">
        <w:r w:rsidR="007472E5" w:rsidRPr="00E20C06">
          <w:rPr>
            <w:rStyle w:val="Hyperlink"/>
            <w:rFonts w:ascii="Times New Roman" w:hAnsi="Times New Roman"/>
            <w:b/>
          </w:rPr>
          <w:t>OSA I: YLEISET OHJEET</w:t>
        </w:r>
        <w:r w:rsidR="007472E5">
          <w:rPr>
            <w:webHidden/>
          </w:rPr>
          <w:tab/>
        </w:r>
        <w:r w:rsidR="007472E5">
          <w:rPr>
            <w:webHidden/>
          </w:rPr>
          <w:fldChar w:fldCharType="begin"/>
        </w:r>
        <w:r w:rsidR="007472E5">
          <w:rPr>
            <w:webHidden/>
          </w:rPr>
          <w:instrText xml:space="preserve"> PAGEREF _Toc58932765 \h </w:instrText>
        </w:r>
        <w:r w:rsidR="007472E5">
          <w:rPr>
            <w:webHidden/>
          </w:rPr>
        </w:r>
        <w:r w:rsidR="007472E5">
          <w:rPr>
            <w:webHidden/>
          </w:rPr>
          <w:fldChar w:fldCharType="separate"/>
        </w:r>
        <w:r w:rsidR="007472E5">
          <w:rPr>
            <w:webHidden/>
          </w:rPr>
          <w:t>2</w:t>
        </w:r>
        <w:r w:rsidR="007472E5">
          <w:rPr>
            <w:webHidden/>
          </w:rPr>
          <w:fldChar w:fldCharType="end"/>
        </w:r>
      </w:hyperlink>
    </w:p>
    <w:p w14:paraId="0910274F" w14:textId="081C6E36" w:rsidR="007472E5" w:rsidRDefault="00B77EC0">
      <w:pPr>
        <w:pStyle w:val="TOC2"/>
        <w:rPr>
          <w:rFonts w:asciiTheme="minorHAnsi" w:eastAsiaTheme="minorEastAsia" w:hAnsiTheme="minorHAnsi" w:cstheme="minorBidi"/>
          <w:b w:val="0"/>
          <w:smallCaps w:val="0"/>
          <w:sz w:val="22"/>
          <w:lang w:val="en-US"/>
        </w:rPr>
      </w:pPr>
      <w:hyperlink w:anchor="_Toc58932766" w:history="1">
        <w:r w:rsidR="007472E5" w:rsidRPr="00E20C06">
          <w:rPr>
            <w:rStyle w:val="Hyperlink"/>
            <w:rFonts w:ascii="Times New Roman" w:hAnsi="Times New Roman"/>
          </w:rPr>
          <w:t>1</w:t>
        </w:r>
        <w:r w:rsidR="007472E5">
          <w:rPr>
            <w:rFonts w:asciiTheme="minorHAnsi" w:eastAsiaTheme="minorEastAsia" w:hAnsiTheme="minorHAnsi" w:cstheme="minorBidi"/>
            <w:b w:val="0"/>
            <w:smallCaps w:val="0"/>
            <w:sz w:val="22"/>
            <w:lang w:val="en-US"/>
          </w:rPr>
          <w:tab/>
        </w:r>
        <w:r w:rsidR="007472E5" w:rsidRPr="00E20C06">
          <w:rPr>
            <w:rStyle w:val="Hyperlink"/>
            <w:rFonts w:ascii="Times New Roman" w:hAnsi="Times New Roman"/>
          </w:rPr>
          <w:t>Rakenne ja käytännöt</w:t>
        </w:r>
        <w:r w:rsidR="007472E5">
          <w:rPr>
            <w:webHidden/>
          </w:rPr>
          <w:tab/>
        </w:r>
        <w:r w:rsidR="007472E5">
          <w:rPr>
            <w:webHidden/>
          </w:rPr>
          <w:fldChar w:fldCharType="begin"/>
        </w:r>
        <w:r w:rsidR="007472E5">
          <w:rPr>
            <w:webHidden/>
          </w:rPr>
          <w:instrText xml:space="preserve"> PAGEREF _Toc58932766 \h </w:instrText>
        </w:r>
        <w:r w:rsidR="007472E5">
          <w:rPr>
            <w:webHidden/>
          </w:rPr>
        </w:r>
        <w:r w:rsidR="007472E5">
          <w:rPr>
            <w:webHidden/>
          </w:rPr>
          <w:fldChar w:fldCharType="separate"/>
        </w:r>
        <w:r w:rsidR="007472E5">
          <w:rPr>
            <w:webHidden/>
          </w:rPr>
          <w:t>2</w:t>
        </w:r>
        <w:r w:rsidR="007472E5">
          <w:rPr>
            <w:webHidden/>
          </w:rPr>
          <w:fldChar w:fldCharType="end"/>
        </w:r>
      </w:hyperlink>
    </w:p>
    <w:p w14:paraId="4BC0B028" w14:textId="5CFC96D6" w:rsidR="007472E5" w:rsidRDefault="00B77EC0">
      <w:pPr>
        <w:pStyle w:val="TOC3"/>
        <w:rPr>
          <w:rFonts w:asciiTheme="minorHAnsi" w:eastAsiaTheme="minorEastAsia" w:hAnsiTheme="minorHAnsi" w:cstheme="minorBidi"/>
          <w:smallCaps w:val="0"/>
          <w:sz w:val="22"/>
          <w:szCs w:val="22"/>
          <w:lang w:val="en-US"/>
        </w:rPr>
      </w:pPr>
      <w:hyperlink w:anchor="_Toc58932767" w:history="1">
        <w:r w:rsidR="007472E5" w:rsidRPr="00E20C06">
          <w:rPr>
            <w:rStyle w:val="Hyperlink"/>
            <w:rFonts w:ascii="Times New Roman" w:hAnsi="Times New Roman"/>
            <w:b/>
          </w:rPr>
          <w:t>1.1</w:t>
        </w:r>
        <w:r w:rsidR="007472E5">
          <w:rPr>
            <w:rFonts w:asciiTheme="minorHAnsi" w:eastAsiaTheme="minorEastAsia" w:hAnsiTheme="minorHAnsi" w:cstheme="minorBidi"/>
            <w:smallCaps w:val="0"/>
            <w:sz w:val="22"/>
            <w:szCs w:val="22"/>
            <w:lang w:val="en-US"/>
          </w:rPr>
          <w:tab/>
        </w:r>
        <w:r w:rsidR="007472E5" w:rsidRPr="00E20C06">
          <w:rPr>
            <w:rStyle w:val="Hyperlink"/>
            <w:rFonts w:ascii="Times New Roman" w:hAnsi="Times New Roman"/>
            <w:b/>
          </w:rPr>
          <w:t>Rakenne</w:t>
        </w:r>
        <w:r w:rsidR="007472E5">
          <w:rPr>
            <w:webHidden/>
          </w:rPr>
          <w:tab/>
        </w:r>
        <w:r w:rsidR="007472E5">
          <w:rPr>
            <w:webHidden/>
          </w:rPr>
          <w:fldChar w:fldCharType="begin"/>
        </w:r>
        <w:r w:rsidR="007472E5">
          <w:rPr>
            <w:webHidden/>
          </w:rPr>
          <w:instrText xml:space="preserve"> PAGEREF _Toc58932767 \h </w:instrText>
        </w:r>
        <w:r w:rsidR="007472E5">
          <w:rPr>
            <w:webHidden/>
          </w:rPr>
        </w:r>
        <w:r w:rsidR="007472E5">
          <w:rPr>
            <w:webHidden/>
          </w:rPr>
          <w:fldChar w:fldCharType="separate"/>
        </w:r>
        <w:r w:rsidR="007472E5">
          <w:rPr>
            <w:webHidden/>
          </w:rPr>
          <w:t>2</w:t>
        </w:r>
        <w:r w:rsidR="007472E5">
          <w:rPr>
            <w:webHidden/>
          </w:rPr>
          <w:fldChar w:fldCharType="end"/>
        </w:r>
      </w:hyperlink>
    </w:p>
    <w:p w14:paraId="3A32B9AF" w14:textId="4AC3105E" w:rsidR="007472E5" w:rsidRDefault="00B77EC0">
      <w:pPr>
        <w:pStyle w:val="TOC3"/>
        <w:rPr>
          <w:rFonts w:asciiTheme="minorHAnsi" w:eastAsiaTheme="minorEastAsia" w:hAnsiTheme="minorHAnsi" w:cstheme="minorBidi"/>
          <w:smallCaps w:val="0"/>
          <w:sz w:val="22"/>
          <w:szCs w:val="22"/>
          <w:lang w:val="en-US"/>
        </w:rPr>
      </w:pPr>
      <w:hyperlink w:anchor="_Toc58932768" w:history="1">
        <w:r w:rsidR="007472E5" w:rsidRPr="00E20C06">
          <w:rPr>
            <w:rStyle w:val="Hyperlink"/>
            <w:rFonts w:ascii="Times New Roman" w:hAnsi="Times New Roman"/>
            <w:b/>
          </w:rPr>
          <w:t>1.2</w:t>
        </w:r>
        <w:r w:rsidR="007472E5">
          <w:rPr>
            <w:rFonts w:asciiTheme="minorHAnsi" w:eastAsiaTheme="minorEastAsia" w:hAnsiTheme="minorHAnsi" w:cstheme="minorBidi"/>
            <w:smallCaps w:val="0"/>
            <w:sz w:val="22"/>
            <w:szCs w:val="22"/>
            <w:lang w:val="en-US"/>
          </w:rPr>
          <w:tab/>
        </w:r>
        <w:r w:rsidR="007472E5" w:rsidRPr="00E20C06">
          <w:rPr>
            <w:rStyle w:val="Hyperlink"/>
            <w:rFonts w:ascii="Times New Roman" w:hAnsi="Times New Roman"/>
            <w:b/>
          </w:rPr>
          <w:t>Numerointikäytäntö</w:t>
        </w:r>
        <w:r w:rsidR="007472E5">
          <w:rPr>
            <w:webHidden/>
          </w:rPr>
          <w:tab/>
        </w:r>
        <w:r w:rsidR="007472E5">
          <w:rPr>
            <w:webHidden/>
          </w:rPr>
          <w:fldChar w:fldCharType="begin"/>
        </w:r>
        <w:r w:rsidR="007472E5">
          <w:rPr>
            <w:webHidden/>
          </w:rPr>
          <w:instrText xml:space="preserve"> PAGEREF _Toc58932768 \h </w:instrText>
        </w:r>
        <w:r w:rsidR="007472E5">
          <w:rPr>
            <w:webHidden/>
          </w:rPr>
        </w:r>
        <w:r w:rsidR="007472E5">
          <w:rPr>
            <w:webHidden/>
          </w:rPr>
          <w:fldChar w:fldCharType="separate"/>
        </w:r>
        <w:r w:rsidR="007472E5">
          <w:rPr>
            <w:webHidden/>
          </w:rPr>
          <w:t>2</w:t>
        </w:r>
        <w:r w:rsidR="007472E5">
          <w:rPr>
            <w:webHidden/>
          </w:rPr>
          <w:fldChar w:fldCharType="end"/>
        </w:r>
      </w:hyperlink>
    </w:p>
    <w:p w14:paraId="470A4F88" w14:textId="46CD6E4C" w:rsidR="007472E5" w:rsidRDefault="00B77EC0">
      <w:pPr>
        <w:pStyle w:val="TOC3"/>
        <w:rPr>
          <w:rFonts w:asciiTheme="minorHAnsi" w:eastAsiaTheme="minorEastAsia" w:hAnsiTheme="minorHAnsi" w:cstheme="minorBidi"/>
          <w:smallCaps w:val="0"/>
          <w:sz w:val="22"/>
          <w:szCs w:val="22"/>
          <w:lang w:val="en-US"/>
        </w:rPr>
      </w:pPr>
      <w:hyperlink w:anchor="_Toc58932769" w:history="1">
        <w:r w:rsidR="007472E5" w:rsidRPr="00E20C06">
          <w:rPr>
            <w:rStyle w:val="Hyperlink"/>
            <w:rFonts w:ascii="Times New Roman" w:hAnsi="Times New Roman"/>
            <w:b/>
          </w:rPr>
          <w:t>1.3</w:t>
        </w:r>
        <w:r w:rsidR="007472E5">
          <w:rPr>
            <w:rFonts w:asciiTheme="minorHAnsi" w:eastAsiaTheme="minorEastAsia" w:hAnsiTheme="minorHAnsi" w:cstheme="minorBidi"/>
            <w:smallCaps w:val="0"/>
            <w:sz w:val="22"/>
            <w:szCs w:val="22"/>
            <w:lang w:val="en-US"/>
          </w:rPr>
          <w:tab/>
        </w:r>
        <w:r w:rsidR="007472E5" w:rsidRPr="00E20C06">
          <w:rPr>
            <w:rStyle w:val="Hyperlink"/>
            <w:rFonts w:ascii="Times New Roman" w:hAnsi="Times New Roman"/>
            <w:b/>
          </w:rPr>
          <w:t>Lyhenteet</w:t>
        </w:r>
        <w:r w:rsidR="007472E5">
          <w:rPr>
            <w:webHidden/>
          </w:rPr>
          <w:tab/>
        </w:r>
        <w:r w:rsidR="007472E5">
          <w:rPr>
            <w:webHidden/>
          </w:rPr>
          <w:fldChar w:fldCharType="begin"/>
        </w:r>
        <w:r w:rsidR="007472E5">
          <w:rPr>
            <w:webHidden/>
          </w:rPr>
          <w:instrText xml:space="preserve"> PAGEREF _Toc58932769 \h </w:instrText>
        </w:r>
        <w:r w:rsidR="007472E5">
          <w:rPr>
            <w:webHidden/>
          </w:rPr>
        </w:r>
        <w:r w:rsidR="007472E5">
          <w:rPr>
            <w:webHidden/>
          </w:rPr>
          <w:fldChar w:fldCharType="separate"/>
        </w:r>
        <w:r w:rsidR="007472E5">
          <w:rPr>
            <w:webHidden/>
          </w:rPr>
          <w:t>2</w:t>
        </w:r>
        <w:r w:rsidR="007472E5">
          <w:rPr>
            <w:webHidden/>
          </w:rPr>
          <w:fldChar w:fldCharType="end"/>
        </w:r>
      </w:hyperlink>
    </w:p>
    <w:p w14:paraId="7199EFE4" w14:textId="7044444F" w:rsidR="007472E5" w:rsidRDefault="00B77EC0">
      <w:pPr>
        <w:pStyle w:val="TOC3"/>
        <w:rPr>
          <w:rFonts w:asciiTheme="minorHAnsi" w:eastAsiaTheme="minorEastAsia" w:hAnsiTheme="minorHAnsi" w:cstheme="minorBidi"/>
          <w:smallCaps w:val="0"/>
          <w:sz w:val="22"/>
          <w:szCs w:val="22"/>
          <w:lang w:val="en-US"/>
        </w:rPr>
      </w:pPr>
      <w:hyperlink w:anchor="_Toc58932770" w:history="1">
        <w:r w:rsidR="007472E5" w:rsidRPr="00E20C06">
          <w:rPr>
            <w:rStyle w:val="Hyperlink"/>
            <w:rFonts w:ascii="Times New Roman" w:hAnsi="Times New Roman"/>
            <w:b/>
          </w:rPr>
          <w:t>1.4</w:t>
        </w:r>
        <w:r w:rsidR="007472E5">
          <w:rPr>
            <w:rFonts w:asciiTheme="minorHAnsi" w:eastAsiaTheme="minorEastAsia" w:hAnsiTheme="minorHAnsi" w:cstheme="minorBidi"/>
            <w:smallCaps w:val="0"/>
            <w:sz w:val="22"/>
            <w:szCs w:val="22"/>
            <w:lang w:val="en-US"/>
          </w:rPr>
          <w:tab/>
        </w:r>
        <w:r w:rsidR="007472E5" w:rsidRPr="00E20C06">
          <w:rPr>
            <w:rStyle w:val="Hyperlink"/>
            <w:rFonts w:ascii="Times New Roman" w:hAnsi="Times New Roman"/>
            <w:b/>
          </w:rPr>
          <w:t>Merkkikäytäntö</w:t>
        </w:r>
        <w:r w:rsidR="007472E5">
          <w:rPr>
            <w:webHidden/>
          </w:rPr>
          <w:tab/>
        </w:r>
        <w:r w:rsidR="007472E5">
          <w:rPr>
            <w:webHidden/>
          </w:rPr>
          <w:fldChar w:fldCharType="begin"/>
        </w:r>
        <w:r w:rsidR="007472E5">
          <w:rPr>
            <w:webHidden/>
          </w:rPr>
          <w:instrText xml:space="preserve"> PAGEREF _Toc58932770 \h </w:instrText>
        </w:r>
        <w:r w:rsidR="007472E5">
          <w:rPr>
            <w:webHidden/>
          </w:rPr>
        </w:r>
        <w:r w:rsidR="007472E5">
          <w:rPr>
            <w:webHidden/>
          </w:rPr>
          <w:fldChar w:fldCharType="separate"/>
        </w:r>
        <w:r w:rsidR="007472E5">
          <w:rPr>
            <w:webHidden/>
          </w:rPr>
          <w:t>3</w:t>
        </w:r>
        <w:r w:rsidR="007472E5">
          <w:rPr>
            <w:webHidden/>
          </w:rPr>
          <w:fldChar w:fldCharType="end"/>
        </w:r>
      </w:hyperlink>
    </w:p>
    <w:p w14:paraId="3994F5B7" w14:textId="10629C96" w:rsidR="007472E5" w:rsidRDefault="00B77EC0">
      <w:pPr>
        <w:pStyle w:val="TOC1"/>
        <w:rPr>
          <w:rFonts w:asciiTheme="minorHAnsi" w:eastAsiaTheme="minorEastAsia" w:hAnsiTheme="minorHAnsi" w:cstheme="minorBidi"/>
          <w:color w:val="auto"/>
          <w:sz w:val="22"/>
          <w:szCs w:val="22"/>
          <w:lang w:val="en-US"/>
        </w:rPr>
      </w:pPr>
      <w:hyperlink w:anchor="_Toc58932771" w:history="1">
        <w:r w:rsidR="007472E5" w:rsidRPr="00E20C06">
          <w:rPr>
            <w:rStyle w:val="Hyperlink"/>
            <w:rFonts w:ascii="Times New Roman" w:hAnsi="Times New Roman"/>
            <w:b/>
          </w:rPr>
          <w:t>OSA II: LOMAKKEISIIN LIITTYVÄT OHJEET</w:t>
        </w:r>
        <w:r w:rsidR="007472E5">
          <w:rPr>
            <w:webHidden/>
          </w:rPr>
          <w:tab/>
        </w:r>
        <w:r w:rsidR="007472E5">
          <w:rPr>
            <w:webHidden/>
          </w:rPr>
          <w:fldChar w:fldCharType="begin"/>
        </w:r>
        <w:r w:rsidR="007472E5">
          <w:rPr>
            <w:webHidden/>
          </w:rPr>
          <w:instrText xml:space="preserve"> PAGEREF _Toc58932771 \h </w:instrText>
        </w:r>
        <w:r w:rsidR="007472E5">
          <w:rPr>
            <w:webHidden/>
          </w:rPr>
        </w:r>
        <w:r w:rsidR="007472E5">
          <w:rPr>
            <w:webHidden/>
          </w:rPr>
          <w:fldChar w:fldCharType="separate"/>
        </w:r>
        <w:r w:rsidR="007472E5">
          <w:rPr>
            <w:webHidden/>
          </w:rPr>
          <w:t>4</w:t>
        </w:r>
        <w:r w:rsidR="007472E5">
          <w:rPr>
            <w:webHidden/>
          </w:rPr>
          <w:fldChar w:fldCharType="end"/>
        </w:r>
      </w:hyperlink>
    </w:p>
    <w:p w14:paraId="22A338EF" w14:textId="468E6BE1" w:rsidR="007472E5" w:rsidRDefault="00B77EC0">
      <w:pPr>
        <w:pStyle w:val="TOC2"/>
        <w:rPr>
          <w:rFonts w:asciiTheme="minorHAnsi" w:eastAsiaTheme="minorEastAsia" w:hAnsiTheme="minorHAnsi" w:cstheme="minorBidi"/>
          <w:b w:val="0"/>
          <w:smallCaps w:val="0"/>
          <w:sz w:val="22"/>
          <w:lang w:val="en-US"/>
        </w:rPr>
      </w:pPr>
      <w:hyperlink w:anchor="_Toc58932772" w:history="1">
        <w:r w:rsidR="007472E5" w:rsidRPr="00E20C06">
          <w:rPr>
            <w:rStyle w:val="Hyperlink"/>
            <w:rFonts w:ascii="Times New Roman" w:hAnsi="Times New Roman"/>
          </w:rPr>
          <w:t>1</w:t>
        </w:r>
        <w:r w:rsidR="007472E5">
          <w:rPr>
            <w:rFonts w:asciiTheme="minorHAnsi" w:eastAsiaTheme="minorEastAsia" w:hAnsiTheme="minorHAnsi" w:cstheme="minorBidi"/>
            <w:b w:val="0"/>
            <w:smallCaps w:val="0"/>
            <w:sz w:val="22"/>
            <w:lang w:val="en-US"/>
          </w:rPr>
          <w:tab/>
        </w:r>
        <w:r w:rsidR="007472E5" w:rsidRPr="00E20C06">
          <w:rPr>
            <w:rStyle w:val="Hyperlink"/>
            <w:rFonts w:ascii="Times New Roman" w:hAnsi="Times New Roman"/>
          </w:rPr>
          <w:t>Vähimm</w:t>
        </w:r>
        <w:r w:rsidR="007472E5" w:rsidRPr="00E20C06">
          <w:rPr>
            <w:rStyle w:val="Hyperlink"/>
            <w:rFonts w:ascii="Times New Roman" w:hAnsi="Times New Roman"/>
          </w:rPr>
          <w:t>ä</w:t>
        </w:r>
        <w:r w:rsidR="007472E5" w:rsidRPr="00E20C06">
          <w:rPr>
            <w:rStyle w:val="Hyperlink"/>
            <w:rFonts w:ascii="Times New Roman" w:hAnsi="Times New Roman"/>
          </w:rPr>
          <w:t>isomavaraisuusasteen laskentakaavat</w:t>
        </w:r>
        <w:r w:rsidR="007472E5">
          <w:rPr>
            <w:webHidden/>
          </w:rPr>
          <w:tab/>
        </w:r>
        <w:r w:rsidR="007472E5">
          <w:rPr>
            <w:webHidden/>
          </w:rPr>
          <w:fldChar w:fldCharType="begin"/>
        </w:r>
        <w:r w:rsidR="007472E5">
          <w:rPr>
            <w:webHidden/>
          </w:rPr>
          <w:instrText xml:space="preserve"> PAGEREF _Toc58932772 \h </w:instrText>
        </w:r>
        <w:r w:rsidR="007472E5">
          <w:rPr>
            <w:webHidden/>
          </w:rPr>
        </w:r>
        <w:r w:rsidR="007472E5">
          <w:rPr>
            <w:webHidden/>
          </w:rPr>
          <w:fldChar w:fldCharType="separate"/>
        </w:r>
        <w:r w:rsidR="007472E5">
          <w:rPr>
            <w:webHidden/>
          </w:rPr>
          <w:t>4</w:t>
        </w:r>
        <w:r w:rsidR="007472E5">
          <w:rPr>
            <w:webHidden/>
          </w:rPr>
          <w:fldChar w:fldCharType="end"/>
        </w:r>
      </w:hyperlink>
    </w:p>
    <w:p w14:paraId="6ACBFF4A" w14:textId="28FB59AA" w:rsidR="007472E5" w:rsidRDefault="00B77EC0">
      <w:pPr>
        <w:pStyle w:val="TOC2"/>
        <w:rPr>
          <w:rFonts w:asciiTheme="minorHAnsi" w:eastAsiaTheme="minorEastAsia" w:hAnsiTheme="minorHAnsi" w:cstheme="minorBidi"/>
          <w:b w:val="0"/>
          <w:smallCaps w:val="0"/>
          <w:sz w:val="22"/>
          <w:lang w:val="en-US"/>
        </w:rPr>
      </w:pPr>
      <w:hyperlink w:anchor="_Toc58932773" w:history="1">
        <w:r w:rsidR="007472E5" w:rsidRPr="00E20C06">
          <w:rPr>
            <w:rStyle w:val="Hyperlink"/>
            <w:rFonts w:ascii="Times New Roman" w:hAnsi="Times New Roman"/>
          </w:rPr>
          <w:t>2.</w:t>
        </w:r>
        <w:r w:rsidR="007472E5">
          <w:rPr>
            <w:rFonts w:asciiTheme="minorHAnsi" w:eastAsiaTheme="minorEastAsia" w:hAnsiTheme="minorHAnsi" w:cstheme="minorBidi"/>
            <w:b w:val="0"/>
            <w:smallCaps w:val="0"/>
            <w:sz w:val="22"/>
            <w:lang w:val="en-US"/>
          </w:rPr>
          <w:tab/>
        </w:r>
        <w:r w:rsidR="007472E5" w:rsidRPr="00E20C06">
          <w:rPr>
            <w:rStyle w:val="Hyperlink"/>
            <w:rFonts w:ascii="Times New Roman" w:hAnsi="Times New Roman"/>
          </w:rPr>
          <w:t>Johdannaisten kynnysarvot</w:t>
        </w:r>
        <w:r w:rsidR="007472E5">
          <w:rPr>
            <w:webHidden/>
          </w:rPr>
          <w:tab/>
        </w:r>
        <w:r w:rsidR="007472E5">
          <w:rPr>
            <w:webHidden/>
          </w:rPr>
          <w:fldChar w:fldCharType="begin"/>
        </w:r>
        <w:r w:rsidR="007472E5">
          <w:rPr>
            <w:webHidden/>
          </w:rPr>
          <w:instrText xml:space="preserve"> PAGEREF _Toc58932773 \h </w:instrText>
        </w:r>
        <w:r w:rsidR="007472E5">
          <w:rPr>
            <w:webHidden/>
          </w:rPr>
        </w:r>
        <w:r w:rsidR="007472E5">
          <w:rPr>
            <w:webHidden/>
          </w:rPr>
          <w:fldChar w:fldCharType="separate"/>
        </w:r>
        <w:r w:rsidR="007472E5">
          <w:rPr>
            <w:webHidden/>
          </w:rPr>
          <w:t>4</w:t>
        </w:r>
        <w:r w:rsidR="007472E5">
          <w:rPr>
            <w:webHidden/>
          </w:rPr>
          <w:fldChar w:fldCharType="end"/>
        </w:r>
      </w:hyperlink>
    </w:p>
    <w:p w14:paraId="2F0DAB40" w14:textId="355B2125" w:rsidR="007472E5" w:rsidRDefault="00B77EC0">
      <w:pPr>
        <w:pStyle w:val="TOC2"/>
        <w:rPr>
          <w:rFonts w:asciiTheme="minorHAnsi" w:eastAsiaTheme="minorEastAsia" w:hAnsiTheme="minorHAnsi" w:cstheme="minorBidi"/>
          <w:b w:val="0"/>
          <w:smallCaps w:val="0"/>
          <w:sz w:val="22"/>
          <w:lang w:val="en-US"/>
        </w:rPr>
      </w:pPr>
      <w:hyperlink w:anchor="_Toc58932774" w:history="1">
        <w:r w:rsidR="007472E5" w:rsidRPr="00E20C06">
          <w:rPr>
            <w:rStyle w:val="Hyperlink"/>
            <w:rFonts w:ascii="Times New Roman" w:hAnsi="Times New Roman"/>
          </w:rPr>
          <w:t>3.</w:t>
        </w:r>
        <w:r w:rsidR="007472E5">
          <w:rPr>
            <w:rFonts w:asciiTheme="minorHAnsi" w:eastAsiaTheme="minorEastAsia" w:hAnsiTheme="minorHAnsi" w:cstheme="minorBidi"/>
            <w:b w:val="0"/>
            <w:smallCaps w:val="0"/>
            <w:sz w:val="22"/>
            <w:lang w:val="en-US"/>
          </w:rPr>
          <w:tab/>
        </w:r>
        <w:r w:rsidR="007472E5" w:rsidRPr="00E20C06">
          <w:rPr>
            <w:rStyle w:val="Hyperlink"/>
            <w:rFonts w:ascii="Times New Roman" w:hAnsi="Times New Roman"/>
          </w:rPr>
          <w:t>C 47.00 – Vähimmäisomavaraisuusasteen laskenta  (LRCalc)</w:t>
        </w:r>
        <w:r w:rsidR="007472E5">
          <w:rPr>
            <w:webHidden/>
          </w:rPr>
          <w:tab/>
        </w:r>
        <w:r w:rsidR="007472E5">
          <w:rPr>
            <w:webHidden/>
          </w:rPr>
          <w:fldChar w:fldCharType="begin"/>
        </w:r>
        <w:r w:rsidR="007472E5">
          <w:rPr>
            <w:webHidden/>
          </w:rPr>
          <w:instrText xml:space="preserve"> PAGEREF _Toc58932774 \h </w:instrText>
        </w:r>
        <w:r w:rsidR="007472E5">
          <w:rPr>
            <w:webHidden/>
          </w:rPr>
        </w:r>
        <w:r w:rsidR="007472E5">
          <w:rPr>
            <w:webHidden/>
          </w:rPr>
          <w:fldChar w:fldCharType="separate"/>
        </w:r>
        <w:r w:rsidR="007472E5">
          <w:rPr>
            <w:webHidden/>
          </w:rPr>
          <w:t>5</w:t>
        </w:r>
        <w:r w:rsidR="007472E5">
          <w:rPr>
            <w:webHidden/>
          </w:rPr>
          <w:fldChar w:fldCharType="end"/>
        </w:r>
      </w:hyperlink>
    </w:p>
    <w:p w14:paraId="3A6F8959" w14:textId="63415A62" w:rsidR="007472E5" w:rsidRDefault="00B77EC0">
      <w:pPr>
        <w:pStyle w:val="TOC2"/>
        <w:rPr>
          <w:rFonts w:asciiTheme="minorHAnsi" w:eastAsiaTheme="minorEastAsia" w:hAnsiTheme="minorHAnsi" w:cstheme="minorBidi"/>
          <w:b w:val="0"/>
          <w:smallCaps w:val="0"/>
          <w:sz w:val="22"/>
          <w:lang w:val="en-US"/>
        </w:rPr>
      </w:pPr>
      <w:hyperlink w:anchor="_Toc58932775" w:history="1">
        <w:r w:rsidR="007472E5" w:rsidRPr="00E20C06">
          <w:rPr>
            <w:rStyle w:val="Hyperlink"/>
            <w:rFonts w:ascii="Times New Roman" w:hAnsi="Times New Roman"/>
          </w:rPr>
          <w:t>4.</w:t>
        </w:r>
        <w:r w:rsidR="007472E5">
          <w:rPr>
            <w:rFonts w:asciiTheme="minorHAnsi" w:eastAsiaTheme="minorEastAsia" w:hAnsiTheme="minorHAnsi" w:cstheme="minorBidi"/>
            <w:b w:val="0"/>
            <w:smallCaps w:val="0"/>
            <w:sz w:val="22"/>
            <w:lang w:val="en-US"/>
          </w:rPr>
          <w:tab/>
        </w:r>
        <w:r w:rsidR="007472E5" w:rsidRPr="00E20C06">
          <w:rPr>
            <w:rStyle w:val="Hyperlink"/>
            <w:rFonts w:ascii="Times New Roman" w:hAnsi="Times New Roman"/>
          </w:rPr>
          <w:t>C 40.00 – Vastuiden vaihtoehtoinen käsittely (LR1)</w:t>
        </w:r>
        <w:r w:rsidR="007472E5">
          <w:rPr>
            <w:webHidden/>
          </w:rPr>
          <w:tab/>
        </w:r>
        <w:r w:rsidR="007472E5">
          <w:rPr>
            <w:webHidden/>
          </w:rPr>
          <w:fldChar w:fldCharType="begin"/>
        </w:r>
        <w:r w:rsidR="007472E5">
          <w:rPr>
            <w:webHidden/>
          </w:rPr>
          <w:instrText xml:space="preserve"> PAGEREF _Toc58932775 \h </w:instrText>
        </w:r>
        <w:r w:rsidR="007472E5">
          <w:rPr>
            <w:webHidden/>
          </w:rPr>
        </w:r>
        <w:r w:rsidR="007472E5">
          <w:rPr>
            <w:webHidden/>
          </w:rPr>
          <w:fldChar w:fldCharType="separate"/>
        </w:r>
        <w:r w:rsidR="007472E5">
          <w:rPr>
            <w:webHidden/>
          </w:rPr>
          <w:t>32</w:t>
        </w:r>
        <w:r w:rsidR="007472E5">
          <w:rPr>
            <w:webHidden/>
          </w:rPr>
          <w:fldChar w:fldCharType="end"/>
        </w:r>
      </w:hyperlink>
    </w:p>
    <w:p w14:paraId="63F4DFAA" w14:textId="265FE440" w:rsidR="007472E5" w:rsidRDefault="00B77EC0">
      <w:pPr>
        <w:pStyle w:val="TOC2"/>
        <w:rPr>
          <w:rFonts w:asciiTheme="minorHAnsi" w:eastAsiaTheme="minorEastAsia" w:hAnsiTheme="minorHAnsi" w:cstheme="minorBidi"/>
          <w:b w:val="0"/>
          <w:smallCaps w:val="0"/>
          <w:sz w:val="22"/>
          <w:lang w:val="en-US"/>
        </w:rPr>
      </w:pPr>
      <w:hyperlink w:anchor="_Toc58932776" w:history="1">
        <w:r w:rsidR="007472E5" w:rsidRPr="00E20C06">
          <w:rPr>
            <w:rStyle w:val="Hyperlink"/>
            <w:rFonts w:ascii="Times New Roman" w:hAnsi="Times New Roman"/>
          </w:rPr>
          <w:t>5.</w:t>
        </w:r>
        <w:r w:rsidR="007472E5">
          <w:rPr>
            <w:rFonts w:asciiTheme="minorHAnsi" w:eastAsiaTheme="minorEastAsia" w:hAnsiTheme="minorHAnsi" w:cstheme="minorBidi"/>
            <w:b w:val="0"/>
            <w:smallCaps w:val="0"/>
            <w:sz w:val="22"/>
            <w:lang w:val="en-US"/>
          </w:rPr>
          <w:tab/>
        </w:r>
        <w:r w:rsidR="007472E5" w:rsidRPr="00E20C06">
          <w:rPr>
            <w:rStyle w:val="Hyperlink"/>
            <w:rFonts w:ascii="Times New Roman" w:hAnsi="Times New Roman"/>
          </w:rPr>
          <w:t>C 43.00 – Vaihtoehtoinen vähimmäisomavaraisuusasteen vastuiden osatekijöiden jaottelu (LR4)</w:t>
        </w:r>
        <w:r w:rsidR="007472E5">
          <w:rPr>
            <w:webHidden/>
          </w:rPr>
          <w:tab/>
        </w:r>
        <w:r w:rsidR="007472E5">
          <w:rPr>
            <w:webHidden/>
          </w:rPr>
          <w:fldChar w:fldCharType="begin"/>
        </w:r>
        <w:r w:rsidR="007472E5">
          <w:rPr>
            <w:webHidden/>
          </w:rPr>
          <w:instrText xml:space="preserve"> PAGEREF _Toc58932776 \h </w:instrText>
        </w:r>
        <w:r w:rsidR="007472E5">
          <w:rPr>
            <w:webHidden/>
          </w:rPr>
        </w:r>
        <w:r w:rsidR="007472E5">
          <w:rPr>
            <w:webHidden/>
          </w:rPr>
          <w:fldChar w:fldCharType="separate"/>
        </w:r>
        <w:r w:rsidR="007472E5">
          <w:rPr>
            <w:webHidden/>
          </w:rPr>
          <w:t>44</w:t>
        </w:r>
        <w:r w:rsidR="007472E5">
          <w:rPr>
            <w:webHidden/>
          </w:rPr>
          <w:fldChar w:fldCharType="end"/>
        </w:r>
      </w:hyperlink>
    </w:p>
    <w:p w14:paraId="44356FC6" w14:textId="7DC9BDE6" w:rsidR="007472E5" w:rsidRDefault="00B77EC0">
      <w:pPr>
        <w:pStyle w:val="TOC2"/>
        <w:rPr>
          <w:rFonts w:asciiTheme="minorHAnsi" w:eastAsiaTheme="minorEastAsia" w:hAnsiTheme="minorHAnsi" w:cstheme="minorBidi"/>
          <w:b w:val="0"/>
          <w:smallCaps w:val="0"/>
          <w:sz w:val="22"/>
          <w:lang w:val="en-US"/>
        </w:rPr>
      </w:pPr>
      <w:hyperlink w:anchor="_Toc58932777" w:history="1">
        <w:r w:rsidR="007472E5" w:rsidRPr="00E20C06">
          <w:rPr>
            <w:rStyle w:val="Hyperlink"/>
            <w:rFonts w:ascii="Times New Roman" w:hAnsi="Times New Roman"/>
          </w:rPr>
          <w:t>6.</w:t>
        </w:r>
        <w:r w:rsidR="007472E5">
          <w:rPr>
            <w:rFonts w:asciiTheme="minorHAnsi" w:eastAsiaTheme="minorEastAsia" w:hAnsiTheme="minorHAnsi" w:cstheme="minorBidi"/>
            <w:b w:val="0"/>
            <w:smallCaps w:val="0"/>
            <w:sz w:val="22"/>
            <w:lang w:val="en-US"/>
          </w:rPr>
          <w:tab/>
        </w:r>
        <w:r w:rsidR="007472E5" w:rsidRPr="00E20C06">
          <w:rPr>
            <w:rStyle w:val="Hyperlink"/>
            <w:rFonts w:ascii="Times New Roman" w:hAnsi="Times New Roman"/>
          </w:rPr>
          <w:t xml:space="preserve">C 44.00 –  Yleiset tiedot </w:t>
        </w:r>
        <w:r w:rsidR="007472E5" w:rsidRPr="00E20C06">
          <w:rPr>
            <w:rStyle w:val="Hyperlink"/>
            <w:rFonts w:ascii="Times New Roman" w:hAnsi="Times New Roman"/>
          </w:rPr>
          <w:t>(</w:t>
        </w:r>
        <w:r w:rsidR="007472E5" w:rsidRPr="00E20C06">
          <w:rPr>
            <w:rStyle w:val="Hyperlink"/>
            <w:rFonts w:ascii="Times New Roman" w:hAnsi="Times New Roman"/>
          </w:rPr>
          <w:t>LR5)</w:t>
        </w:r>
        <w:r w:rsidR="007472E5">
          <w:rPr>
            <w:webHidden/>
          </w:rPr>
          <w:tab/>
        </w:r>
        <w:r w:rsidR="007472E5">
          <w:rPr>
            <w:webHidden/>
          </w:rPr>
          <w:fldChar w:fldCharType="begin"/>
        </w:r>
        <w:r w:rsidR="007472E5">
          <w:rPr>
            <w:webHidden/>
          </w:rPr>
          <w:instrText xml:space="preserve"> PAGEREF _Toc58932777 \h </w:instrText>
        </w:r>
        <w:r w:rsidR="007472E5">
          <w:rPr>
            <w:webHidden/>
          </w:rPr>
        </w:r>
        <w:r w:rsidR="007472E5">
          <w:rPr>
            <w:webHidden/>
          </w:rPr>
          <w:fldChar w:fldCharType="separate"/>
        </w:r>
        <w:r w:rsidR="007472E5">
          <w:rPr>
            <w:webHidden/>
          </w:rPr>
          <w:t>71</w:t>
        </w:r>
        <w:r w:rsidR="007472E5">
          <w:rPr>
            <w:webHidden/>
          </w:rPr>
          <w:fldChar w:fldCharType="end"/>
        </w:r>
      </w:hyperlink>
    </w:p>
    <w:p w14:paraId="510DD1CD" w14:textId="2A4241EA" w:rsidR="007472E5" w:rsidRDefault="00B77EC0">
      <w:pPr>
        <w:pStyle w:val="TOC2"/>
        <w:rPr>
          <w:rFonts w:asciiTheme="minorHAnsi" w:eastAsiaTheme="minorEastAsia" w:hAnsiTheme="minorHAnsi" w:cstheme="minorBidi"/>
          <w:b w:val="0"/>
          <w:smallCaps w:val="0"/>
          <w:sz w:val="22"/>
          <w:lang w:val="en-US"/>
        </w:rPr>
      </w:pPr>
      <w:hyperlink w:anchor="_Toc58932778" w:history="1">
        <w:r w:rsidR="007472E5" w:rsidRPr="00E20C06">
          <w:rPr>
            <w:rStyle w:val="Hyperlink"/>
            <w:rFonts w:ascii="Times New Roman" w:hAnsi="Times New Roman"/>
          </w:rPr>
          <w:t>7.</w:t>
        </w:r>
        <w:r w:rsidR="007472E5">
          <w:rPr>
            <w:rFonts w:asciiTheme="minorHAnsi" w:eastAsiaTheme="minorEastAsia" w:hAnsiTheme="minorHAnsi" w:cstheme="minorBidi"/>
            <w:b w:val="0"/>
            <w:smallCaps w:val="0"/>
            <w:sz w:val="22"/>
            <w:lang w:val="en-US"/>
          </w:rPr>
          <w:tab/>
        </w:r>
        <w:r w:rsidR="007472E5" w:rsidRPr="00E20C06">
          <w:rPr>
            <w:rStyle w:val="Hyperlink"/>
            <w:rFonts w:ascii="Times New Roman" w:hAnsi="Times New Roman"/>
          </w:rPr>
          <w:t>C 48.00 Vähimmäisomavaraisuusasteen volatiliteetti (LR6)</w:t>
        </w:r>
        <w:r w:rsidR="007472E5">
          <w:rPr>
            <w:webHidden/>
          </w:rPr>
          <w:tab/>
        </w:r>
        <w:r w:rsidR="007472E5">
          <w:rPr>
            <w:webHidden/>
          </w:rPr>
          <w:fldChar w:fldCharType="begin"/>
        </w:r>
        <w:r w:rsidR="007472E5">
          <w:rPr>
            <w:webHidden/>
          </w:rPr>
          <w:instrText xml:space="preserve"> PAGEREF _Toc58932778 \h </w:instrText>
        </w:r>
        <w:r w:rsidR="007472E5">
          <w:rPr>
            <w:webHidden/>
          </w:rPr>
        </w:r>
        <w:r w:rsidR="007472E5">
          <w:rPr>
            <w:webHidden/>
          </w:rPr>
          <w:fldChar w:fldCharType="separate"/>
        </w:r>
        <w:r w:rsidR="007472E5">
          <w:rPr>
            <w:webHidden/>
          </w:rPr>
          <w:t>73</w:t>
        </w:r>
        <w:r w:rsidR="007472E5">
          <w:rPr>
            <w:webHidden/>
          </w:rPr>
          <w:fldChar w:fldCharType="end"/>
        </w:r>
      </w:hyperlink>
    </w:p>
    <w:p w14:paraId="1A367B45" w14:textId="5D553FD2" w:rsidR="007472E5" w:rsidRDefault="00B77EC0">
      <w:pPr>
        <w:pStyle w:val="TOC2"/>
        <w:rPr>
          <w:rFonts w:asciiTheme="minorHAnsi" w:eastAsiaTheme="minorEastAsia" w:hAnsiTheme="minorHAnsi" w:cstheme="minorBidi"/>
          <w:b w:val="0"/>
          <w:smallCaps w:val="0"/>
          <w:sz w:val="22"/>
          <w:lang w:val="en-US"/>
        </w:rPr>
      </w:pPr>
      <w:hyperlink w:anchor="_Toc58932779" w:history="1">
        <w:r w:rsidR="007472E5" w:rsidRPr="00E20C06">
          <w:rPr>
            <w:rStyle w:val="Hyperlink"/>
            <w:rFonts w:ascii="Times New Roman" w:hAnsi="Times New Roman"/>
          </w:rPr>
          <w:t>8.</w:t>
        </w:r>
        <w:r w:rsidR="007472E5">
          <w:rPr>
            <w:rFonts w:asciiTheme="minorHAnsi" w:eastAsiaTheme="minorEastAsia" w:hAnsiTheme="minorHAnsi" w:cstheme="minorBidi"/>
            <w:b w:val="0"/>
            <w:smallCaps w:val="0"/>
            <w:sz w:val="22"/>
            <w:lang w:val="en-US"/>
          </w:rPr>
          <w:tab/>
        </w:r>
        <w:r w:rsidR="007472E5" w:rsidRPr="00E20C06">
          <w:rPr>
            <w:rStyle w:val="Hyperlink"/>
            <w:rFonts w:ascii="Times New Roman" w:hAnsi="Times New Roman"/>
          </w:rPr>
          <w:t>C 48.01 Vähimmäisomavaraisuusasteen volatiliteetti: Raportointikauden keskiarvo</w:t>
        </w:r>
        <w:r w:rsidR="007472E5">
          <w:rPr>
            <w:webHidden/>
          </w:rPr>
          <w:tab/>
        </w:r>
        <w:r w:rsidR="007472E5">
          <w:rPr>
            <w:webHidden/>
          </w:rPr>
          <w:fldChar w:fldCharType="begin"/>
        </w:r>
        <w:r w:rsidR="007472E5">
          <w:rPr>
            <w:webHidden/>
          </w:rPr>
          <w:instrText xml:space="preserve"> PAGEREF _Toc58932779 \h </w:instrText>
        </w:r>
        <w:r w:rsidR="007472E5">
          <w:rPr>
            <w:webHidden/>
          </w:rPr>
        </w:r>
        <w:r w:rsidR="007472E5">
          <w:rPr>
            <w:webHidden/>
          </w:rPr>
          <w:fldChar w:fldCharType="separate"/>
        </w:r>
        <w:r w:rsidR="007472E5">
          <w:rPr>
            <w:webHidden/>
          </w:rPr>
          <w:t>73</w:t>
        </w:r>
        <w:r w:rsidR="007472E5">
          <w:rPr>
            <w:webHidden/>
          </w:rPr>
          <w:fldChar w:fldCharType="end"/>
        </w:r>
      </w:hyperlink>
    </w:p>
    <w:p w14:paraId="3723B8B8" w14:textId="16689DA3" w:rsidR="007472E5" w:rsidRDefault="00B77EC0">
      <w:pPr>
        <w:pStyle w:val="TOC2"/>
        <w:rPr>
          <w:rFonts w:asciiTheme="minorHAnsi" w:eastAsiaTheme="minorEastAsia" w:hAnsiTheme="minorHAnsi" w:cstheme="minorBidi"/>
          <w:b w:val="0"/>
          <w:smallCaps w:val="0"/>
          <w:sz w:val="22"/>
          <w:lang w:val="en-US"/>
        </w:rPr>
      </w:pPr>
      <w:hyperlink w:anchor="_Toc58932780" w:history="1">
        <w:r w:rsidR="007472E5" w:rsidRPr="00E20C06">
          <w:rPr>
            <w:rStyle w:val="Hyperlink"/>
            <w:rFonts w:ascii="Times New Roman" w:hAnsi="Times New Roman"/>
          </w:rPr>
          <w:t>9.</w:t>
        </w:r>
        <w:r w:rsidR="007472E5">
          <w:rPr>
            <w:rFonts w:asciiTheme="minorHAnsi" w:eastAsiaTheme="minorEastAsia" w:hAnsiTheme="minorHAnsi" w:cstheme="minorBidi"/>
            <w:b w:val="0"/>
            <w:smallCaps w:val="0"/>
            <w:sz w:val="22"/>
            <w:lang w:val="en-US"/>
          </w:rPr>
          <w:tab/>
        </w:r>
        <w:r w:rsidR="007472E5" w:rsidRPr="00E20C06">
          <w:rPr>
            <w:rStyle w:val="Hyperlink"/>
            <w:rFonts w:ascii="Times New Roman" w:hAnsi="Times New Roman"/>
          </w:rPr>
          <w:t>C 48.02 Vähimmäisomavaraisuusasteen volatiliteetti: Raportointikauden päivittäiset arvot</w:t>
        </w:r>
        <w:r w:rsidR="007472E5">
          <w:rPr>
            <w:webHidden/>
          </w:rPr>
          <w:tab/>
        </w:r>
        <w:r w:rsidR="007472E5">
          <w:rPr>
            <w:webHidden/>
          </w:rPr>
          <w:fldChar w:fldCharType="begin"/>
        </w:r>
        <w:r w:rsidR="007472E5">
          <w:rPr>
            <w:webHidden/>
          </w:rPr>
          <w:instrText xml:space="preserve"> PAGEREF _Toc58932780 \h </w:instrText>
        </w:r>
        <w:r w:rsidR="007472E5">
          <w:rPr>
            <w:webHidden/>
          </w:rPr>
        </w:r>
        <w:r w:rsidR="007472E5">
          <w:rPr>
            <w:webHidden/>
          </w:rPr>
          <w:fldChar w:fldCharType="separate"/>
        </w:r>
        <w:r w:rsidR="007472E5">
          <w:rPr>
            <w:webHidden/>
          </w:rPr>
          <w:t>73</w:t>
        </w:r>
        <w:r w:rsidR="007472E5">
          <w:rPr>
            <w:webHidden/>
          </w:rPr>
          <w:fldChar w:fldCharType="end"/>
        </w:r>
      </w:hyperlink>
    </w:p>
    <w:p w14:paraId="43D747E1" w14:textId="3CEE06A3" w:rsidR="00AC3257" w:rsidRPr="000B66BC" w:rsidRDefault="00391EF9" w:rsidP="000B66BC">
      <w:pPr>
        <w:pStyle w:val="BodyText1"/>
        <w:rPr>
          <w:rFonts w:ascii="Times New Roman" w:hAnsi="Times New Roman"/>
          <w:sz w:val="24"/>
          <w:szCs w:val="24"/>
        </w:rPr>
        <w:sectPr w:rsidR="00AC3257" w:rsidRPr="000B66BC"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8932765"/>
      <w:r>
        <w:rPr>
          <w:rFonts w:ascii="Times New Roman" w:hAnsi="Times New Roman"/>
          <w:b/>
          <w:sz w:val="24"/>
          <w:szCs w:val="24"/>
        </w:rPr>
        <w:t>OSA I:</w:t>
      </w:r>
      <w:bookmarkEnd w:id="0"/>
      <w:r>
        <w:rPr>
          <w:rFonts w:ascii="Times New Roman" w:hAnsi="Times New Roman"/>
          <w:b/>
          <w:sz w:val="24"/>
          <w:szCs w:val="24"/>
        </w:rPr>
        <w:t xml:space="preserve"> YLEISET OHJEET</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8932766"/>
      <w:r>
        <w:rPr>
          <w:rFonts w:ascii="Times New Roman" w:hAnsi="Times New Roman"/>
          <w:b/>
          <w:sz w:val="24"/>
          <w:szCs w:val="24"/>
        </w:rPr>
        <w:t>1</w:t>
      </w:r>
      <w:r>
        <w:tab/>
      </w:r>
      <w:r>
        <w:rPr>
          <w:rFonts w:ascii="Times New Roman" w:hAnsi="Times New Roman"/>
          <w:b/>
          <w:sz w:val="24"/>
          <w:szCs w:val="24"/>
        </w:rPr>
        <w:t>Rakenne ja käytännöt</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58932767"/>
      <w:bookmarkStart w:id="15" w:name="_Toc264038399"/>
      <w:bookmarkStart w:id="16" w:name="_Toc294018834"/>
      <w:r>
        <w:rPr>
          <w:rFonts w:ascii="Times New Roman" w:hAnsi="Times New Roman"/>
          <w:b/>
          <w:sz w:val="24"/>
          <w:szCs w:val="24"/>
        </w:rPr>
        <w:t>1.1</w:t>
      </w:r>
      <w:r>
        <w:tab/>
      </w:r>
      <w:bookmarkEnd w:id="11"/>
      <w:bookmarkEnd w:id="12"/>
      <w:bookmarkEnd w:id="13"/>
      <w:r>
        <w:rPr>
          <w:rFonts w:ascii="Times New Roman" w:hAnsi="Times New Roman"/>
          <w:b/>
          <w:sz w:val="24"/>
          <w:szCs w:val="24"/>
        </w:rPr>
        <w:t>Rakenne</w:t>
      </w:r>
      <w:bookmarkEnd w:id="14"/>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Tämä liite sisältää tämän asetuksen liitteessä X olevia lomakkeita (jäljempänä ”LR”, joka tulee sanoista Leverage Ratio) koskevia lisäohjeita.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bCs/>
          <w:sz w:val="24"/>
        </w:rPr>
        <w:t>2.</w:t>
      </w:r>
      <w:r>
        <w:tab/>
      </w:r>
      <w:r>
        <w:rPr>
          <w:bCs/>
          <w:sz w:val="24"/>
        </w:rPr>
        <w:t>Raportointikehys sisältää yhteensä kuusi lomaketta:</w:t>
      </w:r>
    </w:p>
    <w:p w14:paraId="41A3C48C" w14:textId="41BD17AC"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sidR="00B77EC0">
        <w:rPr>
          <w:bCs/>
          <w:sz w:val="24"/>
        </w:rPr>
        <w:t xml:space="preserve">C47.00: </w:t>
      </w:r>
      <w:r>
        <w:rPr>
          <w:bCs/>
          <w:sz w:val="24"/>
        </w:rPr>
        <w:t>Vähimmäisomavaraisuusasteen laskenta (LRCalc): Vähimmäisomavaraisuusasteen laskenta;</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C40.00: Vähimmäisomavaraisuusasteen raportointilomake 1 (LR1); Vastuiden vaihtoehtoinen käsittely;</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C43.00: Vähimmäisomavaraisuusasteen raportointilomake 4 (LR4): Vaihtoehtoinen vähimmäisomavaraisuusasteen vastuiden osatekijöiden jaottelu;</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C44.00: Vähimmäisomavaraisuusasteen raportointilomake 5 (LR5): Yleiset tiedot;</w:t>
      </w:r>
    </w:p>
    <w:p w14:paraId="7D668F4C" w14:textId="2EF3E327" w:rsidR="00BE473C" w:rsidRPr="000B66BC" w:rsidRDefault="00BE473C" w:rsidP="009339D1">
      <w:pPr>
        <w:pStyle w:val="InstructionsText2"/>
        <w:numPr>
          <w:ilvl w:val="0"/>
          <w:numId w:val="35"/>
        </w:numPr>
        <w:rPr>
          <w:rFonts w:eastAsia="Times New Roman"/>
          <w:bCs/>
          <w:sz w:val="24"/>
        </w:rPr>
      </w:pPr>
      <w:r>
        <w:rPr>
          <w:bCs/>
          <w:sz w:val="24"/>
        </w:rPr>
        <w:t>C48.00: Vähimmäisomavaraisuusasteen volatiliteetti (LR6).</w:t>
      </w:r>
    </w:p>
    <w:p w14:paraId="6D2FC52A" w14:textId="5D5E1B5E" w:rsidR="00FC2664" w:rsidRPr="000B66BC" w:rsidRDefault="00500508" w:rsidP="000B66BC">
      <w:pPr>
        <w:pStyle w:val="InstructionsText2"/>
        <w:numPr>
          <w:ilvl w:val="0"/>
          <w:numId w:val="0"/>
        </w:numPr>
        <w:ind w:left="720" w:hanging="360"/>
        <w:rPr>
          <w:sz w:val="24"/>
        </w:rPr>
      </w:pPr>
      <w:r>
        <w:rPr>
          <w:bCs/>
          <w:sz w:val="24"/>
        </w:rPr>
        <w:t>3.</w:t>
      </w:r>
      <w:r>
        <w:tab/>
      </w:r>
      <w:r>
        <w:rPr>
          <w:bCs/>
          <w:sz w:val="24"/>
        </w:rPr>
        <w:t>Kunkin lomakkeen kohdalla ilmoitetaan lainsäädäntöviittaukset ja yksityiskohtaisia lisätietoja raportointiin liittyvistä yleisemmistä näkökohdista.</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8932768"/>
      <w:bookmarkEnd w:id="17"/>
      <w:r>
        <w:rPr>
          <w:rFonts w:ascii="Times New Roman" w:hAnsi="Times New Roman"/>
          <w:b/>
          <w:sz w:val="24"/>
          <w:szCs w:val="24"/>
        </w:rPr>
        <w:t>1.2</w:t>
      </w:r>
      <w:r>
        <w:tab/>
      </w:r>
      <w:r>
        <w:rPr>
          <w:rFonts w:ascii="Times New Roman" w:hAnsi="Times New Roman"/>
          <w:b/>
          <w:sz w:val="24"/>
          <w:szCs w:val="24"/>
        </w:rPr>
        <w:t>Numerointikäytäntö</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4.</w:t>
      </w:r>
      <w:r>
        <w:tab/>
      </w:r>
      <w:r>
        <w:rPr>
          <w:bCs/>
          <w:sz w:val="24"/>
        </w:rPr>
        <w:t>Tässä asiakirjassa noudatetaan alla olevissa kohdissa määritettyjä merkintäkäytäntöjä viitattaessa lomakkeiden sarakkeisiin, riveihin ja soluihin. Näitä numerokoodeja käytetään laajasti validointisäännöissä.</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5.</w:t>
      </w:r>
      <w:r>
        <w:tab/>
      </w:r>
      <w:r>
        <w:rPr>
          <w:bCs/>
          <w:sz w:val="24"/>
        </w:rPr>
        <w:t>Ohjeissa noudatetaan seuraavaa yleistä merkintätapaa: {lomake;rivi;sarake}. Tähtimerkki viittaa koko riviin tai sarakkeeseen.</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6.</w:t>
      </w:r>
      <w:r>
        <w:tab/>
      </w:r>
      <w:r>
        <w:rPr>
          <w:bCs/>
          <w:sz w:val="24"/>
        </w:rPr>
        <w:t>Kun validointi tehdään lomakkeen sisällä, lomaketta ei mainita ja käytetään vain asianomaisen lomakkeen tietopisteitä: {rivi;sarake}.</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7.</w:t>
      </w:r>
      <w:r>
        <w:tab/>
      </w:r>
      <w:r>
        <w:rPr>
          <w:bCs/>
          <w:sz w:val="24"/>
        </w:rPr>
        <w:t xml:space="preserve">Velkaantuneisuusraportoinnin osalta ilmaisulla ”josta” viitataan ylemmän tason vastuuryhmän alajoukkoon ja ilmaisulla ”lisätietoerä” erilliseen erään, joka ei ole vastuuryhmän alajoukko. Molemmat solut on täytettävä, ellei toisin ole mainittu.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58932769"/>
      <w:r>
        <w:rPr>
          <w:rFonts w:ascii="Times New Roman" w:hAnsi="Times New Roman"/>
          <w:b/>
          <w:sz w:val="24"/>
          <w:szCs w:val="24"/>
        </w:rPr>
        <w:t>1.3</w:t>
      </w:r>
      <w:r>
        <w:tab/>
      </w:r>
      <w:r>
        <w:rPr>
          <w:rFonts w:ascii="Times New Roman" w:hAnsi="Times New Roman"/>
          <w:b/>
          <w:sz w:val="24"/>
          <w:szCs w:val="24"/>
        </w:rPr>
        <w:t>Lyhenteet</w:t>
      </w:r>
      <w:bookmarkEnd w:id="23"/>
      <w:bookmarkEnd w:id="24"/>
    </w:p>
    <w:p w14:paraId="72197A49" w14:textId="77777777"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bCs/>
          <w:sz w:val="24"/>
        </w:rPr>
        <w:t>8.</w:t>
      </w:r>
      <w:r>
        <w:tab/>
      </w:r>
      <w:r>
        <w:rPr>
          <w:bCs/>
          <w:sz w:val="24"/>
        </w:rPr>
        <w:t>Tässä liitteessä ja siihen liittyvissä lomakkeissa käytetään seuraavia lyhenteitä:</w:t>
      </w:r>
    </w:p>
    <w:p w14:paraId="567537B5" w14:textId="77777777" w:rsidR="00627E07" w:rsidRPr="000B66BC" w:rsidRDefault="00500508" w:rsidP="009339D1">
      <w:pPr>
        <w:pStyle w:val="InstructionsText2"/>
        <w:numPr>
          <w:ilvl w:val="0"/>
          <w:numId w:val="0"/>
        </w:numPr>
        <w:ind w:left="1440" w:hanging="360"/>
        <w:rPr>
          <w:rFonts w:eastAsia="Times New Roman"/>
          <w:bCs/>
          <w:sz w:val="24"/>
        </w:rPr>
      </w:pPr>
      <w:r>
        <w:rPr>
          <w:bCs/>
          <w:sz w:val="24"/>
        </w:rPr>
        <w:t>a.</w:t>
      </w:r>
      <w:r>
        <w:tab/>
      </w:r>
      <w:r>
        <w:rPr>
          <w:bCs/>
          <w:sz w:val="24"/>
        </w:rPr>
        <w:t>CRR, joka on vakavaraisuusasetuksen lyhenne ja jolla tarkoitetaan asetusta (EU) N:o 575/2013;</w:t>
      </w:r>
    </w:p>
    <w:p w14:paraId="69E6F7E3"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b. </w:t>
      </w:r>
      <w:r>
        <w:tab/>
      </w:r>
      <w:r>
        <w:rPr>
          <w:bCs/>
          <w:sz w:val="24"/>
        </w:rPr>
        <w:t>CRD, joka on vakavaraisuusdirektiivin lyhenne ja jolla tarkoitetaan direktiiviä 2013/36/EU;</w:t>
      </w:r>
    </w:p>
    <w:p w14:paraId="5CC0B733" w14:textId="3EE7532F" w:rsidR="00627E07" w:rsidRPr="000B66BC" w:rsidRDefault="007E2989" w:rsidP="009339D1">
      <w:pPr>
        <w:pStyle w:val="InstructionsText2"/>
        <w:numPr>
          <w:ilvl w:val="0"/>
          <w:numId w:val="0"/>
        </w:numPr>
        <w:ind w:left="1440" w:hanging="360"/>
        <w:rPr>
          <w:rFonts w:eastAsia="Times New Roman"/>
          <w:bCs/>
          <w:sz w:val="24"/>
        </w:rPr>
      </w:pPr>
      <w:r>
        <w:rPr>
          <w:bCs/>
          <w:sz w:val="24"/>
        </w:rPr>
        <w:t>c.</w:t>
      </w:r>
      <w:r>
        <w:tab/>
      </w:r>
      <w:r>
        <w:rPr>
          <w:bCs/>
          <w:sz w:val="24"/>
        </w:rPr>
        <w:t>SFT, joka on lyhenne sanoista Securities Financing Transaction (arvopapereilla toteutettavat rahoitustoimet) ja jolla tarkoitetaan asetuksen (EU) N:o 575/2013 4 artiklan 1 kohdan 139 alakohdan mukaista takaisinostotransaktiota, arvopapereiden tai hyödykkeiden lainaksiantamiseen tai -ottamiseen liittyvää liiketoimea tai vakuudellista limiittiluotonantoa;</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bCs/>
          <w:sz w:val="24"/>
        </w:rPr>
        <w:t>d.</w:t>
      </w:r>
      <w:r>
        <w:tab/>
      </w:r>
      <w:r>
        <w:rPr>
          <w:bCs/>
          <w:sz w:val="24"/>
        </w:rPr>
        <w:t>CRM, joka on lyhenne sanoista Credit Risk Mitigation ja tarkoittaa luottoriskin vähentämistä;</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bCs/>
          <w:sz w:val="24"/>
        </w:rPr>
        <w:t>e.</w:t>
      </w:r>
      <w:r>
        <w:tab/>
      </w:r>
      <w:r>
        <w:rPr>
          <w:bCs/>
          <w:sz w:val="24"/>
        </w:rPr>
        <w:t>CSD, joka on lyhenne sanoista Central Securities Depository ja tarkoittaa arvopaperikeskusta;</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f. </w:t>
      </w:r>
      <w:r>
        <w:tab/>
      </w:r>
      <w:r>
        <w:rPr>
          <w:bCs/>
          <w:sz w:val="24"/>
        </w:rPr>
        <w:t>QCCP, joka on lyhenne sanoista Qualifying Central Counterparty ja tarkoittaa vaatimukset täyttävää keskusvastapuolta;</w:t>
      </w:r>
    </w:p>
    <w:p w14:paraId="4CAF859B" w14:textId="7945EBDC"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g. </w:t>
      </w:r>
      <w:r>
        <w:tab/>
      </w:r>
      <w:r>
        <w:rPr>
          <w:bCs/>
          <w:sz w:val="24"/>
        </w:rPr>
        <w:t>PFE, joka on lyhenne sanoista Potential Future Exposure ja tarkoittaa potentiaalista tulevaa riskiä.</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58932770"/>
      <w:r>
        <w:rPr>
          <w:rFonts w:ascii="Times New Roman" w:hAnsi="Times New Roman"/>
          <w:b/>
          <w:sz w:val="24"/>
          <w:szCs w:val="24"/>
        </w:rPr>
        <w:t>1.4</w:t>
      </w:r>
      <w:r>
        <w:tab/>
      </w:r>
      <w:r>
        <w:rPr>
          <w:rFonts w:ascii="Times New Roman" w:hAnsi="Times New Roman"/>
          <w:b/>
          <w:sz w:val="24"/>
          <w:szCs w:val="24"/>
        </w:rPr>
        <w:t>Merkkikäytäntö</w:t>
      </w:r>
      <w:bookmarkEnd w:id="15"/>
      <w:bookmarkEnd w:id="16"/>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bCs/>
          <w:sz w:val="24"/>
        </w:rPr>
        <w:t>9.</w:t>
      </w:r>
      <w:r>
        <w:tab/>
      </w:r>
      <w:r>
        <w:rPr>
          <w:bCs/>
          <w:sz w:val="24"/>
        </w:rPr>
        <w:t>Kaikki summat on ilmoitettava positiivisina lukuina.</w:t>
      </w:r>
      <w:bookmarkStart w:id="32" w:name="_Toc264033192"/>
      <w:bookmarkEnd w:id="32"/>
      <w:r>
        <w:rPr>
          <w:bCs/>
          <w:sz w:val="24"/>
        </w:rPr>
        <w:t xml:space="preserve"> Lukuun ottamatta seuraavia:</w:t>
      </w:r>
    </w:p>
    <w:p w14:paraId="7B6D27CF" w14:textId="222C2E2D" w:rsidR="0058289F" w:rsidRPr="000B66BC" w:rsidRDefault="00A5392D" w:rsidP="009339D1">
      <w:pPr>
        <w:pStyle w:val="InstructionsText2"/>
        <w:numPr>
          <w:ilvl w:val="0"/>
          <w:numId w:val="25"/>
        </w:numPr>
        <w:rPr>
          <w:rFonts w:eastAsia="Times New Roman"/>
          <w:bCs/>
          <w:sz w:val="24"/>
        </w:rPr>
      </w:pPr>
      <w:r>
        <w:rPr>
          <w:bCs/>
          <w:sz w:val="24"/>
        </w:rPr>
        <w:t>Erät, joiden merkintää edeltää negatiivinen merkki (−), joista ei odoteta ilmoitettavan positiivista lukua.</w:t>
      </w:r>
    </w:p>
    <w:p w14:paraId="259D3174" w14:textId="186210E9" w:rsidR="00E40D66" w:rsidRPr="000B66BC" w:rsidRDefault="00E40D66" w:rsidP="009339D1">
      <w:pPr>
        <w:pStyle w:val="InstructionsText2"/>
        <w:numPr>
          <w:ilvl w:val="0"/>
          <w:numId w:val="25"/>
        </w:numPr>
        <w:rPr>
          <w:rFonts w:eastAsia="Times New Roman"/>
          <w:bCs/>
          <w:sz w:val="24"/>
        </w:rPr>
      </w:pPr>
      <w:r>
        <w:rPr>
          <w:bCs/>
          <w:sz w:val="24"/>
        </w:rPr>
        <w:t>Soluissa {LRCalc; 0310; 0010}, {LRCalc; 0320; 0010}, {LRCalc; 0330; 0010}, {LRCalc; 0340; 0010} ilmoitettavat luvut voivat olla negatiivisia ääritapauksissa, muussa tapauksessa ne ovat positiivisia.</w:t>
      </w:r>
    </w:p>
    <w:p w14:paraId="1A7EEF5B" w14:textId="10579662" w:rsidR="0060741B" w:rsidRPr="000B66BC" w:rsidRDefault="0060741B" w:rsidP="009339D1">
      <w:pPr>
        <w:pStyle w:val="InstructionsText2"/>
        <w:numPr>
          <w:ilvl w:val="0"/>
          <w:numId w:val="25"/>
        </w:numPr>
        <w:rPr>
          <w:rFonts w:eastAsia="Times New Roman"/>
          <w:bCs/>
          <w:sz w:val="24"/>
        </w:rPr>
      </w:pPr>
      <w:r>
        <w:rPr>
          <w:bCs/>
          <w:sz w:val="24"/>
        </w:rPr>
        <w:t>Soluissa {LRCalc; 0280; 0010} voi olla vakavaraisuusasetuksen 473 a artiklan 7 kohdan nojalla positiivisia arvoja, muussa tapauksessa ne ovat negatiivisia.</w:t>
      </w:r>
    </w:p>
    <w:p w14:paraId="12B14317" w14:textId="77777777" w:rsidR="001F28C3" w:rsidRPr="000B66BC" w:rsidRDefault="00360A3D" w:rsidP="009339D1">
      <w:pPr>
        <w:pStyle w:val="InstructionsText2"/>
        <w:numPr>
          <w:ilvl w:val="0"/>
          <w:numId w:val="0"/>
        </w:numPr>
        <w:ind w:left="720"/>
        <w:rPr>
          <w:rFonts w:eastAsia="Times New Roman"/>
          <w:bCs/>
          <w:sz w:val="24"/>
        </w:rPr>
      </w:pPr>
      <w:r>
        <w:rPr>
          <w:bCs/>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58932771"/>
      <w:r>
        <w:rPr>
          <w:rFonts w:ascii="Times New Roman" w:hAnsi="Times New Roman"/>
          <w:b/>
          <w:sz w:val="24"/>
          <w:szCs w:val="24"/>
        </w:rPr>
        <w:t>OSA II: LOMAKKEISIIN LIITTYVÄT OHJEET</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58932772"/>
      <w:bookmarkStart w:id="40" w:name="_Toc322533849"/>
      <w:r>
        <w:rPr>
          <w:rFonts w:ascii="Times New Roman" w:hAnsi="Times New Roman"/>
          <w:b/>
          <w:sz w:val="24"/>
          <w:szCs w:val="24"/>
        </w:rPr>
        <w:t>1</w:t>
      </w:r>
      <w:r>
        <w:tab/>
      </w:r>
      <w:r>
        <w:rPr>
          <w:rFonts w:ascii="Times New Roman" w:hAnsi="Times New Roman"/>
          <w:b/>
          <w:sz w:val="24"/>
          <w:szCs w:val="24"/>
        </w:rPr>
        <w:t>Vähimmäisomavaraisuusasteen laskentakaavat</w:t>
      </w:r>
      <w:bookmarkEnd w:id="37"/>
      <w:bookmarkEnd w:id="38"/>
      <w:bookmarkEnd w:id="39"/>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Vähimmäisomavaraisuusaste (Leverage Ratio, LR) perustuu pääoman määrään ja vastuiden kokonaismäärään, ja se voidaan laskea LRCalc:n solujen perusteella.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w:t>
      </w:r>
      <w:r>
        <w:tab/>
      </w:r>
      <w:r>
        <w:rPr>
          <w:rFonts w:ascii="Times New Roman" w:hAnsi="Times New Roman"/>
          <w:sz w:val="24"/>
          <w:szCs w:val="24"/>
        </w:rPr>
        <w:t>Vähimmäisomavaraisuusaste – täyden käyttöönoton jälkeinen määritelmä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w:t>
      </w:r>
      <w:r>
        <w:tab/>
      </w:r>
      <w:r>
        <w:rPr>
          <w:rFonts w:ascii="Times New Roman" w:hAnsi="Times New Roman"/>
          <w:sz w:val="24"/>
          <w:szCs w:val="24"/>
        </w:rPr>
        <w:t>Vähimmäisomavaraisuusaste – siirtymäkauden aikainen määritelmä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58932773"/>
      <w:bookmarkStart w:id="44" w:name="_Toc322533852"/>
      <w:bookmarkEnd w:id="40"/>
      <w:r>
        <w:rPr>
          <w:rFonts w:ascii="Times New Roman" w:hAnsi="Times New Roman"/>
          <w:b/>
          <w:sz w:val="24"/>
          <w:szCs w:val="24"/>
        </w:rPr>
        <w:t>2.</w:t>
      </w:r>
      <w:r>
        <w:tab/>
      </w:r>
      <w:r>
        <w:rPr>
          <w:rFonts w:ascii="Times New Roman" w:hAnsi="Times New Roman"/>
          <w:b/>
          <w:sz w:val="24"/>
          <w:szCs w:val="24"/>
        </w:rPr>
        <w:t>Johdannaisten kynnysarvot</w:t>
      </w:r>
      <w:bookmarkEnd w:id="41"/>
      <w:bookmarkEnd w:id="42"/>
      <w:bookmarkEnd w:id="43"/>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4.</w:t>
      </w:r>
      <w:r>
        <w:tab/>
      </w:r>
      <w:r>
        <w:rPr>
          <w:rFonts w:ascii="Times New Roman" w:hAnsi="Times New Roman"/>
          <w:sz w:val="24"/>
          <w:szCs w:val="24"/>
        </w:rPr>
        <w:t>Sellaisten laitosten raportointitaakan keventämiseksi, joilla on vain rajatusti johdannaisista aiheutuvia riskejä, pyritään määrittämään johdannaisista aiheutuvien riskien suhteellinen merkitys vähimmäisomavaraisuusasteen kokonaisriskin kannalta. Laitosten on määritettävä tämä seuraavasti</w:t>
      </w:r>
      <w:bookmarkStart w:id="45" w:name="_Toc322533853"/>
      <w:bookmarkEnd w:id="44"/>
      <w:r>
        <w:rPr>
          <w:rFonts w:ascii="Times New Roman" w:hAnsi="Times New Roman"/>
          <w:sz w:val="24"/>
          <w:szCs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szCs w:val="24"/>
        </w:rPr>
        <w:t>5.</w:t>
      </w:r>
      <w:r>
        <w:tab/>
      </w:r>
      <w:r>
        <w:rPr>
          <w:rFonts w:ascii="Times New Roman" w:hAnsi="Times New Roman"/>
          <w:sz w:val="24"/>
          <w:szCs w:val="24"/>
        </w:rPr>
        <w:t xml:space="preserve">Johdannaisten osuus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6.</w:t>
      </w:r>
      <w:r>
        <w:tab/>
      </w:r>
      <w:r>
        <w:rPr>
          <w:rFonts w:ascii="Times New Roman" w:hAnsi="Times New Roman"/>
          <w:sz w:val="24"/>
          <w:szCs w:val="24"/>
        </w:rPr>
        <w:t>Jossa johdannaisriski on yhtä kuin: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7.</w:t>
      </w:r>
      <w:r>
        <w:tab/>
      </w:r>
      <w:r>
        <w:rPr>
          <w:rFonts w:ascii="Times New Roman" w:hAnsi="Times New Roman"/>
          <w:sz w:val="24"/>
          <w:szCs w:val="24"/>
        </w:rPr>
        <w:t>Jossa kokonaisriski on yhtä kuin: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8.</w:t>
      </w:r>
      <w:r>
        <w:tab/>
      </w:r>
      <w:r>
        <w:rPr>
          <w:rFonts w:ascii="Times New Roman" w:hAnsi="Times New Roman"/>
          <w:sz w:val="24"/>
          <w:szCs w:val="24"/>
        </w:rPr>
        <w:t>Johdannaisten nimellismäärä yhteensä = {LR1; 0010;0070}. Laitosten on aina ilmoitettava tämä solu.</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9.</w:t>
      </w:r>
      <w:r>
        <w:tab/>
      </w:r>
      <w:r>
        <w:rPr>
          <w:rFonts w:ascii="Times New Roman" w:hAnsi="Times New Roman"/>
          <w:sz w:val="24"/>
          <w:szCs w:val="24"/>
        </w:rPr>
        <w:t>Luottojohdannaisten määrä = {LR1;0020;0070} + {LR1;0050;0070}. Laitosten on aina ilmoitettava nämä solut.</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10.</w:t>
      </w:r>
      <w:r>
        <w:tab/>
      </w:r>
      <w:r>
        <w:rPr>
          <w:rFonts w:ascii="Times New Roman" w:hAnsi="Times New Roman"/>
          <w:sz w:val="24"/>
          <w:szCs w:val="24"/>
        </w:rPr>
        <w:t>Laitosten on täytettävä kohdassa 13 tarkoitetut solut, jos jokin seuraavista edellytyksistä täyttyy:</w:t>
      </w:r>
    </w:p>
    <w:p w14:paraId="2564CD75" w14:textId="1B9B37E1" w:rsidR="00F4754B" w:rsidRPr="000B66BC" w:rsidRDefault="007A001B" w:rsidP="009339D1">
      <w:pPr>
        <w:pStyle w:val="InstructionsText2"/>
        <w:numPr>
          <w:ilvl w:val="0"/>
          <w:numId w:val="39"/>
        </w:numPr>
        <w:rPr>
          <w:rFonts w:eastAsia="Times New Roman"/>
          <w:bCs/>
          <w:sz w:val="24"/>
        </w:rPr>
      </w:pPr>
      <w:r>
        <w:rPr>
          <w:bCs/>
          <w:sz w:val="24"/>
        </w:rPr>
        <w:t>kohdassa 5 tarkoitettu johdannaisten osuus on yli 1,5 prosenttia;</w:t>
      </w:r>
    </w:p>
    <w:p w14:paraId="272AC9A9" w14:textId="6954E060" w:rsidR="00675587" w:rsidRPr="000B66BC" w:rsidRDefault="007A001B" w:rsidP="009339D1">
      <w:pPr>
        <w:pStyle w:val="InstructionsText2"/>
        <w:numPr>
          <w:ilvl w:val="0"/>
          <w:numId w:val="39"/>
        </w:numPr>
        <w:rPr>
          <w:rFonts w:eastAsia="Times New Roman"/>
          <w:bCs/>
          <w:sz w:val="24"/>
        </w:rPr>
      </w:pPr>
      <w:r>
        <w:rPr>
          <w:bCs/>
          <w:sz w:val="24"/>
        </w:rPr>
        <w:t>kohdassa 5 tarkoitettu johdannaisten osuus on yli 2,0 prosenttia.</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bCs/>
          <w:sz w:val="24"/>
        </w:rPr>
        <w:t>Tämän asetuksen 4 artiklassa säädettyjä mukaantulo- ja poistumiskriteereitä on sovellettava muihin paitsi b alakohtaan, jossa laitosten on aloitettava tietojen ilmoittaminen seuraavasta raportoinnin viitepäivämäärästä lukien sen jälkeen, kun ne ovat ylittäneet kynnyksen yhtenä raportoinnin viitepäivämääränä.</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11.</w:t>
      </w:r>
      <w:r>
        <w:tab/>
      </w:r>
      <w:r>
        <w:rPr>
          <w:rFonts w:ascii="Times New Roman" w:hAnsi="Times New Roman"/>
          <w:sz w:val="24"/>
          <w:szCs w:val="24"/>
        </w:rPr>
        <w:t>Laitosten, joiden kohdan 8 määritelmän mukainen johdannaisten nimellismäärä yhteensä on yli 10 miljardia euroa, on täytettävä kohdassa 13 tarkoitetut solut, vaikka niiden johdannaisten osuus ei täyttäisi kohdassa 10 kuvattuja edellytyksiä.</w:t>
      </w:r>
    </w:p>
    <w:p w14:paraId="48A7F7A1" w14:textId="00594413" w:rsidR="00242493" w:rsidRPr="000B66BC" w:rsidRDefault="00242493" w:rsidP="000B66BC">
      <w:pPr>
        <w:pStyle w:val="BodyText1"/>
        <w:spacing w:after="240" w:line="240" w:lineRule="auto"/>
        <w:ind w:left="720" w:hanging="360"/>
        <w:rPr>
          <w:rFonts w:ascii="Times New Roman" w:hAnsi="Times New Roman"/>
          <w:sz w:val="24"/>
          <w:szCs w:val="24"/>
        </w:rPr>
      </w:pPr>
      <w:r>
        <w:tab/>
      </w:r>
      <w:r>
        <w:rPr>
          <w:rFonts w:ascii="Times New Roman" w:hAnsi="Times New Roman"/>
          <w:sz w:val="24"/>
          <w:szCs w:val="24"/>
        </w:rPr>
        <w:t>Tämän asetuksen 4 artiklassa säädettyjä mukaantulokriteereitä ei sovelleta 4 kohtaan. Laitosten on aloitettava tietojen ilmoittaminen seuraavasta raportoinnin viitepäivämäärästä lukien sen jälkeen, kun ne ovat ylittäneet kynnyksen yhtenä raportoinnin viitepäivämääränä.</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12.</w:t>
      </w:r>
      <w:r>
        <w:tab/>
      </w:r>
      <w:r>
        <w:rPr>
          <w:rFonts w:ascii="Times New Roman" w:hAnsi="Times New Roman"/>
          <w:sz w:val="24"/>
          <w:szCs w:val="24"/>
        </w:rPr>
        <w:t>Laitosten on täytettävä kohdassa 14 tarkoitetut solut, jos jokin seuraavista edellytyksistä täyttyy:</w:t>
      </w:r>
    </w:p>
    <w:p w14:paraId="3F12E5B0" w14:textId="61844629" w:rsidR="00F4754B" w:rsidRPr="000B66BC" w:rsidRDefault="007A001B" w:rsidP="009339D1">
      <w:pPr>
        <w:pStyle w:val="InstructionsText2"/>
        <w:numPr>
          <w:ilvl w:val="0"/>
          <w:numId w:val="40"/>
        </w:numPr>
        <w:rPr>
          <w:rFonts w:eastAsia="Times New Roman"/>
          <w:bCs/>
          <w:sz w:val="24"/>
        </w:rPr>
      </w:pPr>
      <w:r>
        <w:rPr>
          <w:sz w:val="24"/>
        </w:rPr>
        <w:t>kohdassa 9 tarkoitettu luottojohdannaisten määrä on yli 300 miljoonaa euroa;</w:t>
      </w:r>
    </w:p>
    <w:p w14:paraId="53026947" w14:textId="5B38C368" w:rsidR="00675587" w:rsidRPr="000B66BC" w:rsidRDefault="007A001B" w:rsidP="009339D1">
      <w:pPr>
        <w:pStyle w:val="InstructionsText2"/>
        <w:numPr>
          <w:ilvl w:val="0"/>
          <w:numId w:val="40"/>
        </w:numPr>
        <w:rPr>
          <w:rFonts w:eastAsia="Times New Roman"/>
          <w:bCs/>
          <w:sz w:val="24"/>
        </w:rPr>
      </w:pPr>
      <w:r>
        <w:rPr>
          <w:bCs/>
          <w:sz w:val="24"/>
        </w:rPr>
        <w:t>kohdassa 9 tarkoitettu luottojohdannaisten määrä on yli 500 miljoonaa euroa.</w:t>
      </w:r>
    </w:p>
    <w:p w14:paraId="3B88084F" w14:textId="34241752" w:rsidR="00F4754B" w:rsidRPr="000B66BC" w:rsidRDefault="00242493" w:rsidP="000B66BC">
      <w:pPr>
        <w:pStyle w:val="InstructionsText2"/>
        <w:numPr>
          <w:ilvl w:val="0"/>
          <w:numId w:val="0"/>
        </w:numPr>
        <w:ind w:left="709" w:firstLine="11"/>
        <w:rPr>
          <w:sz w:val="24"/>
        </w:rPr>
      </w:pPr>
      <w:r>
        <w:rPr>
          <w:bCs/>
          <w:sz w:val="24"/>
        </w:rPr>
        <w:t>Tämän asetuksen 4 artiklassa säädettyjä mukaantulo- ja poistumiskriteereitä on sovellettava muihin paitsi b alakohtaan, jossa laitosten on aloitettava tietojen ilmoittaminen seuraavasta raportoinnin viitepäivämäärästä lukien sen jälkeen, kun ne ovat ylittäneet kynnyksen yhtenä raportoinnin viitepäivämääränä.</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13.</w:t>
      </w:r>
      <w:r>
        <w:tab/>
      </w:r>
      <w:r>
        <w:rPr>
          <w:rFonts w:ascii="Times New Roman" w:hAnsi="Times New Roman"/>
          <w:sz w:val="24"/>
          <w:szCs w:val="24"/>
        </w:rPr>
        <w:t>Ne solut, jotka laitosten on kohdan 10 ja 11 mukaisesti ilmoitettava, ovat seuraavat: {LR1;0010;0010}, {LR1;0010;0020}, {LR1;0020;0010}, {LR1;0020;0020}, {LR1;0030;0070}, {LR1;0040;0070}, {LR1;0050;0010}, {LR1;0050;0020}, {LR1;0060;0010}, {LR1;0060;0020}, ja{LR1;0060;0070}.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14.</w:t>
      </w:r>
      <w:r>
        <w:tab/>
      </w:r>
      <w:r>
        <w:rPr>
          <w:rFonts w:ascii="Times New Roman" w:hAnsi="Times New Roman"/>
          <w:sz w:val="24"/>
          <w:szCs w:val="24"/>
        </w:rPr>
        <w:t>Ne solut, jotka laitosten on kohdan 12 mukaisesti ilmoitettava, ovat seuraavat: {LR1;0020;0075}, {LR1;0050;0075} ja{LR1;0050;0085}.</w:t>
      </w:r>
    </w:p>
    <w:p w14:paraId="00E6EF91" w14:textId="39D962DC"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9414285"/>
      <w:bookmarkStart w:id="48" w:name="_Toc423089070"/>
      <w:bookmarkStart w:id="49" w:name="_Toc58932774"/>
      <w:bookmarkStart w:id="50" w:name="_Toc322687879"/>
      <w:bookmarkStart w:id="51" w:name="_Toc315961853"/>
      <w:bookmarkEnd w:id="46"/>
      <w:r>
        <w:rPr>
          <w:rFonts w:ascii="Times New Roman" w:hAnsi="Times New Roman"/>
          <w:b/>
          <w:sz w:val="24"/>
          <w:szCs w:val="24"/>
        </w:rPr>
        <w:t>3.</w:t>
      </w:r>
      <w:r>
        <w:tab/>
      </w:r>
      <w:bookmarkStart w:id="52" w:name="_Toc351048506"/>
      <w:r>
        <w:rPr>
          <w:rFonts w:ascii="Times New Roman" w:hAnsi="Times New Roman"/>
          <w:b/>
          <w:sz w:val="24"/>
          <w:szCs w:val="24"/>
        </w:rPr>
        <w:t xml:space="preserve">C 47.00 – Vähimmäisomavaraisuusasteen laskenta </w:t>
      </w:r>
      <w:bookmarkEnd w:id="52"/>
      <w:bookmarkEnd w:id="47"/>
      <w:r>
        <w:rPr>
          <w:rFonts w:ascii="Times New Roman" w:hAnsi="Times New Roman"/>
          <w:b/>
          <w:sz w:val="24"/>
          <w:szCs w:val="24"/>
        </w:rPr>
        <w:t>(LRCalc)</w:t>
      </w:r>
      <w:bookmarkEnd w:id="48"/>
      <w:bookmarkEnd w:id="49"/>
    </w:p>
    <w:p w14:paraId="5579B71F" w14:textId="0BB469A9"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15.</w:t>
      </w:r>
      <w:r>
        <w:tab/>
      </w:r>
      <w:r>
        <w:rPr>
          <w:rFonts w:ascii="Times New Roman" w:hAnsi="Times New Roman"/>
          <w:sz w:val="24"/>
          <w:szCs w:val="24"/>
        </w:rPr>
        <w:t xml:space="preserve">Tässä lomakkeessa kerätään tiedot, joita tarvitaan vakavaraisuusasetuksen seitsemännessä osassa määritellyn vähimmäisomavaraisuusasteen laskemiseksi.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16.</w:t>
      </w:r>
      <w:r>
        <w:tab/>
      </w:r>
      <w:r>
        <w:rPr>
          <w:rFonts w:ascii="Times New Roman" w:hAnsi="Times New Roman"/>
          <w:sz w:val="24"/>
          <w:szCs w:val="24"/>
        </w:rPr>
        <w:t>Laitosten on ilmoitettava vähimmäisomavaraisuusaste neljännesvuosittain. Kunkin neljännesvuosi-ilmoituksen osalta sarakkeessa ”raportoinnin viitepäivämäärä” ilmoitetaan kyseisen vuosineljänneksen kolmannen kuukauden viimeisen kalenteripäivän arvo.</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17.</w:t>
      </w:r>
      <w:r>
        <w:tab/>
      </w:r>
      <w:r>
        <w:rPr>
          <w:rFonts w:ascii="Times New Roman" w:hAnsi="Times New Roman"/>
          <w:sz w:val="24"/>
          <w:szCs w:val="24"/>
        </w:rPr>
        <w:t>Laitosten on ilmoitettava vastuuarvoja koskevassa jaksossa olevat erät positiivisella merkillä tässä liitteessä olevan I osan 9 kohdassa esitetyn merkkikäytännön mukaisesti (pois lukien {LRCalc;0270; 0010} ja {LRCalc;0280; 0010}) ikään kuin negatiivisella merkillä (esimerkiksi vapautukset/vähennykset) liitteessä olevan I osan 9 kohdassa esitetyn merkkikäytännön mukaisesti ilmoitettuja eriä ei sovellettaisi.</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tab/>
      </w:r>
      <w:r>
        <w:rPr>
          <w:sz w:val="24"/>
        </w:rPr>
        <w:t>Määrät, jotka lisäävät omia varoja tai vähimmäisomavaraisuusasteen vastuita, ilmoitetaan positiivisina lukuina. Vastaavasti määrät, jotka vähentävät omien varojen kokonaismäärää tai vähimmäisomavaraisuusasteen vastuita, ilmoitetaan negatiivisina lukuina. Jos jonkin erän otsaketta edeltää miinusmerkki (-), on tämä osoitus siitä, että erässä ei ole tarkoitus ilmoittaa positiivista lukua.</w:t>
      </w:r>
    </w:p>
    <w:p w14:paraId="69E62B50" w14:textId="1BA2098B" w:rsidR="00EC3422" w:rsidRPr="000B66BC" w:rsidRDefault="006A4991" w:rsidP="009339D1">
      <w:pPr>
        <w:pStyle w:val="InstructionsText2"/>
        <w:numPr>
          <w:ilvl w:val="0"/>
          <w:numId w:val="0"/>
        </w:numPr>
        <w:ind w:left="720" w:hanging="360"/>
        <w:rPr>
          <w:sz w:val="24"/>
        </w:rPr>
      </w:pPr>
      <w:r>
        <w:rPr>
          <w:sz w:val="24"/>
        </w:rPr>
        <w:t>19. Jos määrä voidaan vähentää useasta syystä, määrää on vähennettävä vastuusta vain yhdellä lomakkeen C47.00 rivillä.</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szCs w:val="24"/>
              </w:rPr>
              <w:t>Lainsäädäntöviittaukset ja ohjeet</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szCs w:val="24"/>
              </w:rPr>
              <w:t>Rivi ja sarake</w:t>
            </w:r>
          </w:p>
        </w:tc>
        <w:tc>
          <w:tcPr>
            <w:tcW w:w="7590" w:type="dxa"/>
            <w:gridSpan w:val="3"/>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bCs/>
                <w:sz w:val="24"/>
                <w:szCs w:val="24"/>
              </w:rPr>
              <w:t>Vastuuarvot</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590" w:type="dxa"/>
            <w:gridSpan w:val="3"/>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bCs/>
                <w:sz w:val="24"/>
                <w:szCs w:val="24"/>
              </w:rPr>
              <w:t xml:space="preserve">Arvopapereilla toteutettavat rahoitustoimet: Vastuuarvo </w:t>
            </w:r>
          </w:p>
          <w:p w14:paraId="24BF7807" w14:textId="5888AF5B"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szCs w:val="24"/>
              </w:rPr>
              <w:t>Vakavaraisuusasetuksen 429 b artiklan 1 kohdan b alakohta ja 4 ja 5 kohta</w:t>
            </w:r>
          </w:p>
          <w:p w14:paraId="4DADBAA1" w14:textId="2D8CC708"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Tässä ilmoitetaan vakavaraisuusasetuksen 429 b artiklan 1 kohdan b alakohdan ja 4 ja 5 kohdan mukaisesti lasketut arvopapereilla toteutettavien rahoitustoimien vastuut. </w:t>
            </w:r>
          </w:p>
          <w:p w14:paraId="7B519931" w14:textId="3059ADB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otettava tässä solussa huomioon liiketoimet vakavaraisuusasetuksen 429 e artiklan 7 kohdan c alakohdan mukaisesti.</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Laitokset eivät saa sisällyttää tähän soluun saatuja käteissuorituksia tai vastapuolelle edellä mainittujen liiketoimien kautta annettuja arvopapereita, jotka säilyvät taseessa (eli taseesta pois kirjaamista koskeva kirjanpidon periaate ei täyty). Laitosten on sen sijaan sisällytettävä kyseiset erät soluun {0190;0010}.</w:t>
            </w:r>
          </w:p>
          <w:p w14:paraId="3B9A69FC" w14:textId="679F744A"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Laitokset eivät saa sisällyttää tähän soluun asiamiehen arvopapereilla toteutettavia rahoitustoimia, joissa laitos maksaa asiakkaalle tai vastapuolelle korvauksen tai takauksen, jonka määrä rajoittuu asiakkaan lainaksiantaman arvopaperin tai käteisen ja lainaksiottajan antaman vakuuden arvon väliseen erotukseen vakavaraisuusasetuksen 429 e artiklan 7 kohdan a alakohdan mukaisesti.</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590" w:type="dxa"/>
            <w:gridSpan w:val="3"/>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Arvopapereilla toteutettavat rahoitustoimet: Vastapuoliriskiä koskeva korotus</w:t>
            </w:r>
          </w:p>
          <w:p w14:paraId="54D8230E" w14:textId="6A11966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e artiklan 1 kohta</w:t>
            </w:r>
          </w:p>
          <w:p w14:paraId="74373937" w14:textId="31F6D14D"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arvopapereilla toteutettavien rahoitustoimien vastapuoliriskiä koskevat korotukset, taseen ulkopuoliset erät mukaan lukien, vakavaraisuusasetuksen 429 e artiklan 2 tai 3 kohdan ja 4 kohdan mukaisesti, tapauksen mukaan.</w:t>
            </w:r>
          </w:p>
          <w:p w14:paraId="22B58EAB" w14:textId="00A0E24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otettava tässä solussa huomioon liiketoimet vakavaraisuusasetuksen 429 e artiklan 7 kohdan c alakohdan mukaisesti.</w:t>
            </w:r>
          </w:p>
          <w:p w14:paraId="68CF607E" w14:textId="6B3D210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Laitokset eivät saa sisällyttää tähän soluun asiamiehen arvopapereilla toteutettavia rahoitustoimia, joissa laitos maksaa asiakkaalle tai vastapuolelle korvauksen tai takauksen, jonka määrä rajoittuu asiakkaan lainaksiantaman arvopaperin tai käteisen ja lainaksiottajan antaman vakuuden arvon väliseen erotukseen vakavaraisuusasetuksen 429 e artiklan 7 kohdan a alakohdan mukaisesti. Laitosten on sen sijaan sisällytettävä kyseiset erät soluun {0040;0010}.</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gridSpan w:val="3"/>
          </w:tcPr>
          <w:p w14:paraId="49F43F40" w14:textId="5DF45BD6"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Arvopapereilla toteutettavia rahoitustoimia koskeva poikkeus: Vakavaraisuusasetuksen 429 e artiklan 5 kohdan ja 222 artiklan mukainen korotus</w:t>
            </w:r>
          </w:p>
          <w:p w14:paraId="2D39F187" w14:textId="262182B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e artiklan 5 kohta ja 222 artikla</w:t>
            </w:r>
          </w:p>
          <w:p w14:paraId="738B5B54" w14:textId="6EA11F04"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Tässä ilmoitetaan arvopapereilla toteutettavien rahoitustoimien vastuuarvo, mukaan lukien taseen ulkopuoliset erät, laskettuna vakavaraisuusasetuksen 222 artiklan mukaisesti, johon on sovellettava riskipainon 20 prosentin alarajaa. </w:t>
            </w:r>
          </w:p>
          <w:p w14:paraId="3D5D2C18" w14:textId="6253EBA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otettava tässä solussa huomioon liiketoimet vakavaraisuusasetuksen 429 e artiklan 7 kohdan c alakohdan mukaisesti.</w:t>
            </w:r>
          </w:p>
          <w:p w14:paraId="29AD8FEA" w14:textId="232839A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Laitokset eivät saa ottaa tässä solussa huomioon liiketoimia, joiden vähimmäisomavaraisuusasteen vastuiden korotusosan arvo määritetään vakavaraisuusasetuksen 429 e artiklan 1 kohdassa kuvattua menetelmää noudattaen.</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590" w:type="dxa"/>
            <w:gridSpan w:val="3"/>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Asiamiehen arvopapereilla toteutettavien rahoitustoimien vastapuoliriski </w:t>
            </w:r>
          </w:p>
          <w:p w14:paraId="475F166E" w14:textId="51D7BAEF"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szCs w:val="24"/>
              </w:rPr>
              <w:t>Vakavaraisuusasetuksen 429 e artiklan 7 kohdan a alakohta ja 2 ja 3 kohta</w:t>
            </w:r>
          </w:p>
          <w:p w14:paraId="1619B100" w14:textId="644E7F3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asiamiehen arvopapereilla toteutettavien rahoitustoimien vastuuarvo, joissa laitos maksaa asiakkaalle tai vastapuolelle korvauksen tai takauksen, jonka määrä rajoittuu asiakkaan lainaksiantaman arvopaperin tai käteisen ja lainaksiottajan antaman vakuuden arvon väliseen erotukseen vakavaraisuusasetuksen 429 e artiklan 7 kohdan a alakohdan mukaisesti ja joka koostuu ainoastaan korotuksesta, joka määritellään vakavaraisuusasetuksen 429 e artiklan 2 tai 3 alakohdan mukaisesti, tapauksen mukaan.</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Laitokset eivät saa sisällyttää tähän soluun liiketoimia vakavaraisuusasetuksen 429 e artiklan 7 kohdan c alakohdan mukaisesti. Laitosten on ilmoitettava kyseiset erät soluissa {0010;0010} ja {0020;0010} tai {0010;0010} ja {0030;0010}, tapauksen mukaan.</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590" w:type="dxa"/>
            <w:gridSpan w:val="3"/>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Vapautettu keskusvastapuolen vastuu, joka liittyy asiakkaan puolesta selvitykseen vietyjen arvopapereilla toteutettavien rahoitustoimien vastuisiin</w:t>
            </w:r>
          </w:p>
          <w:p w14:paraId="1B6574CC" w14:textId="59F0F3F4"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a artiklan 1 kohdan g alakohta ja 306 artiklan 1 kohdan c alakohta</w:t>
            </w:r>
          </w:p>
          <w:p w14:paraId="5E6D8E3F" w14:textId="0BCBCF9B"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vapautettu keskusvastapuolen vastuu, joka liittyy asiakkaan puolesta selvitykseen vietyjen arvopapereilla toteutettavien rahoitustoimien kaupankäyntivastuisiin, edellyttäen, että nämä erät täyttävät vakavaraisuusasetuksen 306 artiklan 1 kohdan c alakohdassa säädetyt edellytykset.</w:t>
            </w:r>
          </w:p>
          <w:p w14:paraId="39011247" w14:textId="24E8195E"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bCs/>
                <w:sz w:val="24"/>
                <w:szCs w:val="24"/>
              </w:rPr>
              <w:t>Jos vapautettu keskusvastapuolen vastuu on vakuutena, sitä ei saa ilmoittaa tässä solussa, ellei se ole edelleenpantattu vakuus, joka sovellettavan tilinpäätössäännöstön mukaisesti (eli vakavaraisuusasetuksen 111 artiklan 1 kohdan ensimmäisen virkkeen mukaan) sisällytetään täysimääräisenä.</w:t>
            </w:r>
          </w:p>
          <w:p w14:paraId="0885E19A" w14:textId="61C30BC1"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sisällytettävä tässä solussa ilmoitettava määrä, ikään kuin vapautusta ei sovellettaisi, soluihin {0010;0010}, {0020;0010} ja {0030;0010} ja, jos se on edelleenpantattu vakuus, joka sovellettavan tilinpäätössäännöstön mukaisesti sisällytetään täysimääräisenä, myös soluun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bCs/>
                <w:sz w:val="24"/>
                <w:szCs w:val="24"/>
              </w:rPr>
              <w:t>Jos laitos on kirjannut alkumarginaalin, joka koskee arvopapereilla toteutettavien rahoitustoimien vastuisiin liittyvää vapautettua vastuuta, joka ilmoitetaan solussa {0190;0010}, mutta ei ilmoiteta solussa {0020;0010} tai {0030;0010}, laitos voi ilmoittaa sen tässä solussa.</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2D9101D1"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Johdannaiset: vastapuoliriskin standardimenetelmän mukainen jälleenhankinta-arvo (ilman vakuuksien vaikutusta riippumattomaan vakuuden nettomäärään (NICA)) </w:t>
            </w:r>
          </w:p>
          <w:p w14:paraId="303004A2" w14:textId="27BF7508"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c artiklan 1 kohta</w:t>
            </w:r>
          </w:p>
          <w:p w14:paraId="3B8148BD" w14:textId="541319E8"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275 artiklan mukainen jälleenhankinta-arvo ilman vakuuksien vaikutusta NICA:han ja ilman vakuusmarginaalin vaikutusta. Laitokset eivät saa soveltaa tässä solussa vakavaraisuusasetuksen 429 c artiklan 3 ja 4 kohdan ja 429 a artiklan 1 kohdan g alakohdan mukaisia poikkeuksia. Määrä ilmoitetaan käyttäen alfa-kerrointa 1,4 vakavaraisuusasetuksen 274 artiklan 2 kohdan mukaisesti.</w:t>
            </w:r>
          </w:p>
          <w:p w14:paraId="69D03BFF" w14:textId="6D701FF0" w:rsidR="000864F6"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c artiklan 1 kohdan nojalla laitokset voivat ottaa 295 artiklan mukaisesti huomioon uudistamissopimusten ja muiden nettoutussopimusten vaikutukset. Tuotteiden ristikkäisnettoutusta (cross-product netting) ei sovelleta. Laitokset voivat kuitenkin nettouttaa vakavaraisuusasetuksen 272 artiklan 25 alakohdan c alakohdassa tarkoitettuun tuoteluokkaan kuuluvia tuotteita ja luottojohdannaisia, kun ne kuuluvat vakavaraisuusasetuksen 295 artiklan c alakohdassa tarkoitetun tuotteiden ristikkäisnettoutusta koskevan sopimuksen soveltamisalaan.</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sisällytettävä kaikki luottojohdannaiset, ei pelkästään kaupankäyntivarastoon luokiteltuja luottojohdannaisia.</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bCs/>
                <w:sz w:val="24"/>
                <w:szCs w:val="24"/>
              </w:rPr>
              <w:t>Laitokset eivät saa ottaa tässä solussa huomioon sopimuksia, jotka mitataan soveltamalla yksinkertaistettua standardimenetelmää tai alkuperäisen vastuun menetelmää.</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Vakuuden tunnustamisen vaikutus NICA:han vaatimukset täyttävän keskusvastapuolen asiakkaan puolesta selvitykseen viemissä liiketoimissa (vastapuoliriskin standardimenetelmä – jälleenhankinta-arvo)</w:t>
            </w:r>
          </w:p>
          <w:p w14:paraId="4393A5C2" w14:textId="23AF44DC"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c artiklan 4 kohta</w:t>
            </w:r>
          </w:p>
          <w:p w14:paraId="5BDFEC31" w14:textId="38299D03"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c artiklan 4 kohdan poikkeuksen soveltaminen asiakkaiden kanssa tehtyjen johdannaissopimusten jälleenhankinta-arvon laskentaan, kun ehdot täyttävä keskusvastapuoli vie kyseiset sopimukset selvitykseen. Määrä ilmoitetaan käyttäen alfa-kerrointa 1,4 vakavaraisuusasetuksen 274 artiklan 2 kohdan mukaisesti.</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tässä solussa ilmoitettava määrä myös solussa {0061;0010}, ikään kuin poikkeusta ei sovellettaisi.</w:t>
            </w:r>
          </w:p>
        </w:tc>
      </w:tr>
      <w:tr w:rsidR="00B451A5" w:rsidRPr="00E75BB8"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Saadun käteisellä katettavan vakuusmarginaalin vaikutus, joka on kuitattu johdannaisten markkina-arvoa vastaan (vastapuoliriskin standardimenetelmä – jälleenhankinta-arvo)</w:t>
            </w:r>
          </w:p>
          <w:p w14:paraId="1A368C0C"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c artiklan 3 kohta</w:t>
            </w:r>
          </w:p>
          <w:p w14:paraId="04F99B6B" w14:textId="6C270CB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vastapuolelta käteisenä saatu vakuusmarginaali, jota voidaan käyttää kuittaamiseen johdannaisvastuiden jälleenhankinta-arvon osuutta vastaan vakavaraisuusasetuksen 429 c artiklan 3 kohdan mukaisesti. Määrä ilmoitetaan käyttäen alfa-kerrointa 1,4 vakavaraisuusasetuksen 274 artiklan 2 kohdan mukaisesti.</w:t>
            </w:r>
          </w:p>
          <w:p w14:paraId="0D6BE08A" w14:textId="311F868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Käteisenä saatua vakuusmarginaalia, joka on vastaanotettu vapautetusta keskusvastapuolen vastuusta vakavaraisuusasetuksen 429 a artiklan 1 kohdan g alakohdan mukaisesti, ei ilmoiteta.</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Laitosten on ilmoitettava tässä solussa ilmoitettava määrä myös solussa {0061;0010}, ikään kuin käteisenä saadun vakuusmarginaalin vähennystä ei sovellettaisi.</w:t>
            </w:r>
          </w:p>
        </w:tc>
      </w:tr>
      <w:tr w:rsidR="00B451A5" w:rsidRPr="00E75BB8"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bCs/>
                <w:sz w:val="24"/>
                <w:szCs w:val="24"/>
              </w:rPr>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Vaikutus vapautetusta keskusvastapuolen vastuusta, joka liittyy asiakkaan puolesta selvitykseen vietyjen arvopapereilla toteutettavien rahoitustoimien kaupankäyntivastuisiin (vastapuoliriskin standardimenetelmä – jälleenhankinta-arvo)</w:t>
            </w:r>
          </w:p>
          <w:p w14:paraId="4B3A4644"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a artiklan 1 kohdan g alakohta</w:t>
            </w:r>
          </w:p>
          <w:p w14:paraId="2F8AB13D"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asiakkaan puolesta selvitykseen vietyjen johdannaistoimien vapautettujen, ehdot täyttävään keskusvastapuoleen liittyvien kaupankäyntivastuiden jälleenhankinta-arvon osuus edellyttäen, että nämä erät täyttävät vakavaraisuusasetuksen 306 artiklan 1 kohdan c alakohdassa säädetyt edellytykset. Tämä määrä on ilmoitettava ilman tästä velvoitteesta käteisenä saatua vakuusmarginaalia. Määrä ilmoitetaan käyttäen alfa-kerrointa 1,4 vakavaraisuusasetuksen 274 artiklan 2 kohdan mukaisesti.</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Laitosten on ilmoitettava tässä solussa ilmoitettava määrä myös solussa {0061;0010}, ikään kuin vapautusta ei sovellettaisi.</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{0091;0010}</w:t>
            </w:r>
          </w:p>
        </w:tc>
        <w:tc>
          <w:tcPr>
            <w:tcW w:w="7590" w:type="dxa"/>
            <w:gridSpan w:val="3"/>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Johdannaiset: Vastapuoliriskin standardimenetelmän mukainen potentiaalisen tulevan riskin osuus (kerroin 1) </w:t>
            </w:r>
          </w:p>
          <w:p w14:paraId="11FEB8DF" w14:textId="5E3F076A"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c artiklan 5 kohta</w:t>
            </w:r>
          </w:p>
          <w:p w14:paraId="77480A73" w14:textId="2C429E9D" w:rsidR="00BE4B9E" w:rsidRPr="000B66BC" w:rsidRDefault="00BE4B9E" w:rsidP="00E9457C">
            <w:pPr>
              <w:pStyle w:val="BodyText1"/>
              <w:spacing w:after="240" w:line="240" w:lineRule="auto"/>
              <w:rPr>
                <w:rFonts w:ascii="Times New Roman" w:hAnsi="Times New Roman"/>
                <w:b/>
                <w:bCs/>
                <w:sz w:val="24"/>
                <w:szCs w:val="24"/>
              </w:rPr>
            </w:pPr>
            <w:r>
              <w:rPr>
                <w:rFonts w:ascii="Times New Roman" w:hAnsi="Times New Roman"/>
                <w:bCs/>
                <w:sz w:val="24"/>
                <w:szCs w:val="24"/>
              </w:rPr>
              <w:t>Potentiaalinen tuleva riski vakavaraisuusasetuksen 278 artiklan mukaisesti olettaen, että kerroin on 1, eli soveltamatta poikkeusta, joka koskee asiakkaiden kanssa tehtyjä sopimuksia, kun ehdot täyttävä keskusvastapuoli määrittää kyseiset sopimukset vakavaraisuusasetuksen 429 c artiklan 5 kohdan mukaisesti. Määrä ilmoitetaan käyttäen alfa-kerrointa 1,4 vakavaraisuusasetuksen 274 artiklan 2 kohdan mukaisesti.</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{0092;0010}</w:t>
            </w:r>
          </w:p>
        </w:tc>
        <w:tc>
          <w:tcPr>
            <w:tcW w:w="7590" w:type="dxa"/>
            <w:gridSpan w:val="3"/>
          </w:tcPr>
          <w:p w14:paraId="2E121ECA" w14:textId="28C2656A"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Vaikutus, joka ehdot täyttävän keskusvastapuolen selvitykseen viemille asiakkaiden liiketoimille annetulla alhaisemmalla kertoimella on potentiaalisen tulevan riskin osuuteen (vastapuoliriskin standardimenetelmä – mahdollinen tuleva riski)</w:t>
            </w:r>
          </w:p>
          <w:p w14:paraId="51309425" w14:textId="7D9EB3B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c artiklan 5 kohta</w:t>
            </w:r>
          </w:p>
          <w:p w14:paraId="36AD83FD" w14:textId="6042A3D2"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c artiklan 5 kohdan mukaisen poikkeuksen soveltaminen asiakkaiden kanssa tehtyjen johdannaissopimusten potentiaalisen tulevan riskin laskentaan, kun ehdot täyttävä keskusvastapuoli vie kyseiset sopimukset selvitykseen. Määrä ilmoitetaan käyttäen alfa-kerrointa 1,4 vakavaraisuusasetuksen 274 artiklan 2 kohdan mukaisesti.</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Laitosten on ilmoitettava tässä solussa ilmoitettava määrä myös solussa {0091;0010}, ikään kuin poikkeusta ei sovellettaisi.</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bCs/>
                <w:sz w:val="24"/>
                <w:szCs w:val="24"/>
              </w:rPr>
              <w:t>{0093;0010}</w:t>
            </w:r>
          </w:p>
        </w:tc>
        <w:tc>
          <w:tcPr>
            <w:tcW w:w="7590" w:type="dxa"/>
            <w:gridSpan w:val="3"/>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Vaikutus vapautetusta keskusvastapuolen vastuusta, joka liittyy asiakkaan puolesta selvitykseen vietyihin kaupankäyntivastuisiin (vastapuoliriskin standardimenetelmä –potentiaalinen tuleva riski)</w:t>
            </w:r>
          </w:p>
          <w:p w14:paraId="638E19CF" w14:textId="71B8ABE4"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a artiklan 1 kohdan g alakohta</w:t>
            </w:r>
          </w:p>
          <w:p w14:paraId="3C911695" w14:textId="3127CB2D"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asiakkaan puolesta selvitykseen vietyjen johdannaistoimien vapautettujen, ehdot täyttävään keskusvastapuoleen liittyvien kaupankäyntivastuiden potentiaalinen tuleva riski edellyttäen, että kyseiset erät täyttävät vakavaraisuusasetuksen 306 artiklan 1 kohdan c alakohdassa säädetyt edellytykset. Määrä ilmoitetaan käyttäen alfa-kerrointa 1,4 vakavaraisuusasetuksen 274 artiklan 2 kohdan mukaisesti.</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Laitosten on ilmoitettava tässä solussa ilmoitettava määrä myös solussa {0091;0010}, ikään kuin vapautusta ei sovellettaisi.</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bCs/>
                <w:sz w:val="24"/>
                <w:szCs w:val="24"/>
              </w:rPr>
              <w:t>{0101;0010}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Johdannaisia koskeva poikkeus: jälleenhankinta-arvon osuus yksinkertaistetun standardimenetelmän mukaisesti </w:t>
            </w:r>
          </w:p>
          <w:p w14:paraId="729E4C3C" w14:textId="77777777"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c artiklan 6 kohta ja 281 artikla</w:t>
            </w:r>
          </w:p>
          <w:p w14:paraId="4582CAFD" w14:textId="145A1646"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solussa ilmoitetaan vakavaraisuusasetuksen liitteessä II olevissa 1 ja 2 kohdassa lueteltujen sopimusten vastuut laskettuna vakavaraisuusasetuksen 281 artiklassa esitettyä yksinkertaistettua standardimenetelmää käyttäen. Määrä ilmoitetaan käyttäen alfa-kerrointa 1,4 vakavaraisuusasetuksen 274 artiklan 2 kohdan mukaisesti.</w:t>
            </w:r>
          </w:p>
          <w:p w14:paraId="6AF43C3C" w14:textId="27EB1189"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Laitokset, jotka soveltavat yksinkertaistettua standardimenetelmää, eivät saa vähentää vastuiden kokonaismäärästä saadun marginaalin määrää, kuten vakavaraisuusasetuksen 429 c artiklan 6 kohdassa säädetään. Näin ollen ei sovelleta vakavaraisuusasetuksen 429 c artiklan 4 kohdassa säädettyä poikkeusta, joka koskee asiakkaiden kanssa tehtyjä johdannaissopimuksia, joissa ehdot täyttävä keskusvastapuoli määrittää kyseiset sopimukset.</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Laitokset eivät saa ottaa tässä solussa huomioon sopimuksia, jotka mitataan soveltamalla vastapuoliriskin standardimenetelmää tai alkuperäisen vastuun menetelmää.</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bCs/>
                <w:sz w:val="24"/>
                <w:szCs w:val="24"/>
              </w:rPr>
              <w:t>{0102;0010}</w:t>
            </w:r>
          </w:p>
        </w:tc>
        <w:tc>
          <w:tcPr>
            <w:tcW w:w="7590" w:type="dxa"/>
            <w:gridSpan w:val="3"/>
          </w:tcPr>
          <w:p w14:paraId="1AB84BA7" w14:textId="4746FB8C"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Vaikutus vapautetusta keskusvastapuolen vastuusta, joka liittyy asiakkaan puolesta selvitykseen vietyihin kaupankäyntivastuisiin (yksinkertaistettu standardimenetelmä – jälleenhankinta-arvo)</w:t>
            </w:r>
          </w:p>
          <w:p w14:paraId="145D251C" w14:textId="0940A089"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a artiklan 1 kohdan g alakohta</w:t>
            </w:r>
          </w:p>
          <w:p w14:paraId="577C5D50" w14:textId="77C00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Tässä ilmoitetaan asiakkaan puolesta selvitykseen vietyjen johdannaistoimien vapautettujen, ehdot täyttävään keskusvastapuoleen liittyvien kaupankäyntivastuiden jälleenhankinta-arvon osuus edellyttäen, että nämä erät täyttävät vakavaraisuusasetuksen 306 artiklan 1 kohdan c alakohdassa säädetyt edellytykset. Tämä määrä on ilmoitettava ilman tästä velvoitteesta käteisenä saatua vakuusmarginaalia. Määrä ilmoitetaan käyttäen alfa-kerrointa 1,4 vakavaraisuusasetuksen 274 artiklan 2 kohdan mukaisesti. </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Laitosten on ilmoitettava tässä solussa ilmoitettava määrä myös solussa {0101;0010}, ikään kuin vapautusta ei sovellettaisi.</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{0103;0010}</w:t>
            </w:r>
          </w:p>
        </w:tc>
        <w:tc>
          <w:tcPr>
            <w:tcW w:w="7590" w:type="dxa"/>
            <w:gridSpan w:val="3"/>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Johdannaisia koskeva poikkeus: Yksinkertaistetun standardimenetelmän mukainen potentiaalisen tulevan riskin osuus (kerroin 1) </w:t>
            </w:r>
          </w:p>
          <w:p w14:paraId="39DE43B2" w14:textId="3ADD9785" w:rsidR="009E7F70" w:rsidRPr="000B66BC" w:rsidRDefault="00803ED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Vakavaraisuusasetuksen 281 artiklan 2 kohdan f alakohta ja 429 c artiklan 6 kohta</w:t>
            </w:r>
          </w:p>
          <w:p w14:paraId="5B7322DC" w14:textId="620AA314" w:rsidR="00201339" w:rsidRPr="000B66BC" w:rsidRDefault="009E7F70" w:rsidP="000B66BC">
            <w:pPr>
              <w:pStyle w:val="BodyText1"/>
              <w:spacing w:after="240"/>
              <w:rPr>
                <w:rFonts w:ascii="Times New Roman" w:hAnsi="Times New Roman"/>
                <w:bCs/>
                <w:sz w:val="24"/>
                <w:szCs w:val="24"/>
              </w:rPr>
            </w:pPr>
            <w:r>
              <w:rPr>
                <w:rFonts w:ascii="Times New Roman" w:hAnsi="Times New Roman"/>
                <w:bCs/>
                <w:sz w:val="24"/>
                <w:szCs w:val="24"/>
              </w:rPr>
              <w:t>Vakavaraisuusasetuksen 281 artiklassa säädetyn yksinkertaistetun standardimenetelmän mukainen potentiaalinen tuleva riski olettaen, että kerroin on 1. Määrä ilmoitetaan käyttäen alfa-kerrointa 1,4 vakavaraisuusasetuksen 274 artiklan 2 kohdan mukaisesti.</w:t>
            </w:r>
          </w:p>
          <w:p w14:paraId="3AE17E54" w14:textId="4D1F2755" w:rsidR="00CB48CC" w:rsidRPr="000B66BC" w:rsidRDefault="00201339" w:rsidP="000B66BC">
            <w:pPr>
              <w:pStyle w:val="BodyText1"/>
              <w:spacing w:after="240"/>
              <w:rPr>
                <w:rFonts w:ascii="Times New Roman" w:hAnsi="Times New Roman"/>
                <w:b/>
                <w:bCs/>
                <w:sz w:val="24"/>
                <w:szCs w:val="24"/>
              </w:rPr>
            </w:pPr>
            <w:r>
              <w:rPr>
                <w:rFonts w:ascii="Times New Roman" w:hAnsi="Times New Roman"/>
                <w:bCs/>
                <w:sz w:val="24"/>
                <w:szCs w:val="24"/>
              </w:rPr>
              <w:t>Laitokset, jotka soveltavat yksinkertaistettua standardimenetelmää, eivät saa vähentää vastuiden kokonaismäärästä saadun marginaalin määrää, kuten vakavaraisuusasetuksen 429 c artiklan 6 kohdassa säädetään.</w:t>
            </w:r>
            <w:r>
              <w:rPr>
                <w:sz w:val="24"/>
                <w:szCs w:val="24"/>
              </w:rPr>
              <w:t xml:space="preserve"> </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bCs/>
                <w:sz w:val="24"/>
                <w:szCs w:val="24"/>
              </w:rPr>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63FB314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Vaikutus vapautetusta keskusvastapuolen vastuusta, joka liittyy asiakkaan puolesta selvitykseen vietyihin kaupankäyntivastuisiin (yksinkertaistettu standardimenetelmä – potentiaalinen tuleva riski)</w:t>
            </w:r>
          </w:p>
          <w:p w14:paraId="350D0B05" w14:textId="3F34C564"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a artiklan 1 kohdan g alakohta</w:t>
            </w:r>
          </w:p>
          <w:p w14:paraId="7020C299" w14:textId="77777777"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asiakkaan puolesta selvitykseen vietyjen johdannaistoimien vapautettujen, ehdot täyttävään keskusvastapuoleen liittyvien kaupankäyntivastuiden potentiaalinen tuleva riski edellyttäen, että kyseiset erät täyttävät vakavaraisuusasetuksen 306 artiklan 1 kohdan c alakohdassa säädetyt edellytykset. Määrä ilmoitetaan käyttäen alfa-kerrointa 1,4 vakavaraisuusasetuksen 274 artiklan 2 kohdan mukaisesti.</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Laitosten on ilmoitettava tässä solussa ilmoitettava määrä myös solussa {0103;0010}, ikään kuin vapautusta ei sovellettaisi.</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Johdannaisia koskeva poikkeus: alkuperäisen hankinta-arvon menetelmä</w:t>
            </w:r>
          </w:p>
          <w:p w14:paraId="6E5CD50D" w14:textId="2D0AEC2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c artiklan 6 kohta ja 282 artikla</w:t>
            </w:r>
          </w:p>
          <w:p w14:paraId="394FA10D" w14:textId="2507C2F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solussa ilmoitetaan vakavaraisuusasetuksen liitteessä II olevissa 1 ja 2 kohdassa lueteltujen sopimusten vastuut laskettuna vakavaraisuusasetuksen 282 artiklassa esitettyä yksinkertaistettua alkuperäisen vastuun menetelmää käyttäen.</w:t>
            </w:r>
          </w:p>
          <w:p w14:paraId="0B0A4108" w14:textId="0C20B7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Laitokset, jotka soveltavat alkuperäisen vastuun menetelmää, eivät saa vähentää vastuiden kokonaismäärästä saadun marginaalin määrää, kuten vakavaraisuusasetuksen 429 c artiklan 6 kohdassa säädetään.</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Laitokset, jotka eivät käytä alkuperäisen hankinta-arvon menetelmää, voivat jättää tämän solun täyttämättä.</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Laitokset eivät saa ottaa tässä solussa huomioon sopimuksia, jotka mitataan soveltamalla vastapuoliriskin standardimenetelmää tai yksinkertaistettua standardimenetelmää.</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590" w:type="dxa"/>
            <w:gridSpan w:val="3"/>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Vapautettu keskusvastapuolen vastuu, joka liittyy asiakkaan puolesta selvitykseen vietyihin kaupankäyntivastuisiin (alkuperäisen hankinta-arvon menetelmä)</w:t>
            </w:r>
          </w:p>
          <w:p w14:paraId="7A371D92" w14:textId="7C6BD53C"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a artiklan 1 kohdan g alakohta</w:t>
            </w:r>
          </w:p>
          <w:p w14:paraId="6CD3BE79" w14:textId="4FE04ED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vapautettu keskusvastapuolen vastuu, joka liittyy asiakkaan puolesta selvitykseen vietyihin kaupankäyntivastuisiin, sovellettaessa vakavaraisuusasetuksen 282 artiklassa säädettyä alkuperäisen vastuun menetelmää edellyttäen, että nämä erät täyttävät vakavaraisuusasetuksen 306 artiklan 1 kohdan c alakohdassa säädetyt edellytykset.</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tässä solussa ilmoitettava määrä myös solussa {0110;0010}, ikään kuin vapautusta ei sovellettaisi.</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590" w:type="dxa"/>
            <w:gridSpan w:val="3"/>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Asetettujen luottojohdannaisten rajattu nimellisarvo</w:t>
            </w:r>
          </w:p>
          <w:p w14:paraId="3144DF47" w14:textId="2DF8394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d artikla</w:t>
            </w:r>
          </w:p>
          <w:p w14:paraId="7435D499" w14:textId="489D0FDD"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määritettävä 429 d artiklan 1 kohdassa määriteltyjen asetettujen luottojohdannaisten rajattu nimellisarvo vakavaraisuusasetuksen 429 d artiklan mukaisesti.</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590" w:type="dxa"/>
            <w:gridSpan w:val="3"/>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Hyväksyttävien ostettujen luottojohdannaisten kuittaus markkinoille asetettuja luottojohdannaisia vastaan</w:t>
            </w:r>
          </w:p>
          <w:p w14:paraId="64C8DF12" w14:textId="33012B9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d artikla</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sellaisten ostettujen luottojohdannaisten rajattu nimellisarvo (eli kun laitos ostaa luottosuojan vastapuolelta), joiden referenssinimi vastaa laitoksen markkinoille asettamia luottojohdannaisia, kun ostetun suojan jäljellä oleva maturiteetti on yhtä pitkä tai pidempi kuin myydyn suojan jäljellä oleva maturiteetti. Näin ollen arvo ei saa olla suurempi kuin soluun {0130;0010} merkitty arvo kullekin referenssinimelle.</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4E086B7E" w14:textId="7D519EE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Taseen ulkopuoliset erät, joiden luottovasta-arvokerroin on 10 prosenttia vakavaraisuusasetuksen 429 f artiklan mukaisesti</w:t>
            </w:r>
          </w:p>
          <w:p w14:paraId="7C110152" w14:textId="3F4973A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f artikla, 111 artiklan 1 kohdan d alakohta ja 166 artiklan 9 kohta</w:t>
            </w:r>
          </w:p>
          <w:p w14:paraId="6707D5C8" w14:textId="57D30EE2"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Tässä ilmoitetaan vakavaraisuusasetuksen 429 f artiklan ja 111 artiklan 1 kohdan d alakohdan mukaisesti vastuuarvo liitteessä I olevan 4 kohdan a–c alakohdassa tarkoitetuille taseen ulkopuolisille erille, joiden riski on alhainen ja joihin sovelletaan 0 prosentin luottovasta-arvokerrointa (vastuuarvo on tässä 10 prosenttia nimellisarvosta).</w:t>
            </w:r>
            <w:r>
              <w:rPr>
                <w:rFonts w:ascii="Times New Roman" w:hAnsi="Times New Roman"/>
                <w:bCs/>
                <w:sz w:val="24"/>
                <w:szCs w:val="24"/>
              </w:rPr>
              <w:t xml:space="preserve"> </w:t>
            </w:r>
            <w:r>
              <w:rPr>
                <w:rFonts w:ascii="Times New Roman" w:hAnsi="Times New Roman"/>
                <w:sz w:val="24"/>
                <w:szCs w:val="24"/>
              </w:rPr>
              <w:t>Sillä tarkoitetaan sitoumuksia, jotka laitos voi peruuttaa milloin vain ehdoitta ja ilman ennakkoilmoitusta tai jotka voivat peruuntua automaattisesti lainaajan luottokelpoisuuden heikentymisen vuoksi.</w:t>
            </w:r>
          </w:p>
          <w:p w14:paraId="7057DD3E" w14:textId="56EEEB5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On muistettava, että nimellisarvoa ei saa pienentää erityisillä luottoriskioikaisuilla.</w:t>
            </w:r>
            <w:r>
              <w:rPr>
                <w:sz w:val="24"/>
                <w:szCs w:val="24"/>
              </w:rPr>
              <w:t xml:space="preserve"> </w:t>
            </w:r>
            <w:r>
              <w:rPr>
                <w:rFonts w:ascii="Times New Roman" w:hAnsi="Times New Roman"/>
                <w:bCs/>
                <w:sz w:val="24"/>
                <w:szCs w:val="24"/>
              </w:rPr>
              <w:t>Sen sijaan, kuten 429 f artiklan 2 kohdassa säädetään, laitokset voivat vähentää taseen ulkopuolisen erän luottoriskiä vastaavasta määrästä erityisten luottoriskioikaisujen vastaavan määrän. Laskentaan sovelletaan alarajaa, joka on nolla.</w:t>
            </w:r>
          </w:p>
          <w:p w14:paraId="34359CD8" w14:textId="26C6358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Kun sitoumus liittyy toisen sitoumuksen antamiseen, on käytettävä pienempää kahdesta yksittäiseen sitoumukseen liittyvästä luottovasta-arvokertoimesta vakavaraisuusasetuksen 166 artiklan 9 kohdan mukaisesti.</w:t>
            </w:r>
          </w:p>
          <w:p w14:paraId="2398A4B9" w14:textId="4F8273FB" w:rsidR="00CB48CC" w:rsidRPr="000B66BC" w:rsidRDefault="00CB48CC" w:rsidP="0061658B">
            <w:pPr>
              <w:pStyle w:val="BodyText1"/>
              <w:spacing w:after="240"/>
              <w:rPr>
                <w:rFonts w:ascii="Times New Roman" w:hAnsi="Times New Roman"/>
                <w:sz w:val="24"/>
                <w:szCs w:val="24"/>
              </w:rPr>
            </w:pPr>
            <w:r>
              <w:rPr>
                <w:rFonts w:ascii="Times New Roman" w:hAnsi="Times New Roman"/>
                <w:bCs/>
                <w:sz w:val="24"/>
                <w:szCs w:val="24"/>
              </w:rPr>
              <w:t>Vakavaraisuusasetuksen 429 f artiklassa säädetään, että laitokset eivät saa ottaa tässä solussa huomioon vakavaraisuusasetuksen liitteessä II lueteltuja sopimuksia, luottojohdannaisia, arvopapereilla toteutettavia rahoitustoimia ja 429 d artiklassa tarkoitettuja positioita.</w:t>
            </w:r>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{0160;0010}</w:t>
            </w:r>
          </w:p>
        </w:tc>
        <w:tc>
          <w:tcPr>
            <w:tcW w:w="7590" w:type="dxa"/>
            <w:gridSpan w:val="3"/>
          </w:tcPr>
          <w:p w14:paraId="079FCB69" w14:textId="303958C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Taseen ulkopuoliset erät, joiden luottovasta-arvokerroin on 20 prosenttia vakavaraisuusasetuksen 429 f artiklan mukaisesti</w:t>
            </w:r>
          </w:p>
          <w:p w14:paraId="1808F2C6" w14:textId="231030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f artikla, 111 artiklan 1 kohdan c alakohta ja 166 artiklan 9 kohta</w:t>
            </w:r>
          </w:p>
          <w:p w14:paraId="4A175A4A" w14:textId="3F120C71" w:rsidR="00494A67" w:rsidRPr="000B66BC" w:rsidRDefault="00CB48CC" w:rsidP="000B66BC">
            <w:pPr>
              <w:pStyle w:val="BodyText1"/>
              <w:spacing w:after="240" w:line="240" w:lineRule="auto"/>
              <w:rPr>
                <w:sz w:val="24"/>
                <w:szCs w:val="24"/>
              </w:rPr>
            </w:pPr>
            <w:r>
              <w:rPr>
                <w:rFonts w:ascii="Times New Roman" w:hAnsi="Times New Roman"/>
                <w:sz w:val="24"/>
                <w:szCs w:val="24"/>
              </w:rPr>
              <w:t>Tässä ilmoitetaan vakavaraisuusasetuksen 429 f artiklan ja 111 artiklan 1 kohdan c alakohdan mukaisesti vastuuarvo liitteessä I olevan 3 kohdan a ja b alakohdassa tarkoitetuille taseen ulkopuolisille erille, joiden riski on keskimääräinen/alhainen ja joihin sovelletaan 20 prosentin luottovasta-arvokerrointa (vastuuarvo on tässä 20 prosenttia nimellisarvosta)</w:t>
            </w:r>
            <w:r>
              <w:rPr>
                <w:sz w:val="24"/>
                <w:szCs w:val="24"/>
              </w:rPr>
              <w:t xml:space="preserve"> </w:t>
            </w:r>
          </w:p>
          <w:p w14:paraId="130864F0" w14:textId="3274315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On muistettava, että nimellisarvoa ei saa pienentää erityisillä luottoriskioikaisuilla. Sen sijaan, kuten 429 f artiklan 2 kohdassa säädetään, laitokset voivat vähentää taseen ulkopuolisen erän luottoriskiä vastaavasta määrästä erityisten luottoriskioikaisujen vastaavan määrän. Laskentaan sovelletaan alarajaa, joka on nolla.</w:t>
            </w:r>
          </w:p>
          <w:p w14:paraId="771B332A" w14:textId="2E953B0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Kun sitoumus liittyy toisen sitoumuksen antamiseen, on käytettävä pienempää kahdesta yksittäiseen sitoumukseen liittyvästä luottovasta-arvokertoimesta vakavaraisuusasetuksen 166 artiklan 9 kohdan mukaisesti.</w:t>
            </w:r>
          </w:p>
          <w:p w14:paraId="6986CCC3" w14:textId="2E0681B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Vakavaraisuusasetuksen 429 f artiklassa säädetään, että laitokset eivät saa ottaa tässä solussa huomioon vakavaraisuusasetuksen liitteessä II lueteltuja sopimuksia, luottojohdannaisia, arvopapereilla toteutettavia rahoitustoimia ja 429 d artiklassa tarkoitettuja positioita.</w:t>
            </w:r>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B65BAF0" w14:textId="7FC0FF2C"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Taseen ulkopuoliset erät, joiden luottovasta-arvokerroin on 50 prosenttia vakavaraisuusasetuksen 429 f artiklan mukaisesti</w:t>
            </w:r>
          </w:p>
          <w:p w14:paraId="7DA0F3D2" w14:textId="4AAC15B6"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f artikla, 111 artiklan 1 kohdan b alakohta ja 166 artiklan 9 kohta</w:t>
            </w:r>
          </w:p>
          <w:p w14:paraId="54C0DA6B" w14:textId="46C9D017"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Tässä ilmoitetaan vakavaraisuusasetuksen 429 f artiklan ja 111 artiklan 1 kohdan b alakohdan mukaisesti vastuuarvo vakavaraisuusasetuksen liitteessä I olevan 2 kohdan a ja b alakohdassa tarkoitetuille taseen ulkopuolisille erille, joiden riski on keskimääräinen ja joihin sovelletaan 50 prosentin luottovasta-arvokerrointa luottoriskin standardimenetelmän mukaan (vastuuarvo on tässä 50 prosenttia nimellisarvosta).</w:t>
            </w:r>
            <w:r>
              <w:rPr>
                <w:rFonts w:ascii="Times New Roman" w:hAnsi="Times New Roman"/>
                <w:bCs/>
                <w:sz w:val="24"/>
                <w:szCs w:val="24"/>
              </w:rPr>
              <w:t xml:space="preserve"> </w:t>
            </w:r>
          </w:p>
          <w:p w14:paraId="512D74AD" w14:textId="4740EE8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On muistettava, että nimellisarvoa ei saa pienentää erityisillä luottoriskioikaisuilla. Sen sijaan, kuten 429 f artiklan 2 kohdassa säädetään, laitokset voivat vähentää taseen ulkopuolisen erän luottoriskiä vastaavasta määrästä erityisten luottoriskioikaisujen vastaavan määrän. Laskentaan sovelletaan alarajaa, joka on nolla.</w:t>
            </w:r>
          </w:p>
          <w:p w14:paraId="116B0E4F" w14:textId="210C7C2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Tähän soluun kuuluvat likviditeettisopimukset ja muut sitoumukset arvopaperistamisiin. Toisin sanoen kaikkien likviditeettisopimusten luottovasta-arvokerroin on vakavaraisuusasetuksen 255 artiklan mukaisesti 50 prosenttia maturiteetista riippumatta.</w:t>
            </w:r>
          </w:p>
          <w:p w14:paraId="4339295A" w14:textId="7703B15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Kun sitoumus liittyy toisen sitoumuksen antamiseen, on käytettävä pienempää kahdesta yksittäiseen sitoumukseen liittyvästä luottovasta-arvokertoimesta vakavaraisuusasetuksen 166 artiklan 9 kohdan mukaisesti.</w:t>
            </w:r>
          </w:p>
          <w:p w14:paraId="6DDC311B" w14:textId="63B75A4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Vakavaraisuusasetuksen 429 f artiklassa säädetään, että laitokset eivät saa ottaa tässä solussa huomioon vakavaraisuusasetuksen liitteessä II lueteltuja sopimuksia, luottojohdannaisia, arvopapereilla toteutettavia rahoitustoimia ja 429 d artiklassa tarkoitettuja positioita.</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2D9873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Taseen ulkopuoliset erät, joiden luottovasta-arvokerroin on 100 prosenttia vakavaraisuusasetuksen 429 f artiklan mukaisesti </w:t>
            </w:r>
          </w:p>
          <w:p w14:paraId="603EE80E" w14:textId="0C0E4F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f artikla, 111 artiklan 1 kohdan a alakohta ja 166 artiklan 9 kohta</w:t>
            </w:r>
          </w:p>
          <w:p w14:paraId="42AF30B9" w14:textId="4B2D78DC"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vakavaraisuusasetuksen 429 f artiklan ja 111 artiklan 1 kohdan d alakohdan mukaisesti vastuuarvo liitteessä I olevan 1 kohdan a–k alakohdassa tarkoitetuille taseen ulkopuolisille erille, joiden riski on korkea ja joihin sovelletaan 100 prosentin luottovasta-arvokerrointa (vastuuarvo on tässä 100 prosenttia nimellisarvosta).</w:t>
            </w:r>
          </w:p>
          <w:p w14:paraId="02A01DC2" w14:textId="2A8279D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On muistettava, että nimellisarvoa ei saa pienentää erityisillä luottoriskioikaisuilla. Sen sijaan, kuten 429 f artiklan 2 kohdassa säädetään, laitokset voivat vähentää taseen ulkopuolisen erän luottoriskiä vastaavasta määrästä erityisten luottoriskioikaisujen vastaavan määrän. Laskentaan sovelletaan alarajaa, joka on nolla.</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Tähän soluun kuuluvat likviditeettisopimukset ja muut sitoumukset arvopaperistamisiin.</w:t>
            </w:r>
          </w:p>
          <w:p w14:paraId="01861A93" w14:textId="52EE7C7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Kun sitoumus liittyy toisen sitoumuksen antamiseen, on käytettävä pienempää kahdesta yksittäiseen sitoumukseen liittyvästä luottovasta-arvokertoimesta vakavaraisuusasetuksen 166 artiklan 9 kohdan mukaisesti.</w:t>
            </w:r>
          </w:p>
          <w:p w14:paraId="37DBE5CD" w14:textId="222A0001"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Vakavaraisuusasetuksen 429 f artiklassa säädetään, että laitokset eivät saa ottaa tässä solussa huomioon vakavaraisuusasetuksen liitteessä II lueteltuja sopimuksia, luottojohdannaisia, arvopapereilla toteutettavia rahoitustoimia ja 429 d artiklassa tarkoitettuja positioita.</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Taseen ulkopuolisiin eriin tehtävät yleiset luottoriskioikaisut </w:t>
            </w:r>
          </w:p>
          <w:p w14:paraId="62AD4ABC" w14:textId="404EFC3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Vakavaraisuusasetuksen 429 artiklan 4 kohta</w:t>
            </w:r>
          </w:p>
          <w:p w14:paraId="301E11EC" w14:textId="312F436B"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Tässä ilmoitetaan 429 artiklan 4 kohdan d alakohdassa tarkoitettuja taseen ulkopuolisia eriä vastaavien yleisten luottoriskioikaisujen määrä, jonka laitokset vähentävät vakavaraisuusasetuksen 429 artiklan 4 kohdan viimeisen alakohdan mukaisesti.</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bCs/>
                <w:sz w:val="24"/>
                <w:szCs w:val="24"/>
              </w:rPr>
              <w:t>Ilmoitettua määrää ei oteta huomioon laskettaessa taseen ulkopuolisia eriä, jotka ilmoitetaan riveillä {0150; 0010} – {0180; 0010}.</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2D97797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Toimitusta odottavat tavanomaiset ostot ja myynnit: Kirjanpitoarvo kaupantekopäivään perustuvan kirjaamisen mukaisesti </w:t>
            </w:r>
          </w:p>
          <w:p w14:paraId="4C694246" w14:textId="3BF041DF"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Vakavaraisuusasetuksen 429 g artiklan 1 kohta</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Seuraavien summa:</w:t>
            </w:r>
          </w:p>
          <w:p w14:paraId="5F24E6D9" w14:textId="44D45AF9"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tavanomaisiin ostoihin liittyvien käteisvarojen määrä, joka jää taseeseen varoiksi toimituspäivään asti vakavaraisuusasetuksen 429 artiklan 4 kohdan a alakohdan mukaisesti;</w:t>
            </w:r>
          </w:p>
          <w:p w14:paraId="72B0EC2C" w14:textId="45D41EE2"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tavanomaisiin myynteihin liittyvien käteissaatavien määrä, joka jää taseeseen varoiksi toimituspäivään asti vakavaraisuusasetuksen 429 artiklan 4 kohdan a alakohdan mukaisesti; Tämä määrä saadaan sen jälkeen, kun toimitusta odottaviin tavanomaisiin myynteihin liittyvät käteissaatavat ja toimitusta odottaviin tavanomaisiin ostoihin liittyvät käteisvelat on nettoutettu sovellettavan tilinpäätössäännöstön sallimalla tavalla.</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Laitosten, jotka noudattavat kaupantekopäivään perustuvaa kirjaamista, on ilmoitettava edellä mainittu summa tässä solussa rivin 0190 ”Muut varat” sijasta, ja niiden on ilmoitettava tavanomaisiin ostoihin liittyvät arvopaperit rivillä 0190.</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Toimitusta odottavat tavanomaiset myynnit: kirjanpidollisen nettoutuksen peruuttaminen kaupantekopäivään perustuvan kirjaamisen mukaisesti</w:t>
            </w:r>
          </w:p>
          <w:p w14:paraId="20327055" w14:textId="6888C0F3"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Vakavaraisuusasetuksen 429 g artiklan 2 kohta</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Tämä määrä saadaan sen jälkeen, kun toimitusta odottaviin tavanomaisiin myynteihin liittyvät käteissaatavat ja toimitusta odottaviin tavanomaisiin ostoihin liittyvät käteisvelat on nettoutettu sovellettavan tilinpäätössäännöstön sallimalla tavalla.</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bCs/>
                <w:sz w:val="24"/>
                <w:szCs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628F0EFE"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 Toimitusta odottavat tavanomaiset myynnit: vakavaraisuusasetuksen 429 g artiklan 2 kohdan mukainen nettoutus</w:t>
            </w:r>
          </w:p>
          <w:p w14:paraId="416B6808" w14:textId="7F07F247"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Vakavaraisuusasetuksen 429 g artiklan 2 kohta</w:t>
            </w:r>
          </w:p>
          <w:p w14:paraId="057F1FAB" w14:textId="6EE6926A"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Käteissaatavien ja -maksettavien nettoutus, jos niin asiaan liittyvät tavanomaiset myynnit kuin ostotkin toimitetaan luovutus maksua vastaan -periaatteella vakavaraisuusasetuksen 429 g artiklan 2 kohdan mukaisesti.</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Toimitusta odottavat tavanomaiset ostot: suoritettavia maksuja koskevien sitoumusten täysimääräinen kirjaaminen toimituspäivään perustuvan kirjaamisen mukaisesti </w:t>
            </w:r>
          </w:p>
          <w:p w14:paraId="0305F981" w14:textId="76307473"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Vakavaraisuusasetuksen 429 g artiklan 3 kohta</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Tavanomaisiin ostoihin liittyvien maksusitoumusten täysi nimellisarvo niiden laitosten osalta, jotka soveltavat toimituspäivään perustuvaa kirjaamista tavanomaisiin ostoihin ja myynteihin sovellettavan tilinpäätössäännöstön mukaisesti.</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Tavanomaiseen myyntiin liittyvät arvopaperit ilmoitetaan rivillä 0190 ”Muut varat”.</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09B620B"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Toimitusta odottavat tavanomaiset ostot: nettoutus maksusitoumusten kanssa toimituspäivään perustuvan kirjaamisen mukaisesti, kuten vakavaraisuusasetuksen 429 g artiklan 3 kohdassa säädetään</w:t>
            </w:r>
          </w:p>
          <w:p w14:paraId="0155689A" w14:textId="5B8BD83D"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Vakavaraisuusasetuksen 429 g artiklan 3 kohta </w:t>
            </w:r>
          </w:p>
          <w:p w14:paraId="795D29D1" w14:textId="1EF3903A" w:rsidR="0049459B" w:rsidRPr="000B66BC" w:rsidRDefault="00DC3476" w:rsidP="000B66BC">
            <w:pPr>
              <w:pStyle w:val="BodyText1"/>
              <w:spacing w:after="240"/>
              <w:rPr>
                <w:rFonts w:ascii="Times New Roman" w:hAnsi="Times New Roman"/>
                <w:bCs/>
                <w:sz w:val="24"/>
                <w:szCs w:val="24"/>
              </w:rPr>
            </w:pPr>
            <w:r>
              <w:rPr>
                <w:rFonts w:ascii="Times New Roman" w:hAnsi="Times New Roman"/>
                <w:bCs/>
                <w:sz w:val="24"/>
                <w:szCs w:val="24"/>
              </w:rPr>
              <w:t>Se osa rivillä 0188 raportoidusta määrästä, joka on nettoutettu toimitusta odottaviin tavanomaisiin myynteihin liittyvien käteissaamisten täyden nimellisarvon kanssa vakavaraisuusasetuksen 429 g artiklan 3 kohdan mukaisesti.</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Muut varat </w:t>
            </w:r>
          </w:p>
          <w:p w14:paraId="6BF56BA7" w14:textId="00F0C269"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Vakavaraisuusasetuksen 429 artiklan 4 kohdan a alakohta </w:t>
            </w:r>
          </w:p>
          <w:p w14:paraId="412FDEE7" w14:textId="715A83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muut kuin vakavaraisuusasetuksen liitteessä II luetellut johdannaissopimukset, luottojohdannaiset ja arvopapereilla toteutettavat rahoitustoimet (tässä solussa ilmoitettavia varoja ovat esimerkiksi käteisellä katettavaan vakuusmarginaaliin perustuvat saatavat, kun ne hyväksytään operatiivisessa tilinpäätössäännöstössä, likvidit varat sellaisina kuin ne määritellään maksuvalmiusvaatimuksissa sekä epäonnistuneet ja selvittämättömät transaktiot). Laitosten on määritettävä näiden arvo vakavaraisuusasetuksen 429 b artiklan 1 kohdan ja 429 artiklan 7 kohdan periaatteita noudattaen.</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sisällytettävä tähän soluun saadut käteissuoritukset tai vastapuolelle arvopapereilla toteutettavien rahoitustoimien kautta annetut arvopaperit, jotka säilyvät taseessa (eli taseesta pois kirjaamista koskeva kirjanpidon periaate ei täyty). Lisäksi laitosten on tässä otettava huomioon erät, jotka vähennetään ydinpääomasta ja ensisijaisen lisäpääoman eristä (esim. aineettomat hyödykkeet, laskennalliset verosaamiset jne.).</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Rivillä {0191; 0010} ilmoitettua määrää ei oteta huomioon vähennyksenä tämän rivin laskennassa.</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bCs/>
                <w:sz w:val="24"/>
                <w:szCs w:val="24"/>
              </w:rPr>
              <w:t>Konsernitilijärjestelyt (cash pooling) ilmoitetaan riveillä {0193; 0010}, {0194; 0010}, {0195; {0010}, {0196; 0010}, {0197; {0010} ja {0198; 0010} eikä tässä.</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Taseeseen sisältyviin eriin tehtävät yleiset luottoriskioikaisut </w:t>
            </w:r>
          </w:p>
          <w:p w14:paraId="1CDF58F3" w14:textId="16269291"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Vakavaraisuusasetuksen 429 artiklan 4 kohta </w:t>
            </w:r>
          </w:p>
          <w:p w14:paraId="7E1379BD" w14:textId="60D17E68"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Tässä ilmoitetaan 429 artiklan 4 kohdan d alakohdassa tarkoitettuja taseeseen sisältyviä eriä vastaavien yleisten luottoriskioikaisujen määrä, jonka laitokset vähentävät vakavaraisuusasetuksen 429 artiklan 4 kohdan viimeisen alakohdan mukaisesti.</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Ilmoitettua määrää ei oteta huomioon vähennyksenä laskettaessa muita varoja, jotka ilmoitetaan rivillä{0190; 0010}.</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bCs/>
                <w:sz w:val="24"/>
                <w:szCs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Konsernitilijärjestelyt, joita ei voida nettouttaa varovaisuusperiaatteen mukaisesti: arvo tilinpäätössäännöstössä</w:t>
            </w:r>
          </w:p>
          <w:p w14:paraId="01265E9F" w14:textId="60113854"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Vakavaraisuusasetuksen 429 b artiklan 2 ja 3 kohta</w:t>
            </w:r>
          </w:p>
          <w:p w14:paraId="421B559D" w14:textId="0FAAC55C"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Konsernitilijärjestelyjen eli järjestelyjen, joissa useiden yksittäisten tilien kredit- tai debitsaldot yhdistetään käteisvarojen tai likviditeetin hallintaa varten, kirjanpitoarvo, jota ei voida nettouttaa vakavaraisuusasetuksen 429 b artiklan 2 ja 3 kohdan mukaisesti.</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Konsernitilijärjestelyt, joita ei voida nettouttaa varovaisuusperiaatteen mukaisesti: tilinpäätössäännöstössä sovellettavan nettoutuksen estimoinnin vaikutus</w:t>
            </w:r>
          </w:p>
          <w:p w14:paraId="390CF1DE" w14:textId="256221E8"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Vakavaraisuusasetuksen 429 artiklan 7 kohdan b alakohta ja 429 b artiklan 2 ja 3 kohta</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Määrä, joka on nettoutettu sovellettavan tilinpäätössäännöstön mukaisesti sellaisista konsernitilijärjestelyistä, joita ei voida nettouttaa varovaisuusperiaatteen mukaisesti, raportoidaan sarakkeessa {0193; 0010}.</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Konsernitilijärjestelyt, jotka voidaan nettouttaa varovaisuusperiaatteen mukaisesti: arvo tilinpäätössäännöstössä</w:t>
            </w:r>
          </w:p>
          <w:p w14:paraId="444FD556" w14:textId="103ECED4"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Vakavaraisuusasetuksen 429 b artiklan 2 ja 3 kohta</w:t>
            </w:r>
          </w:p>
          <w:p w14:paraId="5FF92BE1" w14:textId="741EB54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Konsernitilijärjestelyjen eli järjestelyjen, joissa useiden yksittäisten tilien kredit- tai debitsaldot yhdistetään käteisvarojen tai likviditeetin hallintaa varten, kirjanpitoarvo, joka voidaan nettouttaa vakavaraisuusasetuksen 429 b artiklan 2 ja 3 kohdan mukaisesti.</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Konsernitilijärjestelyt, jotka voidaan nettouttaa varovaisuusperiaatteen mukaisesti: tilinpäätössäännöstössä sovellettavan nettoutuksen estimoinnin vaikutus</w:t>
            </w:r>
          </w:p>
          <w:p w14:paraId="770F0F10" w14:textId="602EA66B"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Vakavaraisuusasetuksen 429 b artiklan 2 ja 3 kohta</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szCs w:val="24"/>
              </w:rPr>
              <w:t>Määrä, joka on nettoutettu sovellettavan tilinpäätössäännöstön mukaisesti sellaisista konsernitilijärjestelyistä, jotka voidaan nettouttaa varovaisuusperiaatteen mukaisesti, raportoidaan sarakkeessa {0195; 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szCs w:val="24"/>
              </w:rPr>
              <w:t>Jos laitos täyttää 429 b artiklan 2 kohdan b alakohdan vaatimukset, se ei saa soveltaa tällä rivillä olevaa estimoitu määrää saldoihin, jotka ovat nollaantuneet 429 b artiklan 2 kohdan a alakohdassa säädetyn menettelyn perusteella.</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21052221"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Konsernitilijärjestelyt, jotka voidaan nettouttaa varovaisuusperiaatteen mukaisesti: nettoutuksen hyväksyminen vakavaraisuusasetuksen 429 b artiklan 2 kohdan mukaisesti;</w:t>
            </w:r>
          </w:p>
          <w:p w14:paraId="52C1DAD6" w14:textId="565662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Vakavaraisuusasetuksen 429 b artiklan 2 kohta</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Konsernitilijärjestelyihin liittyvästä bruttovastuusta nettoutettu määrä (rivien 0195 ja 0196 summa) 429 b artiklan 2 kohdan mukaisesti.</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2775C46E"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Konsernitilijärjestelyt, jotka voidaan nettouttaa varovaisuusperiaatteen mukaisesti: nettoutuksen hyväksyminen vakavaraisuusasetuksen 429 b artiklan 3 kohdan mukaisesti;</w:t>
            </w:r>
          </w:p>
          <w:p w14:paraId="4EC11D08" w14:textId="4AEA1576" w:rsidR="00CB48CC" w:rsidRPr="000B66BC" w:rsidRDefault="00CB48CC" w:rsidP="000B66BC">
            <w:pPr>
              <w:pStyle w:val="BodyText1"/>
              <w:spacing w:after="240" w:line="240" w:lineRule="auto"/>
              <w:rPr>
                <w:rFonts w:ascii="Times New Roman" w:hAnsi="Times New Roman"/>
                <w:b/>
                <w:bCs/>
                <w:color w:val="auto"/>
                <w:sz w:val="24"/>
                <w:szCs w:val="24"/>
                <w:highlight w:val="cyan"/>
              </w:rPr>
            </w:pPr>
            <w:r>
              <w:rPr>
                <w:rFonts w:ascii="Times New Roman" w:hAnsi="Times New Roman"/>
                <w:bCs/>
                <w:sz w:val="24"/>
                <w:szCs w:val="24"/>
              </w:rPr>
              <w:t>Vakavaraisuusasetuksen 429 b artiklan 3 kohta</w:t>
            </w:r>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Konsernitilijärjestelyihin liittyvästä bruttovastuusta nettoutettu määrä (rivien 0195 ja 0196 summa) 429 b artiklan 3 kohdan mukaisesti.</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{0200;0010}</w:t>
            </w:r>
          </w:p>
        </w:tc>
        <w:tc>
          <w:tcPr>
            <w:tcW w:w="7590" w:type="dxa"/>
            <w:gridSpan w:val="3"/>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Johdannaisten vakuuksille tarkoitetut gross-up-lausekkeet</w:t>
            </w:r>
          </w:p>
          <w:p w14:paraId="2AA08714" w14:textId="4D3EE4F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c artiklan 2 kohta</w:t>
            </w:r>
          </w:p>
          <w:p w14:paraId="6B6AC708" w14:textId="78EEE9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Kaikkien johdannaissopimuksiin liittyvien vakuuksien määrä, kun vakuuden antaminen pienentää varojen määrää sovellettavan tilinpäätössäännöstön mukaisesti, kuten vakavaraisuusasetuksen 429 c artiklan 2 kohdassa säädetään.</w:t>
            </w:r>
          </w:p>
          <w:p w14:paraId="3815F945" w14:textId="00E2C43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Laitokset eivät saa sisällyttää tähän soluun sellaisten asiakkaan puolesta selvitykseen vietyjen johdannaistoimien alkumarginaaleja, joilla on ehdot täyttävä keskusvastapuoli tai hyväksyttävä käteisellä katettava vakuusmarginaali, sellaisena kuin se on määritelty vakavaraisuusasetuksen 429 a artiklan 3 kohdassa.</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{0210;0010}</w:t>
            </w:r>
          </w:p>
        </w:tc>
        <w:tc>
          <w:tcPr>
            <w:tcW w:w="7590" w:type="dxa"/>
            <w:gridSpan w:val="3"/>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Saatavat, jotka perustuvat johdannaistoimissa käytettävään käteisenä maksettuun vakuusmarginaaliin</w:t>
            </w:r>
          </w:p>
          <w:p w14:paraId="353AEF67" w14:textId="168EBF83"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c artiklan 3 kohdan c alakohta</w:t>
            </w:r>
          </w:p>
          <w:p w14:paraId="43A45BE7" w14:textId="7D55C14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Johdannaistransaktioiden vastapuolelle käteisenä maksetusta vakuusmarginaalista johtuvat saamiset, jos laitoksen on sovellettavan tilinpäätössäännöstön mukaisesti kirjattava nämä saamiset varoiksi edellyttäen, että vakavaraisuusasetuksen 429 c artiklan 3 kohdan a–e alakohdan edellytykset täyttyvät.</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Ilmoitettava määrä on sisällytettävä myös solussa {0190, 0010} ilmoitettaviin muihin varoihin.</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{0220;0010}</w:t>
            </w:r>
          </w:p>
        </w:tc>
        <w:tc>
          <w:tcPr>
            <w:tcW w:w="7590" w:type="dxa"/>
            <w:gridSpan w:val="3"/>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Vapautettu keskusvastapuolen vastuu, joka liittyy asiakkaan puolesta selvitykseen vietyihin kaupankäyntivastuisiin (alkumarginaali)</w:t>
            </w:r>
          </w:p>
          <w:p w14:paraId="3E812C65" w14:textId="2E43BC09"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a artiklan 1 kohdan g alakohta</w:t>
            </w:r>
          </w:p>
          <w:p w14:paraId="5FE3535A" w14:textId="02759DF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Asiakkaan puolesta selvitykseen vietyjen johdannaistoimien vapautettujen, ehdot täyttävään keskusvastapuoleen liittyvien kaupankäyntivastuiden alkumarginaalin (asetettu) osuus edellyttäen, että nämä erät täyttävät vakavaraisuusasetuksen 306 artiklan 1 kohdan c alakohdassa säädetyt edellytykset.</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Ilmoitettava määrä on sisällytettävä myös solussa {0190, 0010} ilmoitettaviin muihin varoihin.</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{0230;0010}</w:t>
            </w:r>
          </w:p>
        </w:tc>
        <w:tc>
          <w:tcPr>
            <w:tcW w:w="7590" w:type="dxa"/>
            <w:gridSpan w:val="3"/>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Arvopapereilla toteutettavien rahoitustoimien myynnin kirjanpitotapahtumien oikaisut</w:t>
            </w:r>
          </w:p>
          <w:p w14:paraId="46B4994C" w14:textId="11B91C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e artiklan 6 kohta</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niiden arvopapereiden arvo, jotka on annettu lainaksi takaisinostotransaktiossa ja jotka on kirjattu pois taseesta sovellettavan tilinpäätössäännöstön mukaisen myynnin kirjanpitotapahtuman vuoksi.</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{0235;0010}</w:t>
            </w:r>
          </w:p>
        </w:tc>
        <w:tc>
          <w:tcPr>
            <w:tcW w:w="7590" w:type="dxa"/>
            <w:gridSpan w:val="3"/>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 Ennakkorahoitus- tai väliluottojen vastuuarvon alentaminen </w:t>
            </w:r>
          </w:p>
          <w:p w14:paraId="44C18D39" w14:textId="51D265F7"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artiklan 8 kohta</w:t>
            </w:r>
          </w:p>
          <w:p w14:paraId="211507FA" w14:textId="0F9EA14E" w:rsidR="00131C70" w:rsidRPr="000B66BC" w:rsidRDefault="00131C70" w:rsidP="000B66BC">
            <w:pPr>
              <w:pStyle w:val="BodyText1"/>
              <w:spacing w:after="240"/>
              <w:rPr>
                <w:rFonts w:ascii="Times New Roman" w:hAnsi="Times New Roman"/>
                <w:bCs/>
                <w:sz w:val="24"/>
                <w:szCs w:val="24"/>
              </w:rPr>
            </w:pPr>
            <w:r>
              <w:rPr>
                <w:rFonts w:ascii="Times New Roman" w:hAnsi="Times New Roman"/>
                <w:bCs/>
                <w:sz w:val="24"/>
                <w:szCs w:val="24"/>
              </w:rPr>
              <w:t>Määrä, joka on vähennetty ennakkorahoitus- tai väliluoton vastuuarvosta vakavaraisuusasetuksen 429 artiklan 8 kohdan mukaisesti.</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Ilmoitettava määrä on sisällytettävä solussa {0190, 0010} ilmoitettaviin muihin varoihin.</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{0240;0010}</w:t>
            </w:r>
          </w:p>
        </w:tc>
        <w:tc>
          <w:tcPr>
            <w:tcW w:w="7590" w:type="dxa"/>
            <w:gridSpan w:val="3"/>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Haltuun uskotut varat</w:t>
            </w:r>
          </w:p>
          <w:p w14:paraId="7B749386" w14:textId="503A5C32"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a artiklan 1 kohdan i alakohta</w:t>
            </w:r>
          </w:p>
          <w:p w14:paraId="0AD4C34E" w14:textId="5E45FFB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Haltuun uskotut varat, jotka on vakavaraisuusasetuksen 429 a artiklan 1 kohdan i alakohdan mukaisesti kirjattu laitoksen taseeseen kansallisten yleisesti hyväksyttyjen tilinpäätösperiaatteiden mukaisesti, jotka täyttävät IFRS 9 -standardin taseesta pois kirjaamisen edellytykset ja tapauksen mukaan IFRS 10 -standardin konsolidoimattomuutta koskevat kriteerit, olettaen, että kirjanpidon nettoutuksen vaikutuksia tai muita luottoriskin vähentämismenetelmien vaikutuksia ei ole (eli on kumottava ne kirjanpidon nettoutuksen tai luottoriskin vähentämismenetelmien vaikutukset, jotka ovat vaikuttaneet kirjanpitoarvoon).</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Ilmoitettava määrä on sisällytettävä myös solussa {0190, 0010} ilmoitettaviin muihin varoihin.</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{0250;0010}</w:t>
            </w:r>
          </w:p>
        </w:tc>
        <w:tc>
          <w:tcPr>
            <w:tcW w:w="7590" w:type="dxa"/>
            <w:gridSpan w:val="3"/>
            <w:tcBorders>
              <w:bottom w:val="single" w:sz="4" w:space="0" w:color="auto"/>
            </w:tcBorders>
          </w:tcPr>
          <w:p w14:paraId="444C70A3" w14:textId="10B6B4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Ulkopuolelle jätetyt ryhmän sisäiset (yksittäiset) vastuut vakavaraisuusasetuksen 429 a artiklan 1 kohdan c alakohdan mukaisesti</w:t>
            </w:r>
          </w:p>
          <w:p w14:paraId="1E2E0D64" w14:textId="46D39225"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a artiklan 1 kohdan c alakohta ja 113 artiklan 6 kohta</w:t>
            </w:r>
          </w:p>
          <w:p w14:paraId="76D582E8" w14:textId="6A5B1B6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Vastuut, joita ei ole konsolidoitu sovellettavalla konsolidointitasolla ja joihin voidaan soveltaa vakavaraisuusasetuksen 113 artiklan 6 kohdassa säädettyä kohtelua, edellyttäen, että kaikki vakavaraisuusasetuksen 113 artiklan 6 kohdan a–e alakohdan ehdot täyttyvät ja jos toimivaltaiset viranomaiset ovat antaneet suostumuksensa.</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Ilmoitettava määrä on sisällytettävä myös edellä sovellettaviin soluihin ikään kuin vapautusta ei sovellettaisi.</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{0251;0010}</w:t>
            </w:r>
          </w:p>
        </w:tc>
        <w:tc>
          <w:tcPr>
            <w:tcW w:w="7590" w:type="dxa"/>
            <w:gridSpan w:val="3"/>
            <w:tcBorders>
              <w:bottom w:val="single" w:sz="4" w:space="0" w:color="auto"/>
            </w:tcBorders>
          </w:tcPr>
          <w:p w14:paraId="4730EC18" w14:textId="5DA0D2A7"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szCs w:val="24"/>
              </w:rPr>
              <w:t xml:space="preserve">(–) Vapautetut ryhmän sisäiset vastuut vakavaraisuusasetuksen 429 a artiklan 1 kohdan c alakohdan mukaisesti </w:t>
            </w:r>
          </w:p>
          <w:p w14:paraId="7A5F0217" w14:textId="2F9E23D3"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szCs w:val="24"/>
              </w:rPr>
              <w:t>Vakavaraisuusasetuksen 429 a artiklan 1 kohdan c alakohta ja 113 artiklan 7 kohta</w:t>
            </w:r>
          </w:p>
          <w:p w14:paraId="16C42B04" w14:textId="24D6E08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Vastuut, joihin voidaan soveltaa vakavaraisuusasetuksen 113 artiklan 7 kohdassa säädettyä kohtelua, edellyttäen, että kaikki vakavaraisuusasetuksen 113 artiklan 7 kohdan a–i alakohdan ehdot täyttyvät ja jos toimivaltaiset viranomaiset ovat antaneet suostumuksensa.</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Ilmoitettava määrä on sisällytettävä myös edellä sovellettaviin soluihin ikään kuin vapautusta ei sovellettaisi.</w:t>
            </w:r>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{0252;0010}</w:t>
            </w:r>
          </w:p>
        </w:tc>
        <w:tc>
          <w:tcPr>
            <w:tcW w:w="7590" w:type="dxa"/>
            <w:gridSpan w:val="3"/>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Vientiluotoista johtuvien vastuiden taatut osat, jotka on jätetty ulkopuolelle </w:t>
            </w:r>
          </w:p>
          <w:p w14:paraId="43FFAEEA" w14:textId="4E83D7AF"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a artiklan 1 kohdan f alakohta</w:t>
            </w:r>
          </w:p>
          <w:p w14:paraId="0F2E3189" w14:textId="5999AD94"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Vientiluotoista johtuvien vastuiden taatut osat, jotka voidaan jättää ulkopuolelle, kun vakavaraisuusasetuksen 429 a artiklan 1 kohdan f alakohdan edellytykset täyttyvät.</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Ilmoitettava määrä on sisällytettävä myös edellä sovellettaviin soluihin ikään kuin vapautusta ei sovellettaisi.</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{0253;0010}</w:t>
            </w:r>
          </w:p>
        </w:tc>
        <w:tc>
          <w:tcPr>
            <w:tcW w:w="7590" w:type="dxa"/>
            <w:gridSpan w:val="3"/>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Kolmikantasopimusagenteille asetetut ylimääräiset vakuudet, jotka on jätetty ulkopuolelle</w:t>
            </w:r>
          </w:p>
          <w:p w14:paraId="209C179F" w14:textId="4127E36D"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a artiklan 1 kohdan f alakohta</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Kolmikantasopimusagenteille asetetut ylimääräiset vakuudet, joita ei ole annettu lainaksi ja jotka voidaan jättää ulkopuolelle 429 a artiklan 1 kohdan k alakohdan mukaisesti.</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Ilmoitettava määrä on sisällytettävä myös edellä sovellettaviin soluihin ikään kuin vapautusta ei sovellettaisi.</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{0254;0010}</w:t>
            </w:r>
          </w:p>
        </w:tc>
        <w:tc>
          <w:tcPr>
            <w:tcW w:w="7590" w:type="dxa"/>
            <w:gridSpan w:val="3"/>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Ulkopuolelle jätetyt arvopaperistetut vastuut, jotka merkitsevät merkittävää riskinsiirtoa </w:t>
            </w:r>
          </w:p>
          <w:p w14:paraId="69C77F33" w14:textId="64BBCCE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a artiklan 1 kohdan m alakohta</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Perinteisestä arvopaperistamisesta peräisin olevat arvopaperistetut vastuut, jotka täyttävät 244 artiklan 2 kohdassa säädetyt merkittävän riskinsiirron ehdot.</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Ilmoitettava määrä on sisällytettävä myös edellä sovellettaviin soluihin ikään kuin vapautusta ei sovellettaisi.</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{0255;0010}</w:t>
            </w:r>
          </w:p>
        </w:tc>
        <w:tc>
          <w:tcPr>
            <w:tcW w:w="7590" w:type="dxa"/>
            <w:gridSpan w:val="3"/>
            <w:tcBorders>
              <w:bottom w:val="single" w:sz="4" w:space="0" w:color="auto"/>
            </w:tcBorders>
            <w:vAlign w:val="center"/>
          </w:tcPr>
          <w:p w14:paraId="43716DF9" w14:textId="2825BB71"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 Vapautetut keskuspankkiin liittyvät vastuut vakavaraisuusasetuksen 429 a artiklan 1 kohdan n alakohdan mukaisesti</w:t>
            </w:r>
          </w:p>
          <w:p w14:paraId="737C879F" w14:textId="14999659"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szCs w:val="24"/>
              </w:rPr>
              <w:t>Vakavaraisuusasetuksen 429 a artiklan 1 kohdan n alakohta</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Ilmoitettava määrä on sisällytettävä myös edellä sovellettaviin soluihin ikään kuin vapautusta ei sovellettaisi.</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{0256;0010}</w:t>
            </w:r>
          </w:p>
        </w:tc>
        <w:tc>
          <w:tcPr>
            <w:tcW w:w="7590" w:type="dxa"/>
            <w:gridSpan w:val="3"/>
            <w:tcBorders>
              <w:bottom w:val="single" w:sz="4" w:space="0" w:color="auto"/>
            </w:tcBorders>
            <w:vAlign w:val="center"/>
          </w:tcPr>
          <w:p w14:paraId="0B0A550F" w14:textId="48704114"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Ulkopuolelle jätetyt arvopaperikeskuksen/laitosten pankkipalvelujen tyyppiset oheispalvelut vakavaraisuusasetuksen 429 a artiklan 1 kohdan o alakohdan mukaisesti</w:t>
            </w:r>
          </w:p>
          <w:p w14:paraId="5D17ABE6" w14:textId="52B88A9E"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szCs w:val="24"/>
              </w:rPr>
              <w:t>Vakavaraisuusasetuksen 429 a artiklan 1 kohdan o alakohta</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Ilmoitettava määrä on sisällytettävä myös edellä sovellettaviin soluihin ikään kuin vapautusta ei sovellettaisi.</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bCs/>
                <w:sz w:val="24"/>
                <w:szCs w:val="24"/>
              </w:rPr>
              <w:t>{0257;0010}</w:t>
            </w:r>
          </w:p>
        </w:tc>
        <w:tc>
          <w:tcPr>
            <w:tcW w:w="7590" w:type="dxa"/>
            <w:gridSpan w:val="3"/>
            <w:tcBorders>
              <w:bottom w:val="single" w:sz="4" w:space="0" w:color="auto"/>
            </w:tcBorders>
            <w:vAlign w:val="center"/>
          </w:tcPr>
          <w:p w14:paraId="4CA8E235" w14:textId="29A8F0CD"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Ulkopuolelle jätetyt nimettyjen laitosten pankkipalvelujen tyyppiset oheispalvelut vakavaraisuusasetuksen 429 a artiklan 1 kohdan p alakohdan mukaisesti</w:t>
            </w:r>
          </w:p>
          <w:p w14:paraId="290DEB1D" w14:textId="16219676"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Vakavaraisuusasetuksen 429 a artiklan 1 kohdan p alakohta</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Ilmoitettava määrä on sisällytettävä myös edellä sovellettaviin soluihin ikään kuin vapautusta ei sovellettaisi.</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{0260;0010}</w:t>
            </w:r>
          </w:p>
        </w:tc>
        <w:tc>
          <w:tcPr>
            <w:tcW w:w="7590" w:type="dxa"/>
            <w:gridSpan w:val="3"/>
            <w:tcBorders>
              <w:bottom w:val="single" w:sz="4" w:space="0" w:color="auto"/>
            </w:tcBorders>
          </w:tcPr>
          <w:p w14:paraId="1FAED4EC" w14:textId="0BBD48A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szCs w:val="24"/>
              </w:rPr>
              <w:t>(–) Vapautetut vastuut vakavaraisuusasetuksen 429 a artiklan 1 kohdan j alakohdan mukaisesti</w:t>
            </w:r>
          </w:p>
          <w:p w14:paraId="218BC8E5" w14:textId="0E84595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szCs w:val="24"/>
              </w:rPr>
              <w:t>Vakavaraisuusasetuksen 429 a artiklan 1 kohdan j alakohta</w:t>
            </w:r>
          </w:p>
          <w:p w14:paraId="3A1ACCB0" w14:textId="066522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Vakavaraisuusasetuksen 429 a (1) kohdan j alakohdan mukaisesti vapautetut vastuut, jos kyseisessä kohdassa mainitut edellytykset täyttyvät.</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Ilmoitettava määrä on sisällytettävä myös edellä sovellettaviin soluihin ikään kuin vapautusta ei sovellettaisi.</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{0261;0010}</w:t>
            </w:r>
          </w:p>
        </w:tc>
        <w:tc>
          <w:tcPr>
            <w:tcW w:w="7590" w:type="dxa"/>
            <w:gridSpan w:val="3"/>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 </w:t>
            </w:r>
            <w:r>
              <w:rPr>
                <w:rFonts w:ascii="Times New Roman" w:hAnsi="Times New Roman"/>
                <w:b/>
                <w:color w:val="auto"/>
                <w:sz w:val="24"/>
                <w:szCs w:val="24"/>
              </w:rPr>
              <w:t>(−) Julkisiin kehitysluottolaitoksiin liittyvät vastuut, jotka on jätetty ulkopuolelle – Julkisen sektorin sijoitukset</w:t>
            </w:r>
          </w:p>
          <w:p w14:paraId="387343FE" w14:textId="733E008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szCs w:val="24"/>
              </w:rPr>
              <w:t>Vakavaraisuusasetuksen 429 a artiklan 1 kohdan d alakohta ja 2 kohta</w:t>
            </w:r>
          </w:p>
          <w:p w14:paraId="740BFE27" w14:textId="2CA85AAC"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Vastuut, jotka aiheutuvat saamisista keskushallinnoilta, aluehallinnoilta, paikallisviranomaisilta tai julkisyhteisöiltä ja julkisoikeudellisilta laitoksilta, jotka liittyvät julkisen sektorin sijoituksiin ja jotka voidaan jättää ulkopuolelle vakavaraisuusasetuksen 429 a artiklan 1 kohdan d alakohdan mukaisesti.</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Jos saatava katsotaan 429 a artiklan 3 kohdan mukaiseksi edistämislainaksi, sitä ei ilmoiteta tässä solussa vaan tapauksen mukaan riveillä 0262–0264.</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Ilmoitettava määrä on sisällytettävä myös edellä sovellettaviin soluihin ikään kuin vapautusta ei sovellettaisi.</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{0262;0010}</w:t>
            </w:r>
          </w:p>
        </w:tc>
        <w:tc>
          <w:tcPr>
            <w:tcW w:w="7590" w:type="dxa"/>
            <w:gridSpan w:val="3"/>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Julkisten kehitysluottolaitosten saamiset, jotka on jätetty ulkopuolelle – Julkisen kehitysluottolaitoksen myöntämät edistämislainat</w:t>
            </w:r>
          </w:p>
          <w:p w14:paraId="30828A29" w14:textId="31FE28CB"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szCs w:val="24"/>
              </w:rPr>
              <w:t>Vakavaraisuusasetuksen 429 a artiklan 1 kohdan b alakohta ja 2 ja 3 kohta</w:t>
            </w:r>
          </w:p>
          <w:p w14:paraId="672E00E2" w14:textId="7E6FCF88"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Vastuut, jotka aiheutuvat julkisen kehitysluottolaitoksen myöntämistä edistämislainoista, mukaan lukien siirrettävät edistämislainat, jotka voidaan jättää ulkopuolelle vakavaraisuusasetuksen 429 a artiklan 1 kohdan d alakohdan mukaisesti. </w:t>
            </w:r>
            <w:r>
              <w:rPr>
                <w:rFonts w:ascii="Times New Roman" w:hAnsi="Times New Roman"/>
                <w:sz w:val="24"/>
                <w:szCs w:val="24"/>
              </w:rPr>
              <w:t>Huomioon on otettava myös sellaisen laitoksen yksikön vastuut, jota toimivaltainen viranomainen käsittelee julkisena kehitysluottolaitoksena vakavaraisuusasetuksen 429 a artiklan 2 kohdan viimeisen alakohdan mukaisesti.</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Ilmoitettava määrä on sisällytettävä myös edellä sovellettaviin soluihin ikään kuin vapautusta ei sovellettaisi.</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{0263;0010}</w:t>
            </w:r>
          </w:p>
        </w:tc>
        <w:tc>
          <w:tcPr>
            <w:tcW w:w="7590" w:type="dxa"/>
            <w:gridSpan w:val="3"/>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Julkisten kehitysluottolaitosten vastuut, jotka on jätetty ulkopuolelle– Jäsenvaltion keskushallinnon, aluehallinnon tai paikallisviranomaisten suoraan perustaman yhteisön myöntämät edistämislainat</w:t>
            </w:r>
          </w:p>
          <w:p w14:paraId="4B17F8AE" w14:textId="3DD44064"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szCs w:val="24"/>
              </w:rPr>
              <w:t>Vakavaraisuusasetuksen 429 a artiklan 1 kohdan d alakohta ja 2 ja 3 kohta</w:t>
            </w:r>
          </w:p>
          <w:p w14:paraId="6FAF30DE" w14:textId="2CAFB472"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Vastuut, jotka aiheutuvat jäsenvaltion keskushallinnon, aluehallinnon tai paikallisviranomaisten suoraan perustaman yhteisön myöntämistä edistämislainoista, mukaan lukien siirrettävät edistämislainat, jotka voidaan jättää ulkopuolelle vakavaraisuusasetuksen 429 a artiklan 1 kohdan d alakohdan mukaisesti.</w:t>
            </w:r>
            <w:r>
              <w:rPr>
                <w:rFonts w:ascii="Times New Roman" w:hAnsi="Times New Roman"/>
                <w:bCs/>
                <w:sz w:val="24"/>
                <w:szCs w:val="24"/>
              </w:rPr>
              <w:t xml:space="preserve"> </w:t>
            </w:r>
            <w:r>
              <w:rPr>
                <w:rFonts w:ascii="Times New Roman" w:hAnsi="Times New Roman"/>
                <w:sz w:val="24"/>
                <w:szCs w:val="24"/>
              </w:rPr>
              <w:t>Huomioon on otettava myös sellaisen laitoksen yksikön vastuut, jota toimivaltainen viranomainen käsittelee julkisena kehitysluottolaitoksena vakavaraisuusasetuksen 429 a artiklan 2 kohdan viimeisen alakohdan mukaisesti.</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Ilmoitettava määrä on sisällytettävä myös edellä sovellettaviin soluihin ikään kuin vapautusta ei sovellettaisi.</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{0264;0010}</w:t>
            </w:r>
          </w:p>
        </w:tc>
        <w:tc>
          <w:tcPr>
            <w:tcW w:w="7590" w:type="dxa"/>
            <w:gridSpan w:val="3"/>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Julkisten kehitysluottolaitosten vastuut, jotka on jätetty ulkopuolelle – Jäsenvaltion keskushallinnon, aluehallinnon tai paikallisviranomaisten välittäjäluottolaitoksen välityksellä perustaman yhteisön myöntämät edistämislainat</w:t>
            </w:r>
          </w:p>
          <w:p w14:paraId="6754B207" w14:textId="392DBA3E"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szCs w:val="24"/>
              </w:rPr>
              <w:t>Vakavaraisuusasetuksen 429 a artiklan 1 kohdan d alakohta ja 2 ja 3 kohta</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Vastuut, jotka aiheutuvat jäsenvaltion keskushallinnon, aluehallinnon tai paikallisviranomaisten välittäjäluottolaitoksen välityksellä perustaman yhteisön myöntämistä edistämislainoista, mukaan lukien siirrettävät edistämislainat, jotka voidaan jättää ulkopuolelle vakavaraisuusasetuksen 429 a artiklan 1 kohdan d alakohdan mukaisesti.</w:t>
            </w:r>
            <w:r>
              <w:rPr>
                <w:rFonts w:ascii="Times New Roman" w:hAnsi="Times New Roman"/>
                <w:bCs/>
                <w:sz w:val="24"/>
                <w:szCs w:val="24"/>
              </w:rPr>
              <w:t xml:space="preserve"> </w:t>
            </w:r>
            <w:r>
              <w:rPr>
                <w:rFonts w:ascii="Times New Roman" w:hAnsi="Times New Roman"/>
                <w:sz w:val="24"/>
                <w:szCs w:val="24"/>
              </w:rPr>
              <w:t>Huomioon on otettava myös sellaisen laitoksen yksikön vastuut, jota toimivaltainen viranomainen käsittelee julkisena kehitysluottolaitoksena vakavaraisuusasetuksen 429 a artiklan 2 kohdan viimeisen alakohdan mukaisesti.</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Ilmoitettava määrä on sisällytettävä myös edellä sovellettaviin soluihin ikään kuin vapautusta ei sovellettaisi.</w:t>
            </w:r>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{0265;0010}</w:t>
            </w:r>
          </w:p>
        </w:tc>
        <w:tc>
          <w:tcPr>
            <w:tcW w:w="7590" w:type="dxa"/>
            <w:gridSpan w:val="3"/>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Ei-julkisten kehitysluottolaitosten (tai yksiköiden) myöntämät siirrettävät edistämislainat, jotka on jätetty ulkopuolelle – Julkisen kehitysluottolaitoksen myöntämät edistämislainat</w:t>
            </w:r>
          </w:p>
          <w:p w14:paraId="51F998E0" w14:textId="0F685FC2"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szCs w:val="24"/>
              </w:rPr>
              <w:t>Vakavaraisuusasetuksen 429 a artiklan 1 kohdan e alakohta ja 2 ja 3 kohta</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Sellaiset vastuiden osat, jotka aiheutuvat edistämislainojen siirtämisestä muille luottolaitoksille, kun edistämislainat on myöntänyt julkinen kehitysluottolaitos. </w:t>
            </w:r>
            <w:r>
              <w:rPr>
                <w:rFonts w:ascii="Times New Roman" w:hAnsi="Times New Roman"/>
                <w:sz w:val="24"/>
                <w:szCs w:val="24"/>
              </w:rPr>
              <w:t>Huomioon on otettava myös sellaisten laitoksen yksiköiden vastuiden osat, joita toimivaltainen viranomainen ei käsittele julkisena kehitysluottolaitoksena vakavaraisuusasetuksen 429 a artiklan 2 kohdan viimeisen alakohdan mukaisesti.</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Ilmoitettava määrä on sisällytettävä myös edellä sovellettaviin soluihin ikään kuin vapautusta ei sovellettaisi.</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{0266;0010}</w:t>
            </w:r>
          </w:p>
        </w:tc>
        <w:tc>
          <w:tcPr>
            <w:tcW w:w="7590" w:type="dxa"/>
            <w:gridSpan w:val="3"/>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Ei-julkisten kehitysluottolaitosten (tai yksiköiden) myöntämät siirrettävät edistämislainat, jotka on jätetty ulkopuolelle – Jäsenvaltion keskushallinnon, aluehallinnon tai paikallisviranomaisten suoraan perustaman yhteisön myöntämät edistämislainat</w:t>
            </w:r>
          </w:p>
          <w:p w14:paraId="003BD5E4" w14:textId="186B4E9B"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szCs w:val="24"/>
              </w:rPr>
              <w:t>Vakavaraisuusasetuksen 429 a artiklan 1 kohdan e alakohta ja 2 ja 3 kohta</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Sellaiset vastuiden osat, jotka aiheutuvat edistämislainojen siirtämisestä muille luottolaitoksille, kun edistämislainat on myöntänyt, kun edistämislainojen on myöntänyt jäsenvaltion keskushallinnon, aluehallinnon tai paikallisviranomaisten suoraan perustama yhteisö. </w:t>
            </w:r>
            <w:r>
              <w:rPr>
                <w:rFonts w:ascii="Times New Roman" w:hAnsi="Times New Roman"/>
                <w:sz w:val="24"/>
                <w:szCs w:val="24"/>
              </w:rPr>
              <w:t>Huomioon on otettava myös sellaisten laitoksen yksiköiden vastuiden osat, joita toimivaltainen viranomainen ei käsittele julkisena kehitysluottolaitoksena vakavaraisuusasetuksen 429 a artiklan 2 kohdan viimeisen alakohdan mukaisesti.</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Ilmoitettava määrä on sisällytettävä myös edellä sovellettaviin soluihin ikään kuin vapautusta ei sovellettaisi.</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{0267;0010}</w:t>
            </w:r>
          </w:p>
        </w:tc>
        <w:tc>
          <w:tcPr>
            <w:tcW w:w="7590" w:type="dxa"/>
            <w:gridSpan w:val="3"/>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Ei-julkisten kehitysluottolaitosten (tai yksiköiden) myöntämät siirrettävät edistämislainat, jotka on jätetty ulkopuolelle – Jäsenvaltion keskushallinnon, aluehallinnon tai paikallisviranomaisten välittäjäluottolaitoksen välityksellä perustaman yhteisön myöntämät edistämislainat</w:t>
            </w:r>
          </w:p>
          <w:p w14:paraId="30EAE7BC" w14:textId="63AC62A5"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szCs w:val="24"/>
              </w:rPr>
              <w:t>Vakavaraisuusasetuksen 429 a artiklan 1 kohdan e alakohta ja 2 ja 3 kohta</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Sellaiset vastuiden osat, jotka aiheutuvat edistämislainojen siirtämisestä muille luottolaitoksille, kun edistämislainat on myöntänyt, kun edistämislainojen on myöntänyt jäsenvaltion keskushallinnon, aluehallinnon tai paikallisviranomaisten välittäjäluottolaitoksen välityksellä perustama yhteisö. </w:t>
            </w:r>
            <w:r>
              <w:rPr>
                <w:rFonts w:ascii="Times New Roman" w:hAnsi="Times New Roman"/>
                <w:sz w:val="24"/>
                <w:szCs w:val="24"/>
              </w:rPr>
              <w:t>Huomioon on otettava myös sellaisten laitoksen yksiköiden vastuiden osat, joita toimivaltainen viranomainen ei käsittele julkisena kehitysluottolaitoksena vakavaraisuusasetuksen 429 a artiklan 2 kohdan viimeisen alakohdan mukaisesti.</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Ilmoitettava määrä on sisällytettävä myös edellä sovellettaviin soluihin ikään kuin vapautusta ei sovellettaisi.</w:t>
            </w:r>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bCs/>
                <w:sz w:val="24"/>
                <w:szCs w:val="24"/>
              </w:rPr>
              <w:t>(-) Vähennettyjen varojen määrä – ensisijainen pääoma – täyden käyttöönoton jälkeinen määritelmä</w:t>
            </w:r>
          </w:p>
          <w:p w14:paraId="7786B29A" w14:textId="16FE3CE7"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szCs w:val="24"/>
              </w:rPr>
              <w:t>Vakavaraisuusasetuksen 429 a artiklan 1 kohdan b alakohta ja 499 artiklan 1 kohdan a alakohta</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Tähän sisältyy kaikkien niiden oikaisujen summa, jotka kohdistuvat omaisuuserän arvoon ja joita edellytetään tapauksen mukaan</w:t>
            </w:r>
          </w:p>
          <w:p w14:paraId="0ABD1D78" w14:textId="0198F3C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vakavaraisuusasetuksen 32–35 artiklassa tai </w:t>
            </w:r>
          </w:p>
          <w:p w14:paraId="14203D05" w14:textId="63CBF1E7"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vakavaraisuusasetuksen 36–47 artiklassa tai</w:t>
            </w:r>
          </w:p>
          <w:p w14:paraId="33D193AD" w14:textId="220C0D0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vakavaraisuusasetuksen 56–60 artiklassa</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w:t>
            </w:r>
          </w:p>
          <w:p w14:paraId="75E8D9BE" w14:textId="07957BF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otettava huomioon tällaisiin vähennyksiin sovellettavat poikkeukset, vaihtoehdot ja vapautukset, joista säädetään vakavaraisuusasetuksen 48, 49 ja 79 artiklassa, mutta jätettävä huomiotta vakavaraisuusasetuksen kymmenennen osan I osaston 1, 2 ja 4 luvussa säädetyt poikkeukset. Kaksinkertaisen huomioon ottamisen estämiseksi laitokset eivät saa ottaa huomioon vakavaraisuusasetuksen 111 artiklan nojalla jo sovellettuja oikaisuja, kun ne laskevat vastuuarvoja soluissa</w:t>
            </w:r>
            <w:r w:rsidR="00DD20A7">
              <w:rPr>
                <w:rFonts w:ascii="Times New Roman" w:hAnsi="Times New Roman"/>
                <w:bCs/>
                <w:sz w:val="24"/>
                <w:szCs w:val="24"/>
              </w:rPr>
              <w:t xml:space="preserve"> </w:t>
            </w:r>
            <w:r>
              <w:rPr>
                <w:rFonts w:ascii="Times New Roman" w:hAnsi="Times New Roman"/>
                <w:bCs/>
                <w:sz w:val="24"/>
                <w:szCs w:val="24"/>
              </w:rPr>
              <w:t>{0010;0010} – {0267;0010},</w:t>
            </w:r>
            <w:r>
              <w:rPr>
                <w:sz w:val="24"/>
                <w:szCs w:val="24"/>
              </w:rPr>
              <w:t xml:space="preserve"> </w:t>
            </w:r>
            <w:r>
              <w:rPr>
                <w:rFonts w:ascii="Times New Roman" w:hAnsi="Times New Roman"/>
                <w:bCs/>
                <w:sz w:val="24"/>
                <w:szCs w:val="24"/>
              </w:rPr>
              <w:t>eivätkä ne saa ottaa huomioon mitään oikaisua, joka ei vähennä jonkin tietyn omaisuuserän arvoa.</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Koska nämä määrät on jo vähennetty pääoman määrästä, ne vähentävät vähimmäisomavaraisuusasteen vastuita ja ilmoitetaan negatiivisina lukuina.</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Vähennettyjen (−) tai lisättyjen (+) varojen määrä – ensisijainen pääoma (T1) – siirtymäkauden aikainen määritelmä</w:t>
            </w:r>
          </w:p>
          <w:p w14:paraId="552CF68D" w14:textId="18B726F6"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Vakavaraisuusasetuksen 429 a artiklan 1 kohdan b alakohta ja 499 artiklan 1 kohdan a alakohta</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Tähän sisältyy kaikkien niiden oikaisujen summa, jotka mukauttavat omaisuuserän arvoa ja joita edellytetään tapauksen mukaan</w:t>
            </w:r>
          </w:p>
          <w:p w14:paraId="2FE9C127" w14:textId="455E590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vakavaraisuusasetuksen 32–35 artiklassa tai </w:t>
            </w:r>
          </w:p>
          <w:p w14:paraId="35A3C50B" w14:textId="4F89203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vakavaraisuusasetuksen 36–47 artiklassa tai </w:t>
            </w:r>
          </w:p>
          <w:p w14:paraId="66CB0299" w14:textId="34D6051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vakavaraisuusasetuksen 56–60 artiklassa</w:t>
            </w:r>
          </w:p>
          <w:p w14:paraId="152F8BFD" w14:textId="7D3B3FB6" w:rsidR="00CB48CC" w:rsidRPr="000B66BC" w:rsidRDefault="00CB48CC" w:rsidP="000B66BC">
            <w:pPr>
              <w:pStyle w:val="BodyText1"/>
              <w:spacing w:after="240" w:line="240" w:lineRule="auto"/>
              <w:rPr>
                <w:rFonts w:ascii="Times New Roman" w:hAnsi="Times New Roman"/>
                <w:bCs/>
                <w:sz w:val="24"/>
                <w:szCs w:val="24"/>
              </w:rPr>
            </w:pPr>
          </w:p>
          <w:p w14:paraId="730A3940" w14:textId="63E31B13"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otettava huomioon tällaisiin vähennyksiin sovellettavat poikkeukset, vaihtoehdot ja vapautukset, joista säädetään vakavaraisuusasetuksen 48, 49 ja 79 artiklassa, sen lisäksi että ne ottavat huomioon vakavaraisuusasetuksen kymmenennen osan I osaston 1, 2 ja 4 luvussa säädetyt poikkeukset. Kaksinkertaisen huomioon ottamisen estämiseksi laitokset eivät saa ottaa huomioon vakavaraisuusasetuksen 111 artiklan nojalla jo sovellettuja oikaisuja, kun ne laskevat vastuuarvoja soluissa</w:t>
            </w:r>
            <w:r w:rsidR="00F018CC">
              <w:rPr>
                <w:rFonts w:ascii="Times New Roman" w:hAnsi="Times New Roman"/>
                <w:bCs/>
                <w:sz w:val="24"/>
                <w:szCs w:val="24"/>
              </w:rPr>
              <w:t xml:space="preserve"> </w:t>
            </w:r>
            <w:bookmarkStart w:id="53" w:name="_GoBack"/>
            <w:bookmarkEnd w:id="53"/>
            <w:r>
              <w:rPr>
                <w:rFonts w:ascii="Times New Roman" w:hAnsi="Times New Roman"/>
                <w:bCs/>
                <w:sz w:val="24"/>
                <w:szCs w:val="24"/>
              </w:rPr>
              <w:t>{0010;0010} – {0267;0010}, eivätkä ne saa ottaa huomioon mitään oikaisua, joka ei vähennä jonkin tietyn omaisuuserän arvoa.</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Koska nämä määrät on jo vähennetty pääoman määrästä, ne vähentävät vähimmäisomavaraisuusasteen vastuita ja ilmoitetaan negatiivisina lukuina.</w:t>
            </w:r>
          </w:p>
          <w:p w14:paraId="5A75B235" w14:textId="38C4EC5D" w:rsidR="00CB48CC" w:rsidRPr="000B66BC" w:rsidRDefault="00D9327B" w:rsidP="000B66BC">
            <w:pPr>
              <w:pStyle w:val="BodyText1"/>
              <w:spacing w:after="240" w:line="240" w:lineRule="auto"/>
              <w:rPr>
                <w:rFonts w:ascii="Times New Roman" w:hAnsi="Times New Roman"/>
                <w:b/>
                <w:bCs/>
                <w:sz w:val="24"/>
                <w:szCs w:val="24"/>
              </w:rPr>
            </w:pPr>
            <w:r>
              <w:rPr>
                <w:rFonts w:ascii="Times New Roman" w:hAnsi="Times New Roman"/>
                <w:sz w:val="24"/>
                <w:szCs w:val="24"/>
              </w:rPr>
              <w:t>Lisäksi laitosten on ilmoitettava tällä rivillä positiivisena arvona määrät, jotka lisätään vakavaraisuusasetuksen 473 a artiklan 7 kohdan ja 7 a kohdan mukaisesti vähimmäisomavaraisuusasteen vastuiden määrään.</w:t>
            </w:r>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Vähimmäisomavaraisuusasteen vastuiden kokonaismäärä (ensisijaiseen pääomaan sovelletaan täyden käyttöönoton jälkeistä määritelmää)</w:t>
            </w:r>
          </w:p>
          <w:p w14:paraId="18A90C99" w14:textId="73B21DC6"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Laitosten on ilmoitettava rivien 0010–0267 ja rivin 0270 summa.</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Vähimmäisomavaraisuusasteen vastuiden kokonaismäärä (ensisijaiseen pääomaan sovelletaan siirtymäkauden aikaista määritelmää)</w:t>
            </w:r>
          </w:p>
          <w:p w14:paraId="247E260C" w14:textId="44CFD3F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Laitosten on ilmoitettava rivien 0010–0267 ja rivin 0280 summa.</w:t>
            </w:r>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Rivi ja sarake</w:t>
            </w:r>
          </w:p>
        </w:tc>
        <w:tc>
          <w:tcPr>
            <w:tcW w:w="7590" w:type="dxa"/>
            <w:gridSpan w:val="3"/>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Pääoma </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Ensisijainen pääoma (täyden käyttöönoton jälkeinen määritelmä)</w:t>
            </w:r>
          </w:p>
          <w:p w14:paraId="6D31890D" w14:textId="5223FA9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artiklan 3 kohta ja 499 artiklan 1 kohdan a alakohta</w:t>
            </w:r>
          </w:p>
          <w:p w14:paraId="49E3D5DA" w14:textId="329FD52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vakavaraisuusasetuksen 25 artiklan mukaisesti laskettu ensisijainen pääoma (T1) ottamatta huomioon saman asetuksen kymmenennen osan I osaston 1, 2 ja 4 luvussa säädettyjä poikkeuksia.</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Ensisijainen pääoma (siirtymäkauden aikainen määritelmä)</w:t>
            </w:r>
          </w:p>
          <w:p w14:paraId="5041E493" w14:textId="204565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artiklan 3 kohta ja 499 artiklan 1 kohdan b alakohta</w:t>
            </w:r>
          </w:p>
          <w:p w14:paraId="3270C368" w14:textId="06319C94"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vakavaraisuusasetuksen 25 artiklan mukaisesti laskettu ensisijainen pääoma (T1) ottaen huomioon saman asetuksen kymmenennen osan I osaston 1, 2 ja 4 luvussa säädetyt poikkeukset.</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Rivi ja sarake</w:t>
            </w:r>
          </w:p>
        </w:tc>
        <w:tc>
          <w:tcPr>
            <w:tcW w:w="7590" w:type="dxa"/>
            <w:gridSpan w:val="3"/>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Vähimmäisomavaraisuusaste</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590" w:type="dxa"/>
            <w:gridSpan w:val="3"/>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Vähimmäisomavaraisuusaste (ensisijaiseen pääomaan sovelletaan täyden käyttöönoton jälkeistä määritelmää)</w:t>
            </w:r>
          </w:p>
          <w:p w14:paraId="14103416" w14:textId="56BA3CE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artiklan 2 kohta ja 499 artiklan 1 kohta</w:t>
            </w:r>
          </w:p>
          <w:p w14:paraId="13640073" w14:textId="1BB24A76"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bCs/>
                <w:sz w:val="24"/>
                <w:szCs w:val="24"/>
              </w:rPr>
              <w:t>Tässä ilmoitetaan tässä liitteessä olevan II osan 4 kohdan mukaisesti laskettu vähimmäisomavaraisuusaste.</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590" w:type="dxa"/>
            <w:gridSpan w:val="3"/>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Vähimmäisomavaraisuusaste (ensisijaiseen pääomaan sovelletaan siirtymäkauden aikaista määritelmää)</w:t>
            </w:r>
          </w:p>
          <w:p w14:paraId="26098DFB" w14:textId="7824BAF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429 artiklan 2 kohta ja 499 artiklan 1 kohta</w:t>
            </w:r>
          </w:p>
          <w:p w14:paraId="173B4CA4" w14:textId="217771DE"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szCs w:val="24"/>
              </w:rPr>
              <w:t>Tässä ilmoitetaan tässä liitteessä olevan II osan 5 kohdan mukaisesti laskettu vähimmäisomavaraisuusaste.</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bCs/>
                <w:sz w:val="24"/>
                <w:szCs w:val="24"/>
              </w:rPr>
              <w:t>Rivi ja sarake</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Vaatimukset: määrät</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Toisen pilarin vaatimus (P2R) ylivelkaantumisriskien hallitsemiseksi</w:t>
            </w:r>
          </w:p>
          <w:p w14:paraId="52420558" w14:textId="1AD55706"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bCs/>
                <w:sz w:val="24"/>
                <w:szCs w:val="24"/>
              </w:rPr>
              <w:t xml:space="preserve">Vakavaraisuusdirektiivin 104 ja 104 a artikla; </w:t>
            </w:r>
            <w:r>
              <w:rPr>
                <w:rFonts w:ascii="Times New Roman" w:hAnsi="Times New Roman"/>
                <w:sz w:val="24"/>
                <w:szCs w:val="24"/>
              </w:rPr>
              <w:t>vakavaraisuusdirektiivin 104 artiklassa tarkoitetut perinteiset omat varat, joita toimivaltainen viranomainen edellyttää ylivelkaantumisriskien hallitsemiseksi</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Joista: ydinpääomasta (CET1) muodostettava</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Se osa riviä 0350 koskevissa ohjeissa tarkoitettua P2R-suhdetta, jonka toimivaltainen viranomainen vaatii pidettävän ydinpääoman (CET1) muodossa</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G-SII-laitoksen vähimmäisomavaraisuusastepuskuri</w:t>
            </w:r>
          </w:p>
          <w:p w14:paraId="2DF708A7" w14:textId="0B222937"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Vakavaraisuusasetuksen 92 artiklan 1 a kohta</w:t>
            </w:r>
          </w:p>
          <w:p w14:paraId="04DDCD79" w14:textId="1E39E84B"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G-SII-laitosten on ilmoitettava vähimmäisomavaraisuusasteen G-SII-korotuksen arvo, joka määritetään vakavaraisuusasetuksen 92 artiklan 1 a kohdan mukaisesti.</w:t>
            </w:r>
          </w:p>
          <w:p w14:paraId="10B82F9E" w14:textId="4585213B"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bCs/>
                <w:color w:val="auto"/>
                <w:sz w:val="24"/>
                <w:szCs w:val="24"/>
              </w:rPr>
              <w:t>G-SII-laitosten on ilmoitettava tämä määrä vakavaraisuusasetuksen mukaisen puskurin soveltamispäivästä alkaen.</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Toisen pilarin mukainen pääomaohjeistus (P2G) ylivelkaantumisriskien hallitsemiseksi</w:t>
            </w:r>
          </w:p>
          <w:p w14:paraId="0B3B1A45" w14:textId="1A1C051A"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Vakavaraisuusdirektiivin 104 b artikla; vakavaraisuusdirektiivin 104 b artiklassa tarkoitetut omien varojen lisävaatimukset, jotka toimivaltainen viranomainen ilmoittaa ylivelkaantumisriskien hallitsemiseksi</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Joista: ydinpääomasta (CET1) muodostettava</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Se osa riviä 0380 koskevissa ohjeissa tarkoitettua P2G:tä, jonka toimivaltainen viranomainen vaatii pidettävän ydinpääoman (CET1) muodossa</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Joista: ensisijaisesta pääomasta (T1) muodostettava</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Se osa riviä 0380 koskevissa ohjeissa tarkoitettua P2G:tä, jonka toimivaltainen viranomainen vaatii pidettävän ydinpääoman (CET1) muodossa</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bCs/>
                <w:sz w:val="24"/>
                <w:szCs w:val="24"/>
              </w:rPr>
              <w:t>Rivi ja sarake</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bCs/>
                <w:sz w:val="24"/>
                <w:szCs w:val="24"/>
              </w:rPr>
              <w:t>Vaatimukset: suhdeluvut</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Pilarin 1 mukainen vähimmäisomavaraisuusastetta koskeva vaatimus </w:t>
            </w:r>
          </w:p>
          <w:p w14:paraId="75955E40" w14:textId="22BA171D"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bCs/>
                <w:sz w:val="24"/>
                <w:szCs w:val="24"/>
              </w:rPr>
              <w:t>Vakavaraisuusasetuksen 92 artiklan 1 kohdan d alakohta, 429 a artiklan 7 kohta ja 429 a artiklan 1 kohdan n alakohta; vakavaraisuusasetuksen 92 artiklan 1 kohdan d alakohdassa tarkoitettu ylivelkaantumisriskin hallitsemiseksi vaadittava vähimmäisomavaraisuusaste</w:t>
            </w:r>
          </w:p>
          <w:p w14:paraId="2ACA2F0E" w14:textId="548B0D98"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szCs w:val="24"/>
              </w:rPr>
              <w:t>Laitosten, jotka jättävät soveltamisalan ulkopuolelle saamiset laitoksen keskuspankilta 429 a artiklan 1 kohdan n alakohdan mukaisesti, on ilmoitettava vakavaraisuusasetuksen 429 a artiklan 7 kohdan mukainen mukautettua vähimmäisomavaraisuusastetta koskeva vaatimus.</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Vakavaraisuuden arviointiprosessin (SREP) mukainen vähimmäisomavaraisuusastetta koskeva kokonaisvaatimus (TSLRR)</w:t>
            </w:r>
          </w:p>
          <w:p w14:paraId="58E6C4BD" w14:textId="29BB005C"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Vakavaraisuusdirektiivin 104 ja 104 a artikla</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bCs/>
                <w:sz w:val="24"/>
                <w:szCs w:val="24"/>
              </w:rPr>
              <w:t>Jäljempänä olevien i ja ii alakohdan summa:</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bCs/>
                <w:sz w:val="24"/>
                <w:szCs w:val="24"/>
              </w:rPr>
              <w:t>pilarin 1 mukainen vähimmäisomavaraisuusastetta koskeva vaatimus, kuten se on ilmoitettu rivillä 0410;</w:t>
            </w:r>
          </w:p>
          <w:p w14:paraId="4613F532" w14:textId="0609A36A"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szCs w:val="24"/>
              </w:rPr>
              <w:t>vakavaraisuusdirektiivin 104 artiklassa tarkoitettu täydentävien omien varojen suhde, jota toimivaltainen viranomainen edellyttää (P2R) ylivelkaantumisriskien hallitsemiseksi.</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sz w:val="24"/>
                <w:szCs w:val="24"/>
              </w:rPr>
              <w:t>Laitosten on laskettava ii alakohta jakamalla rivin {0350; 0010} arvo rivin {0300; 0010} arvolla.</w:t>
            </w:r>
            <w:r>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Jos toimivaltainen viranomainen ei ole ilmoittanut omien varojen lisävaatimuksia, ilmoitetaan ainoastaan i alakohdan tiedot.</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TSLRR: ydinpääomasta (CET1) muodostettava</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Se osa riviä 0420 koskevien ohjeiden ii alakohdassa tarkoitettua täydentävien omien varojen suhdetta, jonka toimivaltainen viranomainen vaatii pidettävän ydinpääoman (CET1) muodossa.</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sz w:val="24"/>
                <w:szCs w:val="24"/>
              </w:rPr>
              <w:t>Laitosten on laskettava tämä arvo jakamalla rivin {0360; 0010} arvo rivin {0300; 0010} arvolla.</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Vähimmäisomavaraisuusastetta koskeva kokonaisvaatimus (OLRR)</w:t>
            </w:r>
          </w:p>
          <w:p w14:paraId="42BE8CD3" w14:textId="1383D3D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92 artiklan 1 a kohta</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Jäljempänä olevien i ja ii alakohdan summa:</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rivillä 0420 tarkoitettu TSLRR;</w:t>
            </w:r>
          </w:p>
          <w:p w14:paraId="7026B9BA" w14:textId="6D50CC87"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szCs w:val="24"/>
              </w:rPr>
              <w:t>vakavaraisuusasetuksen 92 artiklan 1 a kohdan mukainen G-SII-laitosten vähimmäisomavaraisuusastepuskuri ilmaistuna prosenttiosuutena vähimmäisomavaraisuusasteen vastuiden kokonaismäärästä.</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sz w:val="24"/>
                <w:szCs w:val="24"/>
              </w:rPr>
              <w:t>Laitosten on laskettava ii alakohta jakamalla rivin {0370; 0010} arvo rivin {0300; 0010} arvolla.</w:t>
            </w:r>
          </w:p>
          <w:p w14:paraId="341458F5" w14:textId="1339DA28"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G-SII-laitokset ottavat ii alakohdan huomioon vasta vakavaraisuusasetuksen mukaisen puskurin soveltamispäivästä alkaen.</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Jos vähimmäisomavaraisuusasteen G-SII-korotusta ei sovelleta, ilmoitetaan ainoastaan i alakohdan tiedot.</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Vähimmäisomavaraisuusastetta koskevaa kokonaisvaatimusta (OLRR) ja toisen pilarin mukaista pääomaohjeistusta (P2G) kuvaava suhde</w:t>
            </w:r>
          </w:p>
          <w:p w14:paraId="022B6350" w14:textId="029B6D58"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Vakavaraisuusdirektiivin 104 b artikla</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Jäljempänä olevien i ja ii alakohdan summa:</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szCs w:val="24"/>
              </w:rPr>
              <w:t>rivillä 0440 tarkoitettu TSLRR;</w:t>
            </w:r>
          </w:p>
          <w:p w14:paraId="51B081D7" w14:textId="1FBE8C55"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bCs/>
                <w:color w:val="auto"/>
                <w:sz w:val="24"/>
                <w:szCs w:val="24"/>
              </w:rPr>
              <w:t>vakavaraisuusdirektiivin 104 b artiklassa tarkoitetut omien varojen lisävaatimukset, jotka toimivaltainen viranomainen ilmoittaa ylivelkaantumisriskien hallitsemiseksi, ilmaistuna prosenttiosuutena vähimmäisomavaraisuusasteen vastuiden kokonaismäärästä.</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sz w:val="24"/>
                <w:szCs w:val="24"/>
              </w:rPr>
              <w:t>Laitosten on laskettava ii alakohta jakamalla rivin {0380; 0010} arvo rivin {0300; 0010} arvolla.</w:t>
            </w:r>
            <w:r>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Jos toimivaltainen viranomainen ei ole ilmoittanut P2G:tä, ilmoitetaan ainoastaan i alakohdan tiedot.</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bCs/>
                <w:sz w:val="24"/>
                <w:szCs w:val="24"/>
              </w:rPr>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ja P2G: ydinpääomasta (CET1) muodostettava</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Jäljempänä olevien i ja ii alakohdan summa:</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se osa riviä 0430 koskevissa ohjeissa tarkoitettua täydentävien omien varojen suhdetta, jonka toimivaltainen viranomainen vaatii pidettävän ydinpääoman (CET1) muodossa</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se osa riviä 0450 koskevien ohjeiden ii alakohdassa tarkoitettua P2G-suhdetta, josta toimivaltainen viranomainen on ilmoittanut, että se on pidettävä ydinpääoman (CET1) muodossa.</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sz w:val="24"/>
                <w:szCs w:val="24"/>
              </w:rPr>
              <w:t>Laitosten on laskettava ii alakohta jakamalla rivin {0390; 0010} arvo rivin {0300; 0010} arvolla.</w:t>
            </w:r>
            <w:r>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Jos toimivaltainen viranomainen ei ole ilmoittanut P2G:tä, ilmoitetaan ainoastaan i alakohdan tiedot.</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ja P2G: ensisijaisesta pääomasta (T1) muodostettava</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Jäljempänä olevien i, ii ja iii alakohdan summa:</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rivillä 0420 tarkoitettu vakavaraisuuden arviointiprosessin (SREP) mukainen vähimmäisomavaraisuusastetta koskeva kokonaisvaatimus;</w:t>
            </w:r>
          </w:p>
          <w:p w14:paraId="44471EA4" w14:textId="4CE94828"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vakavaraisuusasetuksen 92 artiklan 1 a kohdan mukainen G-SII-laitosten vähimmäisomavaraisuusastepuskuri ilmaistuna prosenttiosuutena vähimmäisomavaraisuusasteen vastuiden kokonaismäärästä;</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se osa riviä 0450 koskevien ohjeiden ii alakohdassa tarkoitettua P2G-suhdetta, jonka toimivaltainen viranomainen vaatii pidettävän ydinpääoman (CET1) muodossa.</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sz w:val="24"/>
                <w:szCs w:val="24"/>
              </w:rPr>
              <w:t>Laitosten on laskettava ii alakohta jakamalla rivin {0370; 0010} arvo rivin {0300; 0010} arvolla.</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sz w:val="24"/>
                <w:szCs w:val="24"/>
              </w:rPr>
              <w:t>Laitosten on laskettava iii alakohta jakamalla rivin {0400; 0010} arvo rivin {0300; 0010} arvolla.</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Jos vähimmäisomavaraisuusasteen G-SII-korotusta ei sovelleta, ilmoitetaan ainoastaan i ja iii alakohdan tiedot.</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Jos toimivaltainen viranomainen ei ole ilmoittanut P2G:tä, ilmoitetaan ainoastaan i ja ii alakohdan tiedot.</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bCs/>
                <w:sz w:val="24"/>
                <w:szCs w:val="24"/>
              </w:rPr>
              <w:t>Rivi ja sarake</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Lisätietoerät</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Vähimmäisomavaraisuusaste olettaen, että IFRS 9:ää tai vastaavia odotettavissa olevien luottotappioiden siirtymäjärjestelyjä ei olisi sovellettu</w:t>
            </w:r>
          </w:p>
          <w:p w14:paraId="56553E75"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Vakavaraisuusasetuksen 473 a artiklan 8 kohta</w:t>
            </w:r>
          </w:p>
          <w:p w14:paraId="7576BAB1" w14:textId="7CE2951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Laitosten, jotka ovat päättäneet soveltaa vakavaraisuusasetuksen 473 a artiklassa säädettyjä siirtymäjärjestelyjä, on ilmoitettava vähimmäisomavaraisuusaste, joka niillä olisi, jos ne eivät soveltaisi tätä artiklaa.</w:t>
            </w:r>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Vähimmäisomavaraisuusaste olettaen, että käypään arvoon muiden laajan tuloksen erien kautta arvostettujen realisoitumattomien voittojen ja tappioiden väliaikaista kohtelua ei olisi sovellettu</w:t>
            </w:r>
          </w:p>
          <w:p w14:paraId="22FC70A7"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Vakavaraisuusasetuksen 468 artiklan 5 kohta</w:t>
            </w:r>
          </w:p>
          <w:p w14:paraId="787A9CC8" w14:textId="1B7E2B43"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Laitosten, jotka ovat päättäneet soveltaa vakavaraisuusasetuksen 468 artiklan 1 kohdassa säädettyä väliaikaista kohtelua, on ilmoitettava vähimmäisomavaraisuusaste, joka niillä olisi, jos ne eivät soveltaisi kyseistä kohtelua.</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4" w:name="_Toc359414286"/>
      <w:bookmarkStart w:id="55" w:name="_Toc423089071"/>
      <w:bookmarkStart w:id="56" w:name="_Toc58932775"/>
      <w:r>
        <w:rPr>
          <w:rFonts w:ascii="Times New Roman" w:hAnsi="Times New Roman"/>
          <w:b/>
          <w:sz w:val="24"/>
          <w:szCs w:val="24"/>
        </w:rPr>
        <w:t>4.</w:t>
      </w:r>
      <w:r>
        <w:tab/>
      </w:r>
      <w:bookmarkStart w:id="57" w:name="_Toc351048507"/>
      <w:r>
        <w:rPr>
          <w:rFonts w:ascii="Times New Roman" w:hAnsi="Times New Roman"/>
          <w:b/>
          <w:sz w:val="24"/>
          <w:szCs w:val="24"/>
        </w:rPr>
        <w:t>C 40.00 – Vastuiden vaihtoehtoinen käsittely</w:t>
      </w:r>
      <w:bookmarkEnd w:id="50"/>
      <w:bookmarkEnd w:id="57"/>
      <w:bookmarkEnd w:id="54"/>
      <w:r>
        <w:rPr>
          <w:rFonts w:ascii="Times New Roman" w:hAnsi="Times New Roman"/>
          <w:b/>
          <w:sz w:val="24"/>
          <w:szCs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20.</w:t>
      </w:r>
      <w:r>
        <w:tab/>
      </w:r>
      <w:r>
        <w:rPr>
          <w:rFonts w:ascii="Times New Roman" w:hAnsi="Times New Roman"/>
          <w:sz w:val="24"/>
          <w:szCs w:val="24"/>
        </w:rPr>
        <w:t xml:space="preserve">Tähän raportin osaan kootaan johdannaisten, arvopapereilla toteutettavien rahoitustoimien, taseen ulkopuolisten erien, vapautettujen julkisen sektorin sijoitusten ja edistämislainoja koskevien vapautettujen vastuiden vaihtoehtoista käsittelyä koskevat tiedot. </w:t>
      </w:r>
    </w:p>
    <w:p w14:paraId="0801E40E" w14:textId="5C86FA03"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21.</w:t>
      </w:r>
      <w:r>
        <w:tab/>
      </w:r>
      <w:r>
        <w:rPr>
          <w:rFonts w:ascii="Times New Roman" w:hAnsi="Times New Roman"/>
          <w:sz w:val="24"/>
          <w:szCs w:val="24"/>
        </w:rPr>
        <w:t xml:space="preserve">Laitosten on määritettävä lomakkeeseen LR1 sisältyvät tasearvot sovellettavan tilinpäätössäännöstön perusteella vakavaraisuusasetuksen 4 artiklan 1 kohdan 77 alakohdan mukaisesti. Ilmaisulla ”kirjanpitoarvo, ei nettoutusta tai muita luottoriskin vähentämismenetelmiä” tarkoitetaan tasearvoa, jossa ei ole otettu huomioon nettoutuksen tai muiden luottoriskien vähentämismenetelmien vaikutusta. </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22.</w:t>
      </w:r>
      <w:r>
        <w:tab/>
      </w:r>
      <w:r>
        <w:rPr>
          <w:rFonts w:ascii="Times New Roman" w:hAnsi="Times New Roman"/>
          <w:sz w:val="24"/>
          <w:szCs w:val="24"/>
        </w:rPr>
        <w:t>Laitosten on ilmoitettava LR1-erät ikään kuin LRCalc-lomakkeessa negatiivisella merkillä varustettuja eriä (esimerkiksi vapautuksia/vähennyksiä) ei sovellettaisi tässä liitteessä olevan I osan 9 kohdan merkkikäytäntöjen mukaisesti, lukuun ottamatta rivejä {0270; 0010} {0280; 0010}.</w:t>
      </w:r>
    </w:p>
    <w:p w14:paraId="3B5DA19A" w14:textId="2845E321"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23.</w:t>
      </w:r>
      <w:r>
        <w:tab/>
      </w:r>
      <w:r>
        <w:rPr>
          <w:rFonts w:ascii="Times New Roman" w:hAnsi="Times New Roman"/>
          <w:sz w:val="24"/>
          <w:szCs w:val="24"/>
        </w:rPr>
        <w:t>{r0410; c0010} lomakkeen 40.00 osalta raportoidaan ainoastaan:</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suuret laitokset, jotka ovat joko G-SII-laitoksia tai jotka ovat laskeneet liikkeeseen arvopapereita, jotka on otettu kaupankäynnin kohteeksi säännellyillä markkinoilla puolivuosittain,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muut suuret laitokset kuin G-SII-laitokset, jotka eivät ole listaamattomia laitoksia, vuosittain;</w:t>
      </w:r>
    </w:p>
    <w:p w14:paraId="59E3D42C" w14:textId="64FE3358"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muut laitokset kuin suuret laitokset ja pienet ja rakenteeltaan yksinkertaiset laitokset, jotka ovat laskeneet liikkeeseen arvopapereita, jotka on otettu kaupankäynnin kohteeksi säännellyillä markkinoilla, vuosittain.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Rivi ja sarake</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Lainsäädäntöviittaukset ja ohjeet</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bCs/>
                <w:sz w:val="24"/>
                <w:szCs w:val="24"/>
              </w:rPr>
              <w:t>Johdannaiset – tasearvo</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Tässä ilmoitetaan solujen {0020;010}, {0050;010} ja {0060;010} summa.</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Johdannaiset – kirjanpitoarvo, ei nettoutusta tai muita luottoriskin vähentämismenetelmiä</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Tässä ilmoitetaan solujen {0020;0020}, {0050;0020} ja {0060;0020} summa.</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Johdannaiset – nimellisarvo</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Tässä ilmoitetaan solujen {0020;0070}, {0050;0070} ja {0060;0070} summa.</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Luottojohdannaiset (myydyt suojat) – tasearvo</w:t>
            </w:r>
          </w:p>
          <w:p w14:paraId="0232A08C" w14:textId="71CBB29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Vakavaraisuusasetuksen 4 artiklan 1 kohdan 77 alakohta; tässä ilmoitetaan sovellettavan tilinpäätössäännöstön mukainen tasearvo sellaisten luottojohdannaisten osalta, joissa laitos myy vastapuolelle luottosuojan ja sopimus katsotaan taseessa varoiksi.</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Luottojohdannaiset (myydyt suojat) – kirjanpitoarvo, ei nettoutusta tai muita luottoriskin vähentämismenetelmiä</w:t>
            </w:r>
          </w:p>
          <w:p w14:paraId="379F5EE7" w14:textId="22B93F7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Vakavaraisuusasetuksen 4 artiklan 1 kohdan 77 alakohta; tässä ilmoitetaan sovellettavan tilinpäätössäännöstön mukainen tasearvo sellaisten luottojohdannaisten osalta, joissa laitos myy luottosuojan vastapuolelle ja sopimus katsotaan taseessa varoiksi, olettaen, että ei ole sovellettu nettoutusta vakavaraisuuslaskennassa tai kirjanpidossa eikä ole otettu huomioon muita luottoriskin vähentämisvaikutuksia (eli on kumottava ne kirjanpidon nettoutuksen tai luottoriskin vähentämismenetelmien vaikutukset, jotka ovat vaikuttaneet kirjanpitoarvoon).</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Luottojohdannaiset (myydyt suojat) – nimellisarvo</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Tässä ilmoitetaan solujen {0030;0070} ja {0040;0070} summa.</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Luottojohdannaiset (myydyt suojat) – rajattu nimellisarvo</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luottojohdannaisten viittaama nimellismäärä (myyty suoja), kuten kohdassa {0020; 0070} niiden negatiivisten käyvän arvon muutosten vähentämisen jälkeen, jotka on sisällytetty ensisijaiseen pääomaan (T1) asetettuun luottojohdannaiseen.</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Luottojohdannaiset (myydyt suojat), joihin sovelletaan päättämislauseketta – nimellisarvo</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tässä solussa luottojohdannaisten nimellisarvo tapauksissa, joissa laitos myy vastapuolelle päättämislausekkeen alaisen luottosuojan.</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bCs/>
                <w:sz w:val="24"/>
                <w:szCs w:val="24"/>
              </w:rPr>
              <w:t>Päättämislausekkeella tarkoitetaan lauseketta, joka antaa saajaosapuolelle oikeuden päättää oikea-aikaisesti kaikki sopimuksenmukaiset liiketoimet, jos vastapuoli laiminlyö maksunsa, on maksukyvytön tai asetetaan konkurssiin.</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Laitosten on otettava huomioon kaikki luottojohdannaiset, ei pelkästään kaupankäyntivarastoon luokiteltuja luottojohdannaisia.</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Luottojohdannaiset (myydyt suojat), joihin ei sovelleta päättämislauseketta – nimellisarvo</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szCs w:val="24"/>
              </w:rPr>
              <w:t>Laitosten on ilmoitettava tässä solussa luottojohdannaisten nimellisarvo tapauksissa, joissa laitos myy vastapuolelle luottosuoja, joka ei ole päättämislausekkeen alainen.</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Päättämislausekkeella tarkoitetaan lauseketta, joka antaa saajaosapuolelle oikeuden päättää oikea-aikaisesti kaikki sopimuksenmukaiset liiketoimet, jos vastapuoli laiminlyö maksunsa, on maksukyvytön tai asetetaan konkurssiin.</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otettava huomioon kaikki luottojohdannaiset, ei pelkästään kaupankäyntivarastoon luokiteltuja luottojohdannaisia.</w:t>
            </w:r>
            <w:r>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Luottojohdannaiset (ostetut suojat) – tasearvo</w:t>
            </w:r>
          </w:p>
          <w:p w14:paraId="253831D8" w14:textId="2DDCF90C"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 artiklan 1 kohdan 77 alakohta; tässä ilmoitetaan sovellettavan tilinpäätössäännöstön mukainen tasearvo sellaisten luottojohdannaisten osalta, joissa laitos ostaa vastapuolelta luottosuojan ja sopimus katsotaan taseessa varoiksi.</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otettava huomioon kaikki luottojohdannaiset, ei pelkästään kaupankäyntivarastoon luokiteltuja luottojohdannaisia.</w:t>
            </w:r>
            <w:r>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Luottojohdannaiset (ostetut suojat) – kirjanpitoarvo, ei nettoutusta tai muita luottoriskin vähentämismenetelmiä</w:t>
            </w:r>
          </w:p>
          <w:p w14:paraId="269D2982" w14:textId="78A45E3B"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 artiklan 1 kohdan 77 alakohta; Tässä ilmoitetaan sovellettavan tilinpäätössäännöstön mukainen tasearvo sellaisten luottojohdannaisten osalta, joissa laitos ostaa luottosuojan vastapuolelta ja sopimus katsotaan taseessa varoiksi, olettaen, että ei ole sovellettu nettoutusta vakavaraisuuslaskennassa tai kirjanpidossa eikä ole otettu huomioon muita luottoriskin vähentämisvaikutuksia (eli on kumottava ne kirjanpidon nettoutuksen tai luottoriskin vähentämismenetelmien vaikutukset, jotka ovat vaikuttaneet kirjanpitoarvoon).</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otettava huomioon kaikki luottojohdannaiset, ei pelkästään kaupankäyntivarastoon luokiteltuja luottojohdannaisia.</w:t>
            </w:r>
            <w:r>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Luottojohdannaiset (ostetut suojat) – nimellisarvo</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Laitosten on ilmoitettava tässä solussa luottojohdannaisten nimellisarvo tapauksissa, joissa laitos ostaa vastapuolelta luottosuojan.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otettava huomioon kaikki luottojohdannaiset, ei pelkästään kaupankäyntivarastoon luokiteltuja luottojohdannaisia.</w:t>
            </w:r>
            <w:r>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Luottojohdannaiset (ostetut suojat) – rajattu nimellisarvo</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Laitosten on ilmoitettava tässä solussa luottojohdannaisten nimellisarvo (ostetut suojat), kuten solussa {0050;0070}, sen jälkeen kun mahdolliset käyvän arvon positiiviset muutokset, jotka on sisällytetty ensisijaiseen pääomaan (T1) kyseisen ostetun luottojohdannaisen osalta, on vähennetty.</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Luottojohdannaiset (ostetut suojat) – rajattu nimellisarvo (sama referenssinimi)</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szCs w:val="24"/>
              </w:rPr>
              <w:t>Laitosten on ilmoitettava luottojohdannaisten nimellisarvo tapauksissa, joissa laitos ostaa luottosuojan luottojohdannaisille, joiden referenssinimi vastaa ilmoittavan laitoksen markkinoille asettamia luottojohdannaisia.</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Tämän solun osalta referenssinimet katsotaan toisiaan vastaaviksi, jos ne viittaavat samaan oikeushenkilöön tai etuoikeustasoon.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Referenssiomaisuuserien ryhmälle ostettu luottosuoja katsotaan taloudellisesti vastaavaksi suojaksi kuin suoja, joka ostetaan kullekin ryhmään kuuluvalle viitenimelle erikseen.</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Jos laitos ostaa luottosuojan referenssinimien ryhmälle, suoja katsotaan vastaavaksi vain, jos ostettu luottosuoja kattaa kaikki ryhmään kuuluvat kohteet, joille on myyty luottosuoja. Toisin sanoen kuittaus hyväksytään vain tapauksissa, joissa referenssiomaisuuserien ryhmä ja etuoikeusjärjestys ovat molemmissa transaktioissa samat.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szCs w:val="24"/>
              </w:rPr>
              <w:t>Kunkin referenssinimen osalta tässä solussa ilmoitetun hankitun luottosuojan nimellisarvo ei saa ylittää soluissa {0020;0075} ja {0050;0075} ilmoitettuja summia.</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Rahoitusjohdannaiset – tasearvo</w:t>
            </w:r>
          </w:p>
          <w:p w14:paraId="6FA0DDE8" w14:textId="76BC30CE"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 artiklan 1 kohdan 77 alakohta</w:t>
            </w:r>
          </w:p>
          <w:p w14:paraId="5A64C9B2" w14:textId="6BFDB4D4"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sovellettavan tilinpäätössäännöstön mukainen tasearvo vakavaraisuusasetuksen liitteessä II lueteltujen sopimusten osalta tapauksissa, joissa kyseiset sopimukset katsotaan taseessa varoiksi.</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Rahoitusjohdannaiset – kirjanpitoarvo, ei nettoutusta tai muita luottoriskin vähentämismenetelmiä</w:t>
            </w:r>
          </w:p>
          <w:p w14:paraId="00EB79C6" w14:textId="7804F83C"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Vakavaraisuusasetuksen 4 artiklan 1 kohdan 77 alakohta; tässä ilmoitetaan sovellettavan tilinpäätössäännöstön mukainen tasearvo vakavaraisuusasetuksen liitteessä II lueteltujen sopimusten osalta tapauksissa, joissa kyseiset sopimukset katsotaan taseessa varoiksi, olettaen, että ei ole sovellettu nettoutusta vakavaraisuuslaskennassa tai kirjanpidossa eikä ole otettu huomioon muita luottoriskin vähentämisvaikutuksia (eli on kumottava ne kirjanpidon nettoutuksen tai luottoriskin vähentämismenetelmien vaikutukset, jotka ovat vaikuttaneet kirjanpitoarvoon).</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Rahoitusjohdannaiset – nimellisarvo</w:t>
            </w:r>
          </w:p>
          <w:p w14:paraId="64E79FE5" w14:textId="6D634E0A"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Tähän soluun sisällytetään vakavaraisuusasetuksen liitteessä II lueteltujen sopimusten nimellisarvo.</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Arvopapereilla toteutettavat rahoitustoimet – tasearvo</w:t>
            </w:r>
          </w:p>
          <w:p w14:paraId="0D6AB751" w14:textId="715CA2F8"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4 artiklan 1 kohdan 77 alakohta; arvopapereilla toteutettavien rahoitustoimien tasearvo sovellettavan tilinpäätössäännöstön mukaisesti, jos sopimukset kirjataan varoiksi taseeseen.</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Laitokset eivät saa sisällyttää tähän soluun saatuja käteissuorituksia tai vastapuolelle edellä mainittujen liiketoimien kautta annettuja arvopapereita, jotka säilyvät taseessa (eli taseesta pois kirjaamista koskeva kirjanpidon periaate ei täyty). Kyseinen luku ilmoitetaan solussa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Arvopapereilla toteutettavat rahoitustoimet – kirjanpitoarvo, ei nettoutusta tai muita luottoriskin vähentämismenetelmiä</w:t>
            </w:r>
          </w:p>
          <w:p w14:paraId="07F0EA6D" w14:textId="36DDFB54" w:rsidR="00474B43"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Vakavaraisuusasetuksen 4 artiklan 1 kohdan 77 alakohta; tässä ilmoitetaan sovellettavan tilinpäätössäännöstön mukainen tasearvo, kun sopimukset katsotaan taseessa varoiksi, olettaen, että ei ole sovellettu nettoutusta vakavaraisuuslaskennassa tai kirjanpidossa eikä ole otettu huomioon muita luottoriskin vähentämisvaikutuksia (eli on kumottava ne kirjanpidon nettoutuksen tai luottoriskin vähentämismenetelmien vaikutukset, jotka ovat vaikuttaneet kirjanpitoarvoon).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Jos sovellettavan tilinpäätössäännöstön mukaisesti arvopapereilla toteutettavaan rahoitustoimeen sovelletaan myyntikirjanpitoa, laitoksen on poistettava kaikki myyntiin liittyvät kirjanpitomerkinnät.</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Laitokset eivät saa sisällyttää tähän soluun saatuja käteissuorituksia tai vastapuolelle edellä mainittujen liiketoimien kautta annettuja arvopapereita, jotka säilyvät taseessa (eli taseesta pois kirjaamista koskeva kirjanpidon periaate ei täyty). Kyseinen luku ilmoitetaan solussa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Muut varat – tasearvo</w:t>
            </w:r>
          </w:p>
          <w:p w14:paraId="6BEE30BB" w14:textId="22D8D469"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Vakavaraisuusasetuksen 4 artiklan 1 kohdan 77 alakohta; tässä ilmoitetaan sovellettavan tilinpäätössäännöstön mukainen tasearvo muiden varojen kuin vakavaraisuusasetuksen liitteessä II lueteltujen sopimusten, luottojohdannaisten ja arvopapereilla toteutettavien rahoitustoimien osalta.</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Muut varat – kirjanpitoarvo, ei nettoutusta tai muita luottoriskin vähentämismenetelmiä</w:t>
            </w:r>
          </w:p>
          <w:p w14:paraId="398E7EA3" w14:textId="1172C7C7" w:rsidR="00410E47" w:rsidRPr="000B66BC" w:rsidRDefault="00E20CD8"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Vakavaraisuusasetuksen 4 artiklan 1 kohdan 77 alakohta; Tässä ilmoitetaan sovellettavan tilinpäätössäännöstön mukainen tasearvo muiden varojen kuin vakavaraisuusasetuksen liitteessä II lueteltujen sopimusten, luottojohdannaisten ja arvopapereilla toteutettavien rahoitustoimien osalta olettaen, että kirjanpidon nettoutuksen vaikutuksia tai muita luottoriskin vähentämismenetelmien vaikutuksia ei ole (eli on kumottava ne kirjanpidon nettoutuksen tai luottoriskin vähentämismenetelmien vaikutukset, jotka ovat vaikuttaneet kirjanpitoarvoon).</w:t>
            </w: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Taseen ulkopuoliset erät</w:t>
            </w:r>
          </w:p>
          <w:p w14:paraId="75A062FE" w14:textId="5F4AEDAA" w:rsidR="00D5649D"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taseen ulkopuolisten erien nimellisarvo. Nimellisarvoa ei saa pienentää erityisillä luottoriskioikaisuilla.</w:t>
            </w:r>
          </w:p>
          <w:p w14:paraId="76247621" w14:textId="632614DC" w:rsidR="00D5649D" w:rsidRPr="000B66BC" w:rsidDel="00764219" w:rsidRDefault="00D5649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Laitokset eivät saa ottaa tässä solussa huomioon vakavaraisuusasetuksen liitteessä II lueteltuja sopimuksia, luottojohdannaisia ja arvopapereilla toteutettavia rahoitustoimia vakavaraisuusasetuksen 429 f artiklan 1 kohdan mukaisesti.</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Johdannaissopimuksista saadut käteisvakuudet – kirjanpitoarvo, ei nettoutusta tai muita luottoriskin vähentämismenetelmiä</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szCs w:val="24"/>
              </w:rPr>
              <w:t>Tässä ilmoitetaan sovellettavan tilinpäätössäännöstön mukainen tasearvo johdannaissopimuksista saatujen käteisvakuuksien osalta olettaen, että kirjanpidon nettoutuksen vaikutuksia tai muita luottoriskin vähentämismenetelmien vaikutuksia ei ole (eli on kumottava ne kirjanpidon nettoutuksen tai luottoriskin vähentämismenetelmien vaikutukset, jotka ovat vaikuttaneet kirjanpitoarvoon).</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szCs w:val="24"/>
              </w:rPr>
              <w:t>Tämän solun osalta käteisellä tarkoitetaan käteisvarojen yhteismäärää, mukaan lukien kolikot ja setelit. Yhteismäärään luetaan mukaan keskuspankeissa pidettävien talletusten kokonaismäärä siinä määrin kuin talletukset voidaan nostaa stressikausien aikana. Laitokset eivät ilmoita muihin laitoksiin talletettuja käteisvaroja tässä solussa.</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Johdannaissopimusten yhteydessä asetettuja käteisvakuuksia koskevat saamiset – kirjanpitoarvo, ei nettoutusta tai muita luottoriskin vähentämismenetelmiä</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Tässä ilmoitetaan sovellettavan tilinpäätössäännöstön mukainen tasearvo johdannaissopimusten yhteydessä asetettuja käteisvakuuksia koskevien saamisten osalta olettaen, että kirjanpidon nettoutuksen vaikutuksia tai luottoriskin vähentämismenetelmien vaikutuksia ei ole (eli on kumottava ne kirjanpidon nettoutuksen tai luottoriskin vähentämismenetelmien vaikutukset, jotka ovat vaikuttaneet kirjanpitoarvoon).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szCs w:val="24"/>
              </w:rPr>
              <w:t>Laitosten, jotka voivat sovellettavan tilinpäätössäännöstön nojalla nettouttaa johdannaisvelkaa vastaan asetettuja käteisvakuuksia koskevat saamiset (negatiivinen käypä arvo) ja jotka päättävät toimia näin, on suoritettava käänteinen nettoutus ja ilmoitettava käteissaamisten nettoarvo.</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Varoiksi katsotut arvopapereilla toteutetuista rahoitustoimista saadut arvopaperit – kirjanpitoarvo, ei nettoutusta tai muita luottoriskin vähentämismenetelmiä</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szCs w:val="24"/>
              </w:rPr>
              <w:t>Tässä ilmoitetaan sovellettavan tilinpäätössäännöstön mukainen tasearvo varoiksi katsottujen arvopapereilla toteutetuista rahoitustoimista saatujen arvopapereiden osalta olettaen, että kirjanpidon nettoutuksen vaikutuksia tai muita luottoriskin vähentämismenetelmien vaikutuksia ei ole (eli on kumottava ne kirjanpidon nettoutuksen tai luottoriskin vähentämismenetelmien vaikutukset, jotka ovat vaikuttaneet kirjanpitoarvoon).</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Arvopapereilla toteutetuista rahoitustoimista saatujen käteisvarojen edelleenlainaus (käteissaatavat) – kirjanpitoarvo, ei nettoutusta tai muita luottoriskin vähentämismenetelmiä</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Tässä ilmoitetaan sovellettavan tilinpäätössäännöstön mukainen tasearvo sellaisten arvopapereilla toteutetuista rahoitustoimista saatujen käteisvarojen osalta, jotka on edelleenlainattu (CCLT) arvopapereiden omistajalle, olettaen, että kirjanpidon nettoutuksen vaikutuksia tai muita luottoriskin vähentämismenetelmien vaikutuksia ei ole (eli on kumottava ne kirjanpidon nettoutuksen tai luottoriskin vähentämismenetelmien vaikutukset, jotka ovat vaikuttaneet kirjanpitoarvoon).</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Tämän solun osalta käteisellä tarkoitetaan käteisvarojen yhteismäärää, mukaan lukien kolikot ja setelit. Yhteismäärään luetaan mukaan keskuspankeissa pidettävien talletusten kokonaismäärä siinä määrin kuin talletukset voidaan nostaa stressikausien aikana. Laitokset eivät ilmoita tässä solussa muihin laitoksiin talletettuja käteisvaroja.</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Arvopapereilla toteutetuista rahoitustoimista saatujen käteisvarojen edelleenlainauksessa (cash conduit lending transaction, CCLT) laitos ottaa arvopapereita lainaksi arvopapereiden omistajalta ja antaa kyseiset arvopaperit edelleen lainaksi arvopapereiden lainaajalle. Laitos vastaanottaa arvopaperien lainaksiottajalta käteisvakuuden ja lainaa kyseiset käteisvarat arvopaperien omistajalle. Vaatimukset täyttävän CCLT:n on täytettävä kaikki seuraavat edellytykset:</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a)</w:t>
            </w:r>
            <w:r>
              <w:tab/>
            </w:r>
            <w:r>
              <w:rPr>
                <w:rFonts w:ascii="Times New Roman" w:hAnsi="Times New Roman"/>
                <w:color w:val="000000"/>
                <w:sz w:val="24"/>
                <w:szCs w:val="24"/>
              </w:rPr>
              <w:t>kumpikin CCLT:n mukainen transaktio on suoritettava saman kaupantekopäivän aikana tai, kansainvälisten transaktioiden osalta, peräkkäisinä pankkipäivinä;</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b)</w:t>
            </w:r>
            <w:r>
              <w:tab/>
            </w:r>
            <w:r>
              <w:rPr>
                <w:rFonts w:ascii="Times New Roman" w:hAnsi="Times New Roman"/>
                <w:color w:val="000000"/>
                <w:sz w:val="24"/>
                <w:szCs w:val="24"/>
              </w:rPr>
              <w:t>jos transaktioiden yhteydessä ei ole määritetty maturiteettia, laitoksella on oltava oikeus päättää kumpi tahansa CCLT:n mukainen transaktio milloin vain ilman ennakkoilmoitusta;</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c)</w:t>
            </w:r>
            <w:r>
              <w:tab/>
            </w:r>
            <w:r>
              <w:rPr>
                <w:rFonts w:ascii="Times New Roman" w:hAnsi="Times New Roman"/>
                <w:color w:val="000000"/>
                <w:sz w:val="24"/>
                <w:szCs w:val="24"/>
              </w:rPr>
              <w:t>jos transaktioiden yhteydessä on määritetty maturiteetti, laitokselle ei saa aiheutua maturiteettieroja. Laitoksella on oltava oikeus päättää kumpi tahansa CCLT:n mukainen transaktio milloin vain ilman ennakkoilmoitusta;</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szCs w:val="24"/>
              </w:rPr>
              <w:t>d)</w:t>
            </w:r>
            <w:r>
              <w:tab/>
            </w:r>
            <w:r>
              <w:rPr>
                <w:rFonts w:ascii="Times New Roman" w:hAnsi="Times New Roman"/>
                <w:sz w:val="24"/>
                <w:szCs w:val="24"/>
              </w:rPr>
              <w:t>CCLT ei aiheuta riskin kasvua.</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8" w:name="_Toc322687882"/>
            <w:bookmarkEnd w:id="51"/>
            <w:r>
              <w:rPr>
                <w:rFonts w:ascii="Times New Roman" w:hAnsi="Times New Roman"/>
                <w:bCs/>
                <w:sz w:val="24"/>
                <w:szCs w:val="24"/>
              </w:rPr>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Julkisen sektorin sijoitukset – Saamiset keskushallinnoilta – Tasearvo</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Jos laitos on julkinen kehitysluottolaitos, sovellettavan tilinpäätössäännöstön mukainen tasearvo varoista, jotka ovat saamisia keskushallinnoilta julkisen sektorin investointeihin liittyen.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Huomioon on otettava myös sellaisen laitoksen tasearvot, jota toimivaltainen viranomainen käsittelee julkisena kehitysluottolaitoksena vakavaraisuusasetuksen 429 a artiklan 2 kohdan viimeisen alakohdan mukaisesti.</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Julkisen sektorin sijoitukset – Saamiset aluehallinnoilta – Tasearvo</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Jos laitos on julkinen kehitysluottolaitos, sovellettavan tilinpäätössäännöstön mukainen tasearvo varoista, jotka ovat saamisia aluehallinnoilta julkisen sektorin investointeihin liittyen.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Huomioon on otettava myös sellaisen laitoksen tasearvot, jota toimivaltainen viranomainen käsittelee julkisena kehitysluottolaitoksena vakavaraisuusasetuksen 429 a artiklan 2 kohdan viimeisen alakohdan mukaisesti.</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Julkisen sektorin sijoitukset – Saamiset paikallisviranomaisilta – Tasearvo</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Jos laitos on julkinen kehitysluottolaitos, sovellettavan tilinpäätössäännöstön mukainen tasearvo varoista, jotka ovat saamisia paikallisviranomaisilta julkisen sektorin investointeihin liittyen.</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Huomioon on otettava myös sellaisen laitoksen tasearvot, jota toimivaltainen viranomainen käsittelee julkisena kehitysluottolaitoksena vakavaraisuusasetuksen 429 a artiklan 2 kohdan viimeisen alakohdan mukaisesti.</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{0300;0010}</w:t>
            </w:r>
          </w:p>
        </w:tc>
        <w:tc>
          <w:tcPr>
            <w:tcW w:w="7620" w:type="dxa"/>
          </w:tcPr>
          <w:p w14:paraId="00BE052E" w14:textId="1B671F12"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Julkisen sektorin sijoitukset – Saamiset julkisyhteisöiltä ja julkisoikeudellisilta laitoksilta – Tasearvo</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Jos laitos on julkinen kehitysluottolaitos, sovellettavan tilinpäätössäännöstön mukainen tasearvo varoista, jotka ovat saamisia julkisyhteisöiltä ja julkisoikeudellisilta laitoksilta julkisen sektorin investointeihin liittyen.</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Huomioon on otettava myös sellaisen laitoksen yksikön tasearvot, jota toimivaltainen viranomainen käsittelee julkisena kehitysluottolaitoksena vakavaraisuusasetuksen 429 a artiklan 2 kohdan viimeisen alakohdan mukaisesti.</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Edistämislainat – Saamiset keskushallinnoilta – Tasearvo</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Jos laitos on julkinen kehitysluottolaitos, sovellettavan tilinpäätössäännöstön mukainen tasearvo varoista, jotka ovat saamisia keskushallinnoilta edistämislainoihin liittyen.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Huomioon on otettava myös sellaisen laitoksen yksikön tasearvot, jota toimivaltainen viranomainen käsittelee julkisena kehitysluottolaitoksena vakavaraisuusasetuksen 429 a artiklan 2 kohdan viimeisen alakohdan mukaisesti.</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bCs/>
                <w:sz w:val="24"/>
                <w:szCs w:val="24"/>
              </w:rPr>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Edistämislainat – Saamiset keskushallinnoilta – Nimellismäärä/nimellisarvo</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bCs/>
                <w:sz w:val="24"/>
                <w:szCs w:val="24"/>
              </w:rPr>
              <w:t>Jos laitos on julkinen kehitysluottolaitos, taseen ulkopuolisten erien nimellismäärä suhteessa keskushallinnoille myönnettyjen edistämislainojen nostamattomaan osaan</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bCs/>
                <w:sz w:val="24"/>
                <w:szCs w:val="24"/>
              </w:rPr>
              <w:t>Huomioon on otettava myös sellaisen laitoksen yksikön nimellismäärät, jota toimivaltainen viranomainen käsittelee julkisena kehitysluottolaitoksena vakavaraisuusasetuksen 429 a artiklan 2 kohdan viimeisen alakohdan mukaisesti.</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Edistämislainat – Saamiset aluehallinnoilta – Tasearvo</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Jos laitos on julkinen kehitysluottolaitos, sovellettavan tilinpäätössäännöstön mukainen tasearvo varoista, jotka ovat saamisia aluehallinnoilta edistämislainoihin liittyen.</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Huomioon on otettava myös sellaisen laitoksen yksikön tasearvot, jota toimivaltainen viranomainen käsittelee julkisena kehitysluottolaitoksena vakavaraisuusasetuksen 429 a artiklan 2 kohdan viimeisen alakohdan mukaisesti.</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Edistämislainat – Saamiset aluehallinnoilta – Nimellismäärä/nimellisarvo</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Jos laitos on julkinen kehitysluottolaitos, taseen ulkopuolisten erien nimellismäärä suhteessa aluehallinnoille myönnettyjen edistämislainojen nostamattomaan osaan</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Huomioon on otettava myös sellaisen laitoksen yksikön nimellismäärät, jota toimivaltainen viranomainen käsittelee julkisena kehitysluottolaitoksena vakavaraisuusasetuksen 429 a artiklan 2 kohdan viimeisen alakohdan mukaisesti.</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Edistämislainat – Saamiset paikallisviranomaisilta – Tasearvo</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Jos laitos on julkinen kehitysluottolaitos, sovellettavan tilinpäätössäännöstön mukainen tasearvo varoista, jotka ovat saamisia paikallisviranomaisilta edistämislainoihin liittyen.</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Huomioon on otettava myös sellaisen laitoksen yksikön tasearvot, jota toimivaltainen viranomainen käsittelee julkisena kehitysluottolaitoksena vakavaraisuusasetuksen 429 a artiklan 2 kohdan viimeisen alakohdan mukaisesti.</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Edistämislainat – Saamiset paikallisviranomaisilta – Nimellismäärä/nimellisarvo</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Jos laitos on julkinen kehitysluottolaitos, taseen ulkopuolisten erien nimellismäärä suhteessa paikallisviranomaisille myönnettyjen edistämislainojen nostamattomaan osaan</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Huomioon on otettava myös sellaisen laitoksen yksikön nimellismäärät, jota toimivaltainen viranomainen käsittelee julkisena kehitysluottolaitoksena vakavaraisuusasetuksen 429 a artiklan 2 kohdan viimeisen alakohdan mukaisesti.</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04BE626C"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Edistämislainat – Saamiset julkisyhteisöiltä ja julkisoikeudellisilta laitoksilta – Tasearvo</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Jos laitos on julkinen kehitysluottolaitos, sovellettavan tilinpäätössäännöstön mukainen tasearvo varoista, jotka ovat saamisia julkisyhteisöiltä ja julkisoikeudellisilta laitoksilta edistämislainoihin liittyen.</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Huomioon on otettava myös sellaisen laitoksen yksikön tasearvot, jota toimivaltainen viranomainen käsittelee julkisena kehitysluottolaitoksena vakavaraisuusasetuksen 429 a artiklan 2 kohdan viimeisen alakohdan mukaisesti.</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{0340;0070}</w:t>
            </w:r>
          </w:p>
        </w:tc>
        <w:tc>
          <w:tcPr>
            <w:tcW w:w="7620" w:type="dxa"/>
          </w:tcPr>
          <w:p w14:paraId="6383FA4C" w14:textId="5C1E9EE8"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Edistämislainat – Saamiset julkisyhteisöiltä ja julkisoikeudellisilta laitoksilta – Nimellismäärä/nimellisarvo</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bCs/>
                <w:sz w:val="24"/>
                <w:szCs w:val="24"/>
              </w:rPr>
              <w:t>Jos laitos on julkinen kehitysluottolaitos, taseen ulkopuolisten erien nimellismäärä suhteessa julkisyhteisöille ja julkisoikeudellisille laitoksille myönnettyjen edistämislainojen nostamattomaan osaan</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Huomioon on otettava myös sellaisen laitoksen yksikön nimellismäärät, jota toimivaltainen viranomainen käsittelee julkisena kehitysluottolaitoksena vakavaraisuusasetuksen 429 a artiklan 2 kohdan viimeisen alakohdan mukaisesti.</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620" w:type="dxa"/>
          </w:tcPr>
          <w:p w14:paraId="3CAFC6DC" w14:textId="191E29D4"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Edistämislainat – Saamiset muilta kuin rahoitusalan yrityksiltä – Tasearvo</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Jos laitos on julkinen kehitysluottolaitos, sovellettavan tilinpäätössäännöstön mukainen tasearvo varoista, jotka ovat saamisia muilta kuin rahoitusalan yrityksiltä edistämislainoihin liittyen.</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Huomioon on otettava myös sellaisen laitoksen yksikön tasearvot, jota toimivaltainen viranomainen käsittelee julkisena kehitysluottolaitoksena vakavaraisuusasetuksen 429 a artiklan 2 kohdan viimeisen alakohdan mukaisesti.</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bCs/>
                <w:sz w:val="24"/>
                <w:szCs w:val="24"/>
              </w:rPr>
              <w:t>{0350;0070}</w:t>
            </w:r>
          </w:p>
        </w:tc>
        <w:tc>
          <w:tcPr>
            <w:tcW w:w="7620" w:type="dxa"/>
          </w:tcPr>
          <w:p w14:paraId="26540368" w14:textId="51FC61BA"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Edistämislainat – Saamiset rahoitusalan ulkopuolisilta yrityksiltä – Nimellismäärä/nimellisarvo</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bCs/>
                <w:sz w:val="24"/>
                <w:szCs w:val="24"/>
              </w:rPr>
              <w:t>Jos laitos on julkinen kehitysluottolaitos, taseen ulkopuolisten erien nimellismäärä suhteessa muille kuin rahoitusalan yrityksille myönnettyjen edistämislainojen nostamattomaan osaan</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Huomioon on otettava myös sellaisen laitoksen yksikön nimellismäärät, jota toimivaltainen viranomainen käsittelee julkisena kehitysluottolaitoksena vakavaraisuusasetuksen 429 a artiklan 2 kohdan viimeisen alakohdan mukaisesti.</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Edistämislainat – Saamiset kotitalouksilta – Tasearvo</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Jos laitos on julkinen kehitysluottolaitos, sovellettavan tilinpäätössäännöstön mukainen tasearvo varoista, jotka ovat saamisia kotitalouksilta edistämislainoihin liittyen.</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Huomioon on otettava myös sellaisen laitoksen yksikön tasearvot, jota toimivaltainen viranomainen käsittelee julkisena kehitysluottolaitoksena vakavaraisuusasetuksen 429 a artiklan 2 kohdan viimeisen alakohdan mukaisesti.</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Edistämislainat – Saamiset paikallisviranomaisilta – Nimellismäärä/nimellisarvo</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bCs/>
                <w:sz w:val="24"/>
                <w:szCs w:val="24"/>
              </w:rPr>
              <w:t>Jos laitos on julkinen kehitysluottolaitos, taseen ulkopuolisten erien nimellismäärä suhteessa kotitalouksille myönnettyjen edistämislainojen nostamattomaan osaan</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Huomioon on otettava myös sellaisen laitoksen yksikön nimellismäärät, jota toimivaltainen viranomainen käsittelee julkisena kehitysluottolaitoksena vakavaraisuusasetuksen 429 a artiklan 2 kohdan viimeisen alakohdan mukaisesti.</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Edistämislainat – Siirretyt –</w:t>
            </w:r>
            <w:r>
              <w:rPr>
                <w:sz w:val="24"/>
                <w:szCs w:val="24"/>
              </w:rPr>
              <w:t xml:space="preserve"> </w:t>
            </w:r>
            <w:r>
              <w:rPr>
                <w:rFonts w:ascii="Times New Roman" w:hAnsi="Times New Roman"/>
                <w:b/>
                <w:bCs/>
                <w:sz w:val="24"/>
                <w:szCs w:val="24"/>
              </w:rPr>
              <w:t>Tasearvo</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szCs w:val="24"/>
              </w:rPr>
              <w:t>Jos laitos on julkinen kehitysluottolaitos, sovellettavan siirrettyjä edistämislainoja koskevan tilinpäätössäännöstön mukainen tasearvo, jos laitos ei ole itse myöntänyt edistämislainoja.</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Huomioon on otettava myös sellaisen laitoksen yksikön tasearvot, jota toimivaltainen viranomainen käsittelee julkisena kehitysluottolaitoksena vakavaraisuusasetuksen 429 a artiklan 2 kohdan viimeisen alakohdan mukaisesti.</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bCs/>
                <w:sz w:val="24"/>
                <w:szCs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Edistämislainat – Siirretyt –</w:t>
            </w:r>
            <w:r>
              <w:rPr>
                <w:sz w:val="24"/>
                <w:szCs w:val="24"/>
              </w:rPr>
              <w:t xml:space="preserve"> </w:t>
            </w:r>
            <w:r>
              <w:rPr>
                <w:rFonts w:ascii="Times New Roman" w:hAnsi="Times New Roman"/>
                <w:b/>
                <w:bCs/>
                <w:sz w:val="24"/>
                <w:szCs w:val="24"/>
              </w:rPr>
              <w:t>Nimellismäärä/nimellisarvo</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szCs w:val="24"/>
              </w:rPr>
              <w:t>Jos laitos on julkinen kehitysluottolaitos, taseen ulkopuolisten erien nimellismäärä suhteessa kotitalouksille myönnettyjen siirrettyjen edistämislainojen nostamattomaan osaan, jos laitos ei ole itse myöntänyt edistämislainoja.</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Huomioon on otettava myös sellaisen laitoksen yksikön nimellismäärät, jota toimivaltainen viranomainen käsittelee julkisena kehitysluottolaitoksena vakavaraisuusasetuksen 429 a artiklan 2 kohdan viimeisen alakohdan mukaisesti.</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Saamiset keskuspankeilta -</w:t>
            </w:r>
            <w:r>
              <w:rPr>
                <w:sz w:val="24"/>
                <w:szCs w:val="24"/>
              </w:rPr>
              <w:t xml:space="preserve"> </w:t>
            </w:r>
            <w:r>
              <w:rPr>
                <w:rFonts w:ascii="Times New Roman" w:hAnsi="Times New Roman"/>
                <w:b/>
                <w:bCs/>
                <w:sz w:val="24"/>
                <w:szCs w:val="24"/>
              </w:rPr>
              <w:t>Tasearvo</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Laitosten on ilmoitettava sovellettavan tilinpäätössäännöstön mukaisesti seuraavien laitoksen keskuspankkiin liittyvien vastuiden arvo: i) kolikot ja setelit, jotka ovat laillista valuuttaa keskuspankin lainkäyttöalueella; ii) omaisuuserät, jotka ovat saatavia keskuspankilta, keskuspankissa pidettävät varannot mukaan luettuina.</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Laitosten on otettava huomioon ainoastaan vastuut, jotka täyttävät molemmat seuraavista edellytyksistä: a) ne ovat saman valuutan määräisiä kuin laitoksen ottamat talletukset; b) niiden keskimääräinen maturiteetti ei merkittävästi ylitä laitoksen ottamien talletusten keskimääräistä maturiteettia.</w:t>
            </w:r>
          </w:p>
          <w:p w14:paraId="1572123D" w14:textId="74F2C6DA"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szCs w:val="24"/>
              </w:rPr>
              <w:t>Laitosten on ilmoitettava nämä vastuut riippumatta siitä, onko ne vapautettu vastuiden kokonaismäärästä vakavaraisuusasetuksen 429 a artiklan 5 kohdan ja (6) kohdan mukaisesti .</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20C39BF3"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Vakavaraisuusasetuksen 429 a artiklan 7 kohdassa tarkoitetun mukautettua vähimmäisomavaraisuusastetta koskevan vaatimuksen laskennassa käytetty keskuspankin vastuuarvo – vähimmäisomavaraisuusasteen vastuiden määrä</w:t>
            </w:r>
          </w:p>
          <w:p w14:paraId="0EDC2D5D" w14:textId="0B426B68"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Vakavaraisuusasetuksen 429 a artiklan 5 kohdan c alakohdassa tarkoitettua päivää edeltävältä keskuspankin koko varantojen pitoajanjaksolta laskettu niiden laitoksen keskuspankkiin liittyvien vastuiden päivittäinen keskimääräinen kokonaisarvo, jotka voidaan jättää vakavaraisuusasetuksen 429 a artiklan 1 kohdan n alakohdan mukaisesti ulkopuolelle.</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E1F3C1E"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Vakavaraisuusasetuksen 429 a artiklan 7 kohdassa tarkoitetun mukautettua vähimmäisomavaraisuusastetta koskevan vaatimuksen laskennassa käytetty vähimmäisomavaraisuusasteen vastuut – Vähimmäisomavaraisuusasteen vastuiden määrä</w:t>
            </w:r>
          </w:p>
          <w:p w14:paraId="7F49B2B2" w14:textId="4B127234"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Vakavaraisuusasetuksen 429 artiklan 4 kohdassa määritelty laitoksen vastuiden kokonaismäärä, mukaan lukien vakavaraisuusasetuksen 429 artiklan 1 kohdan n alakohdan mukaisesti soveltamisalan ulkopuolelle jätetyt vastuut, vakavaraisuusasetuksen 429 a artiklan 5 kohdan c alakohdassa tarkoitettuna päivänä.</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Kokonaisvarat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Laitosten on ilmoitettava tässä erässä kokonaisvarat julkistetussa tilinpäätöksessä käytetyn soveltamisalan mukaisesti.</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9" w:name="_Toc338669922"/>
      <w:bookmarkStart w:id="60" w:name="_Toc338669923"/>
      <w:bookmarkStart w:id="61" w:name="_Toc338669924"/>
      <w:bookmarkStart w:id="62" w:name="_Toc338669925"/>
      <w:bookmarkStart w:id="63" w:name="_Toc338669926"/>
      <w:bookmarkStart w:id="64" w:name="_Toc338669927"/>
      <w:bookmarkStart w:id="65" w:name="_Toc338669928"/>
      <w:bookmarkEnd w:id="59"/>
      <w:bookmarkEnd w:id="60"/>
      <w:bookmarkEnd w:id="61"/>
      <w:bookmarkEnd w:id="62"/>
      <w:bookmarkEnd w:id="63"/>
      <w:bookmarkEnd w:id="64"/>
      <w:bookmarkEnd w:id="65"/>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6" w:name="_Toc338669914"/>
      <w:bookmarkStart w:id="67" w:name="_Toc338669915"/>
      <w:bookmarkStart w:id="68" w:name="_Toc338669918"/>
      <w:bookmarkStart w:id="69" w:name="_Toc322687900"/>
      <w:bookmarkStart w:id="70" w:name="_Toc351048510"/>
      <w:bookmarkStart w:id="71" w:name="_Toc359414289"/>
      <w:bookmarkStart w:id="72" w:name="_Toc423089074"/>
      <w:bookmarkStart w:id="73" w:name="_Toc58932776"/>
      <w:bookmarkStart w:id="74" w:name="_Toc322533879"/>
      <w:bookmarkEnd w:id="58"/>
      <w:bookmarkEnd w:id="66"/>
      <w:bookmarkEnd w:id="67"/>
      <w:bookmarkEnd w:id="68"/>
      <w:r>
        <w:rPr>
          <w:rFonts w:ascii="Times New Roman" w:hAnsi="Times New Roman"/>
          <w:b/>
          <w:sz w:val="24"/>
          <w:szCs w:val="24"/>
        </w:rPr>
        <w:t>5.</w:t>
      </w:r>
      <w:r>
        <w:tab/>
      </w:r>
      <w:r>
        <w:rPr>
          <w:rFonts w:ascii="Times New Roman" w:hAnsi="Times New Roman"/>
          <w:b/>
          <w:sz w:val="24"/>
          <w:szCs w:val="24"/>
        </w:rPr>
        <w:t>C 43.00 – Vaihtoehtoinen vähimmäisomavaraisuusasteen vastuiden osatekijöiden jaottelu</w:t>
      </w:r>
      <w:bookmarkEnd w:id="69"/>
      <w:bookmarkEnd w:id="70"/>
      <w:bookmarkEnd w:id="71"/>
      <w:r>
        <w:rPr>
          <w:rFonts w:ascii="Times New Roman" w:hAnsi="Times New Roman"/>
          <w:b/>
          <w:sz w:val="24"/>
          <w:szCs w:val="24"/>
        </w:rPr>
        <w:t xml:space="preserve"> (LR4)</w:t>
      </w:r>
      <w:bookmarkEnd w:id="72"/>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24.</w:t>
      </w:r>
      <w:r>
        <w:tab/>
      </w:r>
      <w:r>
        <w:rPr>
          <w:rFonts w:ascii="Times New Roman" w:hAnsi="Times New Roman"/>
          <w:sz w:val="24"/>
          <w:szCs w:val="24"/>
        </w:rPr>
        <w:t>Laitosten on ilmoitettava vähimmäisomavaraisuusasteen vastuiden arvot sarakkeessa LR4 vapautusten ja vähennysten soveltamisen jälkeen LRCalc-lomakkeessaeli erät, joilla on negatiivinen merkki tässä liitteessä olevan I osan 9 kohdan merkkikäytäntöjen mukaisesti, lukuun ottamatta rivejä {0270; 0010} {0280; 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25.</w:t>
      </w:r>
      <w:r>
        <w:tab/>
      </w:r>
      <w:r>
        <w:rPr>
          <w:rFonts w:ascii="Times New Roman" w:hAnsi="Times New Roman"/>
          <w:sz w:val="24"/>
          <w:szCs w:val="24"/>
        </w:rPr>
        <w:t>Kaksinkertaisen huomioon ottamisen estämiseksi laitosten on noudatettava seuraavaa yhtälöä:</w:t>
      </w:r>
    </w:p>
    <w:p w14:paraId="6C63F05C" w14:textId="066ACE1C"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 xml:space="preserve"> </w:t>
      </w:r>
      <w:r>
        <w:tab/>
      </w:r>
      <w:r>
        <w:rPr>
          <w:rFonts w:ascii="Times New Roman" w:hAnsi="Times New Roman"/>
          <w:sz w:val="24"/>
          <w:szCs w:val="24"/>
        </w:rPr>
        <w:t>Kaikkien rivien summa rivistä {0010; 0010}</w:t>
      </w:r>
      <w:r>
        <w:rPr>
          <w:rFonts w:ascii="Times New Roman" w:hAnsi="Times New Roman"/>
          <w:bCs/>
          <w:sz w:val="24"/>
          <w:szCs w:val="24"/>
        </w:rPr>
        <w:t xml:space="preserve"> riviin </w:t>
      </w:r>
      <w:r>
        <w:rPr>
          <w:rFonts w:ascii="Times New Roman" w:hAnsi="Times New Roman"/>
          <w:sz w:val="24"/>
          <w:szCs w:val="24"/>
        </w:rPr>
        <w:t>{0</w:t>
      </w:r>
      <w:r>
        <w:rPr>
          <w:rFonts w:ascii="Times New Roman" w:hAnsi="Times New Roman"/>
          <w:bCs/>
          <w:sz w:val="24"/>
          <w:szCs w:val="24"/>
        </w:rPr>
        <w:t>267;</w:t>
      </w:r>
      <w:r>
        <w:rPr>
          <w:rFonts w:ascii="Times New Roman" w:hAnsi="Times New Roman"/>
          <w:sz w:val="24"/>
          <w:szCs w:val="24"/>
        </w:rPr>
        <w:t>0010}</w:t>
      </w:r>
      <w:r>
        <w:rPr>
          <w:rFonts w:ascii="Times New Roman" w:hAnsi="Times New Roman"/>
          <w:bCs/>
          <w:sz w:val="24"/>
          <w:szCs w:val="24"/>
        </w:rPr>
        <w:t xml:space="preserve"> lomakkeessa</w:t>
      </w:r>
      <w:r w:rsidR="00A23513">
        <w:rPr>
          <w:rFonts w:ascii="Times New Roman" w:hAnsi="Times New Roman"/>
          <w:bCs/>
          <w:sz w:val="24"/>
          <w:szCs w:val="24"/>
        </w:rPr>
        <w:t xml:space="preserve"> </w:t>
      </w:r>
      <w:r>
        <w:rPr>
          <w:rFonts w:ascii="Times New Roman" w:hAnsi="Times New Roman"/>
          <w:bCs/>
          <w:sz w:val="24"/>
          <w:szCs w:val="24"/>
        </w:rPr>
        <w:t xml:space="preserve">LRCalc </w:t>
      </w:r>
      <w:r>
        <w:rPr>
          <w:rFonts w:ascii="Times New Roman" w:hAnsi="Times New Roman"/>
          <w:sz w:val="24"/>
          <w:szCs w:val="24"/>
        </w:rPr>
        <w:t>=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5304C6D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szCs w:val="24"/>
        </w:rPr>
        <w:t>26.</w:t>
      </w:r>
      <w:r>
        <w:tab/>
      </w:r>
      <w:r>
        <w:rPr>
          <w:rFonts w:ascii="Times New Roman" w:hAnsi="Times New Roman"/>
          <w:sz w:val="24"/>
          <w:szCs w:val="24"/>
        </w:rPr>
        <w:t>Jotta riskipainotettujen vastuuerien yhteismäärä olisi yhdenmukainen vähimmäisomavaraisuusasteen vastuiden arvojen kanssa, se on myös ilmoitettava täysimääräisenä.</w:t>
      </w:r>
    </w:p>
    <w:p w14:paraId="794DC095" w14:textId="4270F256"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szCs w:val="24"/>
        </w:rPr>
        <w:t>27. Laitosten on ilmoitettava vastapuoli riskipainotettujen vastuuerien yhteismäärän osalta luottoriskin vähentämistekniikoiden ja niiden substituutiovaikutusten jälkeen. Laitosten on ilmoitettava vähimmäisomavaraisuusasteen vastuuseen liittyvä vastapuoli alkuperäisen vastapuolen mukaisesti eli ottamatta huomioon riskipainotettujen vastuuerien yhteismäärään sovellettavia luottoriskin vähentämismenetelmiä tai substituu</w:t>
      </w:r>
      <w:r w:rsidR="00E9457C">
        <w:rPr>
          <w:rFonts w:ascii="Times New Roman" w:hAnsi="Times New Roman"/>
          <w:sz w:val="24"/>
          <w:szCs w:val="24"/>
        </w:rPr>
        <w:t xml:space="preserve">tiovaikutuksia.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szCs w:val="24"/>
              </w:rPr>
              <w:t>Rivi ja sarake</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bCs/>
                <w:sz w:val="24"/>
                <w:szCs w:val="24"/>
              </w:rPr>
              <w:t>Lainsäädäntöviittaukset ja ohjeet</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Taseen ulkopuoliset erät; – vähimmäisomavaraisuusasteen vastuiden arvo</w:t>
            </w:r>
          </w:p>
          <w:p w14:paraId="158DBAF4" w14:textId="726111A6" w:rsidR="002509B1" w:rsidRPr="000B66BC" w:rsidRDefault="00F4754B" w:rsidP="00E9457C">
            <w:pPr>
              <w:pStyle w:val="BodyText1"/>
              <w:spacing w:after="240" w:line="240" w:lineRule="auto"/>
              <w:rPr>
                <w:rFonts w:ascii="Times New Roman" w:hAnsi="Times New Roman"/>
                <w:bCs/>
                <w:sz w:val="24"/>
                <w:szCs w:val="24"/>
              </w:rPr>
            </w:pPr>
            <w:r>
              <w:rPr>
                <w:rFonts w:ascii="Times New Roman" w:hAnsi="Times New Roman"/>
                <w:sz w:val="24"/>
                <w:szCs w:val="24"/>
              </w:rPr>
              <w:t>Vähimmäisomavaraisuusasteen vastuiden arvo lasketaan solujen {LRCalc;0150;0010}, {LRCalc;0160;0010}, {LRCalc;0170;0010} ja {LRCalc;0180;0010} summana, lukuun ottamatta vakavaraisuusasetuksen 429 a artiklan 1 kohdan a alakohdan mukaisesti vastuiden kokonaismäärän ulkopuolelle jätettäviä ryhmän sisäisiä (yksittäisiä) vastuita.</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Taseen ulkopuoliset erät – Riskipainotettujen vastuuerien yhteismäärä</w:t>
            </w:r>
          </w:p>
          <w:p w14:paraId="672047D9" w14:textId="24A19AA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Riskipainotettujen taseen ulkopuolisten vastuuerien määrä, lukuun ottamatta johdannaisia ja arvopapereilla toteutettavia rahoitustoimia, kuten standardimenetelmässä ja IRB-menetelmässä. </w:t>
            </w:r>
            <w:r>
              <w:rPr>
                <w:rFonts w:ascii="Times New Roman" w:hAnsi="Times New Roman"/>
                <w:sz w:val="24"/>
                <w:szCs w:val="24"/>
              </w:rPr>
              <w:t>Standardimenetelmän vastuiden osalta riskipainotettujen vastuuerien yhteismäärä lasketaan vakavaraisuusasetuksen kolmannen osan II osastossa olevan 2 luvun mukaisesti.</w:t>
            </w:r>
            <w:r>
              <w:rPr>
                <w:rFonts w:ascii="Times New Roman" w:hAnsi="Times New Roman"/>
                <w:bCs/>
                <w:sz w:val="24"/>
                <w:szCs w:val="24"/>
              </w:rPr>
              <w:t xml:space="preserve"> </w:t>
            </w:r>
            <w:r>
              <w:rPr>
                <w:rFonts w:ascii="Times New Roman" w:hAnsi="Times New Roman"/>
                <w:sz w:val="24"/>
                <w:szCs w:val="24"/>
              </w:rPr>
              <w:t>IRB-menetelmän vastuiden osalta riskipainotettujen vastuuerien yhteismäärä lasketaan vakavaraisuusasetuksen kolmannen osan II osastossa olevan 3 luvun mukaisesti.</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Joista: </w:t>
            </w:r>
            <w:r>
              <w:rPr>
                <w:rFonts w:ascii="Times New Roman" w:hAnsi="Times New Roman"/>
                <w:b/>
                <w:sz w:val="24"/>
                <w:szCs w:val="24"/>
              </w:rPr>
              <w:t>Kaupan rahoitus; – vähimmäisomavaraisuusasteen vastuiden arvo</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Kaupan rahoitukseen liittyvien taseen ulkopuolisten erien vähimmäisomavaraisuusasteen vastuiden arvo.</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Taulukon LR4 osalta kaupan rahoitukseen liittyvillä taseen ulkopuolisilla erillä tarkoitetaan tuontiin ja vientiin myönnettyjä ja vahvistettuja lyhytaikaisia ja itsestäänkuittautuvia rahoituseriä ja vastaavia liiketoimia.</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Joista: Kaupan rahoitus; riskipainotettujen vastuuerien yhteismäärä</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bCs/>
                <w:sz w:val="24"/>
                <w:szCs w:val="24"/>
              </w:rPr>
              <w:t>Riskipainotettujen taseen ulkopuolisten vastuuerien arvo, lukuun ottamatta johdannaisia ja arvopapereilla toteutettavia rahoitustoimia, joka liittyy kaupan rahoitukseen.</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Taulukon LR4 osalta kaupan rahoitukseen liittyvillä taseen ulkopuolisilla erillä tarkoitetaan tuontiin ja vientiin myönnettyjä ja vahvistettuja lyhytaikaisia ja itsestäänkuittautuvia rahoituseriä ja vastaavia liiketoimia.</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Joista: </w:t>
            </w:r>
            <w:r>
              <w:rPr>
                <w:rFonts w:ascii="Times New Roman" w:hAnsi="Times New Roman"/>
                <w:b/>
                <w:sz w:val="24"/>
                <w:szCs w:val="24"/>
              </w:rPr>
              <w:t>Virallisiin vientiluottovakuutusjärjestelmiin kuuluvat erät – vähimmäisomavaraisuusasteen vastuiden arvo</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Virallisiin vientiluottovakuutusjärjestelmiin kuuluvien, kaupan rahoitukseen liittyvien taseen ulkopuolisten erien vähimmäisomavaraisuusasteen vastuiden arvo.</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Taulukon LR4 osalta virallisiin vientiluottovakuutusjärjestelmiin kuuluvilla erillä tarkoitetaan valtion tai muun elimen, kuten vientiluottolaitoksen, tarjoamaa julkista tukea, kuten suoraa luottoa/rahoitusta, jälleenrahoitusta, korkotukea (jossa koko luoton kestoajaksi taataan kiinteä korko), kehitysapurahoitusta (lainat ja lahjoitukset), vientiluottovakuutuksia ja takauksia.</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Joista: Virallisiin vientiluottovakuutusjärjestelmiin kuuluvat erät – Riskipainotettujen vastuuerien yhteismäärä</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Riskipainotettujen taseen ulkopuolisten vastuuerien arvo, lukuun ottamatta johdannaisia ja arvopapereilla toteutettavia rahoitustoimia, joka liittyy virallisen vientiluottovakuutusjärjestelmän alaiseen kaupan rahoitukseen.</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Taulukon LR4 osalta virallisiin vientiluottovakuutusjärjestelmiin kuuluvilla erillä tarkoitetaan valtion tai muun elimen, kuten vientiluottolaitoksen, tarjoamaa julkista tukea, kuten suoraa luottoa/rahoitusta, jälleenrahoitusta, korkotukea (jossa koko luoton kestoajaksi taataan kiinteä korko), kehitysapurahoitusta (lainat ja lahjoitukset), vientiluottovakuutuksia ja takauksia.</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Tuotteiden ristikkäisnettoutusta koskevien sopimusten alaiset johdannaiset ja arvopapereilla toteutettavat rahoitustoimet – vähimmäisomavaraisuusasteen vastuiden arvo</w:t>
            </w:r>
          </w:p>
          <w:p w14:paraId="04D3A7BA" w14:textId="2951A72A"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Sellaisten johdannaisten ja arvopapereilla toteutettavien rahoitustoimien vähimmäisomavaraisuusasteen vastuiden arvo, joihin sovelletaan vakavaraisuusasetuksen 272 artiklan 25 alakohdan mukaista tuotteiden ristikkäisnettoutusta koskevaa sopimusta.</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Tuotteiden ristikkäisnettoutusta koskevien sopimusten alaiset johdannaiset ja arvopapereilla toteutettavat rahoitustoimet – Riskipainotettujen vastuuerien yhteismäärä</w:t>
            </w:r>
          </w:p>
          <w:p w14:paraId="2D88BC4B" w14:textId="1DBA453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Sellaisten taseeseen sisältyvien ja sen ulkopuolisten johdannaisten ja arvopapereilla toteutettavien rahoitustoimien luottoriskiä ja vastapuoliriskiä koskevat riskipainotetut vastuuerät, jotka on määritetty vakavaraisuusasetuksen kolmannen osan II osaston mukaisesti, jos niihin sovelletaan vakavaraisuusasetuksen 272 artiklan 25 alakohdan mukaista tuotteiden ristikkäisnettoutusta koskevaa sopimusta.</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Johdannaiset, joihin ei sovelleta tuotteiden ristikkäisnettoutusta koskevaa sopimusta – Vähimmäisomavaraisuusasteen vastuiden arvo</w:t>
            </w:r>
          </w:p>
          <w:p w14:paraId="48BC0234" w14:textId="0A29047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t>Johdannaisten vähimmäisomavaraisuusasteen vastuiden arvo, jos niihin ei sovelleta vakavaraisuusasetuksen 272 artiklan 25 kohdan mukaista tuotteiden ristikkäisnettoutusta koskevaa sopimusta.</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Johdannaiset, joihin ei sovelleta tuotteiden ristikkäisnettoutusta koskevaa sopimusta – Riskipainotettujen vastuuerien yhteismäärä</w:t>
            </w:r>
          </w:p>
          <w:p w14:paraId="328E1A83" w14:textId="431AD295"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t>Sellaisten taseeseen sisältyvien ja sen ulkopuolisten johdannaisten luottoriskiä ja vastapuoliriskiä koskevat riskipainotetut vastuuerät, jotka on määritetty vakavaraisuusasetuksen kolmannen osan II osaston mukaisesti, jos niihin ei sovelleta vakavaraisuusasetuksen 272 artiklan 25 kohdan mukaista tuotteiden ristikkäisnettoutusta koskevaa sopimusta.</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Arvopapereilla toteutettavat rahoitustoimet, joihin ei sovelleta tuotteiden ristikkäisnettoutusta koskevia sopimuksia – Vähimmäisomavaraisuusasteen vastuiden arvo</w:t>
            </w:r>
          </w:p>
          <w:p w14:paraId="621A4651" w14:textId="46DFD1F4"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t>Arvopapereilla toteutettavien rahoitustoimien vastuiden vähimmäisomavaraisuusasteen vastuiden arvo, jos niihin ei sovelleta vakavaraisuusasetuksen 272 artiklan 25 alakohdan mukaista tuotteiden ristikkäisnettoutusta koskevaa sopimusta.</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Arvopapereilla toteutettavat rahoitustoimet, joihin ei sovelleta tuotteiden ristikkäisnettoutusta koskevaa sopimusta – Riskipainotettujen vastuuerien yhteismäärä</w:t>
            </w:r>
          </w:p>
          <w:p w14:paraId="0358DACB" w14:textId="66B61E47"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t>Sellaisten taseeseen sisältyvien ja sen ulkopuolisten arvopapereilla toteutettavien rahoitustoimien luottoriskiä ja vastapuoliriskiä koskevat riskipainotetut vastuuerät, jotka on määritetty vakavaraisuusasetuksen kolmannen osan II osaston mukaisesti, jos niihin ei sovelleta vakavaraisuusasetuksen 272 artiklan 25 kohdan mukaista tuotteiden ristikkäisnettoutusta koskevaa sopimusta.</w:t>
            </w:r>
            <w:r>
              <w:rPr>
                <w:rFonts w:ascii="Times New Roman" w:hAnsi="Times New Roman"/>
                <w:bCs/>
                <w:sz w:val="24"/>
                <w:szCs w:val="24"/>
              </w:rPr>
              <w:t xml:space="preserve"> </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bCs/>
                <w:sz w:val="24"/>
                <w:szCs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szCs w:val="24"/>
              </w:rPr>
              <w:t>Luottojohdannaisten täydentävästä kohtelusta johtuvat vastuumäärät – Vähimmäisomavaraisuusasteen vastuiden arvo</w:t>
            </w:r>
          </w:p>
          <w:p w14:paraId="1E879EE4" w14:textId="47270A39"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szCs w:val="24"/>
              </w:rPr>
              <w:t>Tämän solun arvo on yhtä suuri kuin solujen {LRCalc;0130;0010} ja {LRCalc;0140;0010} erotus, lukuun ottamatta vakavaraisuusasetuksen 429 a artiklan 1 kohdan c alakohdan mukaisesti vastuiden kokonaismäärän ulkopuolelle jätettäviä ryhmän sisäisiä (yksittäisiä) vastuita.</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szCs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Muut kaupankäyntivarastoon kuuluvat varat – Vähimmäisomavaraisuusasteen vastuiden arvo</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Solun {LRCalc;0190;0010} mukainen vähimmäisomavaraisuusasteen vastuiden arvo, lukuun ottamatta kaupankäyntivaraston ulkopuolisia eriä.</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szCs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Muut kaupankäyntivarastoon kuuluvat varat – Riskipainotettujen vastuuerien yhteismäärä</w:t>
            </w:r>
          </w:p>
          <w:p w14:paraId="17C0B94C" w14:textId="5BB3815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Vakavaraisuusasetuksen kolmannen osan IV osaston alaisten omien varojen vaatimukset kerrottuna luvulla 12,5.</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Katetut joukkolainat – Vähimmäisomavaraisuusasteen vastuiden arvo – Vastuut (standardimenetelmän mukaiset)</w:t>
            </w:r>
          </w:p>
          <w:p w14:paraId="7DABED3A" w14:textId="62C07F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Vakavaraisuusasetuksen 129 artiklan mukaisten katettujen joukkolainojen vähimmäisomavaraisuusasteen standardimenetelmän mukaisten vastuiden arvo. </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standardimenetelmän mukaisia vastuita.</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Katetut joukkolainat – Vähimmäisomavaraisuusasteen vastuiden arvo – Vastuut (IRB-menetelmän mukaiset)</w:t>
            </w:r>
          </w:p>
          <w:p w14:paraId="31EFC20D" w14:textId="6E735E6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161 artiklan 1 kohdassa tarkoitettujen katettujen joukkolainojen vähimmäisomavaraisuusasteen IRB-menetelmän mukaisten vastuiden arvo.</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IRB-menetelmän mukaisia vastuita.</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Katetut joukkolainat – Riskipainotettujen vastuuerien yhteismäärä – Vastuut (standardimenetelmän mukaiset)</w:t>
            </w:r>
          </w:p>
          <w:p w14:paraId="6C4B05A8" w14:textId="3CC6E09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129 artiklan mukaisten katettujen joukkolainojen riskipainotettujen standardimenetelmän mukaisten vastuuerien yhteismäärä.</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Katetut joukkolainat – Riskipainotettujen vastuuerien yhteismäärä – Vastuut (IRB-menetelmän mukaiset)</w:t>
            </w:r>
          </w:p>
          <w:p w14:paraId="466ABC6A" w14:textId="52C506D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161 artiklan 1 kohdan d alakohdassa tarkoitettujen katettujen joukkolainojen riskipainotettujen IRB-menetelmän mukaisten vastuuerien yhteismäärä.</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IRB-menetelmän mukaisia vastuita.</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Valtiovastuiksi katsotut vastuut – Vähimmäisomavaraisuusasteen vastuiden arvo – Vastuut (standardimenetelmän mukaiset)</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solujen {0100,0010} – {0130,0010} summa.</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Laitosten on ilmoitettava nämä arvot ilman laiminlyötyjä standardimenetelmän mukaisia vastuita.</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Valtiovastuiksi katsotut vastuut – Vähimmäisomavaraisuusasteen vastuiden arvo – Vastuut (IRB-menetelmän mukaiset)</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solujen {0100,0020} – {0130,0020} summa.</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{0090;0030}</w:t>
            </w:r>
          </w:p>
        </w:tc>
        <w:tc>
          <w:tcPr>
            <w:tcW w:w="7406" w:type="dxa"/>
            <w:shd w:val="clear" w:color="auto" w:fill="FFFFFF"/>
          </w:tcPr>
          <w:p w14:paraId="63538621" w14:textId="57AD3CF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Valtiovastuiksi katsotut vastuut – Riskipainotettujen vastuuerien yhteismäärä – Vastuut (standardimenetelmä)</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solujen {0100,0030} – {0130,0030} summa.</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Valtiovastuiksi katsotut vastuut – Riskipainotettujen vastuuerien yhteismäärä – Vastuut (IRB-menetelmä)</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solujen {0100,0040} – {0130,0040} summa.</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Valtiot ja keskuspankit</w:t>
            </w:r>
            <w:r>
              <w:rPr>
                <w:rFonts w:ascii="Times New Roman" w:hAnsi="Times New Roman"/>
                <w:sz w:val="24"/>
                <w:szCs w:val="24"/>
              </w:rPr>
              <w:t xml:space="preserve"> </w:t>
            </w:r>
            <w:r>
              <w:rPr>
                <w:rFonts w:ascii="Times New Roman" w:hAnsi="Times New Roman"/>
                <w:b/>
                <w:sz w:val="24"/>
                <w:szCs w:val="24"/>
              </w:rPr>
              <w:t>– Vähimmäisomavaraisuusasteen vastuiden arvo – Vastuut (standardimenetelmä)</w:t>
            </w:r>
          </w:p>
          <w:p w14:paraId="6613A997" w14:textId="36083EA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114 artiklan mukaisten valtioilta ja keskuspankeilta olevien saamisten vähimmäisomavaraisuusasteen standardimenetelmän mukaisten vastuiden arvo.</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Valtiot ja keskuspankit – Vähimmäisomavaraisuusasteen vastuiden arvo – Vastuut (IRB-menetelmä)</w:t>
            </w:r>
          </w:p>
          <w:p w14:paraId="517FD145" w14:textId="3633E71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Vakavaraisuusasetuksen 147 artiklan 2 kohdan a alakohdan mukaisten valtioilta ja keskuspankeilta olevien saamisten vähimmäisomavaraisuusasteen IRB-menetelmän mukaisten vastuiden arvo. </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IRB-menetelmän mukaisia vastuita.</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Valtiot ja keskuspankit</w:t>
            </w:r>
            <w:r>
              <w:rPr>
                <w:rFonts w:ascii="Times New Roman" w:hAnsi="Times New Roman"/>
                <w:sz w:val="24"/>
                <w:szCs w:val="24"/>
              </w:rPr>
              <w:t xml:space="preserve"> </w:t>
            </w:r>
            <w:r>
              <w:rPr>
                <w:rFonts w:ascii="Times New Roman" w:hAnsi="Times New Roman"/>
                <w:b/>
                <w:bCs/>
                <w:sz w:val="24"/>
                <w:szCs w:val="24"/>
              </w:rPr>
              <w:t>– Riskipainotettujen vastuuerien yhteismäärä – Vastuut (standardimenetelmä)</w:t>
            </w:r>
          </w:p>
          <w:p w14:paraId="1057171E" w14:textId="740337F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114 artiklan mukaisten valtioilta ja keskuspankeilta olevien saamisten riskipainotettujen standardimenetelmän mukaisten vastuuerien yhteismäärä.</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Valtiot ja keskuspankit</w:t>
            </w:r>
            <w:r>
              <w:rPr>
                <w:rFonts w:ascii="Times New Roman" w:hAnsi="Times New Roman"/>
                <w:sz w:val="24"/>
                <w:szCs w:val="24"/>
              </w:rPr>
              <w:t xml:space="preserve"> </w:t>
            </w:r>
            <w:r>
              <w:rPr>
                <w:rFonts w:ascii="Times New Roman" w:hAnsi="Times New Roman"/>
                <w:b/>
                <w:bCs/>
                <w:sz w:val="24"/>
                <w:szCs w:val="24"/>
              </w:rPr>
              <w:t>– Riskipainotettujen vastuuerien yhteismäärä – Vastuut (IRB-menetelmä)</w:t>
            </w:r>
          </w:p>
          <w:p w14:paraId="47A75B9C" w14:textId="3A875AB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147 artiklan 2 kohdan mukaisten valtioilta ja keskuspankeilta olevien saamisten riskipainotettujen IRB-menetelmän mukaisten vastuuerien yhteismäärä.</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Aluehallinnot ja paikallisviranomaiset (valtiovastuu) – Vähimmäisomavaraisuusasteen vastuiden arvo – Vastuut (standardimenetelmä)</w:t>
            </w:r>
          </w:p>
          <w:p w14:paraId="5294E5EC" w14:textId="0D23B6C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Sellaisten vakavaraisuusasetuksen 115 artiklan 2 ja 4 kohdan mukaisten aluehallinnoilta ja paikallisviranomaisilta olevien saamisten vähimmäisomavaraisuusasteen standardimenetelmän mukaisten vastuiden arvo, joita on käsiteltävä kuten saamisia valtiolta.</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Laitosten on ilmoitettava nämä arvot ilman laiminlyötyjä standardimenetelmän mukaisia vastuita.</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Aluehallinnot ja paikallisviranomaiset (valtiovastuu) – Vähimmäisomavaraisuusasteen vastuiden arvo – Vastuut (IRB-menetelmä)</w:t>
            </w:r>
          </w:p>
          <w:p w14:paraId="02346C27" w14:textId="72E28F6E"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Vakavaraisuusasetuksen 147 artiklan 3 kohdan a alakohdan mukaisten aluehallinnoilta ja paikallisviranomaisilta olevien saamisten vähimmäisomavaraisuusasteen IRB-menetelmän mukaisten vastuiden arvo.</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Aluehallinnot ja paikallisviranomaiset (valtiovastuu) – Riskipainotettujen vastuuerien yhteismäärä – Vastuut (standardimenetelmä)</w:t>
            </w:r>
          </w:p>
          <w:p w14:paraId="38C283FD" w14:textId="7A1B88C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Sellaisten vakavaraisuusasetuksen 115 artiklan 2 ja 4 kohdan mukaisten aluehallinnoilta ja paikallisviranomaisilta olevien saamisten riskipainotettujen standardimenetelmän mukaisten vastuuerien yhteismäärä, joita on käsiteltävä kuten saamisia valtiolta.</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Aluehallinnot ja paikallisviranomaiset (valtiovastuu) – Riskipainotettujen vastuuerien yhteismäärä – Vastuut (IRB-menetelmä)</w:t>
            </w:r>
          </w:p>
          <w:p w14:paraId="099D799F" w14:textId="7F8E67A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Vakavaraisuusasetuksen 147 artiklan 3 kohdan a alakohdan mukaisten aluehallinnoilta ja paikallisviranomaisilta olevien saamisten riskipainotettujen IRB-menetelmän mukaisten vastuuerien yhteismäärä. </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Kansainväliset kehityspankit ja kansainväliset organisaatiot (valtiovastuu) – Vähimmäisomavaraisuusasteen vastuiden arvo – Vastuut (standardimenetelmä)</w:t>
            </w:r>
          </w:p>
          <w:p w14:paraId="595E0D3B" w14:textId="420681E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Vakavaraisuusasetuksen 117 artiklan 2 kohdan ja 118 artiklan mukaisten kansainvälisiltä kehityspankeilta ja kansainvälisiltä organisaatioilta olevien saamisten vähimmäisomavaraisuusasteen standardimenetelmän mukaisten vastuiden arvo. </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standardimenetelmän mukaisia vastuita.</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Kansainväliset kehityspankit ja kansainväliset organisaatiot (valtiovastuu) – Vähimmäisomavaraisuusasteen vastuiden arvo – Vastuut (IRB-menetelmä)</w:t>
            </w:r>
          </w:p>
          <w:p w14:paraId="3802319A" w14:textId="10E8D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147 artiklan 3 kohdan b ja c alakohdan mukaisten kansainvälisiltä kehityspankeilta ja kansainvälisiltä organisaatioilta olevien saamisten vähimmäisomavaraisuusasteen IRB-menetelmän mukaisten vastuiden arvo.</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IRB-menetelmän mukaisia vastuita.</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Kansainväliset kehityspankit ja kansainväliset organisaatiot (valtiovastuu) – Riskipainotettujen vastuuerien yhteismäärä – Vastuut (standardimenetelmä)</w:t>
            </w:r>
          </w:p>
          <w:p w14:paraId="37FB9B14" w14:textId="233BD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117 artiklan 2 kohdan ja 118 artiklan mukaisten kansainvälisiltä kehityspankeilta ja kansainvälisiltä organisaatioilta olevien saamisten riskipainotettujen standardimenetelmän mukaisten vastuuerien yhteismäärä.</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Kansainväliset kehityspankit ja kansainväliset organisaatiot (valtiovastuu) – Riskipainotettujen vastuuerien yhteismäärä – Vastuut (IBR-menetelmä)</w:t>
            </w:r>
          </w:p>
          <w:p w14:paraId="0A7C504F" w14:textId="187907F2"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147 artiklan 3 kohdan b ja c alakohdan mukaisten kansainvälisiltä kehityspankeilta ja kansainvälisiltä organisaatioilta olevien saamisten riskipainotettujen IRB-menetelmän mukaisten vastuuerien yhteismäärä.</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Laitosten on ilmoitettava nämä arvot ilman laiminlyötyjä IRB-menetelmän mukaisia vastuita.</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Julkisyhteisöt ja julkisoikeudelliset laitokset (valtiovastuu) – Vähimmäisomavaraisuusasteen vastuiden arvo – vastuut (standardimenetelmä)</w:t>
            </w:r>
          </w:p>
          <w:p w14:paraId="7D8203A3" w14:textId="0242016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116 artiklan 4 kohdan mukaisten julkisyhteisöiltä ja julkisoikeudellisilta laitoksilta olevien saamisten vähimmäisomavaraisuusasteen standardimenetelmän mukaisten vastuiden arvo.</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Laitosten on ilmoitettava nämä arvot ilman laiminlyötyjä standardimenetelmän mukaisia vastuita.</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Julkisyhteisöt ja julkisoikeudelliset laitokset (valtiovastuu) – Vähimmäisomavaraisuusasteen vastuiden arvo – Vastuut (IRB-menetelmä)</w:t>
            </w:r>
          </w:p>
          <w:p w14:paraId="6B0B91A7" w14:textId="4AEF21C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147 artiklan 3 kohdan a alakohdan mukaisten julkisyhteisöiltä ja julkisoikeudellisilta laitoksilta olevien saamisten vähimmäisomavaraisuusasteen IRB-menetelmän mukaisten vastuiden arvo.</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IRB-menetelmän mukaisia vastuita.</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Julkisyhteisöt ja julkisoikeudelliset laitokset (valtiovastuu) – Riskipainotettujen vastuuerien yhteismäärä – Vastuut (standardimenetelmä)</w:t>
            </w:r>
          </w:p>
          <w:p w14:paraId="53A6C1B8" w14:textId="65E5ABE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116 artiklan 4 kohdan mukaisten julkisyhteisöiltä ja julkisoikeudellisilta laitoksilta olevien saamisten riskipainotettujen standardimenetelmän mukaisten vastuuerien yhteismäärä.</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Julkisyhteisöt ja julkisoikeudelliset laitokset (valtiovastuu) – Riskipainotettujen vastuuerien yhteismäärä – Vastuut (IRB-menetelmä)</w:t>
            </w:r>
          </w:p>
          <w:p w14:paraId="0EAECD4A" w14:textId="08F6B311"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147 artiklan 3 kohdan a alakohdan mukaisten julkisyhteisöiltä ja julkisoikeudellisilta laitoksilta olevien saamisten riskipainotettujen IRB-menetelmän mukaisten vastuuerien yhteismäärä.</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Aluehallintojen, kansainvälisten kehityspankkien, kansainvälisten organisaatioiden, julkisyhteisöjen ja julkisoikeudellisten laitosten vastuut, joita ei katsota valtiovastuiksi – Vähimmäisomavaraisuusasteen vastuiden arvo – Vastuut (standardimenetelmä)</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Tässä ilmoitetaan solujen {0150,0010} – {0170,0010} summa.</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Aluehallintojen, kansainvälisten kehityspankkien, kansainvälisten organisaatioiden, julkisyhteisöjen ja julkisoikeudellisten laitosten vastuut, joita ei katsota valtiovastuiksi – Vähimmäisomavaraisuusasteen vastuiden arvo – Vastuut (IRB-menetelmä)</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Tässä ilmoitetaan solujen {0150,0020} – {0170,0020} summa.</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Aluehallintojen, kansainvälisten kehityspankkien, kansainvälisten organisaatioiden, julkisyhteisöjen ja julkisoikeudellisten laitosten vastuut, joita ei katsota valtiovastuiksi – Riskipainotettujen vastuuerien yhteismäärä – Vastuut (standardimenetelmä)</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Tässä ilmoitetaan solujen {0150,0030} – {0170,0030} summa.</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Aluehallintojen, kansainvälisten kehityspankkien, kansainvälisten organisaatioiden, julkisyhteisöjen ja julkisoikeudellisten laitosten vastuut, joita ei katsota valtiovastuiksi – Riskipainotettujen vastuuerien yhteismäärä – Vastuut (IRB-menetelmä)</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Tässä ilmoitetaan solujen {0150,0040} – {0170,0040} summa.</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IRB-menetelmän mukaisia vastuita.</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Aluehallinnot ja paikallisviranomaiset (ei-valtiovastuu) – Vähimmäisomavaraisuusasteen vastuiden arvo – Vastuut (standardimenetelmä)</w:t>
            </w:r>
          </w:p>
          <w:p w14:paraId="5997608A" w14:textId="4001C2D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Sellaisten vakavaraisuusasetuksen 115 artiklan 1, 3 ja 5 kohdan mukaisten aluehallinnoilta ja paikallisviranomaisilta olevien saamisten vähimmäisomavaraisuusasteen standardimenetelmän mukaisten vastuiden arvo, joita ei käsitellä saamisina valtiolta.</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standardimenetelmän mukaisia vastuita.</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Aluehallinnot ja paikallisviranomaiset (ei-valtiovastuu) – Vähimmäisomavaraisuusasteen vastuiden arvo – Vastuut (IRB-menetelmä)</w:t>
            </w:r>
          </w:p>
          <w:p w14:paraId="05330C07" w14:textId="0B2863D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147 artiklan 4 kohdan a alakohdan mukaisten aluehallinnoilta ja paikallisviranomaisilta olevien saamisten, joita ei käsitellä saamisina valtiolta, vähimmäisomavaraisuusasteen IRB-menetelmän mukaisten vastuiden arvo.</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Laitosten on ilmoitettava nämä arvot ilman laiminlyötyjä IRB-menetelmän mukaisia vastuita.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Aluehallinnot ja paikallisviranomaiset (ei-valtiovastuu) – Riskipainotettujen vastuuerien yhteismäärä – Vastuut (standardimenetelmä)</w:t>
            </w:r>
            <w:r>
              <w:rPr>
                <w:rFonts w:ascii="Times New Roman" w:hAnsi="Times New Roman"/>
                <w:b/>
                <w:bCs/>
                <w:sz w:val="24"/>
                <w:szCs w:val="24"/>
              </w:rPr>
              <w:t xml:space="preserve"> </w:t>
            </w:r>
          </w:p>
          <w:p w14:paraId="0C1281BF" w14:textId="0A0E4AF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Sellaisten vakavaraisuusasetuksen 115 artiklan 1, 3 ja 5 kohdan mukaisten aluehallinnoilta ja paikallisviranomaisilta olevien saamisten riskipainotettujen standardimenetelmän mukaisten vastuuerien yhteismäärä, joita ei käsitellä kuten saamisia valtiolta.</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Aluehallinnot ja paikallisviranomaiset (ei-valtiovastuu) – Riskipainotettujen vastuuerien yhteismäärä – Vastuut (IBR-menetelmä)</w:t>
            </w:r>
          </w:p>
          <w:p w14:paraId="51863919" w14:textId="7CF5F65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147 artiklan 4 kohdan a alakohdan mukaisten aluehallinnoilta ja paikallisviranomaisilta olevien saamisten, joita ei käsitellä saamisina valtiolta, riskipainotettujen IRB-menetelmän mukaisten vastuuerien yhteismäärä.</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Kansainväliset kehityspankit (</w:t>
            </w:r>
            <w:r>
              <w:rPr>
                <w:rFonts w:ascii="Times New Roman" w:hAnsi="Times New Roman"/>
                <w:b/>
                <w:sz w:val="24"/>
                <w:szCs w:val="24"/>
                <w:u w:val="single"/>
              </w:rPr>
              <w:t>ei</w:t>
            </w:r>
            <w:r>
              <w:rPr>
                <w:rFonts w:ascii="Times New Roman" w:hAnsi="Times New Roman"/>
                <w:b/>
                <w:sz w:val="24"/>
                <w:szCs w:val="24"/>
              </w:rPr>
              <w:t>-valtiovastuu) – Vähimmäisomavaraisuusasteen vastuiden arvo – vastuut (standardimenetelmä)</w:t>
            </w:r>
          </w:p>
          <w:p w14:paraId="07928584" w14:textId="7FC9EDB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Vakavaraisuusasetuksen 117 artiklan 1 ja 3 kohdan mukaisten kansainvälisiltä kehityspankeilta olevien vähimmäisomavaraisuusasteen standardimenetelmän mukaisten vastuiden arvo. </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standardimenetelmän mukaisia vastuita.</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Kansainväliset kehityspankit (</w:t>
            </w:r>
            <w:r>
              <w:rPr>
                <w:rFonts w:ascii="Times New Roman" w:hAnsi="Times New Roman"/>
                <w:b/>
                <w:sz w:val="24"/>
                <w:szCs w:val="24"/>
                <w:u w:val="single"/>
              </w:rPr>
              <w:t>ei</w:t>
            </w:r>
            <w:r>
              <w:rPr>
                <w:rFonts w:ascii="Times New Roman" w:hAnsi="Times New Roman"/>
                <w:b/>
                <w:sz w:val="24"/>
                <w:szCs w:val="24"/>
              </w:rPr>
              <w:t>-valtiovastuu) – Vähimmäisomavaraisuusasteen vastuiden arvo – Vastuut (IRB-menetelmä)</w:t>
            </w:r>
          </w:p>
          <w:p w14:paraId="6D2C0352" w14:textId="0C246E5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147 artiklan 4 kohdan c alakohdan mukaisten kansainvälisiltä kehityspankeilta olevien saamisten, joita ei käsitellä saamisina valtiolta, vähimmäisomavaraisuusasteen IRB-menetelmän mukaisten vastuiden arvo.</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Kansainväliset kehityspankit (ei-valtiovastuu) – Riskipainotettujen vastuuerien yhteismäärä – Vastuut (standardimenetelmä)</w:t>
            </w:r>
          </w:p>
          <w:p w14:paraId="4B127308" w14:textId="6CA9C60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Vakavaraisuusasetuksen 117 artiklan 1 ja 3 kohdan mukaisten kansainvälisiltä kehityspankeilta olevien riskipainotettujen standardimenetelmän mukaisten vastuuerien yhteismäärä.</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Kansainväliset kehityspankit (ei-valtiovastuu) – Riskipainotettujen vastuuerien yhteismäärä – Vastuut (IRB-menetelmä)</w:t>
            </w:r>
          </w:p>
          <w:p w14:paraId="466ECD88" w14:textId="015D345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147 artiklan 4 kohdan c alakohdan mukaisten kansainvälisiltä kehityspankeilta olevien saamisten, joita ei käsitellä saamisina valtiolta, riskipainotettujen standardimenetelmän mukaisten vastuuerien yhteismäärä.</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Julkisyhteisöt ja julkisoikeudelliset laitokset (ei-valtiovastuu) – Vähimmäisomavaraisuusasteen vastuiden arvo – Vastuut (standardimenetelmä)</w:t>
            </w:r>
          </w:p>
          <w:p w14:paraId="3FF6AAF1" w14:textId="6320BCE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116 artiklan 1, 2, 3 ja 5 kohdan mukaisten julkisyhteisöiltä ja julkisoikeudellisilta laitoksilta olevien saamisten vähimmäisomavaraisuusasteen standardimenetelmän mukaisten vastuuerien arvo.</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Laitosten on ilmoitettava nämä arvot ilman laiminlyötyjä standardimenetelmän mukaisia vastuita.</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Julkisyhteisöt ja julkisoikeudelliset laitokset (ei-valtiovastuu) – Vähimmäisomavaraisuusasteen vastuiden arvo – Vastuut (IRB-menetelmä)</w:t>
            </w:r>
          </w:p>
          <w:p w14:paraId="19C4FD72" w14:textId="6575CEA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147 artiklan 4 kohdan b alakohdan mukaisten julkisyhteisöiltä ja julkisoikeudellisilta laitoksilta olevien saamisten, joita ei käsitellä saamisina valtiolta, vähimmäisomavaraisuusasteen IRB-menetelmän mukaisten vastuiden arvo.</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Julkisyhteisöt ja julkisoikeudelliset laitokset (ei-valtiovastuu) – Riskipainotettujen vastuuerien yhteismäärä – Vastuut (standardimenetelmä)</w:t>
            </w:r>
          </w:p>
          <w:p w14:paraId="7ED0D977" w14:textId="5892676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Vakavaraisuusasetuksen 116 artiklan 1, 2, 3 ja 5 kohdan mukaisten julkisyhteisöiltä ja julkisoikeudellisilta laitoksilta olevien saamisten riskipainotettujen standardimenetelmän mukaisten vastuuerien yhteismäärä. </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Julkisyhteisöt ja julkisoikeudelliset laitokset (ei-valtiovastuu) – Riskipainotettujen vastuuerien yhteismäärä – Vastuut (IRB-menetelmä)</w:t>
            </w:r>
          </w:p>
          <w:p w14:paraId="3B167735" w14:textId="1C46124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Vakavaraisuusasetuksen 147 artiklan 4 kohdan b alakohdan mukaisten julkisyhteisöiltä ja julkisoikeudellisilta laitoksilta olevien saamisten, joita ei käsitellä saamisina valtiolta, riskipainotettujen IRB-menetelmän mukaisten vastuuerien yhteismäärä. </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Laitokset – Vähimmäisomavaraisuusasteen vastuiden arvo – Vastuut (standardimenetelmä)</w:t>
            </w:r>
          </w:p>
          <w:p w14:paraId="285DE0DE" w14:textId="62C2181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119, 120 ja 121 artiklan mukaisten laitoksilta olevien saamisten vähimmäisomavaraisuusasteen standardimenetelmän mukaisten vastuiden arvo.</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standardimenetelmän mukaisia vastuita.</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Laitokset – Vähimmäisomavaraisuusasteen vastuiden arvo – Vastuut (IRB-menetelmä)</w:t>
            </w:r>
          </w:p>
          <w:p w14:paraId="50027CF2" w14:textId="74C930C2"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Sellaisten vakavaraisuusasetuksen 147 artiklan 2 kohdan b alakohdan mukaisten laitoksilta olevien saamisten vähimmäisomavaraisuusasteen IRB-menetelmän mukaisten vastuiden arvo, jotka eivät ole 161 artiklan 1 kohdan d alakohdassa tarkoitettuja katettuja joukkolainoja ja joihin ei sovelleta 147 artiklan 4 kohdan a–c alakohtaa.</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Laitokset – Riskipainotettujen vastuuerien yhteismäärä – Vastuut (standardimenetelmä)</w:t>
            </w:r>
          </w:p>
          <w:p w14:paraId="7CE29C3B" w14:textId="1E06788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119, 120 ja 121 artiklan mukaisten laitoksilta olevien riskipainotettujen standardimenetelmän mukaisten vastuuerien yhteismäärä.</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Laitokset – Riskipainotettujen vastuuerien yhteismäärä – Vastuut (IRB-menetelmä)</w:t>
            </w:r>
          </w:p>
          <w:p w14:paraId="5E814575" w14:textId="1984B0A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Sellaisten vakavaraisuusasetuksen 147 artiklan 2 kohdan b alakohdan mukaisten laitoksilta olevien saamisten riskipainotettujen IRB-menetelmän mukaisten vastuuerien yhteismäärä, jotka eivät ole 161 artiklan 1 kohdan d alakohdassa tarkoitettuja katettuja joukkolainoja ja joihin ei sovelleta 147 artiklan 4 kohdan a–c alakohtaa.</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{0190;0010}</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Kiinteistövakuudelliset vastuut – Vähimmäisomavaraisuusasteen vastuiden arvo – Vastuut (standardimenetelmä)</w:t>
            </w:r>
          </w:p>
          <w:p w14:paraId="17D67F5E" w14:textId="42D832F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124 artiklan mukaisten kiinteistövakuudellisten vastuiden vähimmäisomavaraisuusasteen standardimenetelmän mukaisten vastuiden arvo.</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{0190;0020}</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Kiinteistövakuudelliset vastuut – Vähimmäisomavaraisuusasteen vastuiden arvo – Vastuut (IBR-menetelmä)</w:t>
            </w:r>
          </w:p>
          <w:p w14:paraId="763AB99D" w14:textId="2AFA915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147 artiklan 2 kohdan c alakohdan mukaisten yrityksiltä olevien saamisten tai 147 artiklan 2 kohdan d alakohdan mukaisten vähittäissaamisten vähimmäisomavaraisuusasteen IRB-menetelmän mukaisten vastuiden arvo, jos näillä on 199 artiklan 1 kohdan a alakohdassa tarkoitettu kiinteistövakuus.</w:t>
            </w:r>
          </w:p>
          <w:p w14:paraId="1A4EAAD1" w14:textId="69A57E6E"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IRB-menetelmän mukaisia vastuita.</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{0190;0030}</w:t>
            </w:r>
          </w:p>
        </w:tc>
        <w:tc>
          <w:tcPr>
            <w:tcW w:w="7406" w:type="dxa"/>
            <w:shd w:val="clear" w:color="auto" w:fill="FFFFFF"/>
          </w:tcPr>
          <w:p w14:paraId="660D9FEE" w14:textId="67FD6B6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Kiinteistövakuudelliset vastuut – Riskipainotettujen vastuuerien yhteismäärä – Vastuut (standardimenetelmä)</w:t>
            </w:r>
          </w:p>
          <w:p w14:paraId="7FD54199" w14:textId="756F763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Vakavaraisuusasetuksen 124 artiklan mukaisten kiinteistövakuudellisten vastuiden riskipainotettujen standardimenetelmän mukaisten vastuuerien määrä.</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{0190;0040}</w:t>
            </w:r>
          </w:p>
        </w:tc>
        <w:tc>
          <w:tcPr>
            <w:tcW w:w="7406" w:type="dxa"/>
            <w:shd w:val="clear" w:color="auto" w:fill="FFFFFF"/>
          </w:tcPr>
          <w:p w14:paraId="2A67D4CA" w14:textId="5828FEA2"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bCs/>
                <w:sz w:val="24"/>
                <w:szCs w:val="24"/>
              </w:rPr>
              <w:t>Kiinteistövakuudelliset vastuut – Riskipainot</w:t>
            </w:r>
            <w:r w:rsidR="00E9457C">
              <w:rPr>
                <w:rFonts w:ascii="Times New Roman" w:hAnsi="Times New Roman"/>
                <w:b/>
                <w:bCs/>
                <w:sz w:val="24"/>
                <w:szCs w:val="24"/>
              </w:rPr>
              <w:t>ettujen vastuuerien yhteismäärä</w:t>
            </w:r>
            <w:r>
              <w:rPr>
                <w:rFonts w:ascii="Times New Roman" w:hAnsi="Times New Roman"/>
                <w:b/>
                <w:bCs/>
                <w:sz w:val="24"/>
                <w:szCs w:val="24"/>
              </w:rPr>
              <w:t xml:space="preserve"> – Vastuut (IRB-menetelmä)</w:t>
            </w:r>
            <w:r>
              <w:tab/>
            </w:r>
          </w:p>
          <w:p w14:paraId="7F2995F6" w14:textId="2D0985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147 artiklan 2 kohdan c alakohdan mukaisten yrityksiltä olevien saamisten tai 147 artiklan 2 kohdan d alakohdan mukaisten vähittäissaamisten riskipainotettujen IRB-menetelmän mukaisten vastuuerien määrä, jos näillä on 199 artiklan 1 kohdan a alakohdassa tarkoitettu kiinteistövakuus.</w:t>
            </w:r>
          </w:p>
          <w:p w14:paraId="7586DF94" w14:textId="6150818F"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Joista: </w:t>
            </w:r>
            <w:r>
              <w:rPr>
                <w:rFonts w:ascii="Times New Roman" w:hAnsi="Times New Roman"/>
                <w:b/>
                <w:sz w:val="24"/>
                <w:szCs w:val="24"/>
              </w:rPr>
              <w:t>Asuinkiinteistövakuudelliset vastuut – Vähimmäisomavaraisuusasteen vastuiden arvo – Vastuut (standardimenetelmä)</w:t>
            </w:r>
          </w:p>
          <w:p w14:paraId="6D68CB80" w14:textId="68873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Sellaisten vakavaraisuusasetuksen 125 artiklan mukaisten vastuiden vähimmäisomavaraisuusasteen standardimenetelmän mukaisten vastuiden arvo, joiden täytenä vakuutena on asuinkiinteistö.</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standardimenetelmän mukaisia vastuita.</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Joista: </w:t>
            </w:r>
            <w:r>
              <w:rPr>
                <w:rFonts w:ascii="Times New Roman" w:hAnsi="Times New Roman"/>
                <w:b/>
                <w:sz w:val="24"/>
                <w:szCs w:val="24"/>
              </w:rPr>
              <w:t>Asuinkiinteistövakuudelliset vastuut – Vähimmäisomavaraisuusasteen vastuiden arvo – Vastuut (IRB-menetelmä)</w:t>
            </w:r>
          </w:p>
          <w:p w14:paraId="225F5A50" w14:textId="6EDFF0D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147 artiklan 2 kohdan c alakohdan mukaisten yrityksiltä olevien saamisten tai 147 artiklan 2 kohdan d alakohdan mukaisten vähittäissaamisten vähimmäisomavaraisuusasteen IRB-menetelmän mukaisten vastuiden arvo, jos näillä on 199 artiklan 1 kohdan a alakohdassa tarkoitettu asuinkiinteistövakuus.</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Joista: Asuinkiinteistövakuudelliset vastuut – Riskipainotettujen vastuuerien yhteismäärä – Vastuut (standardimenetelmä)</w:t>
            </w:r>
          </w:p>
          <w:p w14:paraId="2432C156" w14:textId="0D53087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Sellaisten vakavaraisuusasetuksen 125 artiklan mukaisten vastuiden riskipainotettujen standardimenetelmän mukaisten vastuuerien määrä joiden täytenä vakuutena on asuinkiinteistö.</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Joista: Asuinkiinteistövakuudelliset vastuut – Riskipainotettujen vastuuerien yhteismäärä – Vastuut (IRB-menetelmä)</w:t>
            </w:r>
          </w:p>
          <w:p w14:paraId="17020383" w14:textId="17A53C3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147 artiklan 2 kohdan c alakohdan mukaisten yrityksiltä olevien saamisten tai 147 artiklan 2 kohdan d alakohdan mukaisten vähittäissaamisten riskipainotettujen IRB-menetelmän mukaisten vastuuerien määrä, jos näillä on 199 artiklan 1 kohdan a alakohdassa tarkoitettu asuinkiinteistövakuus.</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Vähittäisvastuut – Vähimmäisomavaraisuusasteen vastuiden arvo – Vastuut (standardimenetelmä)</w:t>
            </w:r>
          </w:p>
          <w:p w14:paraId="1C50F3CF" w14:textId="3904223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123 artiklan mukaisten vähittäissaamisten vähimmäisomavaraisuusasteen standardimenetelmän mukaisten vastuiden arvo.</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standardimenetelmän mukaisia vastuita.</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Vähittäisvastuut – Vähimmäisomavaraisuusasteen vastuiden arvo – Vastuut (IRB-menetelmä)</w:t>
            </w:r>
          </w:p>
          <w:p w14:paraId="2F48B2D6" w14:textId="34AA586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Vakavaraisuusasetuksen 147 artiklan 2 kohdan d alakohdan mukaisten vähittäissaamisten vähimmäisomavaraisuusasteen IRB-menetelmän mukaisten vastuiden arvo, jos näillä </w:t>
            </w:r>
            <w:r>
              <w:rPr>
                <w:rFonts w:ascii="Times New Roman" w:hAnsi="Times New Roman"/>
                <w:bCs/>
                <w:sz w:val="24"/>
                <w:szCs w:val="24"/>
              </w:rPr>
              <w:t>ei</w:t>
            </w:r>
            <w:r>
              <w:rPr>
                <w:rFonts w:ascii="Times New Roman" w:hAnsi="Times New Roman"/>
                <w:sz w:val="24"/>
                <w:szCs w:val="24"/>
              </w:rPr>
              <w:t xml:space="preserve"> ole 199 artiklan 1 kohdan a alakohdassa tarkoitettua kiinteistövakuutta.</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IRB-menetelmän mukaisia vastuita.</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Vähittäisvastuut – Riskipainotettujen vastuuerien yhteismäärä – Vastuut (standardimenetelmä)</w:t>
            </w:r>
          </w:p>
          <w:p w14:paraId="078B0D1B" w14:textId="61CD554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123 artiklan mukaisten vähittäissaamisten riskipainotettujen standardimenetelmän mukaisten vastuuerien yhteismäärä.</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Vähittäisvastuut – Riskipainotettujen vastuuerien yhteismäärä – Vastuut (IRB-menetelmä)</w:t>
            </w:r>
          </w:p>
          <w:p w14:paraId="270C61EF" w14:textId="1F86C8D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Vakavaraisuusasetuksen 147 artiklan 2 kohdan d alakohdan mukaisten vähittäissaamisten riskipainotettujen IRB-menetelmän mukaisten vastuuerien yhteismäärä, jos näillä </w:t>
            </w:r>
            <w:r>
              <w:rPr>
                <w:rFonts w:ascii="Times New Roman" w:hAnsi="Times New Roman"/>
                <w:bCs/>
                <w:sz w:val="24"/>
                <w:szCs w:val="24"/>
              </w:rPr>
              <w:t>ei</w:t>
            </w:r>
            <w:r>
              <w:rPr>
                <w:rFonts w:ascii="Times New Roman" w:hAnsi="Times New Roman"/>
                <w:sz w:val="24"/>
                <w:szCs w:val="24"/>
              </w:rPr>
              <w:t xml:space="preserve"> ole 199 artiklan 1 kohdan a alakohdassa tarkoitettua kiinteistövakuutta.</w:t>
            </w:r>
            <w:r>
              <w:rPr>
                <w:rFonts w:ascii="Times New Roman" w:hAnsi="Times New Roman"/>
                <w:bCs/>
                <w:sz w:val="24"/>
                <w:szCs w:val="24"/>
              </w:rPr>
              <w:t xml:space="preserve"> </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Joista: </w:t>
            </w:r>
            <w:r>
              <w:rPr>
                <w:rFonts w:ascii="Times New Roman" w:hAnsi="Times New Roman"/>
                <w:b/>
                <w:sz w:val="24"/>
                <w:szCs w:val="24"/>
              </w:rPr>
              <w:t>Pk-yrityksiltä olevat vähittäissaamiset – Vähimmäisomavaraisuusasteen vastuiden arvo – Vastuut (standardimenetelmä)</w:t>
            </w:r>
          </w:p>
          <w:p w14:paraId="30054418" w14:textId="0ACC7E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123 artiklan mukaisten pk-yrityksiltä olevien vähittäissaamisten vähimmäisomavaraisuusasteen vastuiden arvo.</w:t>
            </w:r>
          </w:p>
          <w:p w14:paraId="55120FDB" w14:textId="4D9F9464"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Tämän solun osalta laitoksista käytetään termiä ”pk-yritys” vakavaraisuusasetuksen 501 artiklan 2 kohdan b alakohdan mukaisesti.</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Laitosten on ilmoitettava nämä arvot ilman laiminlyötyjä standardimenetelmän mukaisia vastuita.</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Joista: </w:t>
            </w:r>
            <w:r>
              <w:rPr>
                <w:rFonts w:ascii="Times New Roman" w:hAnsi="Times New Roman"/>
                <w:b/>
                <w:sz w:val="24"/>
                <w:szCs w:val="24"/>
              </w:rPr>
              <w:t>Pk-yrityksiltä olevat vähittäissaamiset – vähimmäisomavaraisuusasteen vastuiden arvo – vastuut (IRB-menetelmä)</w:t>
            </w:r>
          </w:p>
          <w:p w14:paraId="781E0C73" w14:textId="2963C04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Vakavaraisuusasetuksen 147 artiklan 2 kohdan d alakohdan mukaisten vähittäissaamisten vähimmäisomavaraisuusasteen IRB-menetelmän mukaisten vastuiden arvo, jos ne ovat pk-yrityksiltä olevia saamisia ja jos näillä </w:t>
            </w:r>
            <w:r>
              <w:rPr>
                <w:rFonts w:ascii="Times New Roman" w:hAnsi="Times New Roman"/>
                <w:bCs/>
                <w:sz w:val="24"/>
                <w:szCs w:val="24"/>
              </w:rPr>
              <w:t>ei</w:t>
            </w:r>
            <w:r>
              <w:rPr>
                <w:rFonts w:ascii="Times New Roman" w:hAnsi="Times New Roman"/>
                <w:sz w:val="24"/>
                <w:szCs w:val="24"/>
              </w:rPr>
              <w:t xml:space="preserve"> ole 199 artiklan 1 kohdan a alakohdassa tarkoitettua kiinteistövakuutta.</w:t>
            </w:r>
            <w:r>
              <w:rPr>
                <w:rFonts w:ascii="Times New Roman" w:hAnsi="Times New Roman"/>
                <w:bCs/>
                <w:sz w:val="24"/>
                <w:szCs w:val="24"/>
              </w:rPr>
              <w:t xml:space="preserve"> </w:t>
            </w:r>
          </w:p>
          <w:p w14:paraId="33D07FA1" w14:textId="2ECC7D0E"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Tämän solun osalta laitoksista käytetään termiä ”pk-yritys” vakavaraisuusasetuksen 501 artiklan 2 kohdan b alakohdan mukaisesti.</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Joista: Pk-yrityksiltä olevat vähittäissaamiset –Riskipainotettujen vastuuerien yhteismäärä – Vastuut (standardimenetelmä)</w:t>
            </w:r>
          </w:p>
          <w:p w14:paraId="6A3FD743" w14:textId="644522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123 artiklan mukaisten pk-yrityksiltä olevien vähittäissaamisten riskipainotettujen standardimenetelmän mukaisten vastuuerien yhteismäärä.</w:t>
            </w:r>
          </w:p>
          <w:p w14:paraId="550AD4D7" w14:textId="58216A19"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Tämän solun osalta laitoksista käytetään termiä ”pk-yritys” vakavaraisuusasetuksen 501 artiklan 2 kohdan b alakohdan mukaisesti.</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Joista: Pk-yrityksiltä olevat vähittäissaamiset –Riskipainotettujen vastuuerien yhteismäärä – Vastuut (IRB-menetelmä)</w:t>
            </w:r>
          </w:p>
          <w:p w14:paraId="4092922E" w14:textId="5A98FDA8"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Vakavaraisuusasetuksen 147 artiklan 2 kohdan d alakohdan mukaisten vähittäissaamisten riskipainotettujen IRB-menetelmän mukaisten vastuuerien yhteismäärä, jos ne ovat pk-yrityksiltä olevia saamisia ja jos näillä </w:t>
            </w:r>
            <w:r>
              <w:rPr>
                <w:rFonts w:ascii="Times New Roman" w:hAnsi="Times New Roman"/>
                <w:bCs/>
                <w:sz w:val="24"/>
                <w:szCs w:val="24"/>
              </w:rPr>
              <w:t>ei</w:t>
            </w:r>
            <w:r>
              <w:rPr>
                <w:rFonts w:ascii="Times New Roman" w:hAnsi="Times New Roman"/>
                <w:sz w:val="24"/>
                <w:szCs w:val="24"/>
              </w:rPr>
              <w:t xml:space="preserve"> ole 199 artiklan 1 kohdan a alakohdassa tarkoitettua kiinteistövakuutta.</w:t>
            </w:r>
          </w:p>
          <w:p w14:paraId="51FEC3D4" w14:textId="740F3816"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Tämän solun osalta laitoksista käytetään termiä ”pk-yritys” vakavaraisuusasetuksen 501 artiklan 2 kohdan b alakohdan mukaisesti.</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Yritykset – Vähimmäisomavaraisuusasteen vastuiden arvo – Vastuut (standardimenetelmä)</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Tässä ilmoitetaan solujen {0240,0010} ja {0250,0010} summa.</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Laitosten on ilmoitettava nämä arvot ilman laiminlyötyjä standardimenetelmän mukaisia vastuita.</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Yritykset – Vähimmäisomavaraisuusasteen vastuiden arvo – Vastuut (IRB-menetelmä)</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Tässä ilmoitetaan solujen {0240,0020} ja {0250,0020} summa.</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Yritykset – Riskipainotettujen vastuuerien yhteismäärä – Vastuut (standardimenetelmä)</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Tässä ilmoitetaan solujen {0240,0030} ja {0250,0030} summa.</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Yritykset – Riskipainotettujen vastuuerien yhteismäärä – Vastuut (IRB-menetelmä)</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Tässä ilmoitetaan solujen {0240,0040} ja {0250,0040} summa.</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Rahoituslaitokset – Vähimmäisomavaraisuusasteen vastuiden arvo – Vastuut (standardimenetelmä)</w:t>
            </w:r>
          </w:p>
          <w:p w14:paraId="7CAB4F9A" w14:textId="3AFB92C6"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122 artiklan mukaisten rahoituslaitoksilta olevien saamisten vähimmäisomavaraisuusasteen IRB-menetelmän mukaisten vastuiden arvo.</w:t>
            </w:r>
          </w:p>
          <w:p w14:paraId="48ACEE9F" w14:textId="4298D83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Taulukon LR4 osalta rahoituslaitoksella tarkoitetaan säänneltyjä ja sääntelemättömiä yrityksiä, jotka eivät ole solussa {0180;0010} tarkoitettuja laitoksia ja joiden pääasiallisena toimintana on hankkia omistusosuuksia tai harjoittaa yhtä tai useampaa direktiivin 2013/36/EU liitteessä I lueteltua toimintaa, sekä vakavaraisuusasetuksen 4 artiklan 1 kohdan 27 alakohdassa tarkoitettuja yrityksiä, jotka eivät ole solussa {0180;0010} tarkoitettuja laitoksia.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Rahoituslaitokset – Vähimmäisomavaraisuusasteen vastuiden arvo – Vastuut (IRB-menetelmä)</w:t>
            </w:r>
          </w:p>
          <w:p w14:paraId="058EB000" w14:textId="40B3155C"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Vakavaraisuusasetuksen 147 artiklan 2 kohdan c alakohdan mukaisten rahoituslaitoksilta olevien saamisten vähimmäisomavaraisuusasteen IRB-menetelmän mukaisten vastuiden arvo, jos näillä </w:t>
            </w:r>
            <w:r>
              <w:rPr>
                <w:rFonts w:ascii="Times New Roman" w:hAnsi="Times New Roman"/>
                <w:bCs/>
                <w:sz w:val="24"/>
                <w:szCs w:val="24"/>
              </w:rPr>
              <w:t>ei</w:t>
            </w:r>
            <w:r>
              <w:rPr>
                <w:rFonts w:ascii="Times New Roman" w:hAnsi="Times New Roman"/>
                <w:sz w:val="24"/>
                <w:szCs w:val="24"/>
              </w:rPr>
              <w:t xml:space="preserve"> ole 199 artiklan 1 kohdan a alakohdassa tarkoitettua kiinteistövakuutta.</w:t>
            </w:r>
          </w:p>
          <w:p w14:paraId="07B8C8CE" w14:textId="744B3DC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Taulukon LR4 osalta rahoituslaitoksella tarkoitetaan säänneltyjä ja sääntelemättömiä yrityksiä, jotka eivät ole solussa {0180;0010} tarkoitettuja laitoksia ja joiden pääasiallisena toimintana on hankkia omistusosuuksia tai harjoittaa yhtä tai useampaa direktiivin 2013/36/EU liitteessä I lueteltua toimintaa, sekä vakavaraisuusasetuksen 4 artiklan 1 kohdan 27 alakohdassa tarkoitettuja yrityksiä, jotka eivät ole solussa {0180;0010} tarkoitettuja laitoksia.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Rahoituslaitokset – Riskipainotettujen vastuuerien yhteismäärä – Vastuut (standardimenetelmä)</w:t>
            </w:r>
          </w:p>
          <w:p w14:paraId="08FF6980" w14:textId="1760010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122 artiklan mukaisten rahoituslaitoksilta olevien riskipainotettujen standardimenetelmän mukaisten vastuuerien yhteismäärä.</w:t>
            </w:r>
          </w:p>
          <w:p w14:paraId="4DE325F6" w14:textId="45BD44A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Taulukon LR4 osalta rahoituslaitoksella tarkoitetaan säänneltyjä ja sääntelemättömiä yrityksiä, jotka eivät ole solussa {0180;0010} tarkoitettuja laitoksia ja joiden pääasiallisena toimintana on hankkia omistusosuuksia tai harjoittaa yhtä tai useampaa direktiivin 2013/36/EU liitteessä I lueteltua toimintaa, sekä vakavaraisuusasetuksen 4 artiklan 1 kohdan 27 alakohdassa tarkoitettuja yrityksiä, jotka eivät ole solussa {0180;0010} tarkoitettuja laitoksia.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Rahoituslaitokset – Riskipainotettujen vastuuerien yhteismäärä – Vastuut (IRB-menetelmä)</w:t>
            </w:r>
          </w:p>
          <w:p w14:paraId="2E63CDE0" w14:textId="5FB3406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Vakavaraisuusasetuksen 147 artiklan 2 kohdan c alakohdan mukaisten rahoituslaitoksilta olevien saamisten riskipainotettujen IRB-menetelmän mukaisten vastuuerien yhteismäärä, jos näillä </w:t>
            </w:r>
            <w:r>
              <w:rPr>
                <w:rFonts w:ascii="Times New Roman" w:hAnsi="Times New Roman"/>
                <w:bCs/>
                <w:sz w:val="24"/>
                <w:szCs w:val="24"/>
              </w:rPr>
              <w:t>ei</w:t>
            </w:r>
            <w:r>
              <w:rPr>
                <w:rFonts w:ascii="Times New Roman" w:hAnsi="Times New Roman"/>
                <w:sz w:val="24"/>
                <w:szCs w:val="24"/>
              </w:rPr>
              <w:t xml:space="preserve"> ole 199 artiklan 1 kohdan a alakohdassa tarkoitettua kiinteistövakuutta.</w:t>
            </w:r>
          </w:p>
          <w:p w14:paraId="717CB3D1" w14:textId="7ABB953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Taulukon LR4 osalta rahoituslaitoksella tarkoitetaan säänneltyjä ja sääntelemättömiä yrityksiä, jotka eivät ole solussa {0180;0010} tarkoitettuja laitoksia ja joiden pääasiallisena toimintana on hankkia omistusosuuksia tai harjoittaa yhtä tai useampaa direktiivin 2013/36/EU liitteessä I lueteltua toimintaa, sekä vakavaraisuusasetuksen 4 artiklan 1 kohdan 27 alakohdassa tarkoitettuja yrityksiä, jotka eivät ole solussa {0180;0010} tarkoitettuja laitoksia.</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Rahoitusalan ulkopuoliset yritykset – Vähimmäisomavaraisuusasteen vastuiden arvo – Vastuut (standardimenetelmä)</w:t>
            </w:r>
          </w:p>
          <w:p w14:paraId="79750DB3" w14:textId="037534D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Vakavaraisuusasetuksen 122 artiklan mukaisten rahoitusalan ulkopuolisilta yrityksiltä olevien saamisten vähimmäisomavaraisuusasteen IRB-menetelmän mukaisten vastuiden arvo.</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solujen {0260,0010} ja {0270,0010} summa.</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Rahoitusalan ulkopuoliset yritykset – Vähimmäisomavaraisuusasteen vastuiden arvo – Vastuut (IRB-menetelmä)</w:t>
            </w:r>
          </w:p>
          <w:p w14:paraId="1615C090" w14:textId="75F7E6C4"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Vakavaraisuusasetuksen 147 artiklan 2 kohdan c alakohdan mukaisten rahoitusalan ulkopuolisilta yrityksiltä olevien saamisten vähimmäisomavaraisuusasteen IRB-menetelmän mukaisten vastuiden arvo, jos näillä </w:t>
            </w:r>
            <w:r>
              <w:rPr>
                <w:rFonts w:ascii="Times New Roman" w:hAnsi="Times New Roman"/>
                <w:bCs/>
                <w:sz w:val="24"/>
                <w:szCs w:val="24"/>
              </w:rPr>
              <w:t>ei</w:t>
            </w:r>
            <w:r>
              <w:rPr>
                <w:rFonts w:ascii="Times New Roman" w:hAnsi="Times New Roman"/>
                <w:sz w:val="24"/>
                <w:szCs w:val="24"/>
              </w:rPr>
              <w:t xml:space="preserve"> ole 199 artiklan 1 kohdan a alakohdassa tarkoitettua kiinteistövakuutta.</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solujen {0260,0020} ja {0270,0020} summa.</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Rahoitusalan ulkopuoliset yritykset – Riskipainotettujen vastuuerien yhteismäärä – Vastuut (standardimenetelmä)</w:t>
            </w:r>
          </w:p>
          <w:p w14:paraId="49E48609" w14:textId="627DE78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Vakavaraisuusasetuksen 122 artiklan mukaisten rahoitusalan ulkopuolisilta yrityksiltä olevien riskipainotettujen standardimenetelmän mukaisten vastuuerien yhteismäärä.</w:t>
            </w:r>
            <w:r>
              <w:rPr>
                <w:rFonts w:ascii="Times New Roman" w:hAnsi="Times New Roman"/>
                <w:bCs/>
                <w:sz w:val="24"/>
                <w:szCs w:val="24"/>
              </w:rPr>
              <w:t xml:space="preserve"> </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solujen {0260,0030} ja {0270,0030} summa.</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Rahoitusalan ulkopuoliset yritykset – Riskipainotettujen vastuuerien yhteismäärä – Vastuut (IRB-menetelmä)</w:t>
            </w:r>
          </w:p>
          <w:p w14:paraId="4DD9CC03" w14:textId="48C3F2D6"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Vakavaraisuusasetuksen 147 artiklan 2 kohdan c alakohdan mukaisten rahoitusalan ulkopuolisilta yrityksiltä olevien saamisten riskipainotettujen IRB-menetelmän mukaisten vastuuerien yhteismäärä, jos näillä </w:t>
            </w:r>
            <w:r>
              <w:rPr>
                <w:rFonts w:ascii="Times New Roman" w:hAnsi="Times New Roman"/>
                <w:bCs/>
                <w:sz w:val="24"/>
                <w:szCs w:val="24"/>
              </w:rPr>
              <w:t>ei</w:t>
            </w:r>
            <w:r>
              <w:rPr>
                <w:rFonts w:ascii="Times New Roman" w:hAnsi="Times New Roman"/>
                <w:sz w:val="24"/>
                <w:szCs w:val="24"/>
              </w:rPr>
              <w:t xml:space="preserve"> ole 199 artiklan 1 kohdan a alakohdassa tarkoitettua kiinteistövakuutta.</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Tässä ilmoitetaan solujen {0260,0040} ja {0270,0040} summa.</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Pk-yrityksiltä olevat saamiset – Vähimmäisomavaraisuusasteen vastuiden arvo – Vastuut (standardimenetelmä)</w:t>
            </w:r>
          </w:p>
          <w:p w14:paraId="1237A324" w14:textId="05FB0CA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Vakavaraisuusasetuksen 122 artiklan mukaisten pk-yrityksiltä olevien saamisten vähimmäisomavaraisuusasteen standardimenetelmän mukaisten vastuiden arvo. </w:t>
            </w:r>
          </w:p>
          <w:p w14:paraId="5E29251B" w14:textId="483A3107"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Tämän solun osalta laitoksista käytetään termiä ”pk-yritys” vakavaraisuusasetuksen 501 artiklan 2 kohdan b alakohdan mukaisesti.</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standardimenetelmän mukaisia vastuita.</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Pk-yrityksiltä olevat saamiset – Vähimmäisomavaraisuusasteen vastuiden arvo – Vastuut (IRB-menetelmä)</w:t>
            </w:r>
          </w:p>
          <w:p w14:paraId="16526905" w14:textId="3B6B79C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Vakavaraisuusasetuksen 147 artiklan 2 kohdan c alakohdan mukaisten yrityssaamisten vähimmäisomavaraisuusasteen IRB-menetelmän mukaisten vastuiden arvo, jos ne ovat pk-yrityksiltä olevia saamisia ja jos näillä </w:t>
            </w:r>
            <w:r>
              <w:rPr>
                <w:rFonts w:ascii="Times New Roman" w:hAnsi="Times New Roman"/>
                <w:bCs/>
                <w:sz w:val="24"/>
                <w:szCs w:val="24"/>
              </w:rPr>
              <w:t>ei</w:t>
            </w:r>
            <w:r>
              <w:rPr>
                <w:rFonts w:ascii="Times New Roman" w:hAnsi="Times New Roman"/>
                <w:sz w:val="24"/>
                <w:szCs w:val="24"/>
              </w:rPr>
              <w:t xml:space="preserve"> ole 199 artiklan 1 kohdan a alakohdassa tarkoitettua kiinteistövakuutta.</w:t>
            </w:r>
          </w:p>
          <w:p w14:paraId="729394D8" w14:textId="74E87EFA"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Tämän solun osalta laitoksista käytetään termiä ”pk-yritys” vakavaraisuusasetuksen 501 artiklan 2 kohdan b alakohdan mukaisesti.</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Pk-yrityksiltä olevat saamiset – Riskipainotettujen vastuuerien yhteismäärä – Vastuut (standardimenetelmä)</w:t>
            </w:r>
          </w:p>
          <w:p w14:paraId="47967B81" w14:textId="66A7A88F"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122 artiklan mukaisten pk-yrityksiltä olevien saamisten riskipainotetut standardimenetelmän mukaiset vastuuerät.</w:t>
            </w:r>
          </w:p>
          <w:p w14:paraId="4E35047C" w14:textId="447EFD69"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Tämän solun osalta laitoksista käytetään termiä ”pk-yritys” vakavaraisuusasetuksen 501 artiklan 2 kohdan b alakohdan mukaisesti.</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Pk-yrityksiltä olevat saamiset – Riskipainotettujen vastuuerien yhteismäärä – Vastuut (IBR-menetelmä)</w:t>
            </w:r>
          </w:p>
          <w:p w14:paraId="61D071ED" w14:textId="7E4D19E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Vakavaraisuusasetuksen 147 artiklan 2 kohdan c alakohdan mukaisten yrityssaamisten riskipainotettujen IRB-menetelmän mukaisten vastuuerien yhteismäärä, jos ne ovat pk-yrityksiltä olevia saamisia ja jos näillä </w:t>
            </w:r>
            <w:r>
              <w:rPr>
                <w:rFonts w:ascii="Times New Roman" w:hAnsi="Times New Roman"/>
                <w:bCs/>
                <w:sz w:val="24"/>
                <w:szCs w:val="24"/>
              </w:rPr>
              <w:t>ei</w:t>
            </w:r>
            <w:r>
              <w:rPr>
                <w:rFonts w:ascii="Times New Roman" w:hAnsi="Times New Roman"/>
                <w:sz w:val="24"/>
                <w:szCs w:val="24"/>
              </w:rPr>
              <w:t xml:space="preserve"> ole 199 artiklan 1 kohdan a alakohdassa tarkoitettua kiinteistövakuutta.</w:t>
            </w:r>
          </w:p>
          <w:p w14:paraId="14AF8756" w14:textId="6A7B57D1"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Tämän solun osalta laitoksista käytetään termiä ”pk-yritys” vakavaraisuusasetuksen 501 artiklan 2 kohdan b alakohdan mukaisesti.</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szCs w:val="24"/>
              </w:rPr>
              <w:t>Muut kuin pk-yrityksiltä olevat saamiset – Vähimmäisomavaraisuusasteen vastuiden arvo – Vastuut (standardimenetelmä)</w:t>
            </w:r>
          </w:p>
          <w:p w14:paraId="41FBC40B" w14:textId="4279AEF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Sellaisten vakavaraisuusasetuksen 122 artiklan mukaisten yrityksiltä olevien saamisten vähimmäisomavaraisuusasteen standardimenetelmän mukaisten vastuiden arvo, joita ei ole ilmoitettu soluissa {0230;0040} ja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szCs w:val="24"/>
              </w:rPr>
              <w:t>Muut kuin pk-yrityksiltä olevat saamiset – Vähimmäisomavaraisuusasteen vastuiden arvo – Vastuut (IRB-menetelmä)</w:t>
            </w:r>
          </w:p>
          <w:p w14:paraId="585E711E" w14:textId="1495F63C"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 xml:space="preserve">Sellaisten vakavaraisuusasetuksen 147 artiklan 2 kohdan c alakohdan mukaisten yrityssaamisten vähimmäisomavaraisuusasteen IRB-menetelmän mukaisten vastuiden arvo, joilla </w:t>
            </w:r>
            <w:r>
              <w:rPr>
                <w:rFonts w:ascii="Times New Roman" w:hAnsi="Times New Roman"/>
                <w:bCs/>
                <w:sz w:val="24"/>
                <w:szCs w:val="24"/>
              </w:rPr>
              <w:t>ei</w:t>
            </w:r>
            <w:r>
              <w:rPr>
                <w:rFonts w:ascii="Times New Roman" w:hAnsi="Times New Roman"/>
                <w:sz w:val="24"/>
                <w:szCs w:val="24"/>
              </w:rPr>
              <w:t xml:space="preserve"> ole vakavaraisuusasetuksen 199 artiklan 1 kohdan a alakohdassa tarkoitettua kiinteistövakuutta ja joita ei ole ilmoitettu soluissa {0230;0040} ja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Muut kuin pk-yrityksiltä olevat saamiset – Riskipainotettujen vastuuerien yhteismäärä – Vastuut (standardimenetelmä)</w:t>
            </w:r>
          </w:p>
          <w:p w14:paraId="10BEA73F" w14:textId="64FA55E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Sellaisten vakavaraisuusasetuksen 122 artiklan mukaisten pk-yrityksiltä olevien saamisten riskipainotetut standardimenetelmän mukaiset vastuuerät, joita ei ole ilmoitettu soluissa {0230;0040} ja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Muut kuin pk-yrityksiltä olevat saamiset – Riskipainotettujen vastuuerien yhteismäärä – Vastuut (IRB-menetelmä)</w:t>
            </w:r>
          </w:p>
          <w:p w14:paraId="66C72176" w14:textId="6AE30A03"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 xml:space="preserve">Sellaisten vakavaraisuusasetuksen 147 artiklan 2 kohdan c alakohdan mukaisten yrityssaamisten riskipainotettujen IRB-menetelmän mukaisten vastuuerien yhteismäärä, joilla </w:t>
            </w:r>
            <w:r>
              <w:rPr>
                <w:rFonts w:ascii="Times New Roman" w:hAnsi="Times New Roman"/>
                <w:bCs/>
                <w:sz w:val="24"/>
                <w:szCs w:val="24"/>
              </w:rPr>
              <w:t>ei</w:t>
            </w:r>
            <w:r>
              <w:rPr>
                <w:rFonts w:ascii="Times New Roman" w:hAnsi="Times New Roman"/>
                <w:sz w:val="24"/>
                <w:szCs w:val="24"/>
              </w:rPr>
              <w:t xml:space="preserve"> ole vakavaraisuusasetuksen 199 artiklan 1 kohdan a alakohdassa tarkoitettua kiinteistövakuutta ja joita ei ole ilmoitettu soluissa {0230;0040} ja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Maksukyvyttömyystilassa olevat vastuut – Vähimmäisomavaraisuusasteen vastuiden arvo – Vastuut (standardimenetelmä)</w:t>
            </w:r>
          </w:p>
          <w:p w14:paraId="19F3FE8B" w14:textId="181846DB"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maksukyvyttömyystilassa olevien ja siten vakavaraisuusasetuksen 127 artiklan mukaisten saamisten vähimmäisomavaraisuusasteen standardimenetelmän mukaisten vastuiden arvo.</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Maksukyvyttömyystilassa olevat vastuut – Vähimmäisomavaraisuusasteen vastuiden arvo – Vastuut (IRB-menetelmä)</w:t>
            </w:r>
          </w:p>
          <w:p w14:paraId="35C502CA" w14:textId="3230D6A0"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sellaisten vakavaraisuusasetuksen 147 artiklan 2 kohdan mukaisiin vastuuryhmiin kuuluvien saamisten vähimmäisomavaraisuusasteen vastuiden arvo, joissa on tapahtunut 178 artiklan mukainen maksukyvyttömyys.</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Maksukyvyttömyystilassa olevat vastuut – Riskipainotettujen vastuuerien yhteismäärä – Vastuut (standardimenetelmä)</w:t>
            </w:r>
          </w:p>
          <w:p w14:paraId="4ECD736F" w14:textId="623DFAA3"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maksukyvyttömyystilassa olevien ja siten vakavaraisuusasetuksen 127 artiklan mukaisten saamisten riskipainotettujen vastuuerien yhteismäärä.</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Maksukyvyttömyystilassa olevat vastuut – Riskipainotettujen vastuuerien yhteismäärä – Vastuut (IRB-menetelmä)</w:t>
            </w:r>
          </w:p>
          <w:p w14:paraId="5EF9576D" w14:textId="06DF8929" w:rsidR="002509B1" w:rsidRPr="000B66BC" w:rsidRDefault="00FC5086" w:rsidP="00E9457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sellaisten vakavaraisuusasetuksen 147 artiklan 2 kohdan mukaisiin vastuuryhmiin kuuluvien saamisten riskipainotettujen vastuuerien yhteismäärä, joissa on tapahtunut 178 artiklan mukainen maksukyvyttömyys.</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Muut vastuut – Vähimmäisomavaraisuusasteen vastuiden arvo – Vastuut (standardimenetelmä)</w:t>
            </w:r>
          </w:p>
          <w:p w14:paraId="59E2187D" w14:textId="188CC7C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Vakavaraisuusasetuksen 112 artiklan k, m, n, o, p ja q alakohdan mukaisiin vastuuryhmiin kuuluvien saamisten vähimmäisomavaraisuusasteen vastuiden arvo. </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tässä varat, jotka vähennetään omista varoista (esim. aineettomat hyödykkeet), mutta joita ei muuten voida luokitella, vaikka tällaista luokittelua ei vaadita riskiperusteisten omien varojen vaatimusten määrittelemiseksi sarakkeissa {*; 0030} ja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standardimenetelmän mukaisia vastuita.</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Muut vastuut – Vähimmäisomavaraisuusasteen vastuiden arvo – Vastuut (IRB-menetelmä)</w:t>
            </w:r>
          </w:p>
          <w:p w14:paraId="509BE205" w14:textId="6C20DAC5"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147 artiklan 2 kohdan e, f ja g alakohdan mukaisiin vastuuryhmiin kuuluvien saamisten vähimmäisomavaraisuusasteen vastuiden arvo.</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tässä varat, jotka vähennetään omista varoista (esim. aineettomat hyödykkeet), mutta joita ei muuten voida luokitella, vaikka tällaista luokittelua ei vaadita riskiperusteisten omien varojen vaatimusten määrittelemiseksi sarakkeissa {*; 0030} ja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Muut saamiset – Riskipainotettujen vastuuerien yhteismäärä – Vastuut (standardimenetelmä)</w:t>
            </w:r>
          </w:p>
          <w:p w14:paraId="61F5D6CA" w14:textId="01E08C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112 artiklan k, m, n, o, p ja q alakohdan mukaisiin vastuuryhmiin kuuluvien saamisten riskipainotettujen vastuuerien yhteismäärä.</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Muut saamiset – Riskipainotettujen vastuuerien yhteismäärä – Vastuut (IRB-menetelmä)</w:t>
            </w:r>
          </w:p>
          <w:p w14:paraId="047D3368" w14:textId="760FBD6E"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147 artiklan 2 kohdan e, f ja g alakohdan mukaisiin vastuuryhmiin kuuluvien saamisten riskipainotettujen vastuuerien yhteismäärä.</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Joista: </w:t>
            </w:r>
            <w:r>
              <w:rPr>
                <w:rFonts w:ascii="Times New Roman" w:hAnsi="Times New Roman"/>
                <w:b/>
                <w:sz w:val="24"/>
                <w:szCs w:val="24"/>
              </w:rPr>
              <w:t>Arvopaperistamisvastuut – Vähimmäisomavaraisuusasteen vastuiden arvo – Vastuut (standardimenetelmä)</w:t>
            </w:r>
          </w:p>
          <w:p w14:paraId="7530F6A8" w14:textId="40CC45E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112 artiklan m alakohdan mukaisten arvopaperistamissaamisten vähimmäisomavaraisuusasteen standardimenetelmän mukaisten vastuiden arvo.</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standardimenetelmän mukaisia vastuita.</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Joista: </w:t>
            </w:r>
            <w:r>
              <w:rPr>
                <w:rFonts w:ascii="Times New Roman" w:hAnsi="Times New Roman"/>
                <w:b/>
                <w:sz w:val="24"/>
                <w:szCs w:val="24"/>
              </w:rPr>
              <w:t>Arvopaperistamisvastuut – Vähimmäisomavaraisuusasteen vastuiden arvo – Vastuut (IRB-menetelmä)</w:t>
            </w:r>
          </w:p>
          <w:p w14:paraId="52AFEF6A" w14:textId="65EB209A"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Vakavaraisuusasetuksen 147 artiklan 2 kohdan f alakohdan mukaisten arvopaperistamissaamisten vähimmäisomavaraisuusasteen IRB-menetelmän mukaisten vastuiden arvo.</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IRB-menetelmän mukaisia vastuita.</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Joista: Arvopaperistamisvastuut – Riskipainotettujen vastuuerien yhteismäärä – Vastuut (standardimenetelmä)</w:t>
            </w:r>
          </w:p>
          <w:p w14:paraId="583F2964" w14:textId="49D5BBD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Vakavaraisuusasetuksen 112 artiklan m alakohdan mukaisten arvopaperistamissaamisten riskipainotetut standardimenetelmän mukaiset vastuuerät. </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Joista: Arvopaperistamisvastuut – Riskipainotettujen vastuuerien yhteismäärä – Vastuut (IRB-menetelmä)</w:t>
            </w:r>
          </w:p>
          <w:p w14:paraId="745FCC52" w14:textId="080B8E3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Vakavaraisuusasetuksen 147 artiklan 2 kohdan f alakohdan mukaisten arvopaperistamissaamisten riskipainotettujen IRB-menetelmän mukaisten vastuuerien yhteismäärä. </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Kaupan rahoitus (lisätietoerä) – Vähimmäisomavaraisuusasteen vastuiden arvo – vastuut (standardimenetelmä)</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Sellaisten taseisiin sisältyvien erien vähimmäisomavaraisuusasteen vastuiden arvo, jotka koskevat luotonantoa tavaroiden tai palvelujen tuojille tai viejille tuonti- tai vientiluottojen ja vastaavien rahoitustoimien avulla.</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standardimenetelmän mukaisia vastuita.</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Kaupan rahoitus (lisätietoerä) – Vähimmäisomavaraisuusasteen vastuiden arvo – Vastuut (IRB-menetelmä)</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Sellaisten taseisiin sisältyvien erien vähimmäisomavaraisuusasteen vastuiden määrä, jotka koskevat luotonantoa tavaroiden tai palvelujen tuojille tai viejille tuonti- tai vientiluottojen ja vastaavien rahoitustoimien avulla.</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Laitosten on ilmoitettava nämä arvot ilman laiminlyötyjä IRB-menetelmän mukaisia vastuita.</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{0310;0030}</w:t>
            </w:r>
          </w:p>
        </w:tc>
        <w:tc>
          <w:tcPr>
            <w:tcW w:w="7406" w:type="dxa"/>
            <w:shd w:val="clear" w:color="auto" w:fill="FFFFFF"/>
          </w:tcPr>
          <w:p w14:paraId="2CAEEABE" w14:textId="6EBBD8A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Kaupan rahoitus (lisätietoerä) – Riskipainotettujen vastuuerien yhteismäärä – Vastuut (standardimenetelmä)</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Sellaisten taseisiin sisältyvien erien riskipainotettujen vastuiden arvo, jotka koskevat luotonantoa tavaroiden tai palvelujen tuojille tai viejille tuonti- tai vientiluottojen ja vastaavien rahoitustoimien avulla.</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standardimenetelmän mukaisia vastuita.</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{0310;0040}</w:t>
            </w:r>
          </w:p>
        </w:tc>
        <w:tc>
          <w:tcPr>
            <w:tcW w:w="7406" w:type="dxa"/>
            <w:shd w:val="clear" w:color="auto" w:fill="FFFFFF"/>
          </w:tcPr>
          <w:p w14:paraId="6234B372" w14:textId="0BBAC10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Kaupan rahoitus (lisätietoerä) – Riskipainotettujen vastuuerien yhteismäärä – Vastuut (IRB-menetelmä)</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Sellaisten taseisiin sisältyvien erien riskipainotetut vastuuerät, jotka koskevat luotonantoa tavaroiden tai palvelujen tuojille tai viejille tuonti- tai vientiluottojen ja vastaavien rahoitustoimien avulla.</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Joista: </w:t>
            </w:r>
            <w:r>
              <w:rPr>
                <w:rFonts w:ascii="Times New Roman" w:hAnsi="Times New Roman"/>
                <w:b/>
                <w:sz w:val="24"/>
                <w:szCs w:val="24"/>
              </w:rPr>
              <w:t>Virallisiin vientiluottovakuutusjärjestelmiin kuuluvat erät – Vähimmäisomavaraisuusasteen vastuiden arvo – Vastuut (standardimenetelmä)</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Virallisiin vientiluottovakuutusjärjestelmiin kuuluvien kaupan rahoitukseen liittyvien taseeseen sisältyvien erien vähimmäisomavaraisuusasteen vastuiden arvo.</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Taulukon LR4 osalta virallisiin vientiluottovakuutusjärjestelmiin kuuluvilla erillä tarkoitetaan valtion tai muun elimen, kuten vientiluottolaitoksen, tarjoamaa julkista tukea, kuten suoraa luottoa/rahoitusta, jälleenrahoitusta, korkotukea (jossa koko luoton kestoajaksi taataan kiinteä korko), kehitysapurahoitusta (lainat ja lahjoitukset), vientiluottovakuutuksia ja takauksia.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szCs w:val="24"/>
              </w:rPr>
              <w:t>Laitosten on ilmoitettava nämä arvot ilman laiminlyötyjä standardimenetelmän mukaisia vastuita.</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Joista: </w:t>
            </w:r>
            <w:r>
              <w:rPr>
                <w:rFonts w:ascii="Times New Roman" w:hAnsi="Times New Roman"/>
                <w:b/>
                <w:sz w:val="24"/>
                <w:szCs w:val="24"/>
              </w:rPr>
              <w:t>Virallisiin vientiluottovakuutusjärjestelmiin kuuluvat erät – Vähimmäisomavaraisuusasteen vastuiden arvo – Vastuut (IRB-menetelmä)</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Virallisiin vientiluottovakuutusjärjestelmiin kuuluvien kaupan rahoitukseen liittyvien taseeseen sisältyvien erien vähimmäisomavaraisuusasteen vastuiden määrä.</w:t>
            </w:r>
            <w:r>
              <w:rPr>
                <w:rFonts w:ascii="Times New Roman" w:hAnsi="Times New Roman"/>
                <w:bCs/>
                <w:sz w:val="24"/>
                <w:szCs w:val="24"/>
              </w:rPr>
              <w:t xml:space="preserve">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Taulukon LR4 osalta virallisiin vientiluottovakuutusjärjestelmiin kuuluvilla erillä tarkoitetaan valtion tai muun elimen, kuten vientiluottolaitoksen, tarjoamaa julkista tukea, kuten suoraa luottoa/rahoitusta, jälleenrahoitusta, korkotukea (jossa koko luoton kestoajaksi taataan kiinteä korko), kehitysapurahoitusta (lainat ja lahjoitukset), vientiluottovakuutuksia ja takauksia.</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Joista: Virallisiin vientiluottovakuutusjärjestelmiin kuuluvat erät – Riskipainotettujen vastuuerien yhteismäärä – Vastuut (standardimenetelmä)</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Virallisiin vientiluottovakuutusjärjestelmiin kuuluvien kaupan rahoitukseen liittyvien taseeseen sisältyvien erien riskipainotettujen vastuuerien arvo.</w:t>
            </w:r>
            <w:r>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Taulukon LR4 osalta virallisiin vientiluottovakuutusjärjestelmiin kuuluvilla erillä tarkoitetaan valtion tai muun elimen, kuten vientiluottolaitoksen, tarjoamaa julkista tukea, kuten suoraa luottoa/rahoitusta, jälleenrahoitusta, korkotukea (jossa koko luoton kestoajaksi taataan kiinteä korko), kehitysapurahoitusta (lainat ja lahjoitukset), vientiluottovakuutuksia ja takauksia.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Laitosten on ilmoitettava nämä arvot ilman laiminlyötyjä standardimenetelmän mukaisia vastuita.</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Joista: Virallisiin vientiluottovakuutusjärjestelmiin kuuluvat erät – Riskipainotettujen vastuuerien yhteismäärä – Vastuut (IRB-menetelmä)</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Virallisiin vientiluottovakuutusjärjestelmiin kuuluvien kaupan rahoitukseen liittyvien taseeseen sisältyvien erien riskipainotetut vastuuerät.</w:t>
            </w:r>
            <w:r>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Taulukon LR4 osalta virallisiin vientiluottovakuutusjärjestelmiin kuuluvilla erillä tarkoitetaan valtion tai muun elimen, kuten vientiluottolaitoksen, tarjoamaa julkista tukea, kuten suoraa luottoa/rahoitusta, jälleenrahoitusta, korkotukea (jossa koko luoton kestoajaksi taataan kiinteä korko), kehitysapurahoitusta (lainat ja lahjoitukset), vientiluottovakuutuksia ja takauksia.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Laitosten on ilmoitettava nämä arvot ilman laiminlyötyjä IRB-menetelmän mukaisia vastuita.</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5" w:name="_Toc351048511"/>
      <w:bookmarkStart w:id="76" w:name="_Toc359414290"/>
      <w:bookmarkStart w:id="77" w:name="_Toc423089075"/>
      <w:bookmarkEnd w:id="74"/>
    </w:p>
    <w:p w14:paraId="3B957644" w14:textId="561CF0E9" w:rsidR="00217D1F" w:rsidRPr="000B66BC" w:rsidRDefault="005F4574" w:rsidP="000B66BC">
      <w:pPr>
        <w:pStyle w:val="BodyText1"/>
        <w:spacing w:after="240"/>
        <w:ind w:left="357" w:hanging="357"/>
        <w:outlineLvl w:val="1"/>
        <w:rPr>
          <w:rFonts w:ascii="Times New Roman" w:hAnsi="Times New Roman"/>
          <w:b/>
          <w:sz w:val="24"/>
          <w:szCs w:val="24"/>
        </w:rPr>
      </w:pPr>
      <w:bookmarkStart w:id="78" w:name="_Toc58932777"/>
      <w:r>
        <w:rPr>
          <w:rFonts w:ascii="Times New Roman" w:hAnsi="Times New Roman"/>
          <w:b/>
          <w:sz w:val="24"/>
          <w:szCs w:val="24"/>
        </w:rPr>
        <w:t>6.</w:t>
      </w:r>
      <w:r>
        <w:tab/>
      </w:r>
      <w:r>
        <w:rPr>
          <w:rFonts w:ascii="Times New Roman" w:hAnsi="Times New Roman"/>
          <w:b/>
          <w:sz w:val="24"/>
          <w:szCs w:val="24"/>
        </w:rPr>
        <w:t>C 44.00 – Yleiset tiedot</w:t>
      </w:r>
      <w:bookmarkEnd w:id="75"/>
      <w:bookmarkEnd w:id="76"/>
      <w:r>
        <w:rPr>
          <w:rFonts w:ascii="Times New Roman" w:hAnsi="Times New Roman"/>
          <w:b/>
          <w:sz w:val="24"/>
          <w:szCs w:val="24"/>
        </w:rPr>
        <w:t xml:space="preserve"> (LR5)</w:t>
      </w:r>
      <w:bookmarkEnd w:id="77"/>
      <w:bookmarkEnd w:id="78"/>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28.</w:t>
      </w:r>
      <w:r>
        <w:tab/>
      </w:r>
      <w:r>
        <w:rPr>
          <w:rFonts w:ascii="Times New Roman" w:hAnsi="Times New Roman"/>
          <w:sz w:val="24"/>
          <w:szCs w:val="24"/>
        </w:rPr>
        <w:t>Tähän kootaan lisätiedot laitoksen toimintojen ja laitoksen valitsemien sääntelyvaihtoehtojen luokittelua varten.</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 xml:space="preserve">Rivi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ja sarake</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Ohjeet</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Laitoksen yritysrakenne</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Laitoksen on valittava yritysrakenteekseen jokin seuraavista:</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osakeyhtiö,</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keskinäinen yhtiö/osuuskunta,</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muu kuin osakeyhtiö.</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Johdannaisten käsittely</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Laitoksen on määritettävä johdannaisten käsittelytavakseen toinen seuraavista:</w:t>
            </w:r>
          </w:p>
          <w:p w14:paraId="255B888B" w14:textId="77777777"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Vastapuoliriskin standardimenetelmä (SA-CCR);</w:t>
            </w:r>
          </w:p>
          <w:p w14:paraId="43920088" w14:textId="0F727D13"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Yksinkertaistettu vastapuoliriskin standardimenetelmä;</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Alkuperäisen hankinta-arvon menetelmä,</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Laitoksen luokitus</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Laitoksen on valittava luokituksekseen jokin seuraavista:</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yleispankkitoiminnot (vähittäis-/yrityspankkitoiminta ja investointipankkitoiminta),</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vähittäis-/yrityspankkitoiminta,</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investointipankkitoiminta,</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erityiskohteiden rahoitustoiminta,</w:t>
            </w:r>
          </w:p>
          <w:p w14:paraId="5E1BA609" w14:textId="0E1BE83E"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bCs/>
                <w:sz w:val="24"/>
                <w:szCs w:val="24"/>
              </w:rPr>
              <w:t>- Julkiset kehitysluottolaitokset</w:t>
            </w:r>
            <w:r>
              <w:rPr>
                <w:rFonts w:ascii="Times New Roman" w:hAnsi="Times New Roman"/>
                <w:color w:val="auto"/>
                <w:sz w:val="24"/>
                <w:szCs w:val="24"/>
              </w:rPr>
              <w:t>;</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muu liiketoimintamalli.</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bCs/>
                <w:sz w:val="24"/>
                <w:szCs w:val="24"/>
              </w:rPr>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Laitos, jolla on julkinen kehittämisyksikkö</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szCs w:val="24"/>
              </w:rPr>
              <w:t>Laitosten, jotka eivät ole julkisia kehitysluottolaitoksia, on ilmoitettava, onko niillä julkinen kehitysyksikkö.</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66B939F9" w14:textId="6931AC9D"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Yhteisö, joka on myöntänyt takauksen julkiselle kehitysluottolaitokselle tai -yksikölle vakavaraisuusasetuksen 429 a artiklan 2 kohdan d alakohdan mukaisesti: Keskushallinto, aluehallinto tai paikallisviranomainen</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szCs w:val="24"/>
              </w:rPr>
              <w:t>Laitosten, jotka ovat joko julkisia kehitysluottolaitoksia tai joilla on julkinen kehitysyksikkö, on ilmoitettava, onko niiden takaajana keskushallinto, aluehallinto tai paikallisviranomainen.</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Laitosten on merkittävä ”TRUE” riville, joka vastaa sovellettavaa suojan tarjoajatyyppiä tai -tyyppejä, ja muussa tapauksessa ”FALSE”.</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bCs/>
                <w:sz w:val="24"/>
                <w:szCs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szCs w:val="24"/>
              </w:rPr>
              <w:t>Valtion takaamat julkiset kehitysluottolaitokset/kehitysyksiköt</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szCs w:val="24"/>
              </w:rPr>
              <w:t>Aluehallinnon takaamat julkiset kehitysluottolaitokset/kehitysyksiköt</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szCs w:val="24"/>
              </w:rPr>
              <w:t>Paikallisviranomaisen takaamat julkiset kehitysluottolaitokset/kehitysyksiköt</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5E6BF02B" w14:textId="58A39281"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Vakavaraisuusasetuksen 429 a artiklan 2 kohdan d alakohdan mukaisesti saadun takauksen tyyppi</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szCs w:val="24"/>
              </w:rPr>
              <w:t>Laitosten, jotka ovat joko julkisia kehitysluottolaitoksia tai joilla on julkinen kehitysyksikkö, on ilmoitettava saadun suojan tyyppi.</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Laitosten on merkittävä ”TRUE” riville, joka vastaa sovellettavaa suojan tarjoajatyyppiä tai -tyyppejä, ja muussa tapauksessa ”FALSE”.</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Velvollisuus suojella luottolaitosten elinkelpoisuutta</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Suora takaus luottolaitosten omien varojen vaatimuksille, rahoitusvaatimuksille tai myönnetyille edistämislainoille</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Epäsuora takaus luottolaitosten omien varojen vaatimuksille, rahoitusvaatimuksille tai myönnetyille edistämislainoille</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9" w:name="_Toc58932778"/>
      <w:r>
        <w:rPr>
          <w:rFonts w:ascii="Times New Roman" w:hAnsi="Times New Roman"/>
          <w:b/>
          <w:sz w:val="24"/>
          <w:szCs w:val="24"/>
        </w:rPr>
        <w:t>7.</w:t>
      </w:r>
      <w:r>
        <w:tab/>
      </w:r>
      <w:r>
        <w:rPr>
          <w:rFonts w:ascii="Times New Roman" w:hAnsi="Times New Roman"/>
          <w:b/>
          <w:sz w:val="24"/>
          <w:szCs w:val="24"/>
        </w:rPr>
        <w:t>C 48.00 Vähimmäisomavaraisuusasteen volatiliteetti (LR6)</w:t>
      </w:r>
      <w:bookmarkEnd w:id="79"/>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29.</w:t>
      </w:r>
      <w:r>
        <w:tab/>
      </w:r>
      <w:r>
        <w:rPr>
          <w:rFonts w:ascii="Times New Roman" w:hAnsi="Times New Roman"/>
          <w:sz w:val="24"/>
          <w:szCs w:val="24"/>
        </w:rPr>
        <w:t xml:space="preserve">Tietoja kerätään vähimmäisomavaraisuusasteen volatiliteetin seuraamiseksi. Vain suuret laitokset ilmoittavat nämä tiedot.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80" w:name="_Toc58932779"/>
      <w:r>
        <w:rPr>
          <w:rFonts w:ascii="Times New Roman" w:hAnsi="Times New Roman"/>
          <w:b/>
          <w:sz w:val="24"/>
          <w:szCs w:val="24"/>
        </w:rPr>
        <w:t>8.</w:t>
      </w:r>
      <w:r>
        <w:tab/>
      </w:r>
      <w:r>
        <w:rPr>
          <w:rFonts w:ascii="Times New Roman" w:hAnsi="Times New Roman"/>
          <w:b/>
          <w:sz w:val="24"/>
          <w:szCs w:val="24"/>
        </w:rPr>
        <w:t>C 48.01 Vähimmäisomavaraisuusasteen volatiliteetti: Raportointikauden keskiarvo</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Rivi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ja sarake</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Ohjeet</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Raportointikauden keskiarvo – Arvopapereilla toteutettavien rahoitustoimien vastuuarvo</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Laitosten on ilmoitettava arvopapereilla toteutettavien rahoitustoimien vastuuarvon raportointivuosineljänneksen päivittäisten arvojen keskiarvo, josta on vähennetty vapautettu keskusvastapuolen vastuu, joka liittyy asiakkaan puolesta selvitykseen vietyihin kaupankäyntivastuisiin, sellaisena kuin se on määritelty lomakkeen C47.00 riveillä 0010 ja 0050.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Raportointikauden keskiarvo –</w:t>
            </w:r>
            <w:r>
              <w:rPr>
                <w:sz w:val="24"/>
                <w:szCs w:val="24"/>
              </w:rPr>
              <w:t xml:space="preserve"> </w:t>
            </w:r>
            <w:r>
              <w:rPr>
                <w:rFonts w:ascii="Times New Roman" w:hAnsi="Times New Roman"/>
                <w:b/>
                <w:color w:val="auto"/>
                <w:sz w:val="24"/>
                <w:szCs w:val="24"/>
              </w:rPr>
              <w:t xml:space="preserve">Oikaisut arvopapereilla toteutettavien rahoitustoimien myynnin kirjanpitotapahtumiin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szCs w:val="24"/>
              </w:rPr>
              <w:t>Laitosten on ilmoitettava lomakkeen C47.00 rivillä 0230 määriteltyjen arvopapereilla toteutettavien rahoitustoimien myynnin kirjanpitotapahtumiin tehtyjen oikaisujen päivittäisten arvojen keskiarvo raportointivuosineljännekseltä.</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1" w:name="_Toc58932780"/>
      <w:r>
        <w:rPr>
          <w:rFonts w:ascii="Times New Roman" w:hAnsi="Times New Roman"/>
          <w:b/>
          <w:sz w:val="24"/>
          <w:szCs w:val="24"/>
        </w:rPr>
        <w:t>9.</w:t>
      </w:r>
      <w:r>
        <w:tab/>
      </w:r>
      <w:r>
        <w:rPr>
          <w:rFonts w:ascii="Times New Roman" w:hAnsi="Times New Roman"/>
          <w:b/>
          <w:sz w:val="24"/>
          <w:szCs w:val="24"/>
        </w:rPr>
        <w:t>C 48.02 Vähimmäisomavaraisuusasteen volatiliteetti: Raportointikauden päivittäiset arvot</w:t>
      </w:r>
      <w:bookmarkEnd w:id="81"/>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30.</w:t>
      </w:r>
      <w:r>
        <w:tab/>
      </w:r>
      <w:r>
        <w:rPr>
          <w:rFonts w:ascii="Times New Roman" w:hAnsi="Times New Roman"/>
          <w:sz w:val="24"/>
          <w:szCs w:val="24"/>
        </w:rPr>
        <w:t xml:space="preserve">Ilmoitetaan vuosineljänneksen päiväkohtaiset arvot.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Rivi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ja sarake</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Ohjeet</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Viitepäivämäärä raportointikaudella</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Laitosten on ilmoitettava päivämäärä, johon ilmoitettu päiväkohtainen arvo viittaa. Ilmoitus on tehtävä raportointivuosineljänneksen jokaiselta päivältä.</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Arvopapereilla toteutettavien rahoitustoimien vastuuarvo</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Laitosten on ilmoitettava arvopapereilla toteutettavien rahoitustoimien vastuuarvon raportointivuosineljänneksen päivittäiset arvot, josta on vähennetty vapautettu keskusvastapuolen vastuu, joka liittyy asiakkaan puolesta selvitykseen vietyihin kaupankäyntivastuisiin, sellaisena kuin se on määritelty lomakkeen C47.00 riveillä 0010 ja 0050.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Arvopapereilla toteutettavien rahoitustoimien myynnin kirjanpitotapahtumien oikaisut</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szCs w:val="24"/>
              </w:rPr>
              <w:t>Laitosten on ilmoitettava lomakkeen C47.00 rivillä 0230 määriteltyjen arvopapereilla toteutettavien rahoitustoimien myynnin kirjanpitotapahtumiin tehtyjen oikaisujen päivittäiset arvot raportointivuosineljännekseltä.</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B77EC0" w:rsidRDefault="00B77EC0">
      <w:r>
        <w:separator/>
      </w:r>
    </w:p>
  </w:endnote>
  <w:endnote w:type="continuationSeparator" w:id="0">
    <w:p w14:paraId="5FA72A43" w14:textId="77777777" w:rsidR="00B77EC0" w:rsidRDefault="00B77EC0">
      <w:r>
        <w:continuationSeparator/>
      </w:r>
    </w:p>
  </w:endnote>
  <w:endnote w:type="continuationNotice" w:id="1">
    <w:p w14:paraId="37556CA5" w14:textId="77777777" w:rsidR="00B77EC0" w:rsidRDefault="00B77E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B77EC0" w:rsidRDefault="00B77E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B77EC0" w:rsidRPr="00A772B4" w:rsidRDefault="00B77EC0">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B77EC0" w:rsidRDefault="00B77E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747EB82C" w:rsidR="00B77EC0" w:rsidRDefault="00B77EC0">
        <w:pPr>
          <w:pStyle w:val="Footer"/>
          <w:jc w:val="center"/>
        </w:pPr>
        <w:r>
          <w:fldChar w:fldCharType="begin"/>
        </w:r>
        <w:r>
          <w:instrText xml:space="preserve"> PAGE   \* MERGEFORMAT </w:instrText>
        </w:r>
        <w:r>
          <w:fldChar w:fldCharType="separate"/>
        </w:r>
        <w:r w:rsidR="00F018CC">
          <w:rPr>
            <w:noProof/>
          </w:rPr>
          <w:t>1</w:t>
        </w:r>
        <w:r>
          <w:fldChar w:fldCharType="end"/>
        </w:r>
      </w:p>
    </w:sdtContent>
  </w:sdt>
  <w:p w14:paraId="3D7804EA" w14:textId="77777777" w:rsidR="00B77EC0" w:rsidRDefault="00B77EC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Content>
      <w:p w14:paraId="3FFD22B5" w14:textId="1136A36A" w:rsidR="00B77EC0" w:rsidRPr="009A78F0" w:rsidRDefault="00B77EC0"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476522">
          <w:rPr>
            <w:rFonts w:ascii="Times New Roman" w:hAnsi="Times New Roman"/>
            <w:noProof/>
            <w:sz w:val="20"/>
          </w:rPr>
          <w:t>73</w:t>
        </w:r>
        <w:r>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58D08035" w14:textId="77777777" w:rsidR="00B77EC0" w:rsidRDefault="00B77EC0">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B77EC0" w:rsidRDefault="00B77E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B77EC0" w:rsidRPr="004D223F" w:rsidRDefault="00B77EC0" w:rsidP="00C7701D">
      <w:r>
        <w:continuationSeparator/>
      </w:r>
    </w:p>
  </w:footnote>
  <w:footnote w:type="continuationSeparator" w:id="0">
    <w:p w14:paraId="7AD75631" w14:textId="77777777" w:rsidR="00B77EC0" w:rsidRDefault="00B77EC0">
      <w:r>
        <w:continuationSeparator/>
      </w:r>
    </w:p>
  </w:footnote>
  <w:footnote w:type="continuationNotice" w:id="1">
    <w:p w14:paraId="0E3C9440" w14:textId="77777777" w:rsidR="00B77EC0" w:rsidRDefault="00B77E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B77EC0" w:rsidRDefault="00B77E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B77EC0" w:rsidRPr="00B93D0F" w:rsidRDefault="00B77EC0"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2A18" w14:textId="6DF5D568" w:rsidR="00B77EC0" w:rsidRPr="000B66BC" w:rsidRDefault="00B77EC0"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B77EC0" w:rsidRDefault="00B77EC0">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B77EC0" w:rsidRDefault="00B77EC0">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activeWritingStyle w:appName="MSWord" w:lang="fi-FI" w:vendorID="64" w:dllVersion="131078"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5297"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522"/>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472E5"/>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13"/>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700"/>
    <w:rsid w:val="00B73746"/>
    <w:rsid w:val="00B749EA"/>
    <w:rsid w:val="00B7631C"/>
    <w:rsid w:val="00B76BB7"/>
    <w:rsid w:val="00B77EC0"/>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097"/>
    <w:rsid w:val="00DC235A"/>
    <w:rsid w:val="00DC2C28"/>
    <w:rsid w:val="00DC3476"/>
    <w:rsid w:val="00DC423C"/>
    <w:rsid w:val="00DC493F"/>
    <w:rsid w:val="00DC5C08"/>
    <w:rsid w:val="00DD0923"/>
    <w:rsid w:val="00DD0B71"/>
    <w:rsid w:val="00DD0B97"/>
    <w:rsid w:val="00DD20A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9457C"/>
    <w:rsid w:val="00EA2EE1"/>
    <w:rsid w:val="00EA339B"/>
    <w:rsid w:val="00EA3F3F"/>
    <w:rsid w:val="00EA3F88"/>
    <w:rsid w:val="00EA630C"/>
    <w:rsid w:val="00EA6568"/>
    <w:rsid w:val="00EB0C28"/>
    <w:rsid w:val="00EB5ECF"/>
    <w:rsid w:val="00EB6A20"/>
    <w:rsid w:val="00EB7F64"/>
    <w:rsid w:val="00EC030F"/>
    <w:rsid w:val="00EC1B93"/>
    <w:rsid w:val="00EC1EDB"/>
    <w:rsid w:val="00EC2827"/>
    <w:rsid w:val="00EC2C14"/>
    <w:rsid w:val="00EC3422"/>
    <w:rsid w:val="00EC3FCB"/>
    <w:rsid w:val="00EC45E9"/>
    <w:rsid w:val="00EC4CF2"/>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18CC"/>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fi-FI"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fi-FI"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fi-FI"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AA84ED-70AC-47FD-BBCF-EE3085949F71}">
  <ds:schemaRefs>
    <ds:schemaRef ds:uri="http://schemas.openxmlformats.org/officeDocument/2006/bibliography"/>
  </ds:schemaRefs>
</ds:datastoreItem>
</file>

<file path=customXml/itemProps2.xml><?xml version="1.0" encoding="utf-8"?>
<ds:datastoreItem xmlns:ds="http://schemas.openxmlformats.org/officeDocument/2006/customXml" ds:itemID="{AAFF3658-AD01-4417-AC2F-663367BDF447}">
  <ds:schemaRefs>
    <ds:schemaRef ds:uri="http://schemas.openxmlformats.org/officeDocument/2006/bibliography"/>
  </ds:schemaRefs>
</ds:datastoreItem>
</file>

<file path=customXml/itemProps3.xml><?xml version="1.0" encoding="utf-8"?>
<ds:datastoreItem xmlns:ds="http://schemas.openxmlformats.org/officeDocument/2006/customXml" ds:itemID="{B53073B9-68C5-42A7-B39F-5F8F5B797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15386</Words>
  <Characters>138923</Characters>
  <Application>Microsoft Office Word</Application>
  <DocSecurity>0</DocSecurity>
  <Lines>3087</Lines>
  <Paragraphs>1428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152881</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2020-12-15T12:39:00Z</dcterms:modified>
</cp:coreProperties>
</file>