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FBDAA" w14:textId="77777777" w:rsidR="00C87CEE" w:rsidRPr="00AF7672" w:rsidRDefault="009F0F81" w:rsidP="00D64B66">
      <w:pPr>
        <w:pStyle w:val="Titrearticle"/>
        <w:keepNext w:val="0"/>
        <w:outlineLvl w:val="0"/>
        <w:rPr>
          <w:i w:val="0"/>
        </w:rPr>
      </w:pPr>
      <w:bookmarkStart w:id="0" w:name="_Toc262568021"/>
      <w:bookmarkStart w:id="1" w:name="_Toc295829847"/>
      <w:r w:rsidRPr="00AF7672">
        <w:rPr>
          <w:i w:val="0"/>
        </w:rPr>
        <w:t>ZAŁĄCZNIK VII</w:t>
      </w:r>
    </w:p>
    <w:p w14:paraId="26FC133A" w14:textId="59A74890" w:rsidR="00C87CEE" w:rsidRPr="00AF7672" w:rsidRDefault="00713F52" w:rsidP="00C87CEE">
      <w:pPr>
        <w:jc w:val="center"/>
        <w:rPr>
          <w:rFonts w:ascii="Times New Roman" w:hAnsi="Times New Roman"/>
          <w:b/>
          <w:sz w:val="24"/>
        </w:rPr>
      </w:pPr>
      <w:r w:rsidRPr="00AF7672">
        <w:rPr>
          <w:rFonts w:ascii="Times New Roman" w:hAnsi="Times New Roman"/>
          <w:b/>
          <w:sz w:val="24"/>
        </w:rPr>
        <w:t>INSTRUKCJE DOTYCZĄCE SPRAWOZDAWCZOŚCI W ZAKRESIE STRAT Z TYTUŁU UDZIELONYCH KREDYTÓW ZABEZPIECZONYCH NIERUCHOMOŚCIAMI</w:t>
      </w:r>
    </w:p>
    <w:p w14:paraId="2F7A6433" w14:textId="77777777" w:rsidR="00502390" w:rsidRPr="00AF7672" w:rsidRDefault="00502390" w:rsidP="00C87CEE">
      <w:pPr>
        <w:jc w:val="center"/>
        <w:rPr>
          <w:rFonts w:ascii="Times New Roman" w:hAnsi="Times New Roman"/>
          <w:b/>
          <w:sz w:val="24"/>
          <w:lang w:eastAsia="de-DE"/>
        </w:rPr>
        <w:sectPr w:rsidR="00502390" w:rsidRPr="00AF7672" w:rsidSect="00E577B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0562C0FD" w14:textId="42443CB4" w:rsidR="00C87CEE" w:rsidRPr="00AF7672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AF7672">
        <w:rPr>
          <w:rFonts w:ascii="Times New Roman" w:hAnsi="Times New Roman"/>
          <w:sz w:val="24"/>
          <w:u w:val="none"/>
        </w:rPr>
        <w:lastRenderedPageBreak/>
        <w:t>1.</w:t>
      </w:r>
      <w:r w:rsidRPr="00AF7672">
        <w:tab/>
      </w:r>
      <w:r w:rsidRPr="00AF7672">
        <w:rPr>
          <w:rFonts w:ascii="Times New Roman" w:hAnsi="Times New Roman"/>
          <w:sz w:val="24"/>
          <w:u w:val="none"/>
        </w:rPr>
        <w:t>Niniejszy załącznik zawiera instrukcje dotyczące wzorów zawartych</w:t>
      </w:r>
      <w:r w:rsidR="00AF7672" w:rsidRPr="00AF7672">
        <w:rPr>
          <w:rFonts w:ascii="Times New Roman" w:hAnsi="Times New Roman"/>
          <w:sz w:val="24"/>
          <w:u w:val="none"/>
        </w:rPr>
        <w:t xml:space="preserve"> w zał</w:t>
      </w:r>
      <w:r w:rsidRPr="00AF7672">
        <w:rPr>
          <w:rFonts w:ascii="Times New Roman" w:hAnsi="Times New Roman"/>
          <w:sz w:val="24"/>
          <w:u w:val="none"/>
        </w:rPr>
        <w:t>ączniku VI do niniejszego rozporządzenia.</w:t>
      </w:r>
    </w:p>
    <w:p w14:paraId="38924FD3" w14:textId="24DFC708" w:rsidR="00013EF3" w:rsidRPr="00AF7672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AF7672">
        <w:rPr>
          <w:rFonts w:ascii="Times New Roman" w:hAnsi="Times New Roman"/>
          <w:sz w:val="24"/>
          <w:u w:val="none"/>
        </w:rPr>
        <w:t>2.</w:t>
      </w:r>
      <w:r w:rsidRPr="00AF7672">
        <w:tab/>
      </w:r>
      <w:r w:rsidRPr="00AF7672">
        <w:rPr>
          <w:rFonts w:ascii="Times New Roman" w:hAnsi="Times New Roman"/>
          <w:sz w:val="24"/>
          <w:u w:val="none"/>
        </w:rPr>
        <w:t>Stosuje się również wszystkie instrukcje ogólne zawarte</w:t>
      </w:r>
      <w:r w:rsidR="00AF7672" w:rsidRPr="00AF7672">
        <w:rPr>
          <w:rFonts w:ascii="Times New Roman" w:hAnsi="Times New Roman"/>
          <w:sz w:val="24"/>
          <w:u w:val="none"/>
        </w:rPr>
        <w:t xml:space="preserve"> w czę</w:t>
      </w:r>
      <w:r w:rsidRPr="00AF7672">
        <w:rPr>
          <w:rFonts w:ascii="Times New Roman" w:hAnsi="Times New Roman"/>
          <w:sz w:val="24"/>
          <w:u w:val="none"/>
        </w:rPr>
        <w:t>ści I załącznika II do niniejszego rozporządzenia.</w:t>
      </w:r>
    </w:p>
    <w:p w14:paraId="600D280B" w14:textId="77777777" w:rsidR="00325A59" w:rsidRPr="00AF7672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 w:rsidRPr="00AF7672">
        <w:rPr>
          <w:rFonts w:ascii="Times New Roman" w:hAnsi="Times New Roman"/>
          <w:sz w:val="24"/>
          <w:u w:val="none"/>
        </w:rPr>
        <w:t>1.</w:t>
      </w:r>
      <w:r w:rsidRPr="00AF7672">
        <w:tab/>
      </w:r>
      <w:r w:rsidRPr="00AF7672">
        <w:rPr>
          <w:rFonts w:ascii="Times New Roman" w:hAnsi="Times New Roman"/>
          <w:sz w:val="24"/>
        </w:rPr>
        <w:t>Zakres sprawozdawczości</w:t>
      </w:r>
    </w:p>
    <w:p w14:paraId="73C61864" w14:textId="6AF73CCD" w:rsidR="00FB175F" w:rsidRPr="00AF7672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AF7672">
        <w:rPr>
          <w:rFonts w:ascii="Times New Roman" w:hAnsi="Times New Roman"/>
          <w:sz w:val="24"/>
          <w:u w:val="none"/>
        </w:rPr>
        <w:t>3.</w:t>
      </w:r>
      <w:r w:rsidRPr="00AF7672">
        <w:tab/>
      </w:r>
      <w:r w:rsidRPr="00AF7672">
        <w:rPr>
          <w:rFonts w:ascii="Times New Roman" w:hAnsi="Times New Roman"/>
          <w:sz w:val="24"/>
          <w:u w:val="none"/>
        </w:rPr>
        <w:t>Instytucje, które korzystają</w:t>
      </w:r>
      <w:r w:rsidR="00AF7672" w:rsidRPr="00AF7672">
        <w:rPr>
          <w:rFonts w:ascii="Times New Roman" w:hAnsi="Times New Roman"/>
          <w:sz w:val="24"/>
          <w:u w:val="none"/>
        </w:rPr>
        <w:t xml:space="preserve"> z nie</w:t>
      </w:r>
      <w:r w:rsidRPr="00AF7672">
        <w:rPr>
          <w:rFonts w:ascii="Times New Roman" w:hAnsi="Times New Roman"/>
          <w:sz w:val="24"/>
          <w:u w:val="none"/>
        </w:rPr>
        <w:t>ruchomości do celów części trzeciej tytuł II CRR, zgłaszają dane określone</w:t>
      </w:r>
      <w:r w:rsidR="00AF7672" w:rsidRPr="00AF7672">
        <w:rPr>
          <w:rFonts w:ascii="Times New Roman" w:hAnsi="Times New Roman"/>
          <w:sz w:val="24"/>
          <w:u w:val="none"/>
        </w:rPr>
        <w:t xml:space="preserve"> w art</w:t>
      </w:r>
      <w:r w:rsidRPr="00AF7672">
        <w:rPr>
          <w:rFonts w:ascii="Times New Roman" w:hAnsi="Times New Roman"/>
          <w:sz w:val="24"/>
          <w:u w:val="none"/>
        </w:rPr>
        <w:t>.</w:t>
      </w:r>
      <w:r w:rsidR="00AF7672" w:rsidRPr="00AF7672">
        <w:rPr>
          <w:rFonts w:ascii="Times New Roman" w:hAnsi="Times New Roman"/>
          <w:sz w:val="24"/>
          <w:u w:val="none"/>
        </w:rPr>
        <w:t> </w:t>
      </w:r>
      <w:r w:rsidRPr="00AF7672">
        <w:rPr>
          <w:rFonts w:ascii="Times New Roman" w:hAnsi="Times New Roman"/>
          <w:sz w:val="24"/>
          <w:u w:val="none"/>
        </w:rPr>
        <w:t>430a ust.</w:t>
      </w:r>
      <w:r w:rsidR="00AF7672" w:rsidRPr="00AF7672">
        <w:rPr>
          <w:rFonts w:ascii="Times New Roman" w:hAnsi="Times New Roman"/>
          <w:sz w:val="24"/>
          <w:u w:val="none"/>
        </w:rPr>
        <w:t> </w:t>
      </w:r>
      <w:r w:rsidRPr="00AF7672">
        <w:rPr>
          <w:rFonts w:ascii="Times New Roman" w:hAnsi="Times New Roman"/>
          <w:sz w:val="24"/>
          <w:u w:val="none"/>
        </w:rPr>
        <w:t xml:space="preserve">1 CRR. </w:t>
      </w:r>
    </w:p>
    <w:p w14:paraId="11A2B1D6" w14:textId="2AA071A3" w:rsidR="00FA5CA1" w:rsidRPr="00AF7672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AF7672">
        <w:rPr>
          <w:rFonts w:ascii="Times New Roman" w:hAnsi="Times New Roman"/>
          <w:sz w:val="24"/>
          <w:u w:val="none"/>
        </w:rPr>
        <w:t>4.</w:t>
      </w:r>
      <w:r w:rsidRPr="00AF7672">
        <w:tab/>
      </w:r>
      <w:r w:rsidRPr="00AF7672">
        <w:rPr>
          <w:rFonts w:ascii="Times New Roman" w:hAnsi="Times New Roman"/>
          <w:sz w:val="24"/>
          <w:u w:val="none"/>
        </w:rPr>
        <w:t>Zakres niniejszego wzoru obejmuje wszystkie rynki krajowe, wobec których instytucja/grupa instytucji posiada ekspozycję (art.</w:t>
      </w:r>
      <w:r w:rsidR="00AF7672" w:rsidRPr="00AF7672">
        <w:rPr>
          <w:rFonts w:ascii="Times New Roman" w:hAnsi="Times New Roman"/>
          <w:sz w:val="24"/>
          <w:u w:val="none"/>
        </w:rPr>
        <w:t> </w:t>
      </w:r>
      <w:r w:rsidRPr="00AF7672">
        <w:rPr>
          <w:rFonts w:ascii="Times New Roman" w:hAnsi="Times New Roman"/>
          <w:sz w:val="24"/>
          <w:u w:val="none"/>
        </w:rPr>
        <w:t>430a ust.</w:t>
      </w:r>
      <w:r w:rsidR="00AF7672" w:rsidRPr="00AF7672">
        <w:rPr>
          <w:rFonts w:ascii="Times New Roman" w:hAnsi="Times New Roman"/>
          <w:sz w:val="24"/>
          <w:u w:val="none"/>
        </w:rPr>
        <w:t> </w:t>
      </w:r>
      <w:r w:rsidRPr="00AF7672">
        <w:rPr>
          <w:rFonts w:ascii="Times New Roman" w:hAnsi="Times New Roman"/>
          <w:sz w:val="24"/>
          <w:u w:val="none"/>
        </w:rPr>
        <w:t>1 CRR). Zgodnie</w:t>
      </w:r>
      <w:r w:rsidR="00AF7672" w:rsidRPr="00AF7672">
        <w:rPr>
          <w:rFonts w:ascii="Times New Roman" w:hAnsi="Times New Roman"/>
          <w:sz w:val="24"/>
          <w:u w:val="none"/>
        </w:rPr>
        <w:t xml:space="preserve"> z art</w:t>
      </w:r>
      <w:r w:rsidRPr="00AF7672">
        <w:rPr>
          <w:rFonts w:ascii="Times New Roman" w:hAnsi="Times New Roman"/>
          <w:sz w:val="24"/>
          <w:u w:val="none"/>
        </w:rPr>
        <w:t>.</w:t>
      </w:r>
      <w:r w:rsidR="00AF7672" w:rsidRPr="00AF7672">
        <w:rPr>
          <w:rFonts w:ascii="Times New Roman" w:hAnsi="Times New Roman"/>
          <w:sz w:val="24"/>
          <w:u w:val="none"/>
        </w:rPr>
        <w:t> </w:t>
      </w:r>
      <w:r w:rsidRPr="00AF7672">
        <w:rPr>
          <w:rFonts w:ascii="Times New Roman" w:hAnsi="Times New Roman"/>
          <w:sz w:val="24"/>
          <w:u w:val="none"/>
        </w:rPr>
        <w:t>430a ust.</w:t>
      </w:r>
      <w:r w:rsidR="00AF7672" w:rsidRPr="00AF7672">
        <w:rPr>
          <w:rFonts w:ascii="Times New Roman" w:hAnsi="Times New Roman"/>
          <w:sz w:val="24"/>
          <w:u w:val="none"/>
        </w:rPr>
        <w:t> </w:t>
      </w:r>
      <w:r w:rsidRPr="00AF7672">
        <w:rPr>
          <w:rFonts w:ascii="Times New Roman" w:hAnsi="Times New Roman"/>
          <w:sz w:val="24"/>
          <w:u w:val="none"/>
        </w:rPr>
        <w:t>2 zdanie trzecie przedmiotowe dane zgłasza się oddzielnie dla każdego rynku nieruchomości</w:t>
      </w:r>
      <w:r w:rsidR="00AF7672" w:rsidRPr="00AF7672">
        <w:rPr>
          <w:rFonts w:ascii="Times New Roman" w:hAnsi="Times New Roman"/>
          <w:sz w:val="24"/>
          <w:u w:val="none"/>
        </w:rPr>
        <w:t xml:space="preserve"> w obr</w:t>
      </w:r>
      <w:r w:rsidRPr="00AF7672">
        <w:rPr>
          <w:rFonts w:ascii="Times New Roman" w:hAnsi="Times New Roman"/>
          <w:sz w:val="24"/>
          <w:u w:val="none"/>
        </w:rPr>
        <w:t xml:space="preserve">ębie Unii. </w:t>
      </w:r>
    </w:p>
    <w:p w14:paraId="298D1BCF" w14:textId="77777777" w:rsidR="00363FCE" w:rsidRPr="00AF7672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 w:rsidRPr="00AF7672">
        <w:rPr>
          <w:rFonts w:ascii="Times New Roman" w:hAnsi="Times New Roman"/>
          <w:sz w:val="24"/>
          <w:u w:val="none"/>
        </w:rPr>
        <w:t>2.</w:t>
      </w:r>
      <w:r w:rsidRPr="00AF7672">
        <w:tab/>
      </w:r>
      <w:r w:rsidRPr="00AF7672">
        <w:rPr>
          <w:rFonts w:ascii="Times New Roman" w:hAnsi="Times New Roman"/>
          <w:sz w:val="24"/>
        </w:rPr>
        <w:t>Definicje</w:t>
      </w:r>
    </w:p>
    <w:p w14:paraId="2570AF77" w14:textId="4CF2E948" w:rsidR="00373A71" w:rsidRPr="00AF7672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AF7672">
        <w:rPr>
          <w:rFonts w:ascii="Times New Roman" w:hAnsi="Times New Roman"/>
          <w:sz w:val="24"/>
          <w:u w:val="none"/>
        </w:rPr>
        <w:t>5.</w:t>
      </w:r>
      <w:r w:rsidRPr="00AF7672">
        <w:tab/>
      </w:r>
      <w:r w:rsidRPr="00AF7672">
        <w:rPr>
          <w:rFonts w:ascii="Times New Roman" w:hAnsi="Times New Roman"/>
          <w:sz w:val="24"/>
          <w:u w:val="none"/>
        </w:rPr>
        <w:t>„Strata” oznacza stratę</w:t>
      </w:r>
      <w:r w:rsidR="00AF7672" w:rsidRPr="00AF7672">
        <w:rPr>
          <w:rFonts w:ascii="Times New Roman" w:hAnsi="Times New Roman"/>
          <w:sz w:val="24"/>
          <w:u w:val="none"/>
        </w:rPr>
        <w:t xml:space="preserve"> w roz</w:t>
      </w:r>
      <w:r w:rsidRPr="00AF7672">
        <w:rPr>
          <w:rFonts w:ascii="Times New Roman" w:hAnsi="Times New Roman"/>
          <w:sz w:val="24"/>
          <w:u w:val="none"/>
        </w:rPr>
        <w:t>umieniu art.</w:t>
      </w:r>
      <w:r w:rsidR="00AF7672" w:rsidRPr="00AF7672">
        <w:rPr>
          <w:rFonts w:ascii="Times New Roman" w:hAnsi="Times New Roman"/>
          <w:sz w:val="24"/>
          <w:u w:val="none"/>
        </w:rPr>
        <w:t> </w:t>
      </w:r>
      <w:r w:rsidRPr="00AF7672">
        <w:rPr>
          <w:rFonts w:ascii="Times New Roman" w:hAnsi="Times New Roman"/>
          <w:sz w:val="24"/>
          <w:u w:val="none"/>
        </w:rPr>
        <w:t>5 pkt</w:t>
      </w:r>
      <w:r w:rsidR="00AF7672" w:rsidRPr="00AF7672">
        <w:rPr>
          <w:rFonts w:ascii="Times New Roman" w:hAnsi="Times New Roman"/>
          <w:sz w:val="24"/>
          <w:u w:val="none"/>
        </w:rPr>
        <w:t> </w:t>
      </w:r>
      <w:r w:rsidRPr="00AF7672">
        <w:rPr>
          <w:rFonts w:ascii="Times New Roman" w:hAnsi="Times New Roman"/>
          <w:sz w:val="24"/>
          <w:u w:val="none"/>
        </w:rPr>
        <w:t>2 CRR,</w:t>
      </w:r>
      <w:r w:rsidR="00AF7672" w:rsidRPr="00AF7672">
        <w:rPr>
          <w:rFonts w:ascii="Times New Roman" w:hAnsi="Times New Roman"/>
          <w:sz w:val="24"/>
          <w:u w:val="none"/>
        </w:rPr>
        <w:t xml:space="preserve"> w tym</w:t>
      </w:r>
      <w:r w:rsidRPr="00AF7672">
        <w:rPr>
          <w:rFonts w:ascii="Times New Roman" w:hAnsi="Times New Roman"/>
          <w:sz w:val="24"/>
          <w:u w:val="none"/>
        </w:rPr>
        <w:t xml:space="preserve"> straty</w:t>
      </w:r>
      <w:r w:rsidR="00AF7672" w:rsidRPr="00AF7672">
        <w:rPr>
          <w:rFonts w:ascii="Times New Roman" w:hAnsi="Times New Roman"/>
          <w:sz w:val="24"/>
          <w:u w:val="none"/>
        </w:rPr>
        <w:t xml:space="preserve"> z tyt</w:t>
      </w:r>
      <w:r w:rsidRPr="00AF7672">
        <w:rPr>
          <w:rFonts w:ascii="Times New Roman" w:hAnsi="Times New Roman"/>
          <w:sz w:val="24"/>
          <w:u w:val="none"/>
        </w:rPr>
        <w:t xml:space="preserve">ułu nieruchomości będącej przedmiotem leasingu. </w:t>
      </w:r>
      <w:r w:rsidRPr="00AF7672">
        <w:rPr>
          <w:rStyle w:val="InstructionsTabelleText"/>
          <w:rFonts w:ascii="Times New Roman" w:hAnsi="Times New Roman"/>
          <w:sz w:val="24"/>
          <w:u w:val="none"/>
        </w:rPr>
        <w:t>Przepływy kwot odzyskanych</w:t>
      </w:r>
      <w:r w:rsidR="00AF7672" w:rsidRPr="00AF7672">
        <w:rPr>
          <w:rStyle w:val="InstructionsTabelleText"/>
          <w:rFonts w:ascii="Times New Roman" w:hAnsi="Times New Roman"/>
          <w:sz w:val="24"/>
          <w:u w:val="none"/>
        </w:rPr>
        <w:t xml:space="preserve"> z inn</w:t>
      </w:r>
      <w:r w:rsidRPr="00AF7672">
        <w:rPr>
          <w:rStyle w:val="InstructionsTabelleText"/>
          <w:rFonts w:ascii="Times New Roman" w:hAnsi="Times New Roman"/>
          <w:sz w:val="24"/>
          <w:u w:val="none"/>
        </w:rPr>
        <w:t>ych źródeł (np. gwarancji bankowych, ubezpieczeń na życie itd.) nie są uznawane za zmniejszające straty przy obliczaniu strat</w:t>
      </w:r>
      <w:r w:rsidR="00AF7672" w:rsidRPr="00AF7672">
        <w:rPr>
          <w:rStyle w:val="InstructionsTabelleText"/>
          <w:rFonts w:ascii="Times New Roman" w:hAnsi="Times New Roman"/>
          <w:sz w:val="24"/>
          <w:u w:val="none"/>
        </w:rPr>
        <w:t xml:space="preserve"> z tyt</w:t>
      </w:r>
      <w:r w:rsidRPr="00AF7672">
        <w:rPr>
          <w:rStyle w:val="InstructionsTabelleText"/>
          <w:rFonts w:ascii="Times New Roman" w:hAnsi="Times New Roman"/>
          <w:sz w:val="24"/>
          <w:u w:val="none"/>
        </w:rPr>
        <w:t xml:space="preserve">ułu nieruchomości. </w:t>
      </w:r>
      <w:r w:rsidRPr="00AF7672">
        <w:rPr>
          <w:rFonts w:ascii="Times New Roman" w:hAnsi="Times New Roman"/>
          <w:sz w:val="24"/>
          <w:u w:val="none"/>
        </w:rPr>
        <w:t>Strat</w:t>
      </w:r>
      <w:r w:rsidR="00AF7672" w:rsidRPr="00AF7672">
        <w:rPr>
          <w:rFonts w:ascii="Times New Roman" w:hAnsi="Times New Roman"/>
          <w:sz w:val="24"/>
          <w:u w:val="none"/>
        </w:rPr>
        <w:t xml:space="preserve"> z tyt</w:t>
      </w:r>
      <w:r w:rsidRPr="00AF7672">
        <w:rPr>
          <w:rFonts w:ascii="Times New Roman" w:hAnsi="Times New Roman"/>
          <w:sz w:val="24"/>
          <w:u w:val="none"/>
        </w:rPr>
        <w:t>ułu jednej pozycji nie kompensuje się</w:t>
      </w:r>
      <w:r w:rsidR="00AF7672" w:rsidRPr="00AF7672">
        <w:rPr>
          <w:rFonts w:ascii="Times New Roman" w:hAnsi="Times New Roman"/>
          <w:sz w:val="24"/>
          <w:u w:val="none"/>
        </w:rPr>
        <w:t xml:space="preserve"> z zys</w:t>
      </w:r>
      <w:r w:rsidRPr="00AF7672">
        <w:rPr>
          <w:rFonts w:ascii="Times New Roman" w:hAnsi="Times New Roman"/>
          <w:sz w:val="24"/>
          <w:u w:val="none"/>
        </w:rPr>
        <w:t>kiem udanego odzyskania innej pozycji.</w:t>
      </w:r>
    </w:p>
    <w:p w14:paraId="6F0824D8" w14:textId="01B6166E" w:rsidR="00920D63" w:rsidRPr="00AF7672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AF7672">
        <w:rPr>
          <w:rFonts w:ascii="Times New Roman" w:hAnsi="Times New Roman"/>
          <w:sz w:val="24"/>
          <w:u w:val="none"/>
        </w:rPr>
        <w:t>6.</w:t>
      </w:r>
      <w:r w:rsidRPr="00AF7672">
        <w:tab/>
      </w:r>
      <w:r w:rsidRPr="00AF7672">
        <w:rPr>
          <w:rFonts w:ascii="Times New Roman" w:hAnsi="Times New Roman"/>
          <w:sz w:val="24"/>
          <w:u w:val="none"/>
        </w:rPr>
        <w:t>W przypadku ekspozycji zabezpieczonych nieruchomościami mieszkalnymi</w:t>
      </w:r>
      <w:r w:rsidR="00AF7672" w:rsidRPr="00AF7672">
        <w:rPr>
          <w:rFonts w:ascii="Times New Roman" w:hAnsi="Times New Roman"/>
          <w:sz w:val="24"/>
          <w:u w:val="none"/>
        </w:rPr>
        <w:t xml:space="preserve"> i kom</w:t>
      </w:r>
      <w:r w:rsidRPr="00AF7672">
        <w:rPr>
          <w:rFonts w:ascii="Times New Roman" w:hAnsi="Times New Roman"/>
          <w:sz w:val="24"/>
          <w:u w:val="none"/>
        </w:rPr>
        <w:t>ercyjnymi obliczenie straty ekonomicznej rozpoczyna się od należności</w:t>
      </w:r>
      <w:r w:rsidR="00AF7672" w:rsidRPr="00AF7672">
        <w:rPr>
          <w:rFonts w:ascii="Times New Roman" w:hAnsi="Times New Roman"/>
          <w:sz w:val="24"/>
          <w:u w:val="none"/>
        </w:rPr>
        <w:t xml:space="preserve"> z tyt</w:t>
      </w:r>
      <w:r w:rsidRPr="00AF7672">
        <w:rPr>
          <w:rFonts w:ascii="Times New Roman" w:hAnsi="Times New Roman"/>
          <w:sz w:val="24"/>
          <w:u w:val="none"/>
        </w:rPr>
        <w:t>ułu ekspozycji</w:t>
      </w:r>
      <w:r w:rsidR="00AF7672" w:rsidRPr="00AF7672">
        <w:rPr>
          <w:rFonts w:ascii="Times New Roman" w:hAnsi="Times New Roman"/>
          <w:sz w:val="24"/>
          <w:u w:val="none"/>
        </w:rPr>
        <w:t xml:space="preserve"> w dni</w:t>
      </w:r>
      <w:r w:rsidRPr="00AF7672">
        <w:rPr>
          <w:rFonts w:ascii="Times New Roman" w:hAnsi="Times New Roman"/>
          <w:sz w:val="24"/>
          <w:u w:val="none"/>
        </w:rPr>
        <w:t>u sprawozdawczym,</w:t>
      </w:r>
      <w:r w:rsidR="00AF7672" w:rsidRPr="00AF7672">
        <w:rPr>
          <w:rFonts w:ascii="Times New Roman" w:hAnsi="Times New Roman"/>
          <w:sz w:val="24"/>
          <w:u w:val="none"/>
        </w:rPr>
        <w:t xml:space="preserve"> a obl</w:t>
      </w:r>
      <w:r w:rsidRPr="00AF7672">
        <w:rPr>
          <w:rFonts w:ascii="Times New Roman" w:hAnsi="Times New Roman"/>
          <w:sz w:val="24"/>
          <w:u w:val="none"/>
        </w:rPr>
        <w:t>iczenie to zawiera: (i) wpływy</w:t>
      </w:r>
      <w:r w:rsidR="00AF7672" w:rsidRPr="00AF7672">
        <w:rPr>
          <w:rFonts w:ascii="Times New Roman" w:hAnsi="Times New Roman"/>
          <w:sz w:val="24"/>
          <w:u w:val="none"/>
        </w:rPr>
        <w:t xml:space="preserve"> z rea</w:t>
      </w:r>
      <w:r w:rsidRPr="00AF7672">
        <w:rPr>
          <w:rFonts w:ascii="Times New Roman" w:hAnsi="Times New Roman"/>
          <w:sz w:val="24"/>
          <w:u w:val="none"/>
        </w:rPr>
        <w:t>lizacji zabezpieczenia; (ii) koszty bezpośrednie (w tym płatności odsetek</w:t>
      </w:r>
      <w:r w:rsidR="00AF7672" w:rsidRPr="00AF7672">
        <w:rPr>
          <w:rFonts w:ascii="Times New Roman" w:hAnsi="Times New Roman"/>
          <w:sz w:val="24"/>
          <w:u w:val="none"/>
        </w:rPr>
        <w:t xml:space="preserve"> i kos</w:t>
      </w:r>
      <w:r w:rsidRPr="00AF7672">
        <w:rPr>
          <w:rFonts w:ascii="Times New Roman" w:hAnsi="Times New Roman"/>
          <w:sz w:val="24"/>
          <w:u w:val="none"/>
        </w:rPr>
        <w:t>zty odzyskiwania zwią</w:t>
      </w:r>
      <w:proofErr w:type="gramStart"/>
      <w:r w:rsidRPr="00AF7672">
        <w:rPr>
          <w:rFonts w:ascii="Times New Roman" w:hAnsi="Times New Roman"/>
          <w:sz w:val="24"/>
          <w:u w:val="none"/>
        </w:rPr>
        <w:lastRenderedPageBreak/>
        <w:t>zane</w:t>
      </w:r>
      <w:proofErr w:type="gramEnd"/>
      <w:r w:rsidR="00AF7672" w:rsidRPr="00AF7672">
        <w:rPr>
          <w:rFonts w:ascii="Times New Roman" w:hAnsi="Times New Roman"/>
          <w:sz w:val="24"/>
          <w:u w:val="none"/>
        </w:rPr>
        <w:t xml:space="preserve"> z upł</w:t>
      </w:r>
      <w:r w:rsidRPr="00AF7672">
        <w:rPr>
          <w:rFonts w:ascii="Times New Roman" w:hAnsi="Times New Roman"/>
          <w:sz w:val="24"/>
          <w:u w:val="none"/>
        </w:rPr>
        <w:t>ynnianiem zabezpieczenia); oraz (iii) koszty pośrednie (w tym koszty operacyjne jednostki prowadzącej odzyskiwanie). Wszystkie elementy dyskontuje się na sprawozdawczy dzień odniesienia.</w:t>
      </w:r>
    </w:p>
    <w:p w14:paraId="267A70A6" w14:textId="677BA536" w:rsidR="004345C2" w:rsidRPr="00AF7672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AF7672">
        <w:rPr>
          <w:rFonts w:ascii="Times New Roman" w:hAnsi="Times New Roman"/>
          <w:sz w:val="24"/>
          <w:u w:val="none"/>
        </w:rPr>
        <w:t>7.</w:t>
      </w:r>
      <w:r w:rsidRPr="00AF7672">
        <w:tab/>
      </w:r>
      <w:r w:rsidRPr="00AF7672">
        <w:rPr>
          <w:rFonts w:ascii="Times New Roman" w:hAnsi="Times New Roman"/>
          <w:sz w:val="24"/>
          <w:u w:val="none"/>
        </w:rPr>
        <w:t>Wartość ekspozycji ustala się zgodnie</w:t>
      </w:r>
      <w:r w:rsidR="00AF7672" w:rsidRPr="00AF7672">
        <w:rPr>
          <w:rFonts w:ascii="Times New Roman" w:hAnsi="Times New Roman"/>
          <w:sz w:val="24"/>
          <w:u w:val="none"/>
        </w:rPr>
        <w:t xml:space="preserve"> z prz</w:t>
      </w:r>
      <w:r w:rsidRPr="00AF7672">
        <w:rPr>
          <w:rFonts w:ascii="Times New Roman" w:hAnsi="Times New Roman"/>
          <w:sz w:val="24"/>
          <w:u w:val="none"/>
        </w:rPr>
        <w:t>episami przewidzianymi</w:t>
      </w:r>
      <w:r w:rsidR="00AF7672" w:rsidRPr="00AF7672">
        <w:rPr>
          <w:rFonts w:ascii="Times New Roman" w:hAnsi="Times New Roman"/>
          <w:sz w:val="24"/>
          <w:u w:val="none"/>
        </w:rPr>
        <w:t xml:space="preserve"> w czę</w:t>
      </w:r>
      <w:r w:rsidRPr="00AF7672">
        <w:rPr>
          <w:rFonts w:ascii="Times New Roman" w:hAnsi="Times New Roman"/>
          <w:sz w:val="24"/>
          <w:u w:val="none"/>
        </w:rPr>
        <w:t>ści trzeciej tytuł II CRR (zob. rozdział 2</w:t>
      </w:r>
      <w:r w:rsidR="00AF7672" w:rsidRPr="00AF7672">
        <w:rPr>
          <w:rFonts w:ascii="Times New Roman" w:hAnsi="Times New Roman"/>
          <w:sz w:val="24"/>
          <w:u w:val="none"/>
        </w:rPr>
        <w:t xml:space="preserve"> w prz</w:t>
      </w:r>
      <w:r w:rsidRPr="00AF7672">
        <w:rPr>
          <w:rFonts w:ascii="Times New Roman" w:hAnsi="Times New Roman"/>
          <w:sz w:val="24"/>
          <w:u w:val="none"/>
        </w:rPr>
        <w:t>ypadku insty</w:t>
      </w:r>
      <w:bookmarkStart w:id="2" w:name="_GoBack"/>
      <w:bookmarkEnd w:id="2"/>
      <w:r w:rsidRPr="00AF7672">
        <w:rPr>
          <w:rFonts w:ascii="Times New Roman" w:hAnsi="Times New Roman"/>
          <w:sz w:val="24"/>
          <w:u w:val="none"/>
        </w:rPr>
        <w:t>tucji stosujących metodę standardową</w:t>
      </w:r>
      <w:r w:rsidR="00AF7672" w:rsidRPr="00AF7672">
        <w:rPr>
          <w:rFonts w:ascii="Times New Roman" w:hAnsi="Times New Roman"/>
          <w:sz w:val="24"/>
          <w:u w:val="none"/>
        </w:rPr>
        <w:t xml:space="preserve"> i roz</w:t>
      </w:r>
      <w:r w:rsidRPr="00AF7672">
        <w:rPr>
          <w:rFonts w:ascii="Times New Roman" w:hAnsi="Times New Roman"/>
          <w:sz w:val="24"/>
          <w:u w:val="none"/>
        </w:rPr>
        <w:t>dział 3</w:t>
      </w:r>
      <w:r w:rsidR="00AF7672" w:rsidRPr="00AF7672">
        <w:rPr>
          <w:rFonts w:ascii="Times New Roman" w:hAnsi="Times New Roman"/>
          <w:sz w:val="24"/>
          <w:u w:val="none"/>
        </w:rPr>
        <w:t xml:space="preserve"> w prz</w:t>
      </w:r>
      <w:r w:rsidRPr="00AF7672">
        <w:rPr>
          <w:rFonts w:ascii="Times New Roman" w:hAnsi="Times New Roman"/>
          <w:sz w:val="24"/>
          <w:u w:val="none"/>
        </w:rPr>
        <w:t>ypadku instytucji stosujących metodę IRB).</w:t>
      </w:r>
    </w:p>
    <w:p w14:paraId="424065A6" w14:textId="4744CE88" w:rsidR="004345C2" w:rsidRPr="00AF7672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AF7672">
        <w:rPr>
          <w:rFonts w:ascii="Times New Roman" w:hAnsi="Times New Roman"/>
          <w:sz w:val="24"/>
          <w:u w:val="none"/>
        </w:rPr>
        <w:t>8.</w:t>
      </w:r>
      <w:r w:rsidRPr="00AF7672">
        <w:tab/>
      </w:r>
      <w:r w:rsidRPr="00AF7672">
        <w:rPr>
          <w:rFonts w:ascii="Times New Roman" w:hAnsi="Times New Roman"/>
          <w:sz w:val="24"/>
          <w:u w:val="none"/>
        </w:rPr>
        <w:t>Wartość nieruchomości ustala się zgodnie</w:t>
      </w:r>
      <w:r w:rsidR="00AF7672" w:rsidRPr="00AF7672">
        <w:rPr>
          <w:rFonts w:ascii="Times New Roman" w:hAnsi="Times New Roman"/>
          <w:sz w:val="24"/>
          <w:u w:val="none"/>
        </w:rPr>
        <w:t xml:space="preserve"> z prz</w:t>
      </w:r>
      <w:r w:rsidRPr="00AF7672">
        <w:rPr>
          <w:rFonts w:ascii="Times New Roman" w:hAnsi="Times New Roman"/>
          <w:sz w:val="24"/>
          <w:u w:val="none"/>
        </w:rPr>
        <w:t>episami przewidzianymi</w:t>
      </w:r>
      <w:r w:rsidR="00AF7672" w:rsidRPr="00AF7672">
        <w:rPr>
          <w:rFonts w:ascii="Times New Roman" w:hAnsi="Times New Roman"/>
          <w:sz w:val="24"/>
          <w:u w:val="none"/>
        </w:rPr>
        <w:t xml:space="preserve"> w czę</w:t>
      </w:r>
      <w:r w:rsidRPr="00AF7672">
        <w:rPr>
          <w:rFonts w:ascii="Times New Roman" w:hAnsi="Times New Roman"/>
          <w:sz w:val="24"/>
          <w:u w:val="none"/>
        </w:rPr>
        <w:t>ści trzeciej tytuł II CRR.</w:t>
      </w:r>
    </w:p>
    <w:p w14:paraId="3B8866E0" w14:textId="64BBEA58" w:rsidR="00840FC0" w:rsidRPr="00AF7672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AF7672">
        <w:rPr>
          <w:rFonts w:ascii="Times New Roman" w:hAnsi="Times New Roman"/>
          <w:sz w:val="24"/>
          <w:u w:val="none"/>
        </w:rPr>
        <w:t>9.</w:t>
      </w:r>
      <w:r w:rsidRPr="00AF7672">
        <w:tab/>
      </w:r>
      <w:r w:rsidRPr="00AF7672">
        <w:rPr>
          <w:rFonts w:ascii="Times New Roman" w:hAnsi="Times New Roman"/>
          <w:sz w:val="24"/>
          <w:u w:val="none"/>
        </w:rPr>
        <w:t>Wpływ wymiany walut: kwoty przelicza się na walutę sprawozdawczą przy wykorzystaniu kursu walutowego obowiązującego</w:t>
      </w:r>
      <w:r w:rsidR="00AF7672" w:rsidRPr="00AF7672">
        <w:rPr>
          <w:rFonts w:ascii="Times New Roman" w:hAnsi="Times New Roman"/>
          <w:sz w:val="24"/>
          <w:u w:val="none"/>
        </w:rPr>
        <w:t xml:space="preserve"> w dni</w:t>
      </w:r>
      <w:r w:rsidRPr="00AF7672">
        <w:rPr>
          <w:rFonts w:ascii="Times New Roman" w:hAnsi="Times New Roman"/>
          <w:sz w:val="24"/>
          <w:u w:val="none"/>
        </w:rPr>
        <w:t>u sprawozdawczym. Ponadto jeżeli ekspozycja lub zabezpieczenie są denominowane</w:t>
      </w:r>
      <w:r w:rsidR="00AF7672" w:rsidRPr="00AF7672">
        <w:rPr>
          <w:rFonts w:ascii="Times New Roman" w:hAnsi="Times New Roman"/>
          <w:sz w:val="24"/>
          <w:u w:val="none"/>
        </w:rPr>
        <w:t xml:space="preserve"> w inn</w:t>
      </w:r>
      <w:r w:rsidRPr="00AF7672">
        <w:rPr>
          <w:rFonts w:ascii="Times New Roman" w:hAnsi="Times New Roman"/>
          <w:sz w:val="24"/>
          <w:u w:val="none"/>
        </w:rPr>
        <w:t>ej walucie, przy oszacowaniach strat ekonomicznych należy uwzględnić wpływ wymiany walut.</w:t>
      </w:r>
    </w:p>
    <w:p w14:paraId="7ADF637B" w14:textId="77777777" w:rsidR="00363FCE" w:rsidRPr="00AF7672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 w:rsidRPr="00AF7672">
        <w:rPr>
          <w:rFonts w:ascii="Times New Roman" w:hAnsi="Times New Roman"/>
          <w:sz w:val="24"/>
          <w:u w:val="none"/>
        </w:rPr>
        <w:t>3.</w:t>
      </w:r>
      <w:r w:rsidRPr="00AF7672">
        <w:tab/>
      </w:r>
      <w:r w:rsidRPr="00AF7672">
        <w:rPr>
          <w:rFonts w:ascii="Times New Roman" w:hAnsi="Times New Roman"/>
          <w:sz w:val="24"/>
        </w:rPr>
        <w:t>Podział pod względem geograficznym</w:t>
      </w:r>
    </w:p>
    <w:p w14:paraId="66F86A28" w14:textId="68A51B3F" w:rsidR="002779CE" w:rsidRPr="00AF7672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AF7672">
        <w:rPr>
          <w:rFonts w:ascii="Times New Roman" w:hAnsi="Times New Roman"/>
          <w:sz w:val="24"/>
          <w:u w:val="none"/>
        </w:rPr>
        <w:t>10.</w:t>
      </w:r>
      <w:r w:rsidRPr="00AF7672">
        <w:tab/>
      </w:r>
      <w:r w:rsidRPr="00AF7672">
        <w:rPr>
          <w:rFonts w:ascii="Times New Roman" w:hAnsi="Times New Roman"/>
          <w:sz w:val="24"/>
          <w:u w:val="none"/>
        </w:rPr>
        <w:t>Instytucje zgłaszają następujące wzory:</w:t>
      </w:r>
    </w:p>
    <w:p w14:paraId="630D5FC3" w14:textId="77777777" w:rsidR="002779CE" w:rsidRPr="00AF7672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AF7672">
        <w:rPr>
          <w:rFonts w:ascii="Times New Roman" w:hAnsi="Times New Roman"/>
          <w:sz w:val="24"/>
          <w:u w:val="none"/>
        </w:rPr>
        <w:t>a</w:t>
      </w:r>
      <w:proofErr w:type="gramStart"/>
      <w:r w:rsidRPr="00AF7672">
        <w:rPr>
          <w:rFonts w:ascii="Times New Roman" w:hAnsi="Times New Roman"/>
          <w:sz w:val="24"/>
          <w:u w:val="none"/>
        </w:rPr>
        <w:t>)</w:t>
      </w:r>
      <w:r w:rsidRPr="00AF7672">
        <w:tab/>
      </w:r>
      <w:r w:rsidRPr="00AF7672">
        <w:rPr>
          <w:rFonts w:ascii="Times New Roman" w:hAnsi="Times New Roman"/>
          <w:sz w:val="24"/>
          <w:u w:val="none"/>
        </w:rPr>
        <w:t>jeden</w:t>
      </w:r>
      <w:proofErr w:type="gramEnd"/>
      <w:r w:rsidRPr="00AF7672">
        <w:rPr>
          <w:rFonts w:ascii="Times New Roman" w:hAnsi="Times New Roman"/>
          <w:sz w:val="24"/>
          <w:u w:val="none"/>
        </w:rPr>
        <w:t xml:space="preserve"> pełny wzór,</w:t>
      </w:r>
    </w:p>
    <w:p w14:paraId="131FB6E0" w14:textId="63D6E7A4" w:rsidR="002779CE" w:rsidRPr="00AF7672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AF7672">
        <w:rPr>
          <w:rFonts w:ascii="Times New Roman" w:hAnsi="Times New Roman"/>
          <w:sz w:val="24"/>
          <w:u w:val="none"/>
        </w:rPr>
        <w:t>b</w:t>
      </w:r>
      <w:proofErr w:type="gramStart"/>
      <w:r w:rsidRPr="00AF7672">
        <w:rPr>
          <w:rFonts w:ascii="Times New Roman" w:hAnsi="Times New Roman"/>
          <w:sz w:val="24"/>
          <w:u w:val="none"/>
        </w:rPr>
        <w:t>)</w:t>
      </w:r>
      <w:r w:rsidRPr="00AF7672">
        <w:tab/>
      </w:r>
      <w:r w:rsidRPr="00AF7672">
        <w:rPr>
          <w:rFonts w:ascii="Times New Roman" w:hAnsi="Times New Roman"/>
          <w:sz w:val="24"/>
          <w:u w:val="none"/>
        </w:rPr>
        <w:t>jeden</w:t>
      </w:r>
      <w:proofErr w:type="gramEnd"/>
      <w:r w:rsidRPr="00AF7672">
        <w:rPr>
          <w:rFonts w:ascii="Times New Roman" w:hAnsi="Times New Roman"/>
          <w:sz w:val="24"/>
          <w:u w:val="none"/>
        </w:rPr>
        <w:t xml:space="preserve"> wzór dla każdego rynku krajowego</w:t>
      </w:r>
      <w:r w:rsidR="00AF7672" w:rsidRPr="00AF7672">
        <w:rPr>
          <w:rFonts w:ascii="Times New Roman" w:hAnsi="Times New Roman"/>
          <w:sz w:val="24"/>
          <w:u w:val="none"/>
        </w:rPr>
        <w:t xml:space="preserve"> w obr</w:t>
      </w:r>
      <w:r w:rsidRPr="00AF7672">
        <w:rPr>
          <w:rFonts w:ascii="Times New Roman" w:hAnsi="Times New Roman"/>
          <w:sz w:val="24"/>
          <w:u w:val="none"/>
        </w:rPr>
        <w:t>ębie Unii, wobec którego instytucja posiada ekspozycję, oraz</w:t>
      </w:r>
    </w:p>
    <w:p w14:paraId="42B76C97" w14:textId="76897253" w:rsidR="002779CE" w:rsidRPr="00AF7672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AF7672">
        <w:rPr>
          <w:rFonts w:ascii="Times New Roman" w:hAnsi="Times New Roman"/>
          <w:sz w:val="24"/>
          <w:u w:val="none"/>
        </w:rPr>
        <w:t>c</w:t>
      </w:r>
      <w:proofErr w:type="gramStart"/>
      <w:r w:rsidRPr="00AF7672">
        <w:rPr>
          <w:rFonts w:ascii="Times New Roman" w:hAnsi="Times New Roman"/>
          <w:sz w:val="24"/>
          <w:u w:val="none"/>
        </w:rPr>
        <w:t>)</w:t>
      </w:r>
      <w:r w:rsidRPr="00AF7672">
        <w:tab/>
      </w:r>
      <w:r w:rsidRPr="00AF7672">
        <w:rPr>
          <w:rFonts w:ascii="Times New Roman" w:hAnsi="Times New Roman"/>
          <w:sz w:val="24"/>
          <w:u w:val="none"/>
        </w:rPr>
        <w:t>jeden</w:t>
      </w:r>
      <w:proofErr w:type="gramEnd"/>
      <w:r w:rsidRPr="00AF7672">
        <w:rPr>
          <w:rFonts w:ascii="Times New Roman" w:hAnsi="Times New Roman"/>
          <w:sz w:val="24"/>
          <w:u w:val="none"/>
        </w:rPr>
        <w:t xml:space="preserve"> wzór agregujący dane dla każdego rynku krajowego poza terytorium Unii, wobec którego instytucja posiada ekspozycję. </w:t>
      </w:r>
    </w:p>
    <w:p w14:paraId="11CDC60F" w14:textId="3900CA3C" w:rsidR="00363FCE" w:rsidRPr="00AF7672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r w:rsidRPr="00AF7672">
        <w:rPr>
          <w:rFonts w:ascii="Times New Roman" w:hAnsi="Times New Roman"/>
          <w:sz w:val="24"/>
          <w:u w:val="none"/>
        </w:rPr>
        <w:t>4.</w:t>
      </w:r>
      <w:r w:rsidRPr="00AF7672">
        <w:tab/>
      </w:r>
      <w:r w:rsidRPr="00AF7672">
        <w:rPr>
          <w:rFonts w:ascii="Times New Roman" w:hAnsi="Times New Roman"/>
          <w:sz w:val="24"/>
        </w:rPr>
        <w:t>Sprawozdawczość</w:t>
      </w:r>
      <w:r w:rsidR="00AF7672" w:rsidRPr="00AF7672">
        <w:rPr>
          <w:rFonts w:ascii="Times New Roman" w:hAnsi="Times New Roman"/>
          <w:sz w:val="24"/>
        </w:rPr>
        <w:t xml:space="preserve"> w zak</w:t>
      </w:r>
      <w:r w:rsidRPr="00AF7672">
        <w:rPr>
          <w:rFonts w:ascii="Times New Roman" w:hAnsi="Times New Roman"/>
          <w:sz w:val="24"/>
        </w:rPr>
        <w:t>resie ekspozycji</w:t>
      </w:r>
      <w:r w:rsidR="00AF7672" w:rsidRPr="00AF7672">
        <w:rPr>
          <w:rFonts w:ascii="Times New Roman" w:hAnsi="Times New Roman"/>
          <w:sz w:val="24"/>
        </w:rPr>
        <w:t xml:space="preserve"> i str</w:t>
      </w:r>
      <w:r w:rsidRPr="00AF7672">
        <w:rPr>
          <w:rFonts w:ascii="Times New Roman" w:hAnsi="Times New Roman"/>
          <w:sz w:val="24"/>
        </w:rPr>
        <w:t>at</w:t>
      </w:r>
    </w:p>
    <w:p w14:paraId="1E33E1D4" w14:textId="645D8F00" w:rsidR="000471B0" w:rsidRPr="00AF7672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AF7672">
        <w:rPr>
          <w:rFonts w:ascii="Times New Roman" w:hAnsi="Times New Roman"/>
          <w:sz w:val="24"/>
          <w:u w:val="none"/>
        </w:rPr>
        <w:t>11.</w:t>
      </w:r>
      <w:r w:rsidRPr="00AF7672">
        <w:tab/>
      </w:r>
      <w:r w:rsidRPr="00AF7672">
        <w:rPr>
          <w:rFonts w:ascii="Times New Roman" w:hAnsi="Times New Roman"/>
          <w:sz w:val="24"/>
          <w:u w:val="none"/>
        </w:rPr>
        <w:t>Ekspozycje: wszelkie ekspozycje, które podlegają wymogom określonym</w:t>
      </w:r>
      <w:r w:rsidR="00AF7672" w:rsidRPr="00AF7672">
        <w:rPr>
          <w:rFonts w:ascii="Times New Roman" w:hAnsi="Times New Roman"/>
          <w:sz w:val="24"/>
          <w:u w:val="none"/>
        </w:rPr>
        <w:t xml:space="preserve"> w czę</w:t>
      </w:r>
      <w:r w:rsidRPr="00AF7672">
        <w:rPr>
          <w:rFonts w:ascii="Times New Roman" w:hAnsi="Times New Roman"/>
          <w:sz w:val="24"/>
          <w:u w:val="none"/>
        </w:rPr>
        <w:t>ści trzeciej tytuł II CRR</w:t>
      </w:r>
      <w:r w:rsidR="00AF7672" w:rsidRPr="00AF7672">
        <w:rPr>
          <w:rFonts w:ascii="Times New Roman" w:hAnsi="Times New Roman"/>
          <w:sz w:val="24"/>
          <w:u w:val="none"/>
        </w:rPr>
        <w:t xml:space="preserve"> i w prz</w:t>
      </w:r>
      <w:r w:rsidRPr="00AF7672">
        <w:rPr>
          <w:rFonts w:ascii="Times New Roman" w:hAnsi="Times New Roman"/>
          <w:sz w:val="24"/>
          <w:u w:val="none"/>
        </w:rPr>
        <w:t>ypadku których stosowane jest zabezpieczenie</w:t>
      </w:r>
      <w:r w:rsidR="00AF7672" w:rsidRPr="00AF7672">
        <w:rPr>
          <w:rFonts w:ascii="Times New Roman" w:hAnsi="Times New Roman"/>
          <w:sz w:val="24"/>
          <w:u w:val="none"/>
        </w:rPr>
        <w:t xml:space="preserve"> w cel</w:t>
      </w:r>
      <w:r w:rsidRPr="00AF7672">
        <w:rPr>
          <w:rFonts w:ascii="Times New Roman" w:hAnsi="Times New Roman"/>
          <w:sz w:val="24"/>
          <w:u w:val="none"/>
        </w:rPr>
        <w:t>u obniżenia kwoty ekspozycji ważonej ryzykiem, zgłasza się we wzorze C 15.00. Oznacza to również, że takie ekspozycje</w:t>
      </w:r>
      <w:r w:rsidR="00AF7672" w:rsidRPr="00AF7672">
        <w:rPr>
          <w:rFonts w:ascii="Times New Roman" w:hAnsi="Times New Roman"/>
          <w:sz w:val="24"/>
          <w:u w:val="none"/>
        </w:rPr>
        <w:t xml:space="preserve"> i str</w:t>
      </w:r>
      <w:r w:rsidRPr="00AF7672">
        <w:rPr>
          <w:rFonts w:ascii="Times New Roman" w:hAnsi="Times New Roman"/>
          <w:sz w:val="24"/>
          <w:u w:val="none"/>
        </w:rPr>
        <w:t>aty nie podlegają zgłoszeniu, jeżeli skutek ograniczenia ryzyka, jaki generuje nieruchomość, jest stosowany wyłącznie do celów wewnętrznych (tj.</w:t>
      </w:r>
      <w:r w:rsidR="00AF7672" w:rsidRPr="00AF7672">
        <w:rPr>
          <w:rFonts w:ascii="Times New Roman" w:hAnsi="Times New Roman"/>
          <w:sz w:val="24"/>
          <w:u w:val="none"/>
        </w:rPr>
        <w:t xml:space="preserve"> w ram</w:t>
      </w:r>
      <w:r w:rsidRPr="00AF7672">
        <w:rPr>
          <w:rFonts w:ascii="Times New Roman" w:hAnsi="Times New Roman"/>
          <w:sz w:val="24"/>
          <w:u w:val="none"/>
        </w:rPr>
        <w:t>ach filaru 2) lub do dużych ekspozycji (zob. część czwarta CRR).</w:t>
      </w:r>
    </w:p>
    <w:p w14:paraId="476B3438" w14:textId="49B2CBD8" w:rsidR="000471B0" w:rsidRPr="00AF7672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AF7672">
        <w:rPr>
          <w:rFonts w:ascii="Times New Roman" w:hAnsi="Times New Roman"/>
          <w:sz w:val="24"/>
          <w:u w:val="none"/>
        </w:rPr>
        <w:t>12.</w:t>
      </w:r>
      <w:r w:rsidRPr="00AF7672">
        <w:tab/>
      </w:r>
      <w:r w:rsidRPr="00AF7672">
        <w:rPr>
          <w:rFonts w:ascii="Times New Roman" w:hAnsi="Times New Roman"/>
          <w:sz w:val="24"/>
          <w:u w:val="none"/>
        </w:rPr>
        <w:t>Straty: instytucja posiadająca ekspozycję na koniec okresu sprawozdawczego zgłasza straty. Straty zgłasza się natychmiast, gdy zgodnie</w:t>
      </w:r>
      <w:r w:rsidR="00AF7672" w:rsidRPr="00AF7672">
        <w:rPr>
          <w:rFonts w:ascii="Times New Roman" w:hAnsi="Times New Roman"/>
          <w:sz w:val="24"/>
          <w:u w:val="none"/>
        </w:rPr>
        <w:t xml:space="preserve"> z zas</w:t>
      </w:r>
      <w:r w:rsidRPr="00AF7672">
        <w:rPr>
          <w:rFonts w:ascii="Times New Roman" w:hAnsi="Times New Roman"/>
          <w:sz w:val="24"/>
          <w:u w:val="none"/>
        </w:rPr>
        <w:t>adami rachunkowości mają zostać zaksięgowane rezerwy. Zgłasza się także szacowane straty. Straty wynikające</w:t>
      </w:r>
      <w:r w:rsidR="00AF7672" w:rsidRPr="00AF7672">
        <w:rPr>
          <w:rFonts w:ascii="Times New Roman" w:hAnsi="Times New Roman"/>
          <w:sz w:val="24"/>
          <w:u w:val="none"/>
        </w:rPr>
        <w:t xml:space="preserve"> z eks</w:t>
      </w:r>
      <w:r w:rsidRPr="00AF7672">
        <w:rPr>
          <w:rFonts w:ascii="Times New Roman" w:hAnsi="Times New Roman"/>
          <w:sz w:val="24"/>
          <w:u w:val="none"/>
        </w:rPr>
        <w:t>pozycji zabezpieczonych nieruchomościami oblicza się indywidualnie dla poszczególnych kredytów</w:t>
      </w:r>
      <w:r w:rsidR="00AF7672" w:rsidRPr="00AF7672">
        <w:rPr>
          <w:rFonts w:ascii="Times New Roman" w:hAnsi="Times New Roman"/>
          <w:sz w:val="24"/>
          <w:u w:val="none"/>
        </w:rPr>
        <w:t xml:space="preserve"> i agr</w:t>
      </w:r>
      <w:r w:rsidRPr="00AF7672">
        <w:rPr>
          <w:rFonts w:ascii="Times New Roman" w:hAnsi="Times New Roman"/>
          <w:sz w:val="24"/>
          <w:u w:val="none"/>
        </w:rPr>
        <w:t>eguje do celów sprawozdawczości.</w:t>
      </w:r>
    </w:p>
    <w:p w14:paraId="76BF16A4" w14:textId="70578482" w:rsidR="000471B0" w:rsidRPr="00AF7672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AF7672">
        <w:rPr>
          <w:rFonts w:ascii="Times New Roman" w:hAnsi="Times New Roman"/>
          <w:sz w:val="24"/>
          <w:u w:val="none"/>
        </w:rPr>
        <w:t>13.</w:t>
      </w:r>
      <w:r w:rsidRPr="00AF7672">
        <w:tab/>
      </w:r>
      <w:r w:rsidRPr="00AF7672">
        <w:rPr>
          <w:rFonts w:ascii="Times New Roman" w:hAnsi="Times New Roman"/>
          <w:sz w:val="24"/>
          <w:u w:val="none"/>
        </w:rPr>
        <w:t xml:space="preserve">Dzień odniesienia: stosuje się wartość ekspozycji na dzień niewykonania zobowiązania. </w:t>
      </w:r>
    </w:p>
    <w:p w14:paraId="1BD48AAA" w14:textId="02F329EE" w:rsidR="008D7ACC" w:rsidRPr="00AF7672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 w:rsidRPr="00AF7672">
        <w:rPr>
          <w:rFonts w:ascii="Times New Roman" w:hAnsi="Times New Roman"/>
          <w:bCs/>
          <w:sz w:val="24"/>
          <w:szCs w:val="24"/>
          <w:u w:val="none"/>
        </w:rPr>
        <w:t>a</w:t>
      </w:r>
      <w:proofErr w:type="gramStart"/>
      <w:r w:rsidRPr="00AF7672">
        <w:rPr>
          <w:rFonts w:ascii="Times New Roman" w:hAnsi="Times New Roman"/>
          <w:bCs/>
          <w:sz w:val="24"/>
          <w:szCs w:val="24"/>
          <w:u w:val="none"/>
        </w:rPr>
        <w:t>)</w:t>
      </w:r>
      <w:r w:rsidRPr="00AF7672">
        <w:tab/>
      </w:r>
      <w:r w:rsidRPr="00AF7672">
        <w:rPr>
          <w:rFonts w:ascii="Times New Roman" w:hAnsi="Times New Roman"/>
          <w:bCs/>
          <w:sz w:val="24"/>
          <w:szCs w:val="24"/>
          <w:u w:val="none"/>
        </w:rPr>
        <w:t>Straty</w:t>
      </w:r>
      <w:proofErr w:type="gramEnd"/>
      <w:r w:rsidRPr="00AF7672">
        <w:rPr>
          <w:rFonts w:ascii="Times New Roman" w:hAnsi="Times New Roman"/>
          <w:bCs/>
          <w:sz w:val="24"/>
          <w:szCs w:val="24"/>
          <w:u w:val="none"/>
        </w:rPr>
        <w:t xml:space="preserve"> zgłasza się</w:t>
      </w:r>
      <w:r w:rsidR="00AF7672" w:rsidRPr="00AF7672">
        <w:rPr>
          <w:rFonts w:ascii="Times New Roman" w:hAnsi="Times New Roman"/>
          <w:bCs/>
          <w:sz w:val="24"/>
          <w:szCs w:val="24"/>
          <w:u w:val="none"/>
        </w:rPr>
        <w:t xml:space="preserve"> w odn</w:t>
      </w:r>
      <w:r w:rsidRPr="00AF7672">
        <w:rPr>
          <w:rFonts w:ascii="Times New Roman" w:hAnsi="Times New Roman"/>
          <w:bCs/>
          <w:sz w:val="24"/>
          <w:szCs w:val="24"/>
          <w:u w:val="none"/>
        </w:rPr>
        <w:t>iesieniu do wszystkich przypadków niewykonania zobowiązania</w:t>
      </w:r>
      <w:r w:rsidR="00AF7672" w:rsidRPr="00AF7672">
        <w:rPr>
          <w:rFonts w:ascii="Times New Roman" w:hAnsi="Times New Roman"/>
          <w:bCs/>
          <w:sz w:val="24"/>
          <w:szCs w:val="24"/>
          <w:u w:val="none"/>
        </w:rPr>
        <w:t xml:space="preserve"> z tyt</w:t>
      </w:r>
      <w:r w:rsidRPr="00AF7672">
        <w:rPr>
          <w:rFonts w:ascii="Times New Roman" w:hAnsi="Times New Roman"/>
          <w:bCs/>
          <w:sz w:val="24"/>
          <w:szCs w:val="24"/>
          <w:u w:val="none"/>
        </w:rPr>
        <w:t>ułu kredytów zabezpieczonych nieruchomościami, jakie wystąpią</w:t>
      </w:r>
      <w:r w:rsidR="00AF7672" w:rsidRPr="00AF7672">
        <w:rPr>
          <w:rFonts w:ascii="Times New Roman" w:hAnsi="Times New Roman"/>
          <w:bCs/>
          <w:sz w:val="24"/>
          <w:szCs w:val="24"/>
          <w:u w:val="none"/>
        </w:rPr>
        <w:t xml:space="preserve"> w tra</w:t>
      </w:r>
      <w:r w:rsidRPr="00AF7672">
        <w:rPr>
          <w:rFonts w:ascii="Times New Roman" w:hAnsi="Times New Roman"/>
          <w:bCs/>
          <w:sz w:val="24"/>
          <w:szCs w:val="24"/>
          <w:u w:val="none"/>
        </w:rPr>
        <w:t>kcie okresu sprawozdawczego, niezależnie od tego, czy zakończono odzyskanie. Straty zgłaszane na dzień 31 grudnia dotyczą całego roku kalendarzowego. Ponieważ może mieć miejsce duże przesunięcie czasowe między niewykonaniem zobowiązania</w:t>
      </w:r>
      <w:r w:rsidR="00AF7672" w:rsidRPr="00AF7672">
        <w:rPr>
          <w:rFonts w:ascii="Times New Roman" w:hAnsi="Times New Roman"/>
          <w:bCs/>
          <w:sz w:val="24"/>
          <w:szCs w:val="24"/>
          <w:u w:val="none"/>
        </w:rPr>
        <w:t xml:space="preserve"> a uję</w:t>
      </w:r>
      <w:r w:rsidRPr="00AF7672">
        <w:rPr>
          <w:rFonts w:ascii="Times New Roman" w:hAnsi="Times New Roman"/>
          <w:bCs/>
          <w:sz w:val="24"/>
          <w:szCs w:val="24"/>
          <w:u w:val="none"/>
        </w:rPr>
        <w:t>ciem strat (obejmującym niekompletny proces odzyskania), oszacowania strat zgłasza się</w:t>
      </w:r>
      <w:r w:rsidR="00AF7672" w:rsidRPr="00AF7672">
        <w:rPr>
          <w:rFonts w:ascii="Times New Roman" w:hAnsi="Times New Roman"/>
          <w:bCs/>
          <w:sz w:val="24"/>
          <w:szCs w:val="24"/>
          <w:u w:val="none"/>
        </w:rPr>
        <w:t xml:space="preserve"> w prz</w:t>
      </w:r>
      <w:r w:rsidRPr="00AF7672">
        <w:rPr>
          <w:rFonts w:ascii="Times New Roman" w:hAnsi="Times New Roman"/>
          <w:bCs/>
          <w:sz w:val="24"/>
          <w:szCs w:val="24"/>
          <w:u w:val="none"/>
        </w:rPr>
        <w:t>ypadkach,</w:t>
      </w:r>
      <w:r w:rsidR="00AF7672" w:rsidRPr="00AF7672">
        <w:rPr>
          <w:rFonts w:ascii="Times New Roman" w:hAnsi="Times New Roman"/>
          <w:bCs/>
          <w:sz w:val="24"/>
          <w:szCs w:val="24"/>
          <w:u w:val="none"/>
        </w:rPr>
        <w:t xml:space="preserve"> w któ</w:t>
      </w:r>
      <w:r w:rsidRPr="00AF7672">
        <w:rPr>
          <w:rFonts w:ascii="Times New Roman" w:hAnsi="Times New Roman"/>
          <w:bCs/>
          <w:sz w:val="24"/>
          <w:szCs w:val="24"/>
          <w:u w:val="none"/>
        </w:rPr>
        <w:t>rych odzyskanie nie zostało zakończone</w:t>
      </w:r>
      <w:r w:rsidR="00AF7672" w:rsidRPr="00AF7672">
        <w:rPr>
          <w:rFonts w:ascii="Times New Roman" w:hAnsi="Times New Roman"/>
          <w:bCs/>
          <w:sz w:val="24"/>
          <w:szCs w:val="24"/>
          <w:u w:val="none"/>
        </w:rPr>
        <w:t xml:space="preserve"> w okr</w:t>
      </w:r>
      <w:r w:rsidRPr="00AF7672">
        <w:rPr>
          <w:rFonts w:ascii="Times New Roman" w:hAnsi="Times New Roman"/>
          <w:bCs/>
          <w:sz w:val="24"/>
          <w:szCs w:val="24"/>
          <w:u w:val="none"/>
        </w:rPr>
        <w:t>esie sprawozdawczym.</w:t>
      </w:r>
    </w:p>
    <w:p w14:paraId="43D8639D" w14:textId="4FB3AE7D" w:rsidR="008D7ACC" w:rsidRPr="00AF7672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 w:rsidRPr="00AF7672">
        <w:rPr>
          <w:rFonts w:ascii="Times New Roman" w:hAnsi="Times New Roman"/>
          <w:bCs/>
          <w:sz w:val="24"/>
          <w:szCs w:val="24"/>
          <w:u w:val="none"/>
        </w:rPr>
        <w:lastRenderedPageBreak/>
        <w:t>b</w:t>
      </w:r>
      <w:proofErr w:type="gramStart"/>
      <w:r w:rsidRPr="00AF7672">
        <w:rPr>
          <w:rFonts w:ascii="Times New Roman" w:hAnsi="Times New Roman"/>
          <w:bCs/>
          <w:sz w:val="24"/>
          <w:szCs w:val="24"/>
          <w:u w:val="none"/>
        </w:rPr>
        <w:t>)</w:t>
      </w:r>
      <w:r w:rsidRPr="00AF7672">
        <w:tab/>
      </w:r>
      <w:r w:rsidRPr="00AF7672">
        <w:rPr>
          <w:rFonts w:ascii="Times New Roman" w:hAnsi="Times New Roman"/>
          <w:bCs/>
          <w:sz w:val="24"/>
          <w:szCs w:val="24"/>
          <w:u w:val="none"/>
        </w:rPr>
        <w:t>We</w:t>
      </w:r>
      <w:proofErr w:type="gramEnd"/>
      <w:r w:rsidRPr="00AF7672">
        <w:rPr>
          <w:rFonts w:ascii="Times New Roman" w:hAnsi="Times New Roman"/>
          <w:bCs/>
          <w:sz w:val="24"/>
          <w:szCs w:val="24"/>
          <w:u w:val="none"/>
        </w:rPr>
        <w:t xml:space="preserve"> wszystkich przypadkach niewykonania zobowiązania odnotowanych</w:t>
      </w:r>
      <w:r w:rsidR="00AF7672" w:rsidRPr="00AF7672">
        <w:rPr>
          <w:rFonts w:ascii="Times New Roman" w:hAnsi="Times New Roman"/>
          <w:bCs/>
          <w:sz w:val="24"/>
          <w:szCs w:val="24"/>
          <w:u w:val="none"/>
        </w:rPr>
        <w:t xml:space="preserve"> w okr</w:t>
      </w:r>
      <w:r w:rsidRPr="00AF7672">
        <w:rPr>
          <w:rFonts w:ascii="Times New Roman" w:hAnsi="Times New Roman"/>
          <w:bCs/>
          <w:sz w:val="24"/>
          <w:szCs w:val="24"/>
          <w:u w:val="none"/>
        </w:rPr>
        <w:t>esie sprawozdawczym stosuje się następujące trzy scenariusze: (i) kredyt, którego dotyczy niewykonanie zobowiązania, może zostać zrestrukturyzowany, tak aby nie był już traktowany jako cechujący się niewykonaniem zobowiązania (nie odnotowano straty); (ii) realizacja wszystkich zabezpieczeń zostaje zakończona (zakończono odzyskanie, znana jest rzeczywista strata); lub (iii) nie ukończono procesu odzyskiwania (należy zastosować oszacowania strat). Sprawozdawczość</w:t>
      </w:r>
      <w:r w:rsidR="00AF7672" w:rsidRPr="00AF7672">
        <w:rPr>
          <w:rFonts w:ascii="Times New Roman" w:hAnsi="Times New Roman"/>
          <w:bCs/>
          <w:sz w:val="24"/>
          <w:szCs w:val="24"/>
          <w:u w:val="none"/>
        </w:rPr>
        <w:t xml:space="preserve"> w zak</w:t>
      </w:r>
      <w:r w:rsidRPr="00AF7672">
        <w:rPr>
          <w:rFonts w:ascii="Times New Roman" w:hAnsi="Times New Roman"/>
          <w:bCs/>
          <w:sz w:val="24"/>
          <w:szCs w:val="24"/>
          <w:u w:val="none"/>
        </w:rPr>
        <w:t>resie strat obejmuje wyłącznie straty</w:t>
      </w:r>
      <w:r w:rsidR="00AF7672" w:rsidRPr="00AF7672">
        <w:rPr>
          <w:rFonts w:ascii="Times New Roman" w:hAnsi="Times New Roman"/>
          <w:bCs/>
          <w:sz w:val="24"/>
          <w:szCs w:val="24"/>
          <w:u w:val="none"/>
        </w:rPr>
        <w:t xml:space="preserve"> z tyt</w:t>
      </w:r>
      <w:r w:rsidRPr="00AF7672">
        <w:rPr>
          <w:rFonts w:ascii="Times New Roman" w:hAnsi="Times New Roman"/>
          <w:bCs/>
          <w:sz w:val="24"/>
          <w:szCs w:val="24"/>
          <w:u w:val="none"/>
        </w:rPr>
        <w:t>ułu scenariusza (ii) realizacja zabezpieczenia (odnotowane straty)</w:t>
      </w:r>
      <w:r w:rsidR="00AF7672" w:rsidRPr="00AF7672">
        <w:rPr>
          <w:rFonts w:ascii="Times New Roman" w:hAnsi="Times New Roman"/>
          <w:bCs/>
          <w:sz w:val="24"/>
          <w:szCs w:val="24"/>
          <w:u w:val="none"/>
        </w:rPr>
        <w:t xml:space="preserve"> i sce</w:t>
      </w:r>
      <w:r w:rsidRPr="00AF7672">
        <w:rPr>
          <w:rFonts w:ascii="Times New Roman" w:hAnsi="Times New Roman"/>
          <w:bCs/>
          <w:sz w:val="24"/>
          <w:szCs w:val="24"/>
          <w:u w:val="none"/>
        </w:rPr>
        <w:t>nariusza (iii) nie ukończono procesu odzyskiwania (oszacowania strat).</w:t>
      </w:r>
    </w:p>
    <w:p w14:paraId="5F725F4A" w14:textId="5C419C95" w:rsidR="008D7ACC" w:rsidRPr="00AF7672" w:rsidRDefault="001E7A23" w:rsidP="001E7A23">
      <w:pPr>
        <w:pStyle w:val="InstructionsText2"/>
        <w:numPr>
          <w:ilvl w:val="0"/>
          <w:numId w:val="0"/>
        </w:numPr>
        <w:tabs>
          <w:tab w:val="left" w:pos="720"/>
        </w:tabs>
        <w:ind w:left="720" w:hanging="360"/>
        <w:rPr>
          <w:rFonts w:ascii="Times New Roman" w:hAnsi="Times New Roman"/>
          <w:bCs/>
          <w:sz w:val="24"/>
          <w:szCs w:val="24"/>
          <w:u w:val="none"/>
        </w:rPr>
      </w:pPr>
      <w:r w:rsidRPr="00AF7672">
        <w:rPr>
          <w:rFonts w:ascii="Times New Roman" w:hAnsi="Times New Roman"/>
          <w:bCs/>
          <w:sz w:val="24"/>
          <w:szCs w:val="24"/>
          <w:u w:val="none"/>
        </w:rPr>
        <w:t>c</w:t>
      </w:r>
      <w:proofErr w:type="gramStart"/>
      <w:r w:rsidRPr="00AF7672">
        <w:rPr>
          <w:rFonts w:ascii="Times New Roman" w:hAnsi="Times New Roman"/>
          <w:bCs/>
          <w:sz w:val="24"/>
          <w:szCs w:val="24"/>
          <w:u w:val="none"/>
        </w:rPr>
        <w:t>)</w:t>
      </w:r>
      <w:r w:rsidRPr="00AF7672">
        <w:tab/>
      </w:r>
      <w:r w:rsidRPr="00AF7672">
        <w:rPr>
          <w:rFonts w:ascii="Times New Roman" w:hAnsi="Times New Roman"/>
          <w:bCs/>
          <w:sz w:val="24"/>
          <w:szCs w:val="24"/>
          <w:u w:val="none"/>
        </w:rPr>
        <w:t>Ponieważ</w:t>
      </w:r>
      <w:proofErr w:type="gramEnd"/>
      <w:r w:rsidRPr="00AF7672">
        <w:rPr>
          <w:rFonts w:ascii="Times New Roman" w:hAnsi="Times New Roman"/>
          <w:bCs/>
          <w:sz w:val="24"/>
          <w:szCs w:val="24"/>
          <w:u w:val="none"/>
        </w:rPr>
        <w:t xml:space="preserve"> straty zgłasza się jedynie</w:t>
      </w:r>
      <w:r w:rsidR="00AF7672" w:rsidRPr="00AF7672">
        <w:rPr>
          <w:rFonts w:ascii="Times New Roman" w:hAnsi="Times New Roman"/>
          <w:bCs/>
          <w:sz w:val="24"/>
          <w:szCs w:val="24"/>
          <w:u w:val="none"/>
        </w:rPr>
        <w:t xml:space="preserve"> w odn</w:t>
      </w:r>
      <w:r w:rsidRPr="00AF7672">
        <w:rPr>
          <w:rFonts w:ascii="Times New Roman" w:hAnsi="Times New Roman"/>
          <w:bCs/>
          <w:sz w:val="24"/>
          <w:szCs w:val="24"/>
          <w:u w:val="none"/>
        </w:rPr>
        <w:t>iesieniu do ekspozycji cechujących się niewykonaniem zobowiązania</w:t>
      </w:r>
      <w:r w:rsidR="00AF7672" w:rsidRPr="00AF7672">
        <w:rPr>
          <w:rFonts w:ascii="Times New Roman" w:hAnsi="Times New Roman"/>
          <w:bCs/>
          <w:sz w:val="24"/>
          <w:szCs w:val="24"/>
          <w:u w:val="none"/>
        </w:rPr>
        <w:t xml:space="preserve"> w okr</w:t>
      </w:r>
      <w:r w:rsidRPr="00AF7672">
        <w:rPr>
          <w:rFonts w:ascii="Times New Roman" w:hAnsi="Times New Roman"/>
          <w:bCs/>
          <w:sz w:val="24"/>
          <w:szCs w:val="24"/>
          <w:u w:val="none"/>
        </w:rPr>
        <w:t>esie sprawozdawczym,</w:t>
      </w:r>
      <w:r w:rsidR="00AF7672" w:rsidRPr="00AF7672">
        <w:rPr>
          <w:rFonts w:ascii="Times New Roman" w:hAnsi="Times New Roman"/>
          <w:bCs/>
          <w:sz w:val="24"/>
          <w:szCs w:val="24"/>
          <w:u w:val="none"/>
        </w:rPr>
        <w:t xml:space="preserve"> w zgł</w:t>
      </w:r>
      <w:r w:rsidRPr="00AF7672">
        <w:rPr>
          <w:rFonts w:ascii="Times New Roman" w:hAnsi="Times New Roman"/>
          <w:bCs/>
          <w:sz w:val="24"/>
          <w:szCs w:val="24"/>
          <w:u w:val="none"/>
        </w:rPr>
        <w:t>aszanych danych nie odzwierciedla się zmian</w:t>
      </w:r>
      <w:r w:rsidR="00AF7672" w:rsidRPr="00AF7672">
        <w:rPr>
          <w:rFonts w:ascii="Times New Roman" w:hAnsi="Times New Roman"/>
          <w:bCs/>
          <w:sz w:val="24"/>
          <w:szCs w:val="24"/>
          <w:u w:val="none"/>
        </w:rPr>
        <w:t xml:space="preserve"> w str</w:t>
      </w:r>
      <w:r w:rsidRPr="00AF7672">
        <w:rPr>
          <w:rFonts w:ascii="Times New Roman" w:hAnsi="Times New Roman"/>
          <w:bCs/>
          <w:sz w:val="24"/>
          <w:szCs w:val="24"/>
          <w:u w:val="none"/>
        </w:rPr>
        <w:t>atach</w:t>
      </w:r>
      <w:r w:rsidR="00AF7672" w:rsidRPr="00AF7672">
        <w:rPr>
          <w:rFonts w:ascii="Times New Roman" w:hAnsi="Times New Roman"/>
          <w:bCs/>
          <w:sz w:val="24"/>
          <w:szCs w:val="24"/>
          <w:u w:val="none"/>
        </w:rPr>
        <w:t xml:space="preserve"> z tyt</w:t>
      </w:r>
      <w:r w:rsidRPr="00AF7672">
        <w:rPr>
          <w:rFonts w:ascii="Times New Roman" w:hAnsi="Times New Roman"/>
          <w:bCs/>
          <w:sz w:val="24"/>
          <w:szCs w:val="24"/>
          <w:u w:val="none"/>
        </w:rPr>
        <w:t>ułu ekspozycji cechujących się niewykonaniem zobowiązania</w:t>
      </w:r>
      <w:r w:rsidR="00AF7672" w:rsidRPr="00AF7672">
        <w:rPr>
          <w:rFonts w:ascii="Times New Roman" w:hAnsi="Times New Roman"/>
          <w:bCs/>
          <w:sz w:val="24"/>
          <w:szCs w:val="24"/>
          <w:u w:val="none"/>
        </w:rPr>
        <w:t xml:space="preserve"> w pop</w:t>
      </w:r>
      <w:r w:rsidRPr="00AF7672">
        <w:rPr>
          <w:rFonts w:ascii="Times New Roman" w:hAnsi="Times New Roman"/>
          <w:bCs/>
          <w:sz w:val="24"/>
          <w:szCs w:val="24"/>
          <w:u w:val="none"/>
        </w:rPr>
        <w:t>rzednim okresie sprawozdawczym. Oznacza to, że przychody uzyskane</w:t>
      </w:r>
      <w:r w:rsidR="00AF7672" w:rsidRPr="00AF7672">
        <w:rPr>
          <w:rFonts w:ascii="Times New Roman" w:hAnsi="Times New Roman"/>
          <w:bCs/>
          <w:sz w:val="24"/>
          <w:szCs w:val="24"/>
          <w:u w:val="none"/>
        </w:rPr>
        <w:t xml:space="preserve"> z rea</w:t>
      </w:r>
      <w:r w:rsidRPr="00AF7672">
        <w:rPr>
          <w:rFonts w:ascii="Times New Roman" w:hAnsi="Times New Roman"/>
          <w:bCs/>
          <w:sz w:val="24"/>
          <w:szCs w:val="24"/>
          <w:u w:val="none"/>
        </w:rPr>
        <w:t>lizacji zabezpieczenia</w:t>
      </w:r>
      <w:r w:rsidR="00AF7672" w:rsidRPr="00AF7672">
        <w:rPr>
          <w:rFonts w:ascii="Times New Roman" w:hAnsi="Times New Roman"/>
          <w:bCs/>
          <w:sz w:val="24"/>
          <w:szCs w:val="24"/>
          <w:u w:val="none"/>
        </w:rPr>
        <w:t xml:space="preserve"> w póź</w:t>
      </w:r>
      <w:r w:rsidRPr="00AF7672">
        <w:rPr>
          <w:rFonts w:ascii="Times New Roman" w:hAnsi="Times New Roman"/>
          <w:bCs/>
          <w:sz w:val="24"/>
          <w:szCs w:val="24"/>
          <w:u w:val="none"/>
        </w:rPr>
        <w:t>niejszym okresie sprawozdawczym lub niższe poniesione koszty niż wcześniej zakładano nie podlegają zgłoszeniu.</w:t>
      </w:r>
    </w:p>
    <w:p w14:paraId="41BE913E" w14:textId="4F9A3326" w:rsidR="000471B0" w:rsidRPr="00AF7672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AF7672">
        <w:rPr>
          <w:rFonts w:ascii="Times New Roman" w:hAnsi="Times New Roman"/>
          <w:sz w:val="24"/>
          <w:u w:val="none"/>
        </w:rPr>
        <w:t>14.</w:t>
      </w:r>
      <w:r w:rsidRPr="00AF7672">
        <w:tab/>
      </w:r>
      <w:r w:rsidRPr="00AF7672">
        <w:rPr>
          <w:rFonts w:ascii="Times New Roman" w:hAnsi="Times New Roman"/>
          <w:sz w:val="24"/>
          <w:u w:val="none"/>
        </w:rPr>
        <w:t>Rola wyceny nieruchomości: do zgłaszania części ekspozycji zabezpieczonej hipotekami na nieruchomościach jako odniesienie niezbędna jest ostatnia wycena nieruchomości przed datą niewykonania zobowiązania wynikającego</w:t>
      </w:r>
      <w:r w:rsidR="00AF7672" w:rsidRPr="00AF7672">
        <w:rPr>
          <w:rFonts w:ascii="Times New Roman" w:hAnsi="Times New Roman"/>
          <w:sz w:val="24"/>
          <w:u w:val="none"/>
        </w:rPr>
        <w:t xml:space="preserve"> z eks</w:t>
      </w:r>
      <w:r w:rsidRPr="00AF7672">
        <w:rPr>
          <w:rFonts w:ascii="Times New Roman" w:hAnsi="Times New Roman"/>
          <w:sz w:val="24"/>
          <w:u w:val="none"/>
        </w:rPr>
        <w:t>pozycji. Po przypadku niewykonania zobowiązania wycenę nieruchomości można zaktualizować. Przedmiotowa nowa wartość nie powinna jednak być wykorzystywana do celów zidentyfikowania części ekspozycji, która była pierwotnie</w:t>
      </w:r>
      <w:r w:rsidR="00AF7672" w:rsidRPr="00AF7672">
        <w:rPr>
          <w:rFonts w:ascii="Times New Roman" w:hAnsi="Times New Roman"/>
          <w:sz w:val="24"/>
          <w:u w:val="none"/>
        </w:rPr>
        <w:t xml:space="preserve"> w peł</w:t>
      </w:r>
      <w:r w:rsidRPr="00AF7672">
        <w:rPr>
          <w:rFonts w:ascii="Times New Roman" w:hAnsi="Times New Roman"/>
          <w:sz w:val="24"/>
          <w:u w:val="none"/>
        </w:rPr>
        <w:t>ni (i całkowicie) zabezpieczona hipotekami na nieruchomościach. Nową wartość nieruchomości uwzględnia się jednak</w:t>
      </w:r>
      <w:r w:rsidR="00AF7672" w:rsidRPr="00AF7672">
        <w:rPr>
          <w:rFonts w:ascii="Times New Roman" w:hAnsi="Times New Roman"/>
          <w:sz w:val="24"/>
          <w:u w:val="none"/>
        </w:rPr>
        <w:t xml:space="preserve"> w spr</w:t>
      </w:r>
      <w:r w:rsidRPr="00AF7672">
        <w:rPr>
          <w:rFonts w:ascii="Times New Roman" w:hAnsi="Times New Roman"/>
          <w:sz w:val="24"/>
          <w:u w:val="none"/>
        </w:rPr>
        <w:t>awozdawczości</w:t>
      </w:r>
      <w:r w:rsidR="00AF7672" w:rsidRPr="00AF7672">
        <w:rPr>
          <w:rFonts w:ascii="Times New Roman" w:hAnsi="Times New Roman"/>
          <w:sz w:val="24"/>
          <w:u w:val="none"/>
        </w:rPr>
        <w:t xml:space="preserve"> w zak</w:t>
      </w:r>
      <w:r w:rsidRPr="00AF7672">
        <w:rPr>
          <w:rFonts w:ascii="Times New Roman" w:hAnsi="Times New Roman"/>
          <w:sz w:val="24"/>
          <w:u w:val="none"/>
        </w:rPr>
        <w:t>resie straty ekonomicznej (obniżona wartość nieruchomości jest częścią kosztów ekonomicznych). Innymi słowy ostatnią wycenę nieruchomości przed datą niewykonania zobowiązania stosuje się, aby określić, jaką część straty należy zgłosić</w:t>
      </w:r>
      <w:r w:rsidR="00AF7672" w:rsidRPr="00AF7672">
        <w:rPr>
          <w:rFonts w:ascii="Times New Roman" w:hAnsi="Times New Roman"/>
          <w:sz w:val="24"/>
          <w:u w:val="none"/>
        </w:rPr>
        <w:t xml:space="preserve"> w kol</w:t>
      </w:r>
      <w:r w:rsidRPr="00AF7672">
        <w:rPr>
          <w:rFonts w:ascii="Times New Roman" w:hAnsi="Times New Roman"/>
          <w:sz w:val="24"/>
          <w:u w:val="none"/>
        </w:rPr>
        <w:t>umnie 0010 (identyfikacja wartości ekspozycji, która jest</w:t>
      </w:r>
      <w:r w:rsidR="00AF7672" w:rsidRPr="00AF7672">
        <w:rPr>
          <w:rFonts w:ascii="Times New Roman" w:hAnsi="Times New Roman"/>
          <w:sz w:val="24"/>
          <w:u w:val="none"/>
        </w:rPr>
        <w:t xml:space="preserve"> w peł</w:t>
      </w:r>
      <w:r w:rsidRPr="00AF7672">
        <w:rPr>
          <w:rFonts w:ascii="Times New Roman" w:hAnsi="Times New Roman"/>
          <w:sz w:val="24"/>
          <w:u w:val="none"/>
        </w:rPr>
        <w:t>ni</w:t>
      </w:r>
      <w:r w:rsidR="00AF7672" w:rsidRPr="00AF7672">
        <w:rPr>
          <w:rFonts w:ascii="Times New Roman" w:hAnsi="Times New Roman"/>
          <w:sz w:val="24"/>
          <w:u w:val="none"/>
        </w:rPr>
        <w:t xml:space="preserve"> i cał</w:t>
      </w:r>
      <w:r w:rsidRPr="00AF7672">
        <w:rPr>
          <w:rFonts w:ascii="Times New Roman" w:hAnsi="Times New Roman"/>
          <w:sz w:val="24"/>
          <w:u w:val="none"/>
        </w:rPr>
        <w:t>kowicie zabezpieczona),</w:t>
      </w:r>
      <w:r w:rsidR="00AF7672" w:rsidRPr="00AF7672">
        <w:rPr>
          <w:rFonts w:ascii="Times New Roman" w:hAnsi="Times New Roman"/>
          <w:sz w:val="24"/>
          <w:u w:val="none"/>
        </w:rPr>
        <w:t xml:space="preserve"> a zak</w:t>
      </w:r>
      <w:r w:rsidRPr="00AF7672">
        <w:rPr>
          <w:rFonts w:ascii="Times New Roman" w:hAnsi="Times New Roman"/>
          <w:sz w:val="24"/>
          <w:u w:val="none"/>
        </w:rPr>
        <w:t>tualizowaną wartość nieruchomości – aby określić kwotę, która ma zostać zgłoszona</w:t>
      </w:r>
      <w:r w:rsidR="00AF7672" w:rsidRPr="00AF7672">
        <w:rPr>
          <w:rFonts w:ascii="Times New Roman" w:hAnsi="Times New Roman"/>
          <w:sz w:val="24"/>
          <w:u w:val="none"/>
        </w:rPr>
        <w:t xml:space="preserve"> w kol</w:t>
      </w:r>
      <w:r w:rsidRPr="00AF7672">
        <w:rPr>
          <w:rFonts w:ascii="Times New Roman" w:hAnsi="Times New Roman"/>
          <w:sz w:val="24"/>
          <w:u w:val="none"/>
        </w:rPr>
        <w:t>umnach 0010</w:t>
      </w:r>
      <w:r w:rsidR="00AF7672" w:rsidRPr="00AF7672">
        <w:rPr>
          <w:rFonts w:ascii="Times New Roman" w:hAnsi="Times New Roman"/>
          <w:sz w:val="24"/>
          <w:u w:val="none"/>
        </w:rPr>
        <w:t xml:space="preserve"> i 0</w:t>
      </w:r>
      <w:r w:rsidRPr="00AF7672">
        <w:rPr>
          <w:rFonts w:ascii="Times New Roman" w:hAnsi="Times New Roman"/>
          <w:sz w:val="24"/>
          <w:u w:val="none"/>
        </w:rPr>
        <w:t>030 (oszacowanie możliwej kwoty odzyskania wynikającej</w:t>
      </w:r>
      <w:r w:rsidR="00AF7672" w:rsidRPr="00AF7672">
        <w:rPr>
          <w:rFonts w:ascii="Times New Roman" w:hAnsi="Times New Roman"/>
          <w:sz w:val="24"/>
          <w:u w:val="none"/>
        </w:rPr>
        <w:t xml:space="preserve"> z zab</w:t>
      </w:r>
      <w:r w:rsidRPr="00AF7672">
        <w:rPr>
          <w:rFonts w:ascii="Times New Roman" w:hAnsi="Times New Roman"/>
          <w:sz w:val="24"/>
          <w:u w:val="none"/>
        </w:rPr>
        <w:t>ezpieczeń).</w:t>
      </w:r>
    </w:p>
    <w:p w14:paraId="46D6DEED" w14:textId="65D1A756" w:rsidR="000471B0" w:rsidRPr="00AF7672" w:rsidRDefault="001E7A23" w:rsidP="001E7A23">
      <w:pPr>
        <w:pStyle w:val="Instructionsberschrift2"/>
        <w:numPr>
          <w:ilvl w:val="0"/>
          <w:numId w:val="0"/>
        </w:numPr>
        <w:ind w:left="714" w:hanging="357"/>
        <w:rPr>
          <w:rFonts w:ascii="Times New Roman" w:hAnsi="Times New Roman" w:cs="Times New Roman"/>
          <w:sz w:val="24"/>
          <w:u w:val="none"/>
        </w:rPr>
      </w:pPr>
      <w:r w:rsidRPr="00AF7672">
        <w:rPr>
          <w:rFonts w:ascii="Times New Roman" w:hAnsi="Times New Roman"/>
          <w:sz w:val="24"/>
          <w:u w:val="none"/>
        </w:rPr>
        <w:t>15.</w:t>
      </w:r>
      <w:r w:rsidRPr="00AF7672">
        <w:tab/>
      </w:r>
      <w:r w:rsidRPr="00AF7672">
        <w:rPr>
          <w:rFonts w:ascii="Times New Roman" w:hAnsi="Times New Roman"/>
          <w:sz w:val="24"/>
          <w:u w:val="none"/>
        </w:rPr>
        <w:t>Ujmowanie sprzedaży pożyczek</w:t>
      </w:r>
      <w:r w:rsidR="00AF7672" w:rsidRPr="00AF7672">
        <w:rPr>
          <w:rFonts w:ascii="Times New Roman" w:hAnsi="Times New Roman"/>
          <w:sz w:val="24"/>
          <w:u w:val="none"/>
        </w:rPr>
        <w:t xml:space="preserve"> w okr</w:t>
      </w:r>
      <w:r w:rsidRPr="00AF7672">
        <w:rPr>
          <w:rFonts w:ascii="Times New Roman" w:hAnsi="Times New Roman"/>
          <w:sz w:val="24"/>
          <w:u w:val="none"/>
        </w:rPr>
        <w:t>esie sprawozdawczym: Instytucja posiadająca ekspozycję na koniec okresu sprawozdawczego, zgłasza straty, ale tylko wówczas, gdy</w:t>
      </w:r>
      <w:r w:rsidR="00AF7672" w:rsidRPr="00AF7672">
        <w:rPr>
          <w:rFonts w:ascii="Times New Roman" w:hAnsi="Times New Roman"/>
          <w:sz w:val="24"/>
          <w:u w:val="none"/>
        </w:rPr>
        <w:t xml:space="preserve"> w odn</w:t>
      </w:r>
      <w:r w:rsidRPr="00AF7672">
        <w:rPr>
          <w:rFonts w:ascii="Times New Roman" w:hAnsi="Times New Roman"/>
          <w:sz w:val="24"/>
          <w:u w:val="none"/>
        </w:rPr>
        <w:t>iesieniu do tej ekspozycji zidentyfikowano niewykonanie zadania.</w:t>
      </w:r>
    </w:p>
    <w:p w14:paraId="3C32F70D" w14:textId="77777777" w:rsidR="00713F52" w:rsidRPr="00AF7672" w:rsidRDefault="001E7A23" w:rsidP="001E7A23">
      <w:pPr>
        <w:pStyle w:val="Instructionsberschrift2"/>
        <w:numPr>
          <w:ilvl w:val="0"/>
          <w:numId w:val="0"/>
        </w:numPr>
        <w:ind w:left="360" w:hanging="360"/>
        <w:rPr>
          <w:rFonts w:ascii="Times New Roman" w:hAnsi="Times New Roman" w:cs="Times New Roman"/>
          <w:sz w:val="24"/>
        </w:rPr>
      </w:pPr>
      <w:bookmarkStart w:id="3" w:name="_Toc310008820"/>
      <w:r w:rsidRPr="00AF7672">
        <w:rPr>
          <w:rFonts w:ascii="Times New Roman" w:hAnsi="Times New Roman"/>
          <w:sz w:val="24"/>
          <w:u w:val="none"/>
        </w:rPr>
        <w:t>5.</w:t>
      </w:r>
      <w:r w:rsidRPr="00AF7672">
        <w:tab/>
      </w:r>
      <w:r w:rsidRPr="00AF7672">
        <w:rPr>
          <w:rFonts w:ascii="Times New Roman" w:hAnsi="Times New Roman"/>
          <w:sz w:val="24"/>
        </w:rPr>
        <w:t>Instrukcje dotyczące poszczególnych pozycji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AF7672" w14:paraId="4C8BAF1E" w14:textId="77777777" w:rsidTr="00165232">
        <w:tc>
          <w:tcPr>
            <w:tcW w:w="8856" w:type="dxa"/>
            <w:gridSpan w:val="2"/>
            <w:shd w:val="clear" w:color="auto" w:fill="CCCCCC"/>
          </w:tcPr>
          <w:p w14:paraId="0A3C761B" w14:textId="77777777" w:rsidR="00713F52" w:rsidRPr="00AF7672" w:rsidRDefault="00713F52" w:rsidP="00A6020A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 w:rsidRPr="00AF7672">
              <w:rPr>
                <w:rFonts w:ascii="Times New Roman" w:hAnsi="Times New Roman"/>
                <w:b/>
                <w:sz w:val="24"/>
              </w:rPr>
              <w:t>Kolumny</w:t>
            </w:r>
          </w:p>
        </w:tc>
      </w:tr>
      <w:tr w:rsidR="00713F52" w:rsidRPr="00AF7672" w14:paraId="65785922" w14:textId="77777777" w:rsidTr="00165232">
        <w:tc>
          <w:tcPr>
            <w:tcW w:w="852" w:type="dxa"/>
          </w:tcPr>
          <w:p w14:paraId="25C9EC6A" w14:textId="77777777" w:rsidR="00713F52" w:rsidRPr="00AF7672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AF7672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4E7F622B" w14:textId="593BA90A" w:rsidR="000471B0" w:rsidRPr="00AF7672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F7672">
              <w:rPr>
                <w:rStyle w:val="InstructionsTabelleberschrift"/>
                <w:rFonts w:ascii="Times New Roman" w:hAnsi="Times New Roman"/>
                <w:sz w:val="24"/>
              </w:rPr>
              <w:t>Suma strat</w:t>
            </w:r>
            <w:r w:rsidR="00AF7672" w:rsidRPr="00AF7672">
              <w:rPr>
                <w:rStyle w:val="InstructionsTabelleberschrift"/>
                <w:rFonts w:ascii="Times New Roman" w:hAnsi="Times New Roman"/>
                <w:sz w:val="24"/>
              </w:rPr>
              <w:t xml:space="preserve"> z tyt</w:t>
            </w:r>
            <w:r w:rsidRPr="00AF7672">
              <w:rPr>
                <w:rStyle w:val="InstructionsTabelleberschrift"/>
                <w:rFonts w:ascii="Times New Roman" w:hAnsi="Times New Roman"/>
                <w:sz w:val="24"/>
              </w:rPr>
              <w:t>ułu udzielonych kredytów do referencyjnych wartości procentowych</w:t>
            </w:r>
          </w:p>
          <w:p w14:paraId="07E5E64A" w14:textId="53FAC611" w:rsidR="000471B0" w:rsidRPr="00AF7672" w:rsidRDefault="00B9443C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Odpowiednio art.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430a ust.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1 lit.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 xml:space="preserve">a) i d) CRR. </w:t>
            </w:r>
          </w:p>
          <w:p w14:paraId="19C0501E" w14:textId="5188F942" w:rsidR="000471B0" w:rsidRPr="00AF7672" w:rsidRDefault="00713F52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Wartość rynkowa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 xml:space="preserve"> i war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tość bankowo-hipoteczna zgodnie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 xml:space="preserve"> z art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.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4 ust.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1 pkt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74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 xml:space="preserve"> i 7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6 CRR.</w:t>
            </w:r>
          </w:p>
          <w:p w14:paraId="01CE6153" w14:textId="7A0EC50D" w:rsidR="000471B0" w:rsidRPr="00AF7672" w:rsidRDefault="00D87924" w:rsidP="00C60BE1">
            <w:pPr>
              <w:spacing w:beforeLines="60" w:before="144" w:afterLines="60" w:after="144"/>
              <w:rPr>
                <w:rFonts w:ascii="Times New Roman" w:hAnsi="Times New Roman"/>
                <w:sz w:val="24"/>
                <w:u w:val="single"/>
              </w:rPr>
            </w:pP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Niniejsza kolumna obejmuje wszystkie straty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 xml:space="preserve"> z tyt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ułu udzielonych kredytów zabezpieczonych nieruchomościami mieszkalnymi lub komercyjnymi do wysokości części ekspozycji traktowanej jako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 xml:space="preserve"> w peł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ni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 xml:space="preserve"> i cał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kowicie zabezpieczona zgodnie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 xml:space="preserve"> z art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.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124 ust.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1 CRR.</w:t>
            </w:r>
          </w:p>
        </w:tc>
      </w:tr>
      <w:tr w:rsidR="00713F52" w:rsidRPr="00AF7672" w14:paraId="0AB8D4AD" w14:textId="77777777" w:rsidTr="00165232">
        <w:tc>
          <w:tcPr>
            <w:tcW w:w="852" w:type="dxa"/>
          </w:tcPr>
          <w:p w14:paraId="55005F18" w14:textId="77777777" w:rsidR="00713F52" w:rsidRPr="00AF7672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AF7672">
              <w:rPr>
                <w:rFonts w:ascii="Times New Roman" w:hAnsi="Times New Roman"/>
                <w:sz w:val="24"/>
              </w:rPr>
              <w:lastRenderedPageBreak/>
              <w:t>0020</w:t>
            </w:r>
          </w:p>
        </w:tc>
        <w:tc>
          <w:tcPr>
            <w:tcW w:w="8004" w:type="dxa"/>
          </w:tcPr>
          <w:p w14:paraId="0A4D0239" w14:textId="77777777" w:rsidR="000471B0" w:rsidRPr="00AF7672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F7672">
              <w:rPr>
                <w:rStyle w:val="InstructionsTabelleberschrift"/>
                <w:rFonts w:ascii="Times New Roman" w:hAnsi="Times New Roman"/>
                <w:sz w:val="24"/>
              </w:rPr>
              <w:t>W tym: nieruchomości wycenione za pomocą wartości bankowo-hipotecznej</w:t>
            </w:r>
          </w:p>
          <w:p w14:paraId="475B0AC4" w14:textId="0EDC00AD" w:rsidR="000471B0" w:rsidRPr="00AF7672" w:rsidRDefault="00713F52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Zgłaszanie strat,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 xml:space="preserve"> w prz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ypadku których wartość zabezpieczenia została obliczona jako wartość bankowo-hipoteczna.</w:t>
            </w:r>
          </w:p>
        </w:tc>
      </w:tr>
      <w:tr w:rsidR="00713F52" w:rsidRPr="00AF7672" w14:paraId="1CB24F02" w14:textId="77777777" w:rsidTr="00165232">
        <w:tc>
          <w:tcPr>
            <w:tcW w:w="852" w:type="dxa"/>
          </w:tcPr>
          <w:p w14:paraId="6FC3B1A8" w14:textId="77777777" w:rsidR="00713F52" w:rsidRPr="00AF7672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AF7672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004" w:type="dxa"/>
          </w:tcPr>
          <w:p w14:paraId="41837ECE" w14:textId="77777777" w:rsidR="000471B0" w:rsidRPr="00AF7672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F7672">
              <w:rPr>
                <w:rStyle w:val="InstructionsTabelleberschrift"/>
                <w:rFonts w:ascii="Times New Roman" w:hAnsi="Times New Roman"/>
                <w:sz w:val="24"/>
              </w:rPr>
              <w:t>Suma całkowitych strat</w:t>
            </w:r>
          </w:p>
          <w:p w14:paraId="7CD90D4F" w14:textId="477CD944" w:rsidR="000471B0" w:rsidRPr="00AF7672" w:rsidRDefault="00B9443C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Odpowiednio art.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430a ust.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1 lit.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b) i e) CRR; wartość rynkowa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 xml:space="preserve"> i war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tość bankowo-hipoteczna zgodnie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 xml:space="preserve"> z art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.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4 ust.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1 pkt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74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 xml:space="preserve"> i 7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6 CRR.</w:t>
            </w:r>
          </w:p>
          <w:p w14:paraId="2DE09B4B" w14:textId="6C86122D" w:rsidR="000471B0" w:rsidRPr="00AF7672" w:rsidRDefault="00713F52" w:rsidP="00C60BE1">
            <w:pPr>
              <w:spacing w:beforeLines="60" w:before="144" w:afterLines="60" w:after="144"/>
              <w:rPr>
                <w:rFonts w:ascii="Times New Roman" w:hAnsi="Times New Roman"/>
                <w:sz w:val="24"/>
                <w:u w:val="single"/>
              </w:rPr>
            </w:pP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Niniejsza kolumna obejmuje wszystkie straty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 xml:space="preserve"> z tyt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ułu udzielonych kredytów zabezpieczonych nieruchomościami mieszkalnymi lub komercyjnymi do części ekspozycji traktowanej jako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 xml:space="preserve"> w peł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ni zabezpieczona zgodnie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 xml:space="preserve"> z art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.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124 ust.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1 CRR.</w:t>
            </w:r>
          </w:p>
        </w:tc>
      </w:tr>
      <w:tr w:rsidR="00713F52" w:rsidRPr="00AF7672" w14:paraId="394C42F4" w14:textId="77777777" w:rsidTr="00165232">
        <w:tc>
          <w:tcPr>
            <w:tcW w:w="852" w:type="dxa"/>
          </w:tcPr>
          <w:p w14:paraId="7F8DD37E" w14:textId="77777777" w:rsidR="00713F52" w:rsidRPr="00AF7672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AF7672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004" w:type="dxa"/>
          </w:tcPr>
          <w:p w14:paraId="7EF78BD2" w14:textId="77777777" w:rsidR="000471B0" w:rsidRPr="00AF7672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F7672">
              <w:rPr>
                <w:rStyle w:val="InstructionsTabelleberschrift"/>
                <w:rFonts w:ascii="Times New Roman" w:hAnsi="Times New Roman"/>
                <w:sz w:val="24"/>
              </w:rPr>
              <w:t>W tym: nieruchomości wycenione za pomocą wartości bankowo-hipotecznej</w:t>
            </w:r>
          </w:p>
          <w:p w14:paraId="79BBEBA6" w14:textId="1949238C" w:rsidR="000471B0" w:rsidRPr="00AF7672" w:rsidRDefault="0075401D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Instytucje zgłaszają straty,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 xml:space="preserve"> w prz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ypadku których wartość zabezpieczenia została obliczona jako wartość bankowo-hipoteczna.</w:t>
            </w:r>
          </w:p>
        </w:tc>
      </w:tr>
      <w:tr w:rsidR="00713F52" w:rsidRPr="00AF7672" w14:paraId="348F65B2" w14:textId="77777777" w:rsidTr="00165232">
        <w:tc>
          <w:tcPr>
            <w:tcW w:w="852" w:type="dxa"/>
          </w:tcPr>
          <w:p w14:paraId="3DB16A06" w14:textId="77777777" w:rsidR="00713F52" w:rsidRPr="00AF7672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AF7672"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004" w:type="dxa"/>
          </w:tcPr>
          <w:p w14:paraId="5A3D4AC9" w14:textId="77777777" w:rsidR="000471B0" w:rsidRPr="00AF7672" w:rsidRDefault="00713F52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F7672">
              <w:rPr>
                <w:rStyle w:val="InstructionsTabelleberschrift"/>
                <w:rFonts w:ascii="Times New Roman" w:hAnsi="Times New Roman"/>
                <w:sz w:val="24"/>
              </w:rPr>
              <w:t>Suma ekspozycji</w:t>
            </w:r>
          </w:p>
          <w:p w14:paraId="7C6ADC5B" w14:textId="1AB4F509" w:rsidR="000471B0" w:rsidRPr="00AF7672" w:rsidRDefault="00B9443C" w:rsidP="00A6020A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Art. 430a ust.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1 lit.</w:t>
            </w:r>
            <w:r w:rsidR="00AF7672" w:rsidRPr="00AF7672">
              <w:rPr>
                <w:rStyle w:val="InstructionsTabelleText"/>
                <w:rFonts w:ascii="Times New Roman" w:hAnsi="Times New Roman"/>
                <w:sz w:val="24"/>
              </w:rPr>
              <w:t> </w:t>
            </w:r>
            <w:r w:rsidRPr="00AF7672">
              <w:rPr>
                <w:rStyle w:val="InstructionsTabelleText"/>
                <w:rFonts w:ascii="Times New Roman" w:hAnsi="Times New Roman"/>
                <w:sz w:val="24"/>
              </w:rPr>
              <w:t>c) i f) CRR.</w:t>
            </w:r>
          </w:p>
          <w:p w14:paraId="2A947902" w14:textId="61CE9C06" w:rsidR="000471B0" w:rsidRPr="00AF7672" w:rsidRDefault="00E66FEA" w:rsidP="00A6020A">
            <w:pPr>
              <w:spacing w:beforeLines="60" w:before="144" w:afterLines="60" w:after="144"/>
              <w:jc w:val="lef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AF7672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Wartością, którą należy zgłosić, jest tylko ta część wartości ekspozycji, którą traktuje się jako</w:t>
            </w:r>
            <w:r w:rsidR="00AF7672" w:rsidRPr="00AF7672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w peł</w:t>
            </w:r>
            <w:r w:rsidRPr="00AF7672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ni zabezpieczoną nieruchomością, tj. część traktowana jako niezabezpieczona jest nieistotna do celów sprawozdawczości</w:t>
            </w:r>
            <w:r w:rsidR="00AF7672" w:rsidRPr="00AF7672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 xml:space="preserve"> w zak</w:t>
            </w:r>
            <w:r w:rsidRPr="00AF7672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resie strat.</w:t>
            </w:r>
          </w:p>
          <w:p w14:paraId="1CF31593" w14:textId="688454CE" w:rsidR="00A122F8" w:rsidRPr="00AF7672" w:rsidRDefault="00A122F8" w:rsidP="00980064">
            <w:pPr>
              <w:spacing w:beforeLines="60" w:before="144" w:afterLines="60" w:after="144"/>
              <w:jc w:val="lef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AF7672"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  <w:t>W przypadku niewykonania zobowiązania zgłoszona wartość ekspozycji jest równa wartości ekspozycji bezpośrednio przed niewykonaniem zobowiązania.</w:t>
            </w:r>
          </w:p>
        </w:tc>
      </w:tr>
    </w:tbl>
    <w:p w14:paraId="7C3D2777" w14:textId="77777777" w:rsidR="00713F52" w:rsidRPr="00AF7672" w:rsidRDefault="00713F52" w:rsidP="00713F52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004"/>
      </w:tblGrid>
      <w:tr w:rsidR="00713F52" w:rsidRPr="00AF7672" w14:paraId="5341D98E" w14:textId="77777777" w:rsidTr="00165232">
        <w:tc>
          <w:tcPr>
            <w:tcW w:w="8856" w:type="dxa"/>
            <w:gridSpan w:val="2"/>
            <w:shd w:val="clear" w:color="auto" w:fill="CCCCCC"/>
          </w:tcPr>
          <w:p w14:paraId="511FFD36" w14:textId="77777777" w:rsidR="00713F52" w:rsidRPr="00AF7672" w:rsidRDefault="00713F52" w:rsidP="00A6020A">
            <w:pPr>
              <w:spacing w:beforeLines="60" w:before="144" w:afterLines="60" w:after="144"/>
              <w:rPr>
                <w:rFonts w:ascii="Times New Roman" w:hAnsi="Times New Roman"/>
                <w:b/>
                <w:sz w:val="24"/>
              </w:rPr>
            </w:pPr>
            <w:r w:rsidRPr="00AF7672">
              <w:rPr>
                <w:rFonts w:ascii="Times New Roman" w:hAnsi="Times New Roman"/>
                <w:b/>
                <w:sz w:val="24"/>
              </w:rPr>
              <w:t>Wiersze</w:t>
            </w:r>
          </w:p>
        </w:tc>
      </w:tr>
      <w:tr w:rsidR="00713F52" w:rsidRPr="00AF7672" w14:paraId="4992A2CA" w14:textId="77777777" w:rsidTr="00165232">
        <w:tc>
          <w:tcPr>
            <w:tcW w:w="852" w:type="dxa"/>
          </w:tcPr>
          <w:p w14:paraId="20440DBB" w14:textId="77777777" w:rsidR="00713F52" w:rsidRPr="00AF7672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AF7672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004" w:type="dxa"/>
          </w:tcPr>
          <w:p w14:paraId="6DCF7D0C" w14:textId="77777777" w:rsidR="000471B0" w:rsidRPr="00AF7672" w:rsidRDefault="00F76469" w:rsidP="00F7646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F7672">
              <w:rPr>
                <w:rStyle w:val="InstructionsTabelleberschrift"/>
                <w:rFonts w:ascii="Times New Roman" w:hAnsi="Times New Roman"/>
                <w:sz w:val="24"/>
              </w:rPr>
              <w:t xml:space="preserve">Nieruchomości mieszkalne </w:t>
            </w:r>
          </w:p>
          <w:p w14:paraId="4BFD2574" w14:textId="1EBC52A3" w:rsidR="00835C71" w:rsidRPr="00AF7672" w:rsidRDefault="00835C71" w:rsidP="00F76469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AF7672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Nieruchomości mieszkalne</w:t>
            </w:r>
            <w:r w:rsidR="00AF7672" w:rsidRPr="00AF7672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w roz</w:t>
            </w:r>
            <w:r w:rsidRPr="00AF7672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umieniu art.</w:t>
            </w:r>
            <w:r w:rsidR="00AF7672" w:rsidRPr="00AF7672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AF7672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4 ust.</w:t>
            </w:r>
            <w:r w:rsidR="00AF7672" w:rsidRPr="00AF7672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AF7672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1 pkt</w:t>
            </w:r>
            <w:r w:rsidR="00AF7672" w:rsidRPr="00AF7672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 </w:t>
            </w:r>
            <w:r w:rsidRPr="00AF7672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75 CRR</w:t>
            </w:r>
          </w:p>
        </w:tc>
      </w:tr>
      <w:tr w:rsidR="00713F52" w:rsidRPr="00AF7672" w14:paraId="738518EC" w14:textId="77777777" w:rsidTr="00165232">
        <w:tc>
          <w:tcPr>
            <w:tcW w:w="852" w:type="dxa"/>
          </w:tcPr>
          <w:p w14:paraId="197BFC72" w14:textId="77777777" w:rsidR="00713F52" w:rsidRPr="00AF7672" w:rsidRDefault="00B33BBC" w:rsidP="00A6020A">
            <w:pPr>
              <w:spacing w:beforeLines="60" w:before="144" w:afterLines="60" w:after="144"/>
              <w:rPr>
                <w:rFonts w:ascii="Times New Roman" w:hAnsi="Times New Roman"/>
                <w:sz w:val="24"/>
              </w:rPr>
            </w:pPr>
            <w:r w:rsidRPr="00AF7672">
              <w:rPr>
                <w:rFonts w:ascii="Times New Roman" w:hAnsi="Times New Roman"/>
                <w:sz w:val="24"/>
              </w:rPr>
              <w:t xml:space="preserve">0020 </w:t>
            </w:r>
          </w:p>
        </w:tc>
        <w:tc>
          <w:tcPr>
            <w:tcW w:w="8004" w:type="dxa"/>
          </w:tcPr>
          <w:p w14:paraId="44906BD1" w14:textId="77777777" w:rsidR="000471B0" w:rsidRPr="00AF7672" w:rsidRDefault="00F76469" w:rsidP="00A6020A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AF7672">
              <w:rPr>
                <w:rStyle w:val="InstructionsTabelleberschrift"/>
                <w:rFonts w:ascii="Times New Roman" w:hAnsi="Times New Roman"/>
                <w:sz w:val="24"/>
              </w:rPr>
              <w:t xml:space="preserve">Nieruchomości komercyjne </w:t>
            </w:r>
          </w:p>
        </w:tc>
      </w:tr>
      <w:bookmarkEnd w:id="0"/>
      <w:bookmarkEnd w:id="1"/>
      <w:bookmarkEnd w:id="3"/>
    </w:tbl>
    <w:p w14:paraId="541A1A6E" w14:textId="77777777" w:rsidR="00D92396" w:rsidRPr="00AF7672" w:rsidRDefault="00D92396" w:rsidP="00713F52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</w:p>
    <w:sectPr w:rsidR="00D92396" w:rsidRPr="00AF7672" w:rsidSect="00B51F42"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A9929" w14:textId="77777777" w:rsidR="004B5E54" w:rsidRPr="00AF7672" w:rsidRDefault="004B5E54" w:rsidP="00D946DB">
      <w:pPr>
        <w:spacing w:before="0" w:after="0"/>
      </w:pPr>
      <w:r w:rsidRPr="00AF7672">
        <w:separator/>
      </w:r>
    </w:p>
  </w:endnote>
  <w:endnote w:type="continuationSeparator" w:id="0">
    <w:p w14:paraId="088DC31F" w14:textId="77777777" w:rsidR="004B5E54" w:rsidRPr="00AF7672" w:rsidRDefault="004B5E54" w:rsidP="00D946DB">
      <w:pPr>
        <w:spacing w:before="0" w:after="0"/>
      </w:pPr>
      <w:r w:rsidRPr="00AF767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98FD0" w14:textId="77777777" w:rsidR="00422064" w:rsidRPr="00AF7672" w:rsidRDefault="005D254B">
    <w:pPr>
      <w:pStyle w:val="Footer"/>
      <w:framePr w:wrap="auto" w:vAnchor="text" w:hAnchor="margin" w:xAlign="right" w:y="1"/>
      <w:rPr>
        <w:rStyle w:val="PageNumber"/>
      </w:rPr>
    </w:pPr>
    <w:r w:rsidRPr="00AF7672">
      <w:rPr>
        <w:rStyle w:val="PageNumber"/>
      </w:rPr>
      <w:fldChar w:fldCharType="begin"/>
    </w:r>
    <w:r w:rsidRPr="00AF7672">
      <w:rPr>
        <w:rStyle w:val="PageNumber"/>
      </w:rPr>
      <w:instrText xml:space="preserve">PAGE  </w:instrText>
    </w:r>
    <w:r w:rsidRPr="00AF7672">
      <w:rPr>
        <w:rStyle w:val="PageNumber"/>
      </w:rPr>
      <w:fldChar w:fldCharType="end"/>
    </w:r>
  </w:p>
  <w:p w14:paraId="2F8ED0D7" w14:textId="77777777" w:rsidR="00422064" w:rsidRPr="00AF7672" w:rsidRDefault="004220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845FA" w14:textId="52450758" w:rsidR="00422064" w:rsidRPr="00AF7672" w:rsidRDefault="005D254B">
    <w:pPr>
      <w:pStyle w:val="Footer"/>
      <w:tabs>
        <w:tab w:val="left" w:pos="8640"/>
      </w:tabs>
      <w:ind w:right="6"/>
      <w:jc w:val="right"/>
    </w:pPr>
    <w:r w:rsidRPr="00AF7672">
      <w:rPr>
        <w:rStyle w:val="PageNumber"/>
        <w:rFonts w:cs="Verdana"/>
        <w:szCs w:val="20"/>
      </w:rPr>
      <w:fldChar w:fldCharType="begin"/>
    </w:r>
    <w:r w:rsidRPr="00AF7672">
      <w:rPr>
        <w:rStyle w:val="PageNumber"/>
        <w:rFonts w:cs="Verdana"/>
        <w:szCs w:val="20"/>
      </w:rPr>
      <w:instrText xml:space="preserve">PAGE  </w:instrText>
    </w:r>
    <w:r w:rsidRPr="00AF7672">
      <w:rPr>
        <w:rStyle w:val="PageNumber"/>
        <w:rFonts w:cs="Verdana"/>
        <w:szCs w:val="20"/>
      </w:rPr>
      <w:fldChar w:fldCharType="separate"/>
    </w:r>
    <w:r w:rsidR="00AF7672">
      <w:rPr>
        <w:rStyle w:val="PageNumber"/>
        <w:rFonts w:cs="Verdana"/>
        <w:noProof/>
        <w:szCs w:val="20"/>
      </w:rPr>
      <w:t>3</w:t>
    </w:r>
    <w:r w:rsidRPr="00AF7672">
      <w:rPr>
        <w:rStyle w:val="PageNumber"/>
        <w:rFonts w:cs="Verdana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5674648"/>
      <w:docPartObj>
        <w:docPartGallery w:val="Page Numbers (Bottom of Page)"/>
        <w:docPartUnique/>
      </w:docPartObj>
    </w:sdtPr>
    <w:sdtEndPr/>
    <w:sdtContent>
      <w:p w14:paraId="3AC63BD4" w14:textId="48E04D59" w:rsidR="00D452AA" w:rsidRPr="00AF7672" w:rsidRDefault="00D452AA">
        <w:pPr>
          <w:pStyle w:val="Footer"/>
          <w:jc w:val="center"/>
        </w:pPr>
        <w:r w:rsidRPr="00AF7672">
          <w:fldChar w:fldCharType="begin"/>
        </w:r>
        <w:r w:rsidRPr="00AF7672">
          <w:instrText xml:space="preserve"> PAGE   \* MERGEFORMAT </w:instrText>
        </w:r>
        <w:r w:rsidRPr="00AF7672">
          <w:fldChar w:fldCharType="separate"/>
        </w:r>
        <w:r w:rsidR="00AF7672">
          <w:rPr>
            <w:noProof/>
          </w:rPr>
          <w:t>1</w:t>
        </w:r>
        <w:r w:rsidRPr="00AF7672">
          <w:fldChar w:fldCharType="end"/>
        </w:r>
      </w:p>
    </w:sdtContent>
  </w:sdt>
  <w:p w14:paraId="61F2028A" w14:textId="77777777" w:rsidR="00A6020A" w:rsidRPr="00AF7672" w:rsidRDefault="00A602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291FB" w14:textId="77777777" w:rsidR="004B5E54" w:rsidRPr="00AF7672" w:rsidRDefault="004B5E54" w:rsidP="00D946DB">
      <w:pPr>
        <w:spacing w:before="0" w:after="0"/>
      </w:pPr>
      <w:r w:rsidRPr="00AF7672">
        <w:separator/>
      </w:r>
    </w:p>
  </w:footnote>
  <w:footnote w:type="continuationSeparator" w:id="0">
    <w:p w14:paraId="5B2578DB" w14:textId="77777777" w:rsidR="004B5E54" w:rsidRPr="00AF7672" w:rsidRDefault="004B5E54" w:rsidP="00D946DB">
      <w:pPr>
        <w:spacing w:before="0" w:after="0"/>
      </w:pPr>
      <w:r w:rsidRPr="00AF767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4EAA8" w14:textId="77777777" w:rsidR="00D25D7E" w:rsidRPr="00AF7672" w:rsidRDefault="00D25D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6862A" w14:textId="77777777" w:rsidR="00A6020A" w:rsidRPr="00AF7672" w:rsidRDefault="00A6020A" w:rsidP="00E577B1">
    <w:pPr>
      <w:pStyle w:val="Header"/>
      <w:jc w:val="center"/>
    </w:pPr>
    <w:r w:rsidRPr="00AF7672">
      <w:t>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AD72C" w14:textId="77777777" w:rsidR="00D25D7E" w:rsidRPr="00AF7672" w:rsidRDefault="00D25D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 w15:restartNumberingAfterBreak="0">
    <w:nsid w:val="19B7337E"/>
    <w:multiLevelType w:val="hybridMultilevel"/>
    <w:tmpl w:val="65CCD6C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D82C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D860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088B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845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0A98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D84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5EB9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1472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8824E3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7D7F02"/>
    <w:multiLevelType w:val="multilevel"/>
    <w:tmpl w:val="0407001D"/>
    <w:numStyleLink w:val="Formatvorlage3"/>
  </w:abstractNum>
  <w:abstractNum w:abstractNumId="7" w15:restartNumberingAfterBreak="0">
    <w:nsid w:val="33057CB8"/>
    <w:multiLevelType w:val="hybridMultilevel"/>
    <w:tmpl w:val="EA70702C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04070003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BB79FB"/>
    <w:multiLevelType w:val="multilevel"/>
    <w:tmpl w:val="AB961BA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6C1A6AB9"/>
    <w:multiLevelType w:val="multilevel"/>
    <w:tmpl w:val="B4A6BEF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2"/>
  </w:num>
  <w:num w:numId="4">
    <w:abstractNumId w:val="11"/>
  </w:num>
  <w:num w:numId="5">
    <w:abstractNumId w:val="18"/>
  </w:num>
  <w:num w:numId="6">
    <w:abstractNumId w:val="10"/>
  </w:num>
  <w:num w:numId="7">
    <w:abstractNumId w:val="21"/>
  </w:num>
  <w:num w:numId="8">
    <w:abstractNumId w:val="3"/>
  </w:num>
  <w:num w:numId="9">
    <w:abstractNumId w:val="16"/>
  </w:num>
  <w:num w:numId="10">
    <w:abstractNumId w:val="8"/>
  </w:num>
  <w:num w:numId="11">
    <w:abstractNumId w:val="13"/>
  </w:num>
  <w:num w:numId="12">
    <w:abstractNumId w:val="5"/>
  </w:num>
  <w:num w:numId="13">
    <w:abstractNumId w:val="17"/>
  </w:num>
  <w:num w:numId="14">
    <w:abstractNumId w:val="14"/>
  </w:num>
  <w:num w:numId="15">
    <w:abstractNumId w:val="20"/>
  </w:num>
  <w:num w:numId="16">
    <w:abstractNumId w:val="7"/>
  </w:num>
  <w:num w:numId="17">
    <w:abstractNumId w:val="12"/>
  </w:num>
  <w:num w:numId="18">
    <w:abstractNumId w:val="6"/>
  </w:num>
  <w:num w:numId="19">
    <w:abstractNumId w:val="19"/>
  </w:num>
  <w:num w:numId="20">
    <w:abstractNumId w:val="1"/>
  </w:num>
  <w:num w:numId="21">
    <w:abstractNumId w:val="4"/>
  </w:num>
  <w:num w:numId="22">
    <w:abstractNumId w:val="2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84FEB"/>
    <w:rsid w:val="000020E5"/>
    <w:rsid w:val="00004FE8"/>
    <w:rsid w:val="00005765"/>
    <w:rsid w:val="00005FFC"/>
    <w:rsid w:val="000078BB"/>
    <w:rsid w:val="00007D0D"/>
    <w:rsid w:val="00011BD0"/>
    <w:rsid w:val="00013EF3"/>
    <w:rsid w:val="00014890"/>
    <w:rsid w:val="00020A6B"/>
    <w:rsid w:val="000232E2"/>
    <w:rsid w:val="000243CE"/>
    <w:rsid w:val="0002657F"/>
    <w:rsid w:val="000326C1"/>
    <w:rsid w:val="00037093"/>
    <w:rsid w:val="000471B0"/>
    <w:rsid w:val="0005400A"/>
    <w:rsid w:val="0005609F"/>
    <w:rsid w:val="00057362"/>
    <w:rsid w:val="00061E48"/>
    <w:rsid w:val="00063085"/>
    <w:rsid w:val="00072201"/>
    <w:rsid w:val="00076091"/>
    <w:rsid w:val="00076880"/>
    <w:rsid w:val="000828C6"/>
    <w:rsid w:val="000858A9"/>
    <w:rsid w:val="00097D02"/>
    <w:rsid w:val="000A1640"/>
    <w:rsid w:val="000B0613"/>
    <w:rsid w:val="000B0EBE"/>
    <w:rsid w:val="000C03AE"/>
    <w:rsid w:val="000C4999"/>
    <w:rsid w:val="000D220D"/>
    <w:rsid w:val="000E13C0"/>
    <w:rsid w:val="000E1572"/>
    <w:rsid w:val="000E20F0"/>
    <w:rsid w:val="000E29C9"/>
    <w:rsid w:val="000E7BA8"/>
    <w:rsid w:val="000F2F09"/>
    <w:rsid w:val="000F4183"/>
    <w:rsid w:val="000F4702"/>
    <w:rsid w:val="000F6A80"/>
    <w:rsid w:val="000F6B25"/>
    <w:rsid w:val="00102A42"/>
    <w:rsid w:val="0012049B"/>
    <w:rsid w:val="00124B85"/>
    <w:rsid w:val="001273B5"/>
    <w:rsid w:val="00133AC1"/>
    <w:rsid w:val="00136316"/>
    <w:rsid w:val="001402DB"/>
    <w:rsid w:val="00141BC0"/>
    <w:rsid w:val="001432EE"/>
    <w:rsid w:val="00153D11"/>
    <w:rsid w:val="001570C4"/>
    <w:rsid w:val="00163DBA"/>
    <w:rsid w:val="00165232"/>
    <w:rsid w:val="001721BD"/>
    <w:rsid w:val="00175742"/>
    <w:rsid w:val="00175957"/>
    <w:rsid w:val="00183B7A"/>
    <w:rsid w:val="00184E8A"/>
    <w:rsid w:val="001854F6"/>
    <w:rsid w:val="00185877"/>
    <w:rsid w:val="001919E9"/>
    <w:rsid w:val="001A44B3"/>
    <w:rsid w:val="001A45DE"/>
    <w:rsid w:val="001B416C"/>
    <w:rsid w:val="001B4EA5"/>
    <w:rsid w:val="001C05DD"/>
    <w:rsid w:val="001C1392"/>
    <w:rsid w:val="001E01BA"/>
    <w:rsid w:val="001E0746"/>
    <w:rsid w:val="001E0A00"/>
    <w:rsid w:val="001E1770"/>
    <w:rsid w:val="001E5A75"/>
    <w:rsid w:val="001E6B9D"/>
    <w:rsid w:val="001E7A23"/>
    <w:rsid w:val="001F2920"/>
    <w:rsid w:val="001F5AC3"/>
    <w:rsid w:val="0021389C"/>
    <w:rsid w:val="00213DC3"/>
    <w:rsid w:val="0021767A"/>
    <w:rsid w:val="002201EA"/>
    <w:rsid w:val="00221103"/>
    <w:rsid w:val="00221BC8"/>
    <w:rsid w:val="00222AC6"/>
    <w:rsid w:val="00225D42"/>
    <w:rsid w:val="0023488F"/>
    <w:rsid w:val="002357EA"/>
    <w:rsid w:val="00245325"/>
    <w:rsid w:val="00250176"/>
    <w:rsid w:val="002506A3"/>
    <w:rsid w:val="00253022"/>
    <w:rsid w:val="00254DF6"/>
    <w:rsid w:val="00262C1B"/>
    <w:rsid w:val="002664C7"/>
    <w:rsid w:val="00271C8B"/>
    <w:rsid w:val="002779CE"/>
    <w:rsid w:val="00281D57"/>
    <w:rsid w:val="00285E2F"/>
    <w:rsid w:val="00291779"/>
    <w:rsid w:val="002920FF"/>
    <w:rsid w:val="002A04D3"/>
    <w:rsid w:val="002A076F"/>
    <w:rsid w:val="002A7FF5"/>
    <w:rsid w:val="002B264F"/>
    <w:rsid w:val="002C41F1"/>
    <w:rsid w:val="002C6263"/>
    <w:rsid w:val="002D4E10"/>
    <w:rsid w:val="002D6B9E"/>
    <w:rsid w:val="002E053A"/>
    <w:rsid w:val="002E2061"/>
    <w:rsid w:val="002E3720"/>
    <w:rsid w:val="002E4EB7"/>
    <w:rsid w:val="002E587F"/>
    <w:rsid w:val="002F170E"/>
    <w:rsid w:val="00300224"/>
    <w:rsid w:val="00302E9C"/>
    <w:rsid w:val="00306AD1"/>
    <w:rsid w:val="00306F71"/>
    <w:rsid w:val="00310F05"/>
    <w:rsid w:val="00311B2D"/>
    <w:rsid w:val="003137B9"/>
    <w:rsid w:val="00323F44"/>
    <w:rsid w:val="00325A59"/>
    <w:rsid w:val="003261B0"/>
    <w:rsid w:val="00331FE6"/>
    <w:rsid w:val="00333A44"/>
    <w:rsid w:val="00340064"/>
    <w:rsid w:val="00345E53"/>
    <w:rsid w:val="00347FF9"/>
    <w:rsid w:val="00357F63"/>
    <w:rsid w:val="003616A1"/>
    <w:rsid w:val="00363FCE"/>
    <w:rsid w:val="00371593"/>
    <w:rsid w:val="00373A71"/>
    <w:rsid w:val="00387E40"/>
    <w:rsid w:val="00390DDA"/>
    <w:rsid w:val="00393539"/>
    <w:rsid w:val="003A0C05"/>
    <w:rsid w:val="003A200A"/>
    <w:rsid w:val="003A3C8E"/>
    <w:rsid w:val="003A449C"/>
    <w:rsid w:val="003B3DBB"/>
    <w:rsid w:val="003C2566"/>
    <w:rsid w:val="003C60B9"/>
    <w:rsid w:val="003D108A"/>
    <w:rsid w:val="003D10E9"/>
    <w:rsid w:val="003D431C"/>
    <w:rsid w:val="003D56DE"/>
    <w:rsid w:val="003E0595"/>
    <w:rsid w:val="003E2A3B"/>
    <w:rsid w:val="003F15BB"/>
    <w:rsid w:val="003F4BA1"/>
    <w:rsid w:val="00401111"/>
    <w:rsid w:val="00405B22"/>
    <w:rsid w:val="00406A75"/>
    <w:rsid w:val="00412D44"/>
    <w:rsid w:val="00415627"/>
    <w:rsid w:val="00415A1B"/>
    <w:rsid w:val="00417752"/>
    <w:rsid w:val="00422064"/>
    <w:rsid w:val="0043001B"/>
    <w:rsid w:val="004345C2"/>
    <w:rsid w:val="00435F58"/>
    <w:rsid w:val="004377DA"/>
    <w:rsid w:val="004377E2"/>
    <w:rsid w:val="00443003"/>
    <w:rsid w:val="00445E06"/>
    <w:rsid w:val="00446C32"/>
    <w:rsid w:val="00452FEF"/>
    <w:rsid w:val="0045477F"/>
    <w:rsid w:val="00455364"/>
    <w:rsid w:val="0046092C"/>
    <w:rsid w:val="00461A5A"/>
    <w:rsid w:val="0047503C"/>
    <w:rsid w:val="0048116C"/>
    <w:rsid w:val="00484DDA"/>
    <w:rsid w:val="004901BE"/>
    <w:rsid w:val="004965AF"/>
    <w:rsid w:val="00496F5D"/>
    <w:rsid w:val="004A23BC"/>
    <w:rsid w:val="004A4CEC"/>
    <w:rsid w:val="004A5880"/>
    <w:rsid w:val="004A6C52"/>
    <w:rsid w:val="004B18DC"/>
    <w:rsid w:val="004B2302"/>
    <w:rsid w:val="004B2A17"/>
    <w:rsid w:val="004B3DB3"/>
    <w:rsid w:val="004B5E54"/>
    <w:rsid w:val="004E04BF"/>
    <w:rsid w:val="00502390"/>
    <w:rsid w:val="00502FC6"/>
    <w:rsid w:val="00503445"/>
    <w:rsid w:val="0050399F"/>
    <w:rsid w:val="005067A1"/>
    <w:rsid w:val="005135D6"/>
    <w:rsid w:val="00530FC7"/>
    <w:rsid w:val="005324B7"/>
    <w:rsid w:val="0053327A"/>
    <w:rsid w:val="00533D6A"/>
    <w:rsid w:val="00536020"/>
    <w:rsid w:val="00541F3E"/>
    <w:rsid w:val="005429A0"/>
    <w:rsid w:val="00543CDC"/>
    <w:rsid w:val="005511AD"/>
    <w:rsid w:val="00552E3E"/>
    <w:rsid w:val="0055791B"/>
    <w:rsid w:val="005616B4"/>
    <w:rsid w:val="00563313"/>
    <w:rsid w:val="00563728"/>
    <w:rsid w:val="00564A89"/>
    <w:rsid w:val="00565031"/>
    <w:rsid w:val="0057435E"/>
    <w:rsid w:val="00585466"/>
    <w:rsid w:val="005911AC"/>
    <w:rsid w:val="00593E1F"/>
    <w:rsid w:val="005A18FB"/>
    <w:rsid w:val="005A2363"/>
    <w:rsid w:val="005A6305"/>
    <w:rsid w:val="005A79D0"/>
    <w:rsid w:val="005B02DE"/>
    <w:rsid w:val="005B0C8D"/>
    <w:rsid w:val="005B13A0"/>
    <w:rsid w:val="005B1BC6"/>
    <w:rsid w:val="005B1CE2"/>
    <w:rsid w:val="005B6F8B"/>
    <w:rsid w:val="005C1BC9"/>
    <w:rsid w:val="005C287F"/>
    <w:rsid w:val="005C453E"/>
    <w:rsid w:val="005C7A91"/>
    <w:rsid w:val="005D254B"/>
    <w:rsid w:val="005F5B6B"/>
    <w:rsid w:val="005F6FDF"/>
    <w:rsid w:val="00601450"/>
    <w:rsid w:val="006108B8"/>
    <w:rsid w:val="00611073"/>
    <w:rsid w:val="006128D7"/>
    <w:rsid w:val="006145C7"/>
    <w:rsid w:val="0061482E"/>
    <w:rsid w:val="0061552A"/>
    <w:rsid w:val="00616264"/>
    <w:rsid w:val="00616690"/>
    <w:rsid w:val="006167E0"/>
    <w:rsid w:val="00616E90"/>
    <w:rsid w:val="006177FE"/>
    <w:rsid w:val="00627143"/>
    <w:rsid w:val="006317A9"/>
    <w:rsid w:val="00643011"/>
    <w:rsid w:val="00646CBA"/>
    <w:rsid w:val="00650DB8"/>
    <w:rsid w:val="00651C18"/>
    <w:rsid w:val="00652DF7"/>
    <w:rsid w:val="00652F11"/>
    <w:rsid w:val="0066173C"/>
    <w:rsid w:val="006746DB"/>
    <w:rsid w:val="006771CE"/>
    <w:rsid w:val="006778A2"/>
    <w:rsid w:val="006916DC"/>
    <w:rsid w:val="00696F12"/>
    <w:rsid w:val="006A01F5"/>
    <w:rsid w:val="006A5CCF"/>
    <w:rsid w:val="006B19A0"/>
    <w:rsid w:val="006B2A31"/>
    <w:rsid w:val="006B55D6"/>
    <w:rsid w:val="006B5BA8"/>
    <w:rsid w:val="006B7228"/>
    <w:rsid w:val="006C0915"/>
    <w:rsid w:val="006C11BB"/>
    <w:rsid w:val="006C22E7"/>
    <w:rsid w:val="006C3FF9"/>
    <w:rsid w:val="006C4174"/>
    <w:rsid w:val="006C45C6"/>
    <w:rsid w:val="006D49F3"/>
    <w:rsid w:val="006E52E7"/>
    <w:rsid w:val="006F11C3"/>
    <w:rsid w:val="00704711"/>
    <w:rsid w:val="007111EB"/>
    <w:rsid w:val="00711F3A"/>
    <w:rsid w:val="00712B6C"/>
    <w:rsid w:val="00713F52"/>
    <w:rsid w:val="0072061E"/>
    <w:rsid w:val="00721A22"/>
    <w:rsid w:val="00721CEA"/>
    <w:rsid w:val="007247ED"/>
    <w:rsid w:val="007260B2"/>
    <w:rsid w:val="0073581C"/>
    <w:rsid w:val="00736AD5"/>
    <w:rsid w:val="00736D27"/>
    <w:rsid w:val="007420C6"/>
    <w:rsid w:val="007434D0"/>
    <w:rsid w:val="007503D4"/>
    <w:rsid w:val="0075401D"/>
    <w:rsid w:val="0075517F"/>
    <w:rsid w:val="0076257F"/>
    <w:rsid w:val="00763A4B"/>
    <w:rsid w:val="00764E61"/>
    <w:rsid w:val="00766432"/>
    <w:rsid w:val="0076755A"/>
    <w:rsid w:val="00770527"/>
    <w:rsid w:val="0078015D"/>
    <w:rsid w:val="00781160"/>
    <w:rsid w:val="007827A3"/>
    <w:rsid w:val="00785E60"/>
    <w:rsid w:val="007864CA"/>
    <w:rsid w:val="00787CDE"/>
    <w:rsid w:val="007A1D61"/>
    <w:rsid w:val="007B0068"/>
    <w:rsid w:val="007B0AC3"/>
    <w:rsid w:val="007B5523"/>
    <w:rsid w:val="007C4C33"/>
    <w:rsid w:val="007D2AEF"/>
    <w:rsid w:val="007D7518"/>
    <w:rsid w:val="007E18BB"/>
    <w:rsid w:val="007E33D4"/>
    <w:rsid w:val="007E475F"/>
    <w:rsid w:val="007E4FF6"/>
    <w:rsid w:val="007F0442"/>
    <w:rsid w:val="007F6890"/>
    <w:rsid w:val="007F7A60"/>
    <w:rsid w:val="008024B2"/>
    <w:rsid w:val="00815352"/>
    <w:rsid w:val="00816B32"/>
    <w:rsid w:val="00820E23"/>
    <w:rsid w:val="0083444D"/>
    <w:rsid w:val="00835434"/>
    <w:rsid w:val="00835C71"/>
    <w:rsid w:val="00840FC0"/>
    <w:rsid w:val="008420D9"/>
    <w:rsid w:val="008427C5"/>
    <w:rsid w:val="00845545"/>
    <w:rsid w:val="00856854"/>
    <w:rsid w:val="00861241"/>
    <w:rsid w:val="00862FC2"/>
    <w:rsid w:val="0087489F"/>
    <w:rsid w:val="00875044"/>
    <w:rsid w:val="008774F3"/>
    <w:rsid w:val="008815DE"/>
    <w:rsid w:val="0088172D"/>
    <w:rsid w:val="00884FEB"/>
    <w:rsid w:val="0088630E"/>
    <w:rsid w:val="00895A26"/>
    <w:rsid w:val="008A4E00"/>
    <w:rsid w:val="008A7A5D"/>
    <w:rsid w:val="008B2F5E"/>
    <w:rsid w:val="008B6066"/>
    <w:rsid w:val="008B622E"/>
    <w:rsid w:val="008B7267"/>
    <w:rsid w:val="008C122C"/>
    <w:rsid w:val="008C6E0B"/>
    <w:rsid w:val="008D2210"/>
    <w:rsid w:val="008D72DD"/>
    <w:rsid w:val="008D7ACC"/>
    <w:rsid w:val="008E0E86"/>
    <w:rsid w:val="008E0F08"/>
    <w:rsid w:val="008E3CA9"/>
    <w:rsid w:val="008E47D2"/>
    <w:rsid w:val="008F1D51"/>
    <w:rsid w:val="00900C1D"/>
    <w:rsid w:val="00906126"/>
    <w:rsid w:val="00920D63"/>
    <w:rsid w:val="00924EEF"/>
    <w:rsid w:val="00942368"/>
    <w:rsid w:val="00943222"/>
    <w:rsid w:val="00950950"/>
    <w:rsid w:val="00955F25"/>
    <w:rsid w:val="00965272"/>
    <w:rsid w:val="00971A2C"/>
    <w:rsid w:val="00980064"/>
    <w:rsid w:val="0098245F"/>
    <w:rsid w:val="00985397"/>
    <w:rsid w:val="0098778D"/>
    <w:rsid w:val="00991C37"/>
    <w:rsid w:val="0099694B"/>
    <w:rsid w:val="009A1317"/>
    <w:rsid w:val="009A2E43"/>
    <w:rsid w:val="009A4B3E"/>
    <w:rsid w:val="009A6E08"/>
    <w:rsid w:val="009B389F"/>
    <w:rsid w:val="009B5A09"/>
    <w:rsid w:val="009C001E"/>
    <w:rsid w:val="009C2C58"/>
    <w:rsid w:val="009C3801"/>
    <w:rsid w:val="009C4291"/>
    <w:rsid w:val="009C7D6A"/>
    <w:rsid w:val="009D3244"/>
    <w:rsid w:val="009F0F81"/>
    <w:rsid w:val="009F3AD0"/>
    <w:rsid w:val="009F4E0B"/>
    <w:rsid w:val="00A01C72"/>
    <w:rsid w:val="00A02850"/>
    <w:rsid w:val="00A03C89"/>
    <w:rsid w:val="00A03DC9"/>
    <w:rsid w:val="00A047BA"/>
    <w:rsid w:val="00A0483F"/>
    <w:rsid w:val="00A1207F"/>
    <w:rsid w:val="00A122F8"/>
    <w:rsid w:val="00A136CD"/>
    <w:rsid w:val="00A24751"/>
    <w:rsid w:val="00A320B1"/>
    <w:rsid w:val="00A35584"/>
    <w:rsid w:val="00A4309F"/>
    <w:rsid w:val="00A6020A"/>
    <w:rsid w:val="00A64421"/>
    <w:rsid w:val="00A64C0C"/>
    <w:rsid w:val="00A72DF3"/>
    <w:rsid w:val="00A801A9"/>
    <w:rsid w:val="00A80A02"/>
    <w:rsid w:val="00A85CE0"/>
    <w:rsid w:val="00A90BDF"/>
    <w:rsid w:val="00AA38AA"/>
    <w:rsid w:val="00AB0383"/>
    <w:rsid w:val="00AB2F46"/>
    <w:rsid w:val="00AB4E51"/>
    <w:rsid w:val="00AC13D0"/>
    <w:rsid w:val="00AC14E2"/>
    <w:rsid w:val="00AC5975"/>
    <w:rsid w:val="00AC5F45"/>
    <w:rsid w:val="00AD061B"/>
    <w:rsid w:val="00AD3F2E"/>
    <w:rsid w:val="00AD4571"/>
    <w:rsid w:val="00AE1CD7"/>
    <w:rsid w:val="00AF13EE"/>
    <w:rsid w:val="00AF3AC6"/>
    <w:rsid w:val="00AF51F7"/>
    <w:rsid w:val="00AF62BC"/>
    <w:rsid w:val="00AF672F"/>
    <w:rsid w:val="00AF7672"/>
    <w:rsid w:val="00B00AEB"/>
    <w:rsid w:val="00B01163"/>
    <w:rsid w:val="00B01830"/>
    <w:rsid w:val="00B057CA"/>
    <w:rsid w:val="00B12EA6"/>
    <w:rsid w:val="00B15280"/>
    <w:rsid w:val="00B17100"/>
    <w:rsid w:val="00B31A22"/>
    <w:rsid w:val="00B33BBC"/>
    <w:rsid w:val="00B36BA6"/>
    <w:rsid w:val="00B439B1"/>
    <w:rsid w:val="00B5171B"/>
    <w:rsid w:val="00B51AB6"/>
    <w:rsid w:val="00B51F42"/>
    <w:rsid w:val="00B53022"/>
    <w:rsid w:val="00B62EC8"/>
    <w:rsid w:val="00B822A4"/>
    <w:rsid w:val="00B9443C"/>
    <w:rsid w:val="00B97547"/>
    <w:rsid w:val="00BA6E03"/>
    <w:rsid w:val="00BB50BB"/>
    <w:rsid w:val="00BC068F"/>
    <w:rsid w:val="00BD0C03"/>
    <w:rsid w:val="00BE1311"/>
    <w:rsid w:val="00BE16D7"/>
    <w:rsid w:val="00BE1EE0"/>
    <w:rsid w:val="00BE358B"/>
    <w:rsid w:val="00BF34CE"/>
    <w:rsid w:val="00C029A7"/>
    <w:rsid w:val="00C029BC"/>
    <w:rsid w:val="00C04D37"/>
    <w:rsid w:val="00C06D30"/>
    <w:rsid w:val="00C074C4"/>
    <w:rsid w:val="00C12FEB"/>
    <w:rsid w:val="00C14552"/>
    <w:rsid w:val="00C25670"/>
    <w:rsid w:val="00C2636B"/>
    <w:rsid w:val="00C2758E"/>
    <w:rsid w:val="00C277FB"/>
    <w:rsid w:val="00C3194E"/>
    <w:rsid w:val="00C356C8"/>
    <w:rsid w:val="00C367B4"/>
    <w:rsid w:val="00C36B2D"/>
    <w:rsid w:val="00C40D60"/>
    <w:rsid w:val="00C43A7D"/>
    <w:rsid w:val="00C46DB1"/>
    <w:rsid w:val="00C47BD3"/>
    <w:rsid w:val="00C54763"/>
    <w:rsid w:val="00C563A1"/>
    <w:rsid w:val="00C60BE1"/>
    <w:rsid w:val="00C62E09"/>
    <w:rsid w:val="00C635CF"/>
    <w:rsid w:val="00C66CDE"/>
    <w:rsid w:val="00C707EE"/>
    <w:rsid w:val="00C7499D"/>
    <w:rsid w:val="00C84817"/>
    <w:rsid w:val="00C84BAF"/>
    <w:rsid w:val="00C87CEE"/>
    <w:rsid w:val="00C941FF"/>
    <w:rsid w:val="00C960CE"/>
    <w:rsid w:val="00C973FB"/>
    <w:rsid w:val="00CB484B"/>
    <w:rsid w:val="00CB70A8"/>
    <w:rsid w:val="00CC6811"/>
    <w:rsid w:val="00CD7ED8"/>
    <w:rsid w:val="00CE5ACF"/>
    <w:rsid w:val="00CF25FB"/>
    <w:rsid w:val="00D02770"/>
    <w:rsid w:val="00D02EE5"/>
    <w:rsid w:val="00D054C0"/>
    <w:rsid w:val="00D06F70"/>
    <w:rsid w:val="00D14A32"/>
    <w:rsid w:val="00D2018B"/>
    <w:rsid w:val="00D20C67"/>
    <w:rsid w:val="00D2506C"/>
    <w:rsid w:val="00D25D7E"/>
    <w:rsid w:val="00D27CDE"/>
    <w:rsid w:val="00D27F99"/>
    <w:rsid w:val="00D30BE6"/>
    <w:rsid w:val="00D31C7A"/>
    <w:rsid w:val="00D35C30"/>
    <w:rsid w:val="00D36501"/>
    <w:rsid w:val="00D452AA"/>
    <w:rsid w:val="00D52FEA"/>
    <w:rsid w:val="00D56AF5"/>
    <w:rsid w:val="00D60795"/>
    <w:rsid w:val="00D60F96"/>
    <w:rsid w:val="00D6494A"/>
    <w:rsid w:val="00D64B66"/>
    <w:rsid w:val="00D70C93"/>
    <w:rsid w:val="00D8369E"/>
    <w:rsid w:val="00D84EB7"/>
    <w:rsid w:val="00D87924"/>
    <w:rsid w:val="00D87BAB"/>
    <w:rsid w:val="00D92396"/>
    <w:rsid w:val="00D938B7"/>
    <w:rsid w:val="00D946DB"/>
    <w:rsid w:val="00DA3B36"/>
    <w:rsid w:val="00DA77E1"/>
    <w:rsid w:val="00DB0F07"/>
    <w:rsid w:val="00DC2D05"/>
    <w:rsid w:val="00DC40DA"/>
    <w:rsid w:val="00DC5E71"/>
    <w:rsid w:val="00DD2656"/>
    <w:rsid w:val="00DD5371"/>
    <w:rsid w:val="00DD72AA"/>
    <w:rsid w:val="00DE0962"/>
    <w:rsid w:val="00DE2DDE"/>
    <w:rsid w:val="00DE4EF2"/>
    <w:rsid w:val="00E00D48"/>
    <w:rsid w:val="00E019D7"/>
    <w:rsid w:val="00E02641"/>
    <w:rsid w:val="00E048CD"/>
    <w:rsid w:val="00E052A9"/>
    <w:rsid w:val="00E07C8E"/>
    <w:rsid w:val="00E11F7B"/>
    <w:rsid w:val="00E133A7"/>
    <w:rsid w:val="00E1378D"/>
    <w:rsid w:val="00E143FD"/>
    <w:rsid w:val="00E1696D"/>
    <w:rsid w:val="00E1750A"/>
    <w:rsid w:val="00E17F31"/>
    <w:rsid w:val="00E27969"/>
    <w:rsid w:val="00E32DA2"/>
    <w:rsid w:val="00E33161"/>
    <w:rsid w:val="00E41A58"/>
    <w:rsid w:val="00E46936"/>
    <w:rsid w:val="00E47CCD"/>
    <w:rsid w:val="00E54B05"/>
    <w:rsid w:val="00E577B1"/>
    <w:rsid w:val="00E66FEA"/>
    <w:rsid w:val="00E75993"/>
    <w:rsid w:val="00E804CC"/>
    <w:rsid w:val="00E82ECC"/>
    <w:rsid w:val="00EA3FEF"/>
    <w:rsid w:val="00EA419C"/>
    <w:rsid w:val="00EB154B"/>
    <w:rsid w:val="00EB4529"/>
    <w:rsid w:val="00EB5804"/>
    <w:rsid w:val="00EB6F18"/>
    <w:rsid w:val="00EC35BA"/>
    <w:rsid w:val="00EC5046"/>
    <w:rsid w:val="00ED1CE1"/>
    <w:rsid w:val="00ED55F7"/>
    <w:rsid w:val="00ED74D4"/>
    <w:rsid w:val="00ED7C8E"/>
    <w:rsid w:val="00EE2205"/>
    <w:rsid w:val="00EF0DA4"/>
    <w:rsid w:val="00EF68B1"/>
    <w:rsid w:val="00F015E6"/>
    <w:rsid w:val="00F0322C"/>
    <w:rsid w:val="00F12EA3"/>
    <w:rsid w:val="00F1455C"/>
    <w:rsid w:val="00F16ACE"/>
    <w:rsid w:val="00F30076"/>
    <w:rsid w:val="00F325B9"/>
    <w:rsid w:val="00F356CE"/>
    <w:rsid w:val="00F423F0"/>
    <w:rsid w:val="00F44634"/>
    <w:rsid w:val="00F4528F"/>
    <w:rsid w:val="00F463F5"/>
    <w:rsid w:val="00F5381F"/>
    <w:rsid w:val="00F5524C"/>
    <w:rsid w:val="00F60EC7"/>
    <w:rsid w:val="00F60F37"/>
    <w:rsid w:val="00F61095"/>
    <w:rsid w:val="00F620A2"/>
    <w:rsid w:val="00F63BA7"/>
    <w:rsid w:val="00F6799F"/>
    <w:rsid w:val="00F7072C"/>
    <w:rsid w:val="00F76469"/>
    <w:rsid w:val="00F777C7"/>
    <w:rsid w:val="00F875F5"/>
    <w:rsid w:val="00F93B5F"/>
    <w:rsid w:val="00FA1268"/>
    <w:rsid w:val="00FA5CA1"/>
    <w:rsid w:val="00FB175F"/>
    <w:rsid w:val="00FB199D"/>
    <w:rsid w:val="00FB1C26"/>
    <w:rsid w:val="00FB1D44"/>
    <w:rsid w:val="00FB2B2F"/>
    <w:rsid w:val="00FB4960"/>
    <w:rsid w:val="00FB5258"/>
    <w:rsid w:val="00FC371D"/>
    <w:rsid w:val="00FC4D06"/>
    <w:rsid w:val="00FD7524"/>
    <w:rsid w:val="00FE4AE0"/>
    <w:rsid w:val="00FE4D22"/>
    <w:rsid w:val="00FF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85B2C6"/>
  <w15:docId w15:val="{BF6105D1-D5C4-424F-9566-3D2ADEBDD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1"/>
    <w:lsdException w:name="endnote text" w:uiPriority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u w:val="single"/>
      <w:lang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8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semiHidden/>
    <w:unhideWhenUsed/>
    <w:rsid w:val="001E5A75"/>
    <w:pPr>
      <w:spacing w:before="240" w:after="60"/>
      <w:outlineLvl w:val="6"/>
    </w:pPr>
    <w:rPr>
      <w:rFonts w:ascii="Times New Roman" w:eastAsia="Arial" w:hAnsi="Times New Roman"/>
      <w:sz w:val="24"/>
      <w:szCs w:val="20"/>
      <w:lang w:eastAsia="de-DE"/>
    </w:rPr>
  </w:style>
  <w:style w:type="paragraph" w:styleId="Heading8">
    <w:name w:val="heading 8"/>
    <w:basedOn w:val="Normal"/>
    <w:next w:val="Normal"/>
    <w:link w:val="Heading8Char"/>
    <w:semiHidden/>
    <w:unhideWhenUsed/>
    <w:rsid w:val="001E5A75"/>
    <w:pPr>
      <w:spacing w:before="240" w:after="60"/>
      <w:outlineLvl w:val="7"/>
    </w:pPr>
    <w:rPr>
      <w:rFonts w:ascii="Times New Roman" w:eastAsia="Arial" w:hAnsi="Times New Roman"/>
      <w:i/>
      <w:iCs/>
      <w:sz w:val="24"/>
      <w:szCs w:val="20"/>
      <w:lang w:eastAsia="de-DE"/>
    </w:rPr>
  </w:style>
  <w:style w:type="paragraph" w:styleId="Heading9">
    <w:name w:val="heading 9"/>
    <w:basedOn w:val="Normal"/>
    <w:next w:val="Normal"/>
    <w:link w:val="Heading9Char"/>
    <w:semiHidden/>
    <w:unhideWhenUsed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pl-PL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14"/>
      <w:lang w:eastAsia="de-DE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pl-PL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de-DE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val="pl-PL" w:eastAsia="en-US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semiHidden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 w:val="16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pl-PL" w:eastAsia="en-US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pl-PL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pl-PL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val="pl-PL"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val="pl-PL"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AE1CD7"/>
    <w:pPr>
      <w:spacing w:before="0" w:after="0"/>
      <w:ind w:left="33"/>
    </w:pPr>
    <w:rPr>
      <w:szCs w:val="17"/>
      <w:u w:val="single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val="pl-PL"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pl-P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AE1CD7"/>
    <w:rPr>
      <w:rFonts w:ascii="Verdana" w:eastAsia="Times New Roman" w:hAnsi="Verdana" w:cs="Times New Roman"/>
      <w:sz w:val="20"/>
      <w:szCs w:val="17"/>
      <w:u w:val="single"/>
      <w:lang w:val="pl-PL"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6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pl-PL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numbering" w:customStyle="1" w:styleId="Formatvorlage3">
    <w:name w:val="Formatvorlage3"/>
    <w:uiPriority w:val="99"/>
    <w:rsid w:val="00DE0962"/>
    <w:pPr>
      <w:numPr>
        <w:numId w:val="17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pl-PL"/>
    </w:rPr>
  </w:style>
  <w:style w:type="numbering" w:customStyle="1" w:styleId="Formatvorlage4">
    <w:name w:val="Formatvorlage4"/>
    <w:uiPriority w:val="99"/>
    <w:rsid w:val="00FB1D44"/>
    <w:pPr>
      <w:numPr>
        <w:numId w:val="19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20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  <w:lang w:val="pl-PL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6A2C2-F53B-4390-8575-A9F244A3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1128</Words>
  <Characters>7619</Characters>
  <Application>Microsoft Office Word</Application>
  <DocSecurity>0</DocSecurity>
  <Lines>143</Lines>
  <Paragraphs>62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Deutsche Bundesbank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EBA</dc:creator>
  <cp:lastModifiedBy>PIASKOWY Dariusz (DGT)</cp:lastModifiedBy>
  <cp:revision>4</cp:revision>
  <cp:lastPrinted>2011-11-25T18:26:00Z</cp:lastPrinted>
  <dcterms:created xsi:type="dcterms:W3CDTF">2020-12-02T08:15:00Z</dcterms:created>
  <dcterms:modified xsi:type="dcterms:W3CDTF">2020-12-11T15:16:00Z</dcterms:modified>
</cp:coreProperties>
</file>