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1301" w14:textId="4475C7FE" w:rsidR="0040604D" w:rsidRPr="003E55AB" w:rsidRDefault="0040604D" w:rsidP="003E55AB">
      <w:pPr>
        <w:spacing w:before="0"/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„PŘÍLOHA XXI</w:t>
      </w:r>
    </w:p>
    <w:p w14:paraId="55B2E7E1" w14:textId="065A927F" w:rsidR="0040604D" w:rsidRDefault="0040604D" w:rsidP="003E55AB">
      <w:pPr>
        <w:spacing w:before="0"/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POKYNY PRO PODÁVÁNÍ ZPRÁV O KONCENTRACI VYROVNÁVACÍ KAPACITY</w:t>
      </w:r>
    </w:p>
    <w:p w14:paraId="6C60C302" w14:textId="77777777" w:rsidR="0081623B" w:rsidRPr="003E55AB" w:rsidRDefault="0081623B" w:rsidP="003E55AB">
      <w:pPr>
        <w:spacing w:before="0"/>
        <w:jc w:val="center"/>
        <w:rPr>
          <w:rFonts w:ascii="Times New Roman" w:hAnsi="Times New Roman"/>
          <w:b/>
          <w:sz w:val="24"/>
        </w:rPr>
      </w:pPr>
    </w:p>
    <w:p w14:paraId="2314BCB9" w14:textId="3D6E6875" w:rsidR="00B1719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1.</w:t>
      </w:r>
      <w:r>
        <w:tab/>
      </w:r>
      <w:r>
        <w:rPr>
          <w:sz w:val="24"/>
          <w:rFonts w:ascii="Times New Roman" w:hAnsi="Times New Roman"/>
        </w:rPr>
        <w:t xml:space="preserve">Aby bylo možné shromáždit od vykazujících institucí informace podle šablony C 71.00 o koncentraci vyrovnávací kapacity vždy pro deset největších držeb aktiv nebo likviditních linek, které byly instituci za tímto účelem poskytnuty, řídí se instituce pokyny obsaženými v této příloze.</w:t>
      </w:r>
    </w:p>
    <w:p w14:paraId="6D98D095" w14:textId="6A747233" w:rsidR="00672B1B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tab/>
      </w:r>
      <w:r>
        <w:rPr>
          <w:sz w:val="24"/>
          <w:rFonts w:ascii="Times New Roman" w:hAnsi="Times New Roman"/>
        </w:rPr>
        <w:t xml:space="preserve">Pokud jsou emitent nebo protistrana přiřazeni k více než jednomu druhu produktu, jedné měně nebo jednomu stupni úvěrové kvality, vykazuje se celková částka.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Druh produktu, měna nebo stupeň úvěrové kvality, které mají být vykázány, jsou ty, které jsou relevantní pro největší podílnou část koncentrace vyrovnávací kapacity.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tab/>
      </w:r>
      <w:r>
        <w:rPr>
          <w:sz w:val="24"/>
          <w:rFonts w:ascii="Times New Roman" w:hAnsi="Times New Roman"/>
        </w:rPr>
        <w:t xml:space="preserve">Vyrovnávací kapacita v šabloně C 71.00 musí být stejná jako v šabloně C 66.01 s tou výhradou, že aktiva vykázaná jako vyrovnávací kapacita pro účely šablony C 71.00 musí být nezatížená, aby je daná instituce měla k referenčnímu datu vykazování k dispozici ke konverzi na hotovost.</w:t>
      </w:r>
    </w:p>
    <w:p w14:paraId="52C95F92" w14:textId="76B8503D" w:rsidR="00EF029F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tab/>
      </w:r>
      <w:r>
        <w:rPr>
          <w:sz w:val="24"/>
          <w:rFonts w:ascii="Times New Roman" w:hAnsi="Times New Roman"/>
        </w:rPr>
        <w:t xml:space="preserve">Pro výpočet koncentrací pro účel vykazovací šablony C 71.00 podle významné měny použijí instituce koncentrace ve všech měnách.</w:t>
      </w:r>
    </w:p>
    <w:p w14:paraId="5D592CDE" w14:textId="137C55E0" w:rsidR="0005633D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tab/>
      </w:r>
      <w:r>
        <w:rPr>
          <w:sz w:val="24"/>
          <w:rFonts w:ascii="Times New Roman" w:hAnsi="Times New Roman"/>
        </w:rPr>
        <w:t xml:space="preserve">Pokud emitent nebo protistrana náleží k několika ekonomicky spjatým skupinám klientů, vykazuje se pouze jednou ve skupině s vyšší koncentrací vyrovnávací kapacity.</w:t>
      </w:r>
    </w:p>
    <w:p w14:paraId="2C0B2260" w14:textId="17EB1C17" w:rsidR="00CB05F9" w:rsidRPr="0081623B" w:rsidRDefault="00292B75" w:rsidP="003E55AB">
      <w:pPr>
        <w:widowControl w:val="0"/>
        <w:spacing w:before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tab/>
      </w:r>
      <w:r>
        <w:rPr>
          <w:sz w:val="24"/>
          <w:rFonts w:ascii="Times New Roman" w:hAnsi="Times New Roman"/>
        </w:rPr>
        <w:t xml:space="preserve">S výjimkou řádku 120 se v této šabloně nevykazují koncentrace vyrovnávací kapacity u centrální banky jako emitenta nebo protistrany.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 případě, že instituce má aktiva deponovaná v centrální bance pro standardní likviditní operace, a v rozsahu, v němž tato aktiva spadají mezi deset největších emitentů nebo protistran nezatížené vyrovnávací kapacity, vykáže instituce původního emitenta a původní druh produktu.</w:t>
      </w:r>
    </w:p>
    <w:p w14:paraId="423289FA" w14:textId="77777777" w:rsidR="00E05204" w:rsidRPr="0081623B" w:rsidRDefault="00E05204" w:rsidP="003E55AB">
      <w:pPr>
        <w:spacing w:before="0"/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81623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E05204" w:rsidRPr="0081623B" w14:paraId="32AA40F1" w14:textId="77777777" w:rsidTr="00845EB1">
        <w:tc>
          <w:tcPr>
            <w:tcW w:w="990" w:type="dxa"/>
          </w:tcPr>
          <w:p w14:paraId="79D5F65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306" w:type="dxa"/>
          </w:tcPr>
          <w:p w14:paraId="20597254" w14:textId="73E89BCB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Název emitenta</w:t>
            </w:r>
          </w:p>
          <w:p w14:paraId="36B02E7E" w14:textId="56EF9FD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Ve sloupci 010 se v sestupném pořadí uvede název deseti největších emitentů nezatížených aktiv nebo protistran nevyčerpaných přislíbených likviditních linek poskytnutých instituci.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Největší položka se zapíše na řádku 1.01, druhá největší položka na řádku 1.02 atd. Emitenti a protistrany, kteří vytvářejí ekonomicky spjatou skupinu klientů, se vykazují jako jediná koncentrace.</w:t>
            </w:r>
          </w:p>
          <w:p w14:paraId="4E01B5DA" w14:textId="4F0E946D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Vykázaným názvem emitenta nebo protistrany musí být úplný název právnické osoby, která vydala aktiva nebo poskytla likviditní linky, včetně případných odkazů na druh společnosti v souladu s vnitrostátním právem obchodních společností.</w:t>
            </w:r>
          </w:p>
        </w:tc>
      </w:tr>
      <w:tr w:rsidR="00E05204" w:rsidRPr="0081623B" w14:paraId="5485249F" w14:textId="77777777" w:rsidTr="00845EB1">
        <w:tc>
          <w:tcPr>
            <w:tcW w:w="990" w:type="dxa"/>
          </w:tcPr>
          <w:p w14:paraId="488A21BC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306" w:type="dxa"/>
          </w:tcPr>
          <w:p w14:paraId="763D0E5F" w14:textId="77777777" w:rsidR="00E05204" w:rsidRPr="0081623B" w:rsidRDefault="00E05204" w:rsidP="003E55AB">
            <w:pPr>
              <w:spacing w:before="0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Kód LEI</w:t>
            </w:r>
          </w:p>
          <w:p w14:paraId="7861A1B2" w14:textId="190A7764" w:rsidR="00E05204" w:rsidRPr="003E55AB" w:rsidRDefault="00E05204" w:rsidP="003E55AB">
            <w:p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Cs/>
                <w:rFonts w:ascii="Times New Roman" w:hAnsi="Times New Roman"/>
              </w:rPr>
              <w:t xml:space="preserve">Identifikační kód</w:t>
            </w:r>
            <w:r>
              <w:rPr>
                <w:sz w:val="24"/>
                <w:rFonts w:ascii="Times New Roman" w:hAnsi="Times New Roman"/>
              </w:rPr>
              <w:t xml:space="preserve"> právnické </w:t>
            </w:r>
            <w:r>
              <w:rPr>
                <w:sz w:val="24"/>
                <w:bCs/>
                <w:rFonts w:ascii="Times New Roman" w:hAnsi="Times New Roman"/>
              </w:rPr>
              <w:t xml:space="preserve">osoby protistrany</w:t>
            </w:r>
            <w:r>
              <w:rPr>
                <w:sz w:val="24"/>
                <w:bCs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2B1BAA00" w14:textId="77777777" w:rsidTr="00845EB1">
        <w:tc>
          <w:tcPr>
            <w:tcW w:w="990" w:type="dxa"/>
          </w:tcPr>
          <w:p w14:paraId="12DAC473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306" w:type="dxa"/>
          </w:tcPr>
          <w:p w14:paraId="6DAF3DB3" w14:textId="4B8E1486" w:rsidR="00E05204" w:rsidRPr="0081623B" w:rsidRDefault="004C1638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Odvětví emitenta</w:t>
            </w:r>
          </w:p>
          <w:p w14:paraId="62F53B63" w14:textId="27347E6E" w:rsidR="00E05204" w:rsidRPr="003E55A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Každému emitentovi nebo protistraně bude přiděleno jedno odvětví na základě tříd hospodářských odvětví dle FINREP:</w:t>
            </w:r>
          </w:p>
          <w:p w14:paraId="563180C8" w14:textId="31A14F6F" w:rsidR="00E05204" w:rsidRPr="0081623B" w:rsidRDefault="00E05204" w:rsidP="003E55AB">
            <w:pPr>
              <w:pStyle w:val="InstructionsText"/>
              <w:spacing w:after="12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i) vládní instituce;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ii) úvěrové instituce;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iii) jiné finanční podniky;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iv) nefinanční podniky;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v) domácnosti.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U </w:t>
            </w:r>
            <w:r>
              <w:rPr>
                <w:sz w:val="24"/>
                <w:rFonts w:ascii="Times New Roman" w:hAnsi="Times New Roman"/>
              </w:rPr>
              <w:t xml:space="preserve">ekonomicky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spjatých skupin klientů se odvětví nevykazuje.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66F40C8E" w14:textId="77777777" w:rsidTr="00845EB1">
        <w:tc>
          <w:tcPr>
            <w:tcW w:w="990" w:type="dxa"/>
          </w:tcPr>
          <w:p w14:paraId="5F55844F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306" w:type="dxa"/>
          </w:tcPr>
          <w:p w14:paraId="6EC1C162" w14:textId="488287EA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Sídlo emitenta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81623B" w:rsidRDefault="00E05204" w:rsidP="003E55AB">
            <w:pPr>
              <w:spacing w:before="0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Užije se kód ISO 3166-1-alfa-2 země registrace emitenta nebo protistrany (včetně pseudo-ISO kódů pro mezinárodní organizace,</w:t>
            </w:r>
            <w:r>
              <w:rPr>
                <w:sz w:val="24"/>
                <w:rFonts w:ascii="Times New Roman" w:hAnsi="Times New Roman"/>
              </w:rPr>
              <w:t xml:space="preserve"> které jsou k dispozici v posledním vydání příručky Eurostatu „Balance of Payments Vademecum“)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U ekonomicky spjatých skupin klientů se země nevykazuje.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0F08D697" w14:textId="77777777" w:rsidTr="00845EB1">
        <w:tc>
          <w:tcPr>
            <w:tcW w:w="990" w:type="dxa"/>
          </w:tcPr>
          <w:p w14:paraId="3B929507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306" w:type="dxa"/>
          </w:tcPr>
          <w:p w14:paraId="016C0789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Druh produktu</w:t>
            </w:r>
          </w:p>
          <w:p w14:paraId="7DC48699" w14:textId="3405D5A6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 emitentů/protistran vykázaných ve sloupci 010 se uvede druh produktu odpovídající produktu,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 jehož rámci jsou držena příslušná aktiva nebo byl přijat pomocný likviditní nástroj, a to za použití následujících tučně vytištěných kódů:</w:t>
            </w:r>
          </w:p>
          <w:p w14:paraId="1CB9AEA2" w14:textId="6EDC6F2E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bookmarkStart w:id="1" w:name="OLE_LINK1"/>
            <w:r>
              <w:rPr>
                <w:sz w:val="24"/>
                <w:b/>
                <w:rFonts w:ascii="Times New Roman" w:hAnsi="Times New Roman"/>
              </w:rPr>
              <w:t xml:space="preserve">SrB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prioritní</w:t>
            </w:r>
            <w:r>
              <w:rPr>
                <w:sz w:val="24"/>
                <w:rFonts w:ascii="Times New Roman" w:hAnsi="Times New Roman"/>
              </w:rPr>
              <w:t xml:space="preserve"> dluhopis),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357AEF5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podřízený</w:t>
            </w:r>
            <w:r>
              <w:rPr>
                <w:sz w:val="24"/>
                <w:rFonts w:ascii="Times New Roman" w:hAnsi="Times New Roman"/>
              </w:rPr>
              <w:t xml:space="preserve"> dluhopis),</w:t>
            </w:r>
          </w:p>
          <w:p w14:paraId="08EFBEC2" w14:textId="5FF6EE23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obchodní cenný</w:t>
            </w:r>
            <w:r>
              <w:rPr>
                <w:sz w:val="24"/>
                <w:rFonts w:ascii="Times New Roman" w:hAnsi="Times New Roman"/>
              </w:rPr>
              <w:t xml:space="preserve"> papír),</w:t>
            </w:r>
          </w:p>
          <w:p w14:paraId="71AB267C" w14:textId="2722007C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 </w:t>
            </w:r>
            <w:r>
              <w:rPr>
                <w:sz w:val="24"/>
                <w:rFonts w:ascii="Times New Roman" w:hAnsi="Times New Roman"/>
              </w:rPr>
              <w:t xml:space="preserve">(kryté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dluhopisy</w:t>
            </w:r>
            <w:r>
              <w:rPr>
                <w:sz w:val="24"/>
                <w:rFonts w:ascii="Times New Roman" w:hAnsi="Times New Roman"/>
              </w:rPr>
              <w:t xml:space="preserve">),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4EBDEEC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 (</w:t>
            </w:r>
            <w:r>
              <w:rPr>
                <w:sz w:val="24"/>
                <w:rFonts w:ascii="Times New Roman" w:hAnsi="Times New Roman"/>
              </w:rPr>
              <w:t xml:space="preserve">cenné papíry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SKIPCP</w:t>
            </w:r>
            <w:r>
              <w:rPr>
                <w:sz w:val="24"/>
                <w:rFonts w:ascii="Times New Roman" w:hAnsi="Times New Roman"/>
              </w:rPr>
              <w:t xml:space="preserve">, tj. finanční nástroje představující podíly subjektu kolektivního investování do převoditelných cenných papírů nebo jím vydané cenné papíry),</w:t>
            </w:r>
          </w:p>
          <w:p w14:paraId="2E54EB88" w14:textId="73B3ACBF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cenný papír krytý aktivy),</w:t>
            </w:r>
          </w:p>
          <w:p w14:paraId="47B806DE" w14:textId="0B534D77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 </w:t>
            </w:r>
            <w:r>
              <w:rPr>
                <w:sz w:val="24"/>
                <w:rFonts w:ascii="Times New Roman" w:hAnsi="Times New Roman"/>
              </w:rPr>
              <w:t xml:space="preserve">(úvěrová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pohledávka</w:t>
            </w:r>
            <w:r>
              <w:rPr>
                <w:sz w:val="24"/>
                <w:rFonts w:ascii="Times New Roman" w:hAnsi="Times New Roman"/>
              </w:rPr>
              <w:t xml:space="preserve">),</w:t>
            </w:r>
          </w:p>
          <w:p w14:paraId="77F497F4" w14:textId="220D3D3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akcie</w:t>
            </w:r>
            <w:r>
              <w:rPr>
                <w:sz w:val="24"/>
                <w:rFonts w:ascii="Times New Roman" w:hAnsi="Times New Roman"/>
              </w:rPr>
              <w:t xml:space="preserve">),</w:t>
            </w:r>
          </w:p>
          <w:p w14:paraId="3F4E3AAB" w14:textId="5007592A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Zlato</w:t>
            </w:r>
            <w:r>
              <w:rPr>
                <w:sz w:val="24"/>
                <w:rFonts w:ascii="Times New Roman" w:hAnsi="Times New Roman"/>
              </w:rPr>
              <w:t xml:space="preserve"> (jedná-li se o fyzické zlato, s nímž může být zacházeno jako s jedinou protistranou),</w:t>
            </w:r>
          </w:p>
          <w:p w14:paraId="6AE61C73" w14:textId="026D514D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nevyčerpaná</w:t>
            </w:r>
            <w:r>
              <w:rPr>
                <w:sz w:val="24"/>
                <w:rFonts w:ascii="Times New Roman" w:hAnsi="Times New Roman"/>
              </w:rPr>
              <w:t xml:space="preserve"> přislíbená likviditní linka poskytnutá instituci),</w:t>
            </w:r>
          </w:p>
          <w:p w14:paraId="23B5C30F" w14:textId="792C14AB" w:rsidR="00E05204" w:rsidRPr="0081623B" w:rsidRDefault="00E05204" w:rsidP="003E55AB">
            <w:pPr>
              <w:pStyle w:val="ListParagraph"/>
              <w:numPr>
                <w:ilvl w:val="0"/>
                <w:numId w:val="4"/>
              </w:numPr>
              <w:spacing w:before="0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jiný</w:t>
            </w:r>
            <w:r>
              <w:rPr>
                <w:sz w:val="24"/>
                <w:rFonts w:ascii="Times New Roman" w:hAnsi="Times New Roman"/>
              </w:rPr>
              <w:t xml:space="preserve"> druh produktu)</w:t>
            </w:r>
            <w:bookmarkEnd w:id="1"/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E05204" w:rsidRPr="0081623B" w14:paraId="4C932A7E" w14:textId="77777777" w:rsidTr="00845EB1">
        <w:tc>
          <w:tcPr>
            <w:tcW w:w="990" w:type="dxa"/>
          </w:tcPr>
          <w:p w14:paraId="611D24E9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306" w:type="dxa"/>
          </w:tcPr>
          <w:p w14:paraId="361DF87B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Měna</w:t>
            </w:r>
          </w:p>
          <w:p w14:paraId="1D458B95" w14:textId="65954469" w:rsidR="00C05CCA" w:rsidRPr="0081623B" w:rsidRDefault="004C163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Emitentům/protistranám vykázaným ve sloupci 010 se přidělí kód ISO měny ve sloupci 060 odpovídající denominaci přijatého aktiva nebo nevyčerpaných přislíbených likviditních linek poskytnutých instituci.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Uvede se třípísmenný kód měny podle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3FE19CB" w:rsidR="00774708" w:rsidRPr="0081623B" w:rsidRDefault="00047ECB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Je-li součástí koncentrace vyrovnávací kapacity víceměnová linka, počítá se tato linka v měně, která je převažující ve zbytku koncentrace.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Co se týče samostatného podávání zpráv ve významných měnách, jak je upřesňuje čl. 415 odst. 2 nařízení (EU) č. 575/2013, instituce posoudí měnu, v jaké k toku pravděpodobně dojde, a vykáží tuto položku pouze v uvedené významné měně, v souladu s pokyny pro samostatné podávání zpráv o významných měnách v ukazateli krytí likvidity, podle nařízení (EU) 2016/322.</w:t>
            </w:r>
          </w:p>
        </w:tc>
      </w:tr>
      <w:tr w:rsidR="00E05204" w:rsidRPr="0081623B" w14:paraId="73A43F51" w14:textId="77777777" w:rsidTr="00845EB1">
        <w:tc>
          <w:tcPr>
            <w:tcW w:w="990" w:type="dxa"/>
          </w:tcPr>
          <w:p w14:paraId="44D208DA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306" w:type="dxa"/>
          </w:tcPr>
          <w:p w14:paraId="48AA6E4F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Stupeň úvěrové kvality</w:t>
            </w:r>
          </w:p>
          <w:p w14:paraId="692CB839" w14:textId="76307C3A" w:rsidR="00E05204" w:rsidRPr="0081623B" w:rsidRDefault="00966F82" w:rsidP="003E55AB">
            <w:pPr>
              <w:spacing w:before="0"/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souladu s nařízením (EU) č. 575/2013 se přidělí vhodný stupeň úvěrové kvality, který musí být stejný jako u položek vykázaných v tabulce splatností.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Pakliže rating není, přidělí se stupeň „bez ratingu“.</w:t>
            </w:r>
          </w:p>
        </w:tc>
      </w:tr>
      <w:tr w:rsidR="00E05204" w:rsidRPr="0081623B" w14:paraId="2461383F" w14:textId="77777777" w:rsidTr="00845EB1">
        <w:tc>
          <w:tcPr>
            <w:tcW w:w="990" w:type="dxa"/>
          </w:tcPr>
          <w:p w14:paraId="7F1DF3BE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306" w:type="dxa"/>
          </w:tcPr>
          <w:p w14:paraId="3B1CC0D3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Hodnota tržní/nominální</w:t>
            </w:r>
          </w:p>
          <w:p w14:paraId="78CE7B68" w14:textId="7B52544C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Tržní hodnota nebo reálná hodnota aktiv, nebo v příslušných případech nominální hodnota nevyčerpané likviditní linky poskytnuté dané instituci.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81623B" w14:paraId="74EA2D80" w14:textId="77777777" w:rsidTr="00845EB1">
        <w:tc>
          <w:tcPr>
            <w:tcW w:w="990" w:type="dxa"/>
          </w:tcPr>
          <w:p w14:paraId="40B79F48" w14:textId="77777777" w:rsidR="00E05204" w:rsidRPr="0081623B" w:rsidRDefault="00125C48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306" w:type="dxa"/>
          </w:tcPr>
          <w:p w14:paraId="5F665131" w14:textId="77777777" w:rsidR="00E05204" w:rsidRPr="0081623B" w:rsidRDefault="00E05204" w:rsidP="003E55AB">
            <w:pPr>
              <w:spacing w:before="0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Hodnota kolaterálu způsobilého pro CB</w:t>
            </w:r>
          </w:p>
          <w:p w14:paraId="507C4FE8" w14:textId="2078D53B" w:rsidR="00E05204" w:rsidRPr="0081623B" w:rsidRDefault="00E0520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kolaterálu</w:t>
            </w:r>
            <w:r>
              <w:rPr>
                <w:sz w:val="24"/>
                <w:rFonts w:ascii="Times New Roman" w:hAnsi="Times New Roman"/>
              </w:rPr>
              <w:t xml:space="preserve"> v souladu s předpisy centrální banky pro stálé facility vztahující se na jednotlivá aktiva.</w:t>
            </w:r>
          </w:p>
          <w:p w14:paraId="4C124B93" w14:textId="3D1AA419" w:rsidR="00BA0551" w:rsidRPr="0081623B" w:rsidRDefault="00B457F4" w:rsidP="003E55AB">
            <w:pPr>
              <w:spacing w:before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případě aktiv denominovaných v měně uvedené v nařízení (EU) 2015/233 jako měna s velmi úzkou způsobilostí pro centrální banku nechají instituce toto pole prázdné.</w:t>
            </w:r>
          </w:p>
        </w:tc>
      </w:tr>
    </w:tbl>
    <w:p w14:paraId="56E0854E" w14:textId="56990862" w:rsidR="00D02FE4" w:rsidRPr="003E55AB" w:rsidRDefault="00D02FE4" w:rsidP="003E55AB">
      <w:pPr>
        <w:pStyle w:val="InstructionsText"/>
        <w:spacing w:after="120"/>
        <w:rPr>
          <w:rStyle w:val="InstructionsTabelleText"/>
          <w:rFonts w:ascii="Times New Roman" w:hAnsi="Times New Roman"/>
          <w:b/>
          <w:sz w:val="24"/>
        </w:rPr>
      </w:pPr>
    </w:p>
    <w:sectPr w:rsidR="00D02FE4" w:rsidRPr="003E55AB" w:rsidSect="001C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3B7C51CE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6FDDED1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77777777" w:rsidR="00B85053" w:rsidRDefault="00B85053" w:rsidP="00CB367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77777777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31250521"/>
    <w:multiLevelType w:val="hybridMultilevel"/>
    <w:tmpl w:val="DFE4B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136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55AB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38F5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219"/>
    <w:rsid w:val="00672329"/>
    <w:rsid w:val="00672684"/>
    <w:rsid w:val="00672B1B"/>
    <w:rsid w:val="006761DC"/>
    <w:rsid w:val="00680437"/>
    <w:rsid w:val="00680CBC"/>
    <w:rsid w:val="00681960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623B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357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575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11B2"/>
    <w:rsid w:val="00DC139C"/>
    <w:rsid w:val="00DC1D2D"/>
    <w:rsid w:val="00DC20BD"/>
    <w:rsid w:val="00DC29A9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15F5D04F"/>
  <w15:docId w15:val="{499A08ED-D142-4EED-8F03-08BADD85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cs-CZ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cs-CZ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cs-CZ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cs-CZ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cs-CZ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cs-CZ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cs-CZ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cs-CZ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cs-CZ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cs-CZ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cs-CZ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cs-CZ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cs-CZ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cs-CZ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cs-CZ" w:eastAsia="fr-FR"/>
    </w:rPr>
  </w:style>
  <w:style w:type="table" w:styleId="TableGrid">
    <w:name w:val="Table Grid"/>
    <w:basedOn w:val="TableNormal"/>
    <w:uiPriority w:val="59"/>
    <w:rsid w:val="00E05204"/>
    <w:rPr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cs-CZ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6E28-FFB5-480D-AB55-86286DDE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7933F-D78A-4FEC-ABBC-5D609FE7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4806</Characters>
  <Application>Microsoft Office Word</Application>
  <DocSecurity>0</DocSecurity>
  <Lines>114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2014-06-12T12:55:00Z</cp:lastPrinted>
  <dcterms:created xsi:type="dcterms:W3CDTF">2020-10-01T13:01:00Z</dcterms:created>
  <dcterms:modified xsi:type="dcterms:W3CDTF">2020-10-01T14:39:00Z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gFAAXJDLFUo5N7unGP9kUBbqvhLQIJscQnjJY4xD+dGpziffwBYUZ621pbLrBPs/WcwN0tcAGQtHvCFM_x000d_
3T/x091d1AWUwMNDdE/Av0CQqYk2Hg/F4Nh6coUUsSD+Tsg4a5ZJenvs72R3+1eLh12dR8xbcXWv_x000d_
K5+xf2hCyazLXhs9NmyqwQNZRDQ2BALi6j02xnsO2ZBYnEuDLhVHmhIl+CEZ9Mda6DOmAr5HhIA0_x000d_
YnlSqt8jOWdj4Tyg8</vt:lpwstr>
  </property>
  <property fmtid="{D5CDD505-2E9C-101B-9397-08002B2CF9AE}" pid="3" name="MAIL_MSG_ID2">
    <vt:lpwstr>WJ8XpAoQxKdbXxCn1bR9Z6fxKZW95BRMdMhhT7m/8Ejv14Oa89m9ZgLkNVM_x000d_
Ussb5/SdsbiPhKK0JA2MqwXAHnFG/VSBfRjOzA==</vt:lpwstr>
  </property>
  <property fmtid="{D5CDD505-2E9C-101B-9397-08002B2CF9AE}" pid="4" name="RESPONSE_SENDER_NAME">
    <vt:lpwstr>sAAA4E8dREqJqIqQ8043TmSfpK2Y3z+Vu+xReiKSeWwV8v0=</vt:lpwstr>
  </property>
  <property fmtid="{D5CDD505-2E9C-101B-9397-08002B2CF9AE}" pid="5" name="EMAIL_OWNER_ADDRESS">
    <vt:lpwstr>4AAAyjQjm0EOGgLdpxEAuTOStZAPJflHB1hBCjK4hju38YpqEB5SAx5tcA==</vt:lpwstr>
  </property>
  <property fmtid="{D5CDD505-2E9C-101B-9397-08002B2CF9AE}" pid="6" name="_NewReviewCycle">
    <vt:lpwstr/>
  </property>
</Properties>
</file>