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BILAGA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INSTRUKTIONER FÖR RAPPORTERING OM LÖPTIDSMETOD</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5F5F0610" w14:textId="5CA934E2" w:rsidR="002E372A"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508925" w:history="1">
        <w:r w:rsidR="002E372A" w:rsidRPr="005E0E0E">
          <w:rPr>
            <w:rStyle w:val="Hyperlink"/>
            <w:rFonts w:ascii="Times New Roman" w:hAnsi="Times New Roman"/>
            <w:b/>
          </w:rPr>
          <w:t>DEL I: ALLMÄNNA INSTRUKTIONER</w:t>
        </w:r>
        <w:r w:rsidR="002E372A">
          <w:rPr>
            <w:webHidden/>
          </w:rPr>
          <w:tab/>
        </w:r>
        <w:r w:rsidR="002E372A">
          <w:rPr>
            <w:webHidden/>
          </w:rPr>
          <w:fldChar w:fldCharType="begin"/>
        </w:r>
        <w:r w:rsidR="002E372A">
          <w:rPr>
            <w:webHidden/>
          </w:rPr>
          <w:instrText xml:space="preserve"> PAGEREF _Toc58508925 \h </w:instrText>
        </w:r>
        <w:r w:rsidR="002E372A">
          <w:rPr>
            <w:webHidden/>
          </w:rPr>
        </w:r>
        <w:r w:rsidR="002E372A">
          <w:rPr>
            <w:webHidden/>
          </w:rPr>
          <w:fldChar w:fldCharType="separate"/>
        </w:r>
        <w:r w:rsidR="002E372A">
          <w:rPr>
            <w:webHidden/>
          </w:rPr>
          <w:t>2</w:t>
        </w:r>
        <w:r w:rsidR="002E372A">
          <w:rPr>
            <w:webHidden/>
          </w:rPr>
          <w:fldChar w:fldCharType="end"/>
        </w:r>
      </w:hyperlink>
    </w:p>
    <w:p w14:paraId="5B787F55" w14:textId="25061492" w:rsidR="002E372A" w:rsidRDefault="002E372A">
      <w:pPr>
        <w:pStyle w:val="TOC1"/>
        <w:rPr>
          <w:rFonts w:asciiTheme="minorHAnsi" w:eastAsiaTheme="minorEastAsia" w:hAnsiTheme="minorHAnsi" w:cstheme="minorBidi"/>
          <w:color w:val="auto"/>
          <w:sz w:val="22"/>
          <w:szCs w:val="22"/>
          <w:lang w:val="en-US"/>
        </w:rPr>
      </w:pPr>
      <w:hyperlink w:anchor="_Toc58508926" w:history="1">
        <w:r w:rsidRPr="005E0E0E">
          <w:rPr>
            <w:rStyle w:val="Hyperlink"/>
            <w:rFonts w:ascii="Times New Roman" w:hAnsi="Times New Roman"/>
            <w:b/>
          </w:rPr>
          <w:t>DEL II: INSTRUKTIONER FÖR SÄRSKILDA RADER</w:t>
        </w:r>
        <w:r>
          <w:rPr>
            <w:webHidden/>
          </w:rPr>
          <w:tab/>
        </w:r>
        <w:r>
          <w:rPr>
            <w:webHidden/>
          </w:rPr>
          <w:fldChar w:fldCharType="begin"/>
        </w:r>
        <w:r>
          <w:rPr>
            <w:webHidden/>
          </w:rPr>
          <w:instrText xml:space="preserve"> PAGEREF _Toc58508926 \h </w:instrText>
        </w:r>
        <w:r>
          <w:rPr>
            <w:webHidden/>
          </w:rPr>
        </w:r>
        <w:r>
          <w:rPr>
            <w:webHidden/>
          </w:rPr>
          <w:fldChar w:fldCharType="separate"/>
        </w:r>
        <w:r>
          <w:rPr>
            <w:webHidden/>
          </w:rPr>
          <w:t>5</w:t>
        </w:r>
        <w:r>
          <w:rPr>
            <w:webHidden/>
          </w:rPr>
          <w:fldChar w:fldCharType="end"/>
        </w:r>
      </w:hyperlink>
    </w:p>
    <w:p w14:paraId="323DFBA7" w14:textId="0F70399D" w:rsidR="000D338D" w:rsidRPr="001A280E" w:rsidRDefault="00391EF9" w:rsidP="00347FF0">
      <w:pPr>
        <w:pStyle w:val="BodyText1"/>
        <w:rPr>
          <w:rFonts w:ascii="Times New Roman" w:hAnsi="Times New Roman"/>
          <w:sz w:val="24"/>
          <w:szCs w:val="24"/>
        </w:rPr>
      </w:pPr>
      <w:r>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bookmarkStart w:id="0" w:name="_GoBack"/>
      <w:bookmarkEnd w:id="0"/>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508925"/>
      <w:r>
        <w:rPr>
          <w:rFonts w:ascii="Times New Roman" w:hAnsi="Times New Roman"/>
          <w:b/>
          <w:sz w:val="24"/>
          <w:szCs w:val="24"/>
        </w:rPr>
        <w:lastRenderedPageBreak/>
        <w:t>DEL I:</w:t>
      </w:r>
      <w:bookmarkEnd w:id="1"/>
      <w:r>
        <w:rPr>
          <w:rFonts w:ascii="Times New Roman" w:hAnsi="Times New Roman"/>
          <w:b/>
          <w:sz w:val="24"/>
          <w:szCs w:val="24"/>
        </w:rPr>
        <w:t xml:space="preserve"> ALLMÄNNA INSTRUKTIONER</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Institut ska följa instruktionerna i denna bilaga för att visa löptidsobalansen i sin verksamhet i mallen i bilaga XXII (”löptidsmetod”).</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Löptidsmetodsmallen ska omfatta avtalsenliga flöden och villkorade utflöden. Avtalsenliga flöden som till följd av rättsligt bindande avtal och återstående löptid på rapporteringsdatumet ska rapporteras i enlighet med bestämmelserna i dessa avtal.</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Institut ska inte räkna inflöden två gånger.</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I kolumnen ”ingående stock” anges stocken av poster på rapporteringsdatumet.</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Endast de tomma vita cellerna i mallen i bilaga XXII ska fyllas i.</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Under ”Utflöden och inflöden” i löptidsmetodmallen anges framtida avtalsenliga kassaflöden från samtliga poster inom och utanför balansräkningen. Endast ut- och inflöden enligt avtal som var giltiga på rapporteringsdatumet ska rapporteras.</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Under ”Likviditetstäckningskapacitet” i löptidsmetodmallen anges stocken av icke intecknade tillgångar eller andra finansieringskällor som institutet rättsligt och i praktiken har tillgång till på rapporteringsdatumet för att täcka potentiella avtalsunderskott. Endast ut- och inflöden enligt befintliga avtal på rapporteringsdatumet ska rapporteras.</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Kassautflöden och inflöden rapporteras på bruttobasis med positivt tecken under ”utflöden” respektive ”inflöden”. Skulder och fordringar rapporteras under ”utflöden” respektive ”inflöden”.</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Under ”Likviditetstäckningskapacitet” i löptidsmetodmallen rapporteras ut- och inflöden på nettobasis med positivt tecken för inflöden och negativt tecken för utflöden. För kassaflöden anges de belopp som ska betalas. Värdepappersflöden rapporteras till det aktuella marknadsvärdet. När det gäller flöden från kredit- och likviditetslimiter rapporteras tillgängliga belopp enligt avtal.</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Avtalsenliga flöden anges i de tjugotvå tidsintervallen i enlighet med deras återstående löptid, där dagar ska avse kalenderdagar.</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Alla avtalsenliga flöden ska rapporteras, inklusive alla väsentliga kassaflöden från icke-finansiell verksamhet, såsom skatter, bonusar, utdelningar och hyror.</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tab/>
      </w:r>
      <w:r>
        <w:rPr>
          <w:bCs/>
          <w:sz w:val="24"/>
        </w:rPr>
        <w:t>För att se till att institut gör en försiktig beräkning av avtalsenliga löptider för flöden måste de beakta följande:</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tab/>
      </w:r>
      <w:r>
        <w:rPr>
          <w:bCs/>
          <w:sz w:val="24"/>
        </w:rPr>
        <w:t>Om det finns en möjlighet att skjuta upp en betalning eller få en förskottsbetalning ska denna möjlighet antas ha utnyttjats om det skulle tidigarelägga utflöden från institutet eller skjuta upp inflöden till institutet.</w:t>
      </w:r>
    </w:p>
    <w:p w14:paraId="300291EA" w14:textId="77777777" w:rsidR="003A5275" w:rsidRPr="001A280E" w:rsidRDefault="003A5275" w:rsidP="00746E56">
      <w:pPr>
        <w:pStyle w:val="InstructionsText2"/>
        <w:ind w:left="1440" w:hanging="360"/>
        <w:rPr>
          <w:rFonts w:eastAsia="Times New Roman"/>
          <w:bCs/>
          <w:sz w:val="24"/>
        </w:rPr>
      </w:pPr>
      <w:r>
        <w:rPr>
          <w:bCs/>
          <w:sz w:val="24"/>
        </w:rPr>
        <w:lastRenderedPageBreak/>
        <w:t>(b)</w:t>
      </w:r>
      <w:r>
        <w:tab/>
      </w:r>
      <w:r>
        <w:rPr>
          <w:bCs/>
          <w:sz w:val="24"/>
        </w:rPr>
        <w:t>Om möjligheten att tidigarelägga utflöden från institutet enbart kan utnyttjas av institutet ska denna möjlighet endast antas ha utnyttjats om det finns en marknadsförväntan om att institutet kommer att göra detta. Möjligheten ska antas inte ha utnyttjats om den skulle tidigarelägga inflöden till institutet eller senarelägga utflöden från institutet. Kassautflöden som enligt avtal skulle uppstå genom detta inflöde – som till exempel vid pass through-finansiering – ska rapporteras samma datum som inflödet.</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All avistainlåning och inlåning utan avtalad löptid ska rapporteras som inlåning över natten i kolumn 020.</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Öppna eller omvända repor och liknande transaktioner som kan avslutas av någondera parten vilken dag som helst ska anses ha löptid över natten, såvida inte uppsägningstiden är längre än en dag. I så fall ska de rapporteras i relevant tidsintervall utifrån uppsägningstiden.</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Tidsbunden inlåning från allmänheten där det finns en möjlighet till förtida uttag ska anses förfalla under den period då förtida uttag inte skulle leda till en straffavgift i enlighet med artikel 25.4 b i förordning (EU) 2015/61.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Om institutet inte kan fastställa den kortaste avtalade betalningsplanen för en viss post eller del av en post genom att följa reglerna i denna punkt ska det rapportera posten eller delen av posten som mer än 5 år i kolumn 220.</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Ränteutflöden och ränteinflöden från alla instrument inom och utanför balansräkningen ska inkluderas i alla relevanta poster under ”utflöden” och ”inflöden”.</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För valutaswappar som förfaller ska det nominella värdet hos valutaränteswappar (cross-currency swaps), valutaterminer och icke avvecklade valutaspotavtal anges i tillämpliga tidsintervall i mallen.</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Kassaflöden från ej avvecklade transaktioner ska under den korta period som föregår avveckling rapporteras i lämpliga rader och tidsintervall.</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För poster där institutet inte har någon verksamhet, t.ex. om det inte har en viss kategori inlåning, ska cellen lämnas tom.</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tab/>
      </w:r>
      <w:r>
        <w:rPr>
          <w:bCs/>
          <w:sz w:val="24"/>
        </w:rPr>
        <w:t>Poster som förfallit till betalning och poster där institutet har anledning att förvänta sig betalningsunderlåtenhet ska inte rapporteras.</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Om den säkerhet som ställs återpantsätts i en transaktion som förfaller efter den transaktion i vilken institutet mottog säkerheten ska ett utflöde av värdepapper motsvarande det verkliga värdet av den mottagna säkerheten rapporteras under ”Likviditetstäckningskapacitet” i den relevanta gruppen utifrån förfallodagen för den transaktion som ledde till att säkerheten ställdes.</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Gruppinterna poster ska inte påverka rapporteringen på gruppnivå.</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508926"/>
      <w:r>
        <w:rPr>
          <w:rFonts w:ascii="Times New Roman" w:hAnsi="Times New Roman"/>
          <w:b/>
          <w:sz w:val="24"/>
          <w:szCs w:val="24"/>
        </w:rPr>
        <w:lastRenderedPageBreak/>
        <w:t>DEL II: INSTRUKTIONER FÖR SÄRSKILDA RADER</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Rad</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Rättsliga hänvisningar och instruktioner</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 till</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UTFLÖDEN</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Det totala kassautflödet ska rapporteras i följande underkategorier:</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Skulder till följd av emitterade värdepapper</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Kassautflöde knutet till räntebärande värdepapper emitterade av det rapporterande institutet, det vill säga egna emissioner.</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icke säkerställda obligationer som förfallit</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Kassautflöde knutet till emitterade värdepapper som rapporteras i rad 010 och som är icke säkerställda skuldinstrument som det rapporterande institutet har emitterat till tredje parter.</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reglerade säkerställda obligationer</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Kassautflöde knutet till emitterade värdepapper som rapporteras i rad 010 och som är obligationer som uppfyller villkoren för behandling enligt artikel 129.4 eller 129.5 i förordning (EU) nr 575/2013 eller artikel 52.4 i direktiv 2009/65/EG.</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värdepapperiseringar som förfallit</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Kassautflöde knutet till emitterade värdepapper som rapporteras i rad 010 och som är värdepapperiseringstransaktioner med tredje parter, i enlighet med artikel 4.1.61 i förordning (EU) nr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övrigt</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Kassautflöde knutet till andra emitterade värdepapper som rapporteras i rad 010, som inte rapporteras i ovannämnda underkategorier.</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Skulder från utlåning mot säkerhet och kapitalmarknadsrelaterade transaktioner, med säkerhet i:</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Summan av alla kassautflöden från utlåning mot säkerhet och kapitalmarknadsrelaterade transaktioner enligt definitionen i artikel 192 i förordning (EU) nr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Instituten ska endast rapportera kassaflöden. Flöden av värdepapper med avseende på utlåning mot säkerhet och kapitalmarknadsrelaterade </w:t>
            </w:r>
            <w:r>
              <w:rPr>
                <w:rFonts w:ascii="Times New Roman" w:hAnsi="Times New Roman"/>
                <w:sz w:val="24"/>
                <w:szCs w:val="24"/>
              </w:rPr>
              <w:lastRenderedPageBreak/>
              <w:t>transaktioner ska rapporteras i avsnittet om likviditetstäckningskapacitet.</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Nivå 1 omsättbara tillgångar</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070 med säkerhet i omsättbara tillgångar som skulle uppfylla kraven i artiklarna 7, 8 och 10 i delegerad förordning (EU) 2015/61 om de inte användes som säkerhet för transaktionen i fråga.</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Aktier eller andelar i fonder i enlighet med artikel 15 i delegerad förordning (EU) 2015/61 som uppfyller kraven för nivå 1-tillgångar ska rapporteras i nedanstående underkategorier som motsvarar deras underliggande tillgångar.</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Nivå 1 exklusive säkerställda obligationer</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070 med säkerhet i tillgångar som inte är säkerställda obligationer.</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Nivå 1 centralbank</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080 med säkerhet i tillgångar som utgör fordringar på eller som garanteras av centralbanker.</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Nivå 1 (kreditkvalitetssteg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080, som inte rapporteras i rad 090, med säkerhet i tillgångar som utgör fordringar på eller garanteras av en emittent eller garantigivare som tilldelats kreditkvalitetssteg 1 av ett utsett externt kreditvärderingsinstitut.</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Nivå 1 (kreditkvalitetssteg 2 och 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080, som inte rapporteras i rad 090, med säkerhet i tillgångar som utgör fordringar på eller garanteras av en emittent eller garantigivare som tilldelats kreditkvalitetssteg 2 eller 3 av ett utsett externt kreditvärderingsinstitut.</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Nivå 1 (kreditkvalitetssteg 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080, som inte rapporteras i rad 090, med säkerhet i tillgångar som utgör fordringar på eller garanteras av en emittent eller garantigivare som tilldelats kreditkvalitetssteg 4 eller sämre av ett utsett externt kreditvärderingsinstitut.</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Nivå 1 säkerställda obligationer (kreditkvalitetssteg 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lastRenderedPageBreak/>
              <w:t xml:space="preserve">Det kassautflöde som rapporteras i rad 070 med säkerhet i tillgångar som är säkerställda obligationer.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enlighet med artikel 10.1 f i delegerad förordning (EU) 2015/61 är bara säkerställda obligationer i kreditkvalitetssteg 1 godtagbara som nivå 1-tillgångar.</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Nivå 2A omsättbara tillgångar</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060 med säkerhet i omsättbara tillgångar som skulle uppfylla kraven i artiklarna 7, 8 och 11 i delegerad förordning (EU) 2015/61 om de inte användes som säkerhet för transaktionen i fråga.</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Aktier eller andelar i fonder i enlighet med artikel 15 i delegerad förordning (EU) 2015/61 som uppfyller kraven för nivå 2A-tillgångar ska rapporteras i nedanstående underkategorier som motsvarar deras underliggande tillgångar.</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Nivå 2A företagsobligationer (kreditkvalitetssteg 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140 med säkerhet i företagsobligationer som tilldelats kreditkvalitetssteg 1 av ett utsett externt kreditvärderingsinstitut.</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Nivå 2A säkerställda obligationer (kreditkvalitetssteg 1 och 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140 med säkerhet i säkerställda obligationer som tilldelats kreditkvalitetssteg 1 eller 2 av ett utsett externt kreditvärderingsinstitut.</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Nivå 2A offentlig sektor (kreditkvalitetssteg 1 och 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Det kassautflöde som rapporteras i rad 140 med säkerhet i tillgångar som utgör fordringar på eller som garanteras av nationella regeringar, centralbanker, delstatliga och lokala självstyrelseorgan eller offentliga organ.</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enlighet med artikel 11.1 a och b i delegerad förordning (EU) 2015/61 ska alla tillgångar som utgör fordringar på offentlig sektor ha tilldelats antingen kreditkvalitetssteg 1 eller 2 för att vara godtagbara som nivå 2A-tillgångar.</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Nivå 2B omsättbara tillgångar</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 xml:space="preserve">Det kassautflöde som rapporteras i rad 060 med säkerhet i omsättbara tillgångar som skulle uppfylla kraven i artiklarna 7, 8 och 12 eller 13 i delegerad förordning (EU) 2015/61 om de inte användes som säkerhet för </w:t>
            </w:r>
            <w:r>
              <w:rPr>
                <w:rFonts w:ascii="Times New Roman" w:hAnsi="Times New Roman"/>
                <w:color w:val="auto"/>
                <w:sz w:val="24"/>
                <w:szCs w:val="24"/>
              </w:rPr>
              <w:lastRenderedPageBreak/>
              <w:t>transaktionen i fråga.</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Aktier eller andelar i fonder i enlighet med artikel 15 i delegerad förordning (EU) 2015/61 som uppfyller kraven för nivå 2B-tillgångar ska rapporteras i nedanstående underkategorier som motsvarar deras underliggande tillgångar.</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Nivå 2B tillgångssäkrade värdepapper (ABS) (kreditkvalitetssteg 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Det kassautflöde som rapporteras i rad 180 med säkerhet i tillgångssäkrade värdepapper, inklusive värdepapper säkrade med panträtt i bostadsfastigheter (RMBS).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I enlighet med artikel 13.2 a i delegerad förordning (EU) 2015/61 ska alla tillgångssäkrade värdepapper ha tilldelats kreditkvalitetssteg 1 för att vara godtagbara som nivå 2B-tillgångar.</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Nivå 2B säkerställda obligationer (kreditkvalitetssteg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180 med säkerhet i säkerställda obligationer.</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Nivå 2B företagsobligationer (kreditkvalitetssteg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180 med säkerhet i företagsobligationer.</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Nivå 2B aktier</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180 med säkerhet i aktier.</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Nivå 2B offentlig sektor (kreditkvalitetssteg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180 med säkerhet i nivå 2B-tillgångar som inte rapporteras i raderna 190–220.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Övriga omsättbara tillgångar</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060 med säkerhet i omsättbara tillgångar som inte rapporteras i raderna 070, 140 eller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Övriga tillgångar</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060 med säkerhet i tillgångar som inte rapporteras i raderna 070, 140, 180 eller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Skulder, som inte rapporteras i 1.2, till följd av mottagen inlåning exklusive inlåning som mottagits som säkerhet</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Kassautflöde till följd av all mottagen inlåning med undantag för utflöde som rapporteras i rad 060 och inlåning som mottas som säkerhet.</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Kassautflöde till följd av derivattransaktioner ska rapporteras i rad 350 eller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Inlåning ska rapporteras i enlighet med tidigaste möjliga förfallodag enligt avtal. Inlåning som kan tas ut direkt utan uppsägning (”avistainlåning”) eller inlåning utan avtalad löptid ska rapporteras i intervallet ”över natten”.</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stabil inlåning från allmänheten</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Det kassautflöde till följd av inlåning från allmänheten i enlighet med artikel 3.8 och artikel 24 i delegerad förordning (EU) 2015/61 som rapporteras i rad 260.</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övrig inlåning från allmänheten</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kassautflöde till följd av inlåning från allmänheten i enlighet med artikel 3.8 i delegerad förordning (EU) 2015/61 som rapporteras i rad 260 och som inte rapporteras i rad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operativ inlåning</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kassautflöde till följd av operativ inlåning i enlighet med artikel 27 i delegerad förordning (EU) 2015/61 som rapporteras i rad 260.</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icke-operativ inlåning från kreditinstitut</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kassautflöde till följd av inlåning från kreditinstitut som rapporteras i rad 260 och som inte rapporteras i rad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icke-operativ inlåning från andra finansiella kunder</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kassautflöde till följd av inlåning från finansiella kunder som rapporteras i rad 260 och som inte rapporteras i rad 290 och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icke-operativ inlåning från centralbanker</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260 och som är en följd av icke-operativ inlåning från centralbanker.</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icke-operativ inlåning från icke-finansiella företag</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260 och som är en följd av icke-operativ inlåning från icke-finansiella företag.</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icke-operativ inlåning från andra motparter</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kassautflöde som rapporteras i rad 260 som är en följd av inlåning som inte rapporteras i raderna 270–330.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Valutaswappar som förfaller</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Totalt kassautflöde till följd av att valutaswapptransaktioner förfaller, t.ex. genom utbyte av kapitalbelopp när kontraktet löper ut.</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Derivatskulder, utom de som rapporteras i 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Totalt kassautflöde till följd av derivatskulder enligt de avtal som förtecknas i bilaga II till förordning (EU) nr 575/2013, med undantag för utflöden till följd av valutaswappar som förfaller, vilka ska rapporteras i rad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Totalbeloppet ska visa avvecklingsbelopp inklusive ej avvecklade marginalsäkerheter på rapporteringsdatumet.</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Totalbeloppet ska vara summan av (1) och (2) för de olika tidsintervallen enligt följande:</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Flöden av kontanter och värdepapper knutna till derivat, för vilka det finns ett avtal om säkerheter som kräver att det ställs fullständiga eller tillräckliga säkerheter för motpartsexponeringar, ska inte rapporteras i löptidsmetodmallarna. Flöden av kontanter, värdepapper, kontantsäkerheter och säkerheter i form av värdepapper med anknytning till dessa derivat ska inte rapporteras i mallarna. Stockar av säkerheter i form av kontanter och värdepapper som redan har mottagits eller ställts i samband med säkrade derivat ska inte inkluderas i stockkolumnen i avsnitt 3 av löptidsmetodmallen om likviditetstäckningskapacitet, med undantag för flöden av kontanter och värdepapper i samband med krav på marginalsäkerheter (”flöden av kontanta säkerheter eller säkerheter i form av värdepapper”) som ska betalas men ännu inte har avvecklats. De sistnämnda ska rapporteras på rad 1.5 ”kassautflöde till följd av derivat” respektive 2.4 ”kassainflöde till följd av derivat” om de avser kontanta säkerheter och i avsnitt 3 om likviditetstäckningskapacitet om de avser säkerheter i form av värdepapper.</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 xml:space="preserve">För in- och utflöden av kontanter och värdepapper knutna till derivat, för vilka det inte finns något avtal om säkerhet (eller där det bara krävs delvis </w:t>
            </w:r>
            <w:r>
              <w:rPr>
                <w:rFonts w:ascii="Times New Roman" w:hAnsi="Times New Roman"/>
                <w:sz w:val="24"/>
                <w:szCs w:val="24"/>
              </w:rPr>
              <w:lastRenderedPageBreak/>
              <w:t>säkerhet), ska åtskillnad göras mellan avtal med optionalitet och andra kontrakt:</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Flöden knutna till optionsliknande derivat ska bara inkluderas om lösenpriset är lägre än marknadspriset för en köpoption eller över marknadspriset för en säljoption (”in the money”). Ett närmevärde för dessa flöden ska fastställas genom att</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avtalets marknadsvärde eller nettonuvärde anges som inflöde på rad 2.4 ”kassainflöde derivat” i löptidsmetodmallen på den dag banken senast har rätt att utnyttja optionen,</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avtalets marknadsvärde eller nettonuvärde anges som utflöde på rad 1.5 ”kassautflöde derivat” i löptidsmetodmallen på den dag banken tidigast har rätt att utnyttja optionen.</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(b) Flöden knutna till andra avtal än de som avses i led a ska inkluderas genom beräkning av avtalsenliga kassaflöden på bruttobasis för respektive tidsintervall på raderna 1.5 ”kassautflöden från derivat” och 2.4 ”kassainflöden från derivat” och de avtalsenliga flödena från likvida värdepapper i löptidsmetodmallens avsnitt om likviditetstäckningskapacitet, med hjälp av aktuella marknadsimplicita terminskurser på rapporteringsdatumet om beloppen ännu inte är fastställda.</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Övriga utflöden</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Alla andra kassautflöden, totalt, som inte rapporteras i raderna 010, 060, 260, 350 eller 360. Villkorade utflöden ska inte rapporteras här.</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Summa utflöden</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Summan av de utflöden som rapporteras i raderna 010, 060, 260, 350, 360 och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 till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INFLÖDEN</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Förfallna belopp från utlåning mot säkerhet och kapitalmarknadsrelaterade transaktioner, med säkerhet i:</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Summan av alla kassainflöden från utlåning mot säkerhet och kapitalmarknadsrelaterade transaktioner enligt definition i artikel 192 i förordning (EU) nr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Här rapporteras endast kassaflöden. Värdepappersflöden knutna till utlåning mot säkerhet och kapitalmarknadsrelaterade transaktioner </w:t>
            </w:r>
            <w:r>
              <w:rPr>
                <w:rFonts w:ascii="Times New Roman" w:hAnsi="Times New Roman"/>
                <w:sz w:val="24"/>
                <w:szCs w:val="24"/>
              </w:rPr>
              <w:lastRenderedPageBreak/>
              <w:t>rapporteras i avsnittet om ”Likviditetstäckningskapacitet”.</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Nivå 1 omsättbara tillgångar</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390 med säkerhet i omsättbara tillgångar i enlighet med artiklarna 7, 8 och 10 i delegerad förordning (EU)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Aktier eller andelar i fonder i enlighet med artikel 15 i delegerad förordning (EU) 2015/61 som uppfyller kraven för nivå 1-tillgångar ska rapporteras i nedanstående underkategorier som motsvarar deras underliggande tillgångar.</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Nivå 1 exklusive säkerställda obligationer</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400 med säkerhet i tillgångar som inte är säkerställda obligationer.</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Nivå 1 centralbank</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410 med säkerhet i tillgångar som utgör fordringar på eller som garanteras av centralbanker.</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Nivå 1 (kreditkvalitetssteg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410, som inte rapporteras i rad 420, med säkerhet i tillgångar som utgör fordringar på eller garanteras av en emittent eller garantigivare som tilldelats kreditkvalitetssteg 1 av ett utsett externt kreditvärderingsinstitut.</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Nivå 1 (kreditkvalitetssteg 2 och 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410, som inte rapporteras i rad 420, med säkerhet i tillgångar som utgör fordringar på eller garanteras av en emittent eller garantigivare som tilldelats kreditkvalitetssteg 2 eller 3 av ett utsett externt kreditvärderingsinstitut.</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Nivå 1 (kreditkvalitetssteg 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410, som inte rapporteras i rad 420, med säkerhet i tillgångar som utgör fordringar på eller garanteras av en emittent eller garantigivare som tilldelats kreditkvalitetssteg 4 eller sämre av ett utsett externt kreditvärderingsinstitut.</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Nivå 1 säkerställda obligationer (kreditkvalitetssteg 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lastRenderedPageBreak/>
              <w:t xml:space="preserve">Det kassainflöde som rapporteras i rad 400 med säkerhet i tillgångar som är säkerställda obligationer.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enlighet med artikel 10.1 f i delegerad förordning (EU) 2015/61 är bara säkerställda obligationer i kreditkvalitetssteg 1 godtagbara som nivå 1-tillgångar.</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Nivå 2A omsättbara tillgångar</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390 med säkerhet i omsättbara tillgångar i enlighet med artiklarna 7, 8 och 11 i delegerad förordning (EU)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Aktier eller andelar i fonder i enlighet med artikel 15 i delegerad förordning (EU) 2015/61 som uppfyller kraven för nivå 2A-tillgångar ska rapporteras i nedanstående underkategorier som motsvarar deras underliggande tillgångar.</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Nivå 2A företagsobligationer (kreditkvalitetssteg 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470 med säkerhet i företagsobligationer som tilldelats kreditkvalitetssteg 1 av ett utsett externt kreditvärderingsinstitut.</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Nivå 2A säkerställda obligationer (kreditkvalitetssteg 1 och 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470 med säkerhet i säkerställda obligationer som tilldelats kreditkvalitetssteg 1 eller 2 av ett utsett externt kreditvärderingsinstitut.</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Nivå 2A offentlig sektor (kreditkvalitetssteg 1 och 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Det kassainflöde som rapporteras i rad 470 med säkerhet i tillgångar som utgör fordringar på eller som garanteras av nationella regeringar, centralbanker, delstatliga och lokala självstyrelseorgan eller offentliga organ.</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enlighet med artikel 11.1 a och b i delegerad förordning (EU) 2015/61 ska alla tillgångar som utgör fordringar på offentlig sektor ha tilldelats antingen kreditkvalitetssteg 1 eller 2 för att vara godtagbara som nivå 2A-tillgångar.</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Nivå 2B omsättbara tillgångar</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390 med säkerhet i omsättbara tillgångar i enlighet med artiklarna 7, 8 och 12 eller 13 i delegerad förordning (EU)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Aktier eller andelar i fonder i enlighet med artikel 15 i delegerad förordning (EU) 2015/61 som uppfyller kraven för nivå 2B-tillgångar ska rapporteras i nedanstående underkategorier som motsvarar deras underliggande tillgångar.</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Nivå 2B tillgångssäkrade värdepapper (ABS) (kreditkvalitetssteg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510 med säkerhet i tillgångssäkrade värdepapper, inklusive värdepapper säkrade med panträtt i bostadsfastigheter (RMBS).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Nivå 2B säkerställda obligationer (kreditkvalitetssteg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510 med säkerhet i säkerställda obligationer.</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Nivå 2B företagsobligationer (kreditkvalitetssteg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510 med säkerhet i företagsobligationer.</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Nivå 2B aktier</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510 med säkerhet i aktier.</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Nivå 2B offentlig sektor (kreditkvalitetssteg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510 med säkerhet i nivå 2B-tillgångar som inte rapporteras i raderna 520–550.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Övriga omsättbara tillgångar</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390 med säkerhet i omsättbara tillgångar som inte rapporteras i raderna 400, 470 eller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Övriga tillgångar</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som rapporteras i rad 390 med säkerhet i tillgångar som inte rapporteras i raderna 400, 470, 510 eller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Förfallna belopp, som inte rapporteras i post 2.1, från lån och förskott som beviljats:</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Kassainflöde från lån och förskott.</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Kassainflödet ska rapporteras för det senaste återbetalningsdatumet enligt </w:t>
            </w:r>
            <w:r>
              <w:rPr>
                <w:rFonts w:ascii="Times New Roman" w:hAnsi="Times New Roman"/>
                <w:sz w:val="24"/>
                <w:szCs w:val="24"/>
              </w:rPr>
              <w:lastRenderedPageBreak/>
              <w:t>avtalet. För rullande avtal ska det befintliga lånet antas förnyas och eventuella tillgodohavanden behandlas som beviljade faciliteter.</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allmänheten</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från fysiska personer eller små och medelstora företag i enlighet med artikel 3.8 i delegerad förordning (EU) 2015/61 som rapporteras i rad 590.</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icke-finansiella företag</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från icke-finansiella företag som rapporteras i rad 590.</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kreditinstitut</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från kreditinstitut som rapporteras i rad 590.</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andra finansiella kunder</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från finansiella kunder i enlighet med artikel 3.9 i delegerad förordning (EU) 2015/61 som rapporteras i rad 590 och som inte rapporteras i rad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centralbanker</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från centralbanker som rapporteras i rad 590.</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andra motparter</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kassainflöde från andra motparter än de i 2.2.1–2.2.5 som rapporteras i rad 590.</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Valutaswappar som förfaller</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Totala avtalsenliga kassainflöden knutna till valutaswapptransaktioner, t.ex. utväxling av kapitalbelopp när avtalet löper ut.</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nominella värdet av valutaränteswappar (cross-currency swaps), valutaspotavtal och valutaterminer anges i tillämpliga tidsintervall i mallen.</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Derivatfordringar, utom de som rapporteras i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 xml:space="preserve">Totala avtalsenliga kassainflöden från derivatfordringar enligt de avtal som förtecknas i bilaga II till förordning (EU) nr 575/2013, med undantag för inflöden knutna till valutaswappar som förfaller, vilka ska rapporteras i </w:t>
            </w:r>
            <w:r>
              <w:rPr>
                <w:rFonts w:ascii="Times New Roman" w:hAnsi="Times New Roman"/>
                <w:sz w:val="24"/>
                <w:szCs w:val="24"/>
              </w:rPr>
              <w:lastRenderedPageBreak/>
              <w:t>post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Totalbeloppet ska inkludera avvecklingsbelopp inklusive oreglerade marginalsäkerhetskrav på rapporteringsdatumet.</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Totalbeloppet ska vara summan av (1) och (2) för de olika tidsintervallen enligt följande:</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Flöden av kontanter och värdepapper knutna till derivat, för vilka det finns ett avtal om säkerheter som kräver att det ställs fullständiga eller tillräckliga säkerheter för motpartsexponeringar, ska inte rapporteras i löptidsmetodmallen. Flöden av kontanter, värdepapper, kontantsäkerheter och säkerheter i form av värdepapper med anknytning till dessa derivat ska inte rapporteras i mallen. Stockar av säkerheter i form av likvida medel och värdepapper som redan har mottagits eller ställts i samband med säkrade derivat ska inte inkluderas i stockkolumnen i avsnitt 3 av löptidsmetodmallen om likviditetstäckningskapacitet, med undantag för flöden av likvida medel och värdepapper i samband med krav på marginalsäkerheter som ska betalas men ännu inte har avvecklats. De sistnämnda ska rapporteras på rad 1.5 ”derivatkassautflöden” respektive 2.4 ”derivatkassainflöden” i löptidsmetodmallen om de avser kontanta säkerheter och i avsnitt 3 om likviditetstäckningskapacitet om de avser säkerhet i form av värdepapper.</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För in- och utflöden av kontanter och värdepapper knutna till derivat, för vilka det inte finns något avtal om säkerhet (eller där det bara krävs delvis säkerhet), ska åtskillnad göras mellan avtal med optionalitet och andra kontrakt:</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Flöden knutna till optionsliknande derivat ska bara inkluderas om lösenpriset är högre än marknadspriset för en säljoption (in the money). Ett närmevärde för dessa flöden ska fastställas genom att</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avtalets marknadsvärde eller nettonuvärde anges som inflöde på rad 2.4 ”kassainflöde derivat” i löptidsmetodmallen på den dag banken senast har rätt att utnyttja optionen,</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avtalets marknadsvärde eller nettonuvärde anges som utflöde på rad 1.5 ”kassautflöde derivat” i löptidsmetodmallen på den dag banken tidigast har rätt att utnyttja optionen.</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 xml:space="preserve">Flöden knutna till andra avtal än de som avses i led a ska inkluderas genom beräkning av avtalsenliga kassaflöden på bruttobasis för respektive tidsintervall på raderna 1.5 ”kassautflöden från derivat” och 2.4 ”kassainflöden från derivat” och de avtalsenliga flödena från värdepapper i löptidsmetodmallens avsnitt om likviditetstäckningskapacitet, med hjälp av aktuella marknadsimplicita terminskurser på rapporteringsdatumet om </w:t>
            </w:r>
            <w:r>
              <w:rPr>
                <w:rFonts w:ascii="Times New Roman" w:hAnsi="Times New Roman"/>
                <w:sz w:val="24"/>
                <w:szCs w:val="24"/>
              </w:rPr>
              <w:lastRenderedPageBreak/>
              <w:t>beloppen ännu inte är fastställda.</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Värdepapper i den egna portföljen som förfaller</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Inflöden som avser återbetalning av kapitalbeloppet för egna investeringar i obligationer, rapporterade utifrån återstående avtalade löptid.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Denna post ska inkludera kassainflöde från värdepapper som förfaller som rapporteras under ”likviditetstäckningskapacitet”. När ett värdepapper förfaller ska detta därför rapporteras som ett värdepappersutflöde under ”likviditetstäckningskapacitet” och följaktligen som ett inflöde här.</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Övriga inflöden</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Alla andra kassainflöden, totalt, som inte rapporteras i raderna 390, 590, 660, 670 eller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Villkorade inflöden ska inte rapporteras här.</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Summa inflöden</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Summan av inflöden som rapporteras i raderna 390, 590, 660, 670, 680 och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Nettoavtalsunderskott</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 totala inflöden som rapporteras i rad 700 minus de totala utflöden som rapporteras i rad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Ackumulerat nettoavtalsunderskott</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ackumulerade nettoavtalsunderskottet från rapporteringsdatumet till det relevanta tidsintervallets övre gräns.</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LIKVIDITETSTÄCKNINGSKAPACITET</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Under ”Likviditetstäckningskapacitet” i löptidsmetodmallen ska lämnas information om institutets innehav av tillgångar med olika grader av likviditet, bl.a. omsättbara tillgångar och tillgångar som godtas som säkerhet av centralbanker, samt om faciliteter som beviljats institutet enligt avtal.</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Rapportering på gruppnivå av tillgångar som godtas som säkerhet av centralbanker ska ske enligt de regler för sådan godtagbarhet som är tillämpliga på varje konsoliderat institut i den jurisdiktion där institutet är registrerat.</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lastRenderedPageBreak/>
              <w:t>Om likviditetstäckningskapaciteten avser omsättbara tillgångar ska institut</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rapportera omsättbara tillgångar som handlas på stora, djupa och aktiva repo- eller kontantmarknader som kännetecknas av en låg koncentrationsgrad.</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Tillgångar som rapporteras i kolumnerna om likviditetstäckningskapacitet ska endast inkludera ej intecknade tillgångar som institutet när som helst kan omvandla till kontanter för att täcka avtalsunderskottet mellan kassainflöde och kassautflöde under perioden. Definitionen av intecknade tillgångar i kommissionens delegerade förordning (EU) 2015/61 ska gälla. Tillgångarna får inte användas som kreditförstärkningar i strukturerade transaktioner eller för att täcka driftskostnader (t.ex. hyror och löner) och ska endast förvaltas i syfte att användas som reservkapital.</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Tillgångar som institutet har mottagit som säkerhet i samband med omvända repor och transaktioner för värdepappersfinansiering kan anses ingå i likviditetstäckningskapaciteten om de hålls av institutet, inte har återpantsatts samt rättsligt och avtalsenligt är tillgängliga för institutet.</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För att undvika dubbel rapportering ska, om institutet rapporterar tillgångar som redan ställts som säkerhet i posterna 3.1–3.7, dessa faciliteteters relaterade kapacitet inte rapporteras i post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Institut ska rapportera tillgångar som ingående stock i kolumn 010 om de överensstämmer med beskrivningen på en rad och är tillgängliga på rapporteringsdatumet.</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Kolumnerna 020–220 ska innehålla avtalsenliga flöden i likviditetstäckningskapaciteten. Om ett institut har gjort en repotransaktion ska den tillgång som var föremål för transaktionen föras upp på nytt som ett värdepappersinflöde i det löptidsintervall då repotransaktionen förfaller. På motsvarande sätt ska kassautflödet till följd av den repotransaktion som förfaller rapporteras i relevant kassautflödesintervall i post 1.2. Om ett institut har gjort en omvänd repotransaktion ska den tillgång som var föremål för transaktionen redovisas på nytt som ett värdepappersutflöde i det löptidsintervall då repotransaktionen förfaller. På motsvarande sätt ska kassainflödet till följd av den repotransaktion som förfaller rapporteras i relevant kassainflödesintervall i post 2.1. Likviditetsswappar ska rapporteras som avtalsenliga in- och utflöden av värdepapper i avsnittet om likviditetstäckningskapacitet i den löptidsintervall inom vilken dessa swappar förfaller.</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Förändringar av avtalsenligt tillgängliga kredit- och likviditetslimiter som rapporteras i post 3.8 ska rapporteras som ett flöde i relevant tidsintervall. Om institutet har inlåning över natten hos en centralbank ska inlåningsbeloppet vidare rapporteras som ingående stock i post 3.2 och som kassautflöde i löptidsintervallet ”över natten” för denna post. Det </w:t>
            </w:r>
            <w:r>
              <w:rPr>
                <w:rFonts w:ascii="Times New Roman" w:hAnsi="Times New Roman"/>
                <w:sz w:val="24"/>
                <w:szCs w:val="24"/>
              </w:rPr>
              <w:lastRenderedPageBreak/>
              <w:t>kassainflöde som uppstår ska på motsvarande sätt rapporteras i post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Värdepapper i likviditetsreserven som förfaller ska rapporteras utifrån avtalsenlig löptid. Ett värdepapper som förfaller ska tas bort från den tillgångskategori det ursprungligen rapporterades i, det ska behandlas som ett utflöde av värdepapper, och det kassainflöde som uppstår ska rapporteras i post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Alla värdepappersvärden ska rapporteras till aktuella marknadsvärden i relevanta intervall.</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Endast belopp som är avtalsenligt tillgängliga ska rapporteras i post 3.8.</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För att undvika dubbel rapportering ska kassainflöden inte redovisas i posterna 3.1 eller 3.2 i avsnittet om likviditetstäckningskapacitet.</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Posterna i avsnittet om likviditetstäckningskapacitet ska rapporteras i följande underkategorier:</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Sedlar och mynt</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Kontanta medel i form av sedlar och mynt, totalt.</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Uttagbara centralbanksreserver</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Totala reserver hos centralbanker i enlighet med artikel 10.1 b iii i delegerad förordning (EU) 2015/61 som kan tas ut senast nästa dag.</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Värdepapper som utgör fordringar på eller som garanteras av centralbanker ska inte rapporteras här.</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Nivå 1 omsättbara tillgångar</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Marknadsvärdet på omsättbara tillgångar i enlighet med artiklarna 7, 8 och 10 i delegerad förordning (EU)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Aktier eller andelar i fonder i enlighet med artikel 15 i delegerad förordning (EU) 2015/61 som uppfyller kraven för nivå 1-tillgångar ska rapporteras i nedanstående underkategorier som motsvarar deras underliggande tillgångar.</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Nivå 1 exklusive säkerställda obligationer</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belopp som rapporteras i rad 750 och inte avser säkerställda obligationer.</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Nivå 1 centralbank</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Det belopp som rapporteras i rad 760 och som representerar fordringar på eller som garanteras av centralbanker.</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Nivå 1 (kreditkvalitetssteg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belopp som rapporteras i rad 760, utom det som rapporteras i rad 770, och som avser tillgångar som utgör fordringar på eller garanteras av en emittent eller garantigivare som tilldelats kreditkvalitetssteg 1 av ett utsett externt kreditvärderingsinstitut.</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Nivå 1 (kreditkvalitetssteg 2 och 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belopp som rapporteras i rad 760, utom det som rapporteras i post rad 770, och som avser tillgångar som utgör fordringar på eller garanteras av en emittent eller garantigivare som tilldelats kreditkvalitetssteg 2 eller 3 av ett utsett externt kreditvärderingsinstitut.</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Nivå 1 (kreditkvalitetssteg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belopp som rapporteras i rad 760, utom det som rapporteras i post rad 770, och som avser tillgångar som utgör fordringar på eller garanteras av en emittent eller garantigivare som tilldelats kreditkvalitetssteg 4 eller sämre av ett utsett externt kreditvärderingsinstitut.</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Nivå 1 säkerställda obligationer (kreditkvalitetssteg 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Det belopp som rapporteras i rad 750 och som avser säkerställda obligationer.</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enlighet med artikel 10.1 f i delegerad förordning (EU) 2015/61 är bara säkerställda obligationer i kreditkvalitetssteg 1 godtagbara som nivå 1-tillgångar.</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Nivå 2A omsättbara tillgångar</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Marknadsvärdet på omsättbara tillgångar i enlighet med artiklarna 7, 8 och 11 i delegerad förordning (EU)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Aktier eller andelar i fonder i enlighet med artikel 15 i delegerad förordning (EU) 2015/61 som uppfyller kraven för nivå 2A-tillgångar ska rapporteras i nedanstående underkategorier som motsvarar deras underliggande tillgångar.</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Nivå 2A företagsobligationer (kreditkvalitetssteg 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Det belopp som rapporteras i rad 820 och som avser företagsobligationer som tilldelats kreditkvalitetssteg 1 av ett utsett externt </w:t>
            </w:r>
            <w:r>
              <w:rPr>
                <w:rFonts w:ascii="Times New Roman" w:hAnsi="Times New Roman"/>
                <w:sz w:val="24"/>
                <w:szCs w:val="24"/>
              </w:rPr>
              <w:lastRenderedPageBreak/>
              <w:t>kreditvärderingsinstitut.</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Nivå 2A säkerställda obligationer (kreditkvalitetssteg 1 och 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belopp som rapporteras i rad 820 och som avser säkerställda obligationer som tilldelats kreditkvalitetssteg 1 eller 2 av ett utsett externt kreditvärderingsinstitut.</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Nivå 2A offentlig sektor (kreditkvalitetssteg 1 och 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Det belopp som rapporteras i rad 820 och som avser tillgångar som utgör fordringar på eller som garanteras av nationella regeringar, centralbanker, delstatliga och lokala självstyrelseorgan eller offentliga organ.</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enlighet med artikel 11.1 a och b i delegerad förordning (EU) 2015/61 ska alla tillgångar som utgör fordringar på offentlig sektor ha tilldelats antingen kreditkvalitetssteg 1 eller 2 för att vara godtagbara som nivå 2A-tillgångar.</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Nivå 2B omsättbara tillgångar</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Marknadsvärdet på omsättbara tillgångar i enlighet med artiklarna 7, 8 och 12 eller 13 i delegerad förordning (EU)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Aktier eller andelar i fonder i enlighet med artikel 15 i delegerad förordning (EU) 2015/61 som uppfyller kraven för nivå 2B-tillgångar ska rapporteras i nedanstående underkategorier som motsvarar deras underliggande tillgångar.</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Nivå 2B tillgångssäkrade värdepapper (ABS) (kreditkvalitetssteg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Det belopp som rapporteras i rad 860 och som avser tillgångssäkradevärdepapper, inklusive värdepapper säkrade med panträtt i bostadsfastigheter (RMBS).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enlighet med artikel 13.2 a i delegerad förordning (EU) 2015/61 ska alla tillgångssäkrade värdepapper ha tilldelats kreditkvalitetssteg 1 för att vara godtagbara som nivå 2B-tillgångar.</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Nivå 2B säkerställda obligationer (kreditkvalitetssteg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belopp som rapporteras i rad 860 och som avser säkerställda obligationer.</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Nivå 2B företagsobligationer (kreditkvalitetssteg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lastRenderedPageBreak/>
              <w:t>Det belopp som rapporteras i rad 860 och avser företagsobligationer.</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Nivå 2B aktier</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belopp som rapporteras i rad 860 och som avser aktier.</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Nivå 2B offentlig sektor (kreditkvalitetssteg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Det belopp som rapporteras i rad 860 och avser nivå 2B-tillgångar som inte rapporteras i posterna 3.5.1–3.5.4.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Övriga omsättbara tillgångar</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Marknadsvärdet för andra omsättbara tillgångar än de som rapporteras i raderna 750, 820 och 860.</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Värdepapper och värdepappersflöden från andra omsättbara tillgångar i form av gruppinterna emissioner eller egna emissioner ska inte rapporteras i likviditetstäckningskapaciteten. Kassaflöden från sådana poster ska emellertid rapporteras i på relevant plats i avsnitt 1 och 2 av mallen.</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Nationell regering (kreditkvalitetssteg 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belopp som rapporteras i rad 920 och som avser en tillgång i form av en fordran på eller som garanteras av en nationell regering som tilldelats kreditkvalitetssteg 1 av ett utsett externt kreditvärderingsinstitut.</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Nationell regering (kreditkvalitetssteg 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belopp som rapporteras i rad 920 och som avser en tillgång i form av en fordran på eller som garanteras av en nationell regering som tilldelats kreditkvalitetssteg 2 eller 3 av ett utsett externt kreditvärderingsinstitut.</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Aktier</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belopp som rapporteras i rad 920 och som avser aktier.</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Säkerställda obligationer</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Det belopp som rapporteras i rad 920 och som avser säkerställda obligationer.</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Tillgångssäkrade värdepapper (ABS)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Det belopp som rapporteras i rad 920 och som avser tillgångssäkrade </w:t>
            </w:r>
            <w:r>
              <w:rPr>
                <w:rFonts w:ascii="Times New Roman" w:hAnsi="Times New Roman"/>
                <w:sz w:val="24"/>
                <w:szCs w:val="24"/>
              </w:rPr>
              <w:lastRenderedPageBreak/>
              <w:t>värdepapper.</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Övriga omsättbara tillgångar</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belopp som rapporteras i rad 920 och avser övriga omsättbara tillgångar som inte rapporteras i raderna 930–970.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Ej omsättbara tillgångar som godtas av centralbanken som säkerhet</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Bokfört värde av ej omsättbara tillgångar som godtas av centralbanken som säkerhet i standardiserade likviditetstransaktioner som institutet har direkt tillgång till på gruppnivå.</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För tillgångar denominerade i en valuta som anges i bilagan till kommissionens genomförandeförordning (EU)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som en valuta med en extremt snäv definition av belåningsbarhet hos centralbanken ska detta fält lämnas tomt. Värdepapper och värdepappersflöden från andra omsättbara tillgångar i form av gruppinterna emissioner eller egna emissioner ska inte rapporteras i likviditetstäckningskapaciteten. Kassaflöden från sådana poster ska emellertid rapporteras i på relevant plats i avsnitt 1 och 2 av mallen.</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Outnyttjade beviljade faciliteter</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Totala outnyttjade faciliteter som det rapporterande institutet har beviljats.</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Häri ingår faciliteter som enligt avtal inte kan sägas upp. Institut ska rapportera ett reducerat belopp om behovet av säkerheter för utnyttjande av dessa faciliteter överstiger tillgången till säkerheter.</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För att undvika dubbel rapportering ska faciliteter, om det rapporterande institutet redan har ställt tillgångar som säkerhet, för en outnyttjad kreditfacilitet, och redan har rapporterat tillgångarna i raderna 730–990, inte rapporteras i rad 1000. Detsamma gäller fall där det rapporterande institutet kan behöva ställa tillgångar som säkerhet för utnyttjande såsom rapporteras i detta fält.</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Nivå 1-faciliteter</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belopp som rapporteras i rad 1000 och avser en centralbanks kreditfacilitet i enlighet med artikel 19.1 b i delegerad förordning (EU)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Nivå 2B-faciliteter med begränsad användning</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Det belopp som rapporteras i rad 1000 och avser faciliteter i enlighet med artikel 14 i förordning (EU)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Nivå 2B-faciliteter som omfattas av ett institutionellt skyddssystem</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belopp som rapporteras i rad 1000 och avser likviditetsfinansiering i enlighet med artikel 16.2 i förordning (EU)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Övriga faciliteter</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belopp som rapporteras i rad 1000 som inte är det belopp som rapporteras i raderna 1010–1030.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från motparter inom samma företagsgrupp</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belopp som rapporteras i rad 1040 om motparten är ett moder- eller dotterinstitut till institutet, ett annat dotterinstitut till samma moderinstitut, har anknytning till kreditinstitutet i den mening som avses i artikel 12.1 i direktiv 83/349/EEG, omfattas av samma institutionella skyddssystem på det sätt som avses i artikel 113.7 i förordning (EU) nr 575/2013 eller är ett sådant centralt institut eller institut underställt ett nätverk eller en kooperativ sammanslutning som avses i artikel 10 i förordning (EU)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från andra motparter</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Det belopp som rapporteras i rad 1040 som inte är det belopp som rapporteras i rad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Nettoförändring av likviditetstäckningskapacitet</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Nettoförändring av de exponeringar som avses i posterna 3.2, 3.3, 3.4 och 3.5, 3.6, 3.7 och 3.8, dvs. centralbanker, värdepappersflöden och beviljade kreditlimiter inom ett visst tidsintervall, ska rapporteras.</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Ackumulerad likviditetstäckningskapacitet</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Den ackumulerade likviditetstäckningskapaciteten från rapporteringsdatumet till det relevanta tidsintervallets övre gräns.</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VILLKORADE UTFLÖDEN</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Under ”Villkorade utflöden” i löptidsmetodmallen ska information lämnas om sådana utflöden.</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Utflöden från beviljade faciliteter</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Kassautflöden från beviljade faciliteter.</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Institut ska rapportera det maximala belopp som kan utnyttjas under en viss tidsperiod som ett utflöde. För rullande kreditfaciliteter ska bara det belopp som överstiger det befintliga lånet rapporteras.</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Beviljade kreditfaciliteter</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belopp som rapporteras i rad 1090 och som kommer från beviljade kreditfaciliteter i enlighet med artikel 31 i delegerad förordning (EU)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av mottagaren betraktat som nivå 2B</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belopp som rapporteras i rad 1100 och betraktas som likviditetsfinansiering i enlighet med artikel 16.2 i förordning (EU)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Övrigt</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belopp som rapporteras i rad 1100 som inte är det belopp som rapporteras i rad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Likviditetsfaciliteter</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Det belopp som rapporteras i rad 1090 och som kommer från likviditetsfaciliteter i enlighet med artikel 31 i delegerad förordning (EU)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Utflöden till följd av nedgraderingar</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Här ska institut rapportera effekten av en väsentlig försämring av institutets kreditkvalitet som motsvarar en sänkning av dess externa kreditvärdering med minst tre steg.</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Positiva belopp utgör villkorade utflöden och negativa belopp en reducering av den ursprungliga skulden.</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Om effekten av nedgraderingen är förtida inlösen av utestående skulder ska de berörda skulderna rapporteras med negativt tecken i ett tidsintervall där de rapporteras i post 1 och samtidigt med positivt tecken i ett tidsintervall när skulden förfaller, för det fall att effekterna av nedgraderingen får verkan på rapporteringsdatumet.</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Om effekten av nedgraderingen är ett krav på marginalsäkerhet ska </w:t>
            </w:r>
            <w:r>
              <w:rPr>
                <w:rFonts w:ascii="Times New Roman" w:hAnsi="Times New Roman"/>
                <w:sz w:val="24"/>
                <w:szCs w:val="24"/>
              </w:rPr>
              <w:lastRenderedPageBreak/>
              <w:t>marknadsvärdet på den säkerhet som krävs rapporteras med positivt tecken i ett tidsintervall när kravet börjar gälla, för det fall att effekterna av nedgraderingen får verkan på rapporteringsdatumet.</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Om effekten av nedgraderingen är en förändring återpantsättningsrättigheterna för de värdepapper som motparterna ställt som säkerhet ska marknadsvärdet för de berörda värdepappren rapporteras med positivt tecken i ett tidsintervall när värdepappren upphör att vara tillgängliga för det rapporterande institutet, för det fall att effekterna av nedgraderingen får verkan på rapporteringsdatumet.</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MEMORANDUMPOSTER</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Utflöden inom en företagsgrupp eller ett institutionellt skyddssystem (exklusive valutor)</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Summan av utflöden som rapporteras i raderna 010, 060, 260, 360 och 370 om motparten är ett moder- eller dotterinstitut till institutet, ett annat dotterinstitut till samma moderinstitut, har anknytning till institutet i den mening som avses i artikel 12.1 i direktiv 83/349/EEG, omfattas av samma institutionella skyddssystem på det sätt som avses i artikel 113.7 i förordning (EU) nr 575/2013 eller är ett sådant centralt institut eller institut underställt ett nätverk eller en kooperativ sammanslutning som avses i artikel 10 i förordning (EU) nr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Inflöden inom företagsgrupper eller institutionella skyddssystem (exklusive valutor och värdepapper som förfaller)</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Summan av inflöden som rapporteras i raderna 390, 590, 670, och 690 om motparten är ett moder- eller dotterinstitut till institutet, ett annat dotterinstitut till samma moderinstitut, har anknytning till institutet i den mening som avses i artikel 12.1 i direktiv 83/349/EEG, omfattas av samma institutionella skyddssystem på det sätt som avses i artikel 113.7 i förordning (EU) nr 575/2013 eller är ett sådant centralt institut eller institut underställt ett nätverk eller en kooperativ sammanslutning som avses i artikel 10 i förordning (EU) nr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Inflöden från värdepapper som förfaller inom en företagsgrupp eller ett institutionellt skyddssystem</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Summan av inflöden i rad 680 om motparten är ett moder- eller dotterinstitut till institutet, ett annat dotterinstitut till samma moderinstitut, har anknytning till institutet i den mening som avses i artikel 12.1 i direktiv 83/349/EEG, omfattas av samma institutionella skyddssystem på det sätt som avses i artikel 113.7 i förordning (EU) nr 575/2013 eller är ett sådant </w:t>
            </w:r>
            <w:r>
              <w:rPr>
                <w:rFonts w:ascii="Times New Roman" w:hAnsi="Times New Roman"/>
                <w:sz w:val="24"/>
                <w:szCs w:val="24"/>
              </w:rPr>
              <w:lastRenderedPageBreak/>
              <w:t>centralt institut eller institut underställt ett nätverk eller en kooperativ sammanslutning som avses i artikel 10 i förordning (EU) nr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Högkvalitativa likvida tillgångar som godtas av centralbank som säkerhet</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Summan av de belopp som rapporteras i raderna 750, 820 och 860 som avser tillgångar som godtas av centralbanken som säkerhet i standardiserade likviditetstransaktioner som institutet har direkt tillgång till på gruppnivå.</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För tillgångar denominerade i en valuta som anges i bilagan till kommissionens genomförandeförordning (EU) 2015/233 som en valuta med en extremt snäv definition av belåningsbarhet hos centralbanken ska detta fält lämnas tomt.</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Icke-högkvalitativa likvida tillgångar som godtas av centralbank som säkerhet</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Summan av:</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Summan av de belopp som rapporteras i rad 920 som avser tillgångar som godtas av centralbanken som säkerhet i standardiserade likviditetstransaktioner som institutet har direkt tillgång till på gruppnivå.</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Egna emissioner som godtas av centralbanken som säkerhet i standardiserade likviditetstransaktioner som institutet har direkt tillgång till på gruppnivå.</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För tillgångar denominerade i en valuta som anges i bilagan till kommissionens genomförandeförordning (EU) 2015/233 som en valuta med en extremt snäv definition av belåningsbarhet hos centralbanken ska detta fält lämnas tomt.</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Beteendemässiga utflöden från inlåning</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Det belopp som rapporteras i rad 260 omfördelat till tidsintervall utifrån den beteendemässiga löptiden under oförändrade förhållanden som används i det rapporterande institutets likviditetsriskhantering.</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detta fält ska oförändrade förhållanden betyda ”en situation där det inte antas föreligga någon likviditetsstress”.</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Omfördelningen ska avspegla inlåningens ”trögrörlighet”.</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Posten avspeglar inte antaganden i affärsplaner och ska därför inte inkludera information om nya affärsverksamheter.</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Fördelningen i olika tidsintervall ska ske på den detaljnivå som används internt. Alla tidsintervall behöver således inte fyllas i.</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Beteendemässiga inflöden från lån och förskott</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Det belopp som rapporteras i rad 590 omfördelat till tidsintervall utifrån den beteendemässiga löptiden under oförändrade förhållanden som används i det rapporterande institutets likviditetsriskhantering.</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 detta fält ska oförändrade förhållanden betyda ”en situation där det inte antas föreligga någon likviditetsstress”.</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Posten avspeglar inte antaganden i affärsplaner och hänsyn ska därför inte tas till nya affärsverksamheter.</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Fördelningen i olika tidsintervall ska ske på den detaljnivå som används internt. Alla tidsintervall behöver således inte fyllas i.</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Beteendemässigt utnyttjande av beviljade faciliteter</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Det belopp som rapporteras i rad 1090 omfördelat till tidsintervall utifrån det beteendemässiga utnyttjande och därav följande likviditetsbehov under oförändrade förhållanden som används i det rapporterande institutets likviditetsriskhantering.</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I detta fält ska oförändrade förhållanden betyda ”en situation där det inte antas föreligga någon likviditetsstress”.</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Posten avspeglar inte antaganden i affärsplaner och hänsyn ska därför inte tas till nya affärsverksamheter.</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Fördelningen i olika tidsintervall ska ske på den detaljnivå som används internt. Alla tidsintervall behöver således inte fyllas i.</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100A3A37" w:rsidR="00FF6A85" w:rsidRDefault="00FF6A85">
        <w:pPr>
          <w:pStyle w:val="Footer"/>
          <w:jc w:val="right"/>
        </w:pPr>
        <w:r>
          <w:fldChar w:fldCharType="begin"/>
        </w:r>
        <w:r>
          <w:instrText xml:space="preserve"> PAGE   \* MERGEFORMAT </w:instrText>
        </w:r>
        <w:r>
          <w:fldChar w:fldCharType="separate"/>
        </w:r>
        <w:r w:rsidR="002E372A">
          <w:rPr>
            <w:noProof/>
          </w:rPr>
          <w:t>2</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72A"/>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v-S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v-S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v-S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SV/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691C7-43F4-47A5-95E2-903EA9D53EE7}">
  <ds:schemaRefs>
    <ds:schemaRef ds:uri="http://schemas.openxmlformats.org/officeDocument/2006/bibliography"/>
  </ds:schemaRefs>
</ds:datastoreItem>
</file>

<file path=customXml/itemProps2.xml><?xml version="1.0" encoding="utf-8"?>
<ds:datastoreItem xmlns:ds="http://schemas.openxmlformats.org/officeDocument/2006/customXml" ds:itemID="{D037C2A2-8C3E-4EA9-99F6-FBC25B36E845}">
  <ds:schemaRefs>
    <ds:schemaRef ds:uri="http://schemas.openxmlformats.org/officeDocument/2006/bibliography"/>
  </ds:schemaRefs>
</ds:datastoreItem>
</file>

<file path=customXml/itemProps3.xml><?xml version="1.0" encoding="utf-8"?>
<ds:datastoreItem xmlns:ds="http://schemas.openxmlformats.org/officeDocument/2006/customXml" ds:itemID="{0B4E8B63-0777-421A-9345-CE4C54A2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6975</Words>
  <Characters>43281</Characters>
  <Application>Microsoft Office Word</Application>
  <DocSecurity>0</DocSecurity>
  <Lines>1006</Lines>
  <Paragraphs>571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49685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SPENS Katharina (DGT)</cp:lastModifiedBy>
  <cp:revision>5</cp:revision>
  <cp:lastPrinted>2015-04-10T08:05:00Z</cp:lastPrinted>
  <dcterms:created xsi:type="dcterms:W3CDTF">2020-12-02T17:03:00Z</dcterms:created>
  <dcterms:modified xsi:type="dcterms:W3CDTF">2020-12-10T15:08:00Z</dcterms:modified>
</cp:coreProperties>
</file>