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4B188" w14:textId="77777777" w:rsidR="001F0676" w:rsidRPr="00864866" w:rsidRDefault="001F0676" w:rsidP="000B66BC">
      <w:pPr>
        <w:spacing w:after="240"/>
        <w:jc w:val="center"/>
        <w:rPr>
          <w:rFonts w:ascii="Times New Roman" w:hAnsi="Times New Roman"/>
          <w:sz w:val="24"/>
          <w:szCs w:val="24"/>
        </w:rPr>
      </w:pPr>
    </w:p>
    <w:p w14:paraId="6E4B8B64" w14:textId="77777777" w:rsidR="00BB7DB0" w:rsidRPr="00864866" w:rsidRDefault="00BB7DB0" w:rsidP="000B66BC">
      <w:pPr>
        <w:spacing w:after="240"/>
        <w:jc w:val="center"/>
        <w:rPr>
          <w:rFonts w:ascii="Times New Roman" w:hAnsi="Times New Roman"/>
          <w:sz w:val="24"/>
          <w:szCs w:val="24"/>
        </w:rPr>
      </w:pPr>
    </w:p>
    <w:p w14:paraId="632F6520" w14:textId="77777777" w:rsidR="001807E9" w:rsidRPr="00864866" w:rsidRDefault="001807E9" w:rsidP="000B66BC">
      <w:pPr>
        <w:spacing w:after="240"/>
        <w:jc w:val="center"/>
        <w:rPr>
          <w:rFonts w:ascii="Times New Roman" w:hAnsi="Times New Roman"/>
          <w:sz w:val="24"/>
          <w:szCs w:val="24"/>
        </w:rPr>
      </w:pPr>
    </w:p>
    <w:p w14:paraId="2C4768C0" w14:textId="77777777" w:rsidR="00A15D28" w:rsidRPr="000B66BC" w:rsidRDefault="00A15D28" w:rsidP="000B66BC">
      <w:pPr>
        <w:spacing w:after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XI. MELLÉKLET</w:t>
      </w:r>
    </w:p>
    <w:p w14:paraId="4A8A4559" w14:textId="0A064FD8" w:rsidR="00A15D28" w:rsidRPr="000B66BC" w:rsidRDefault="00A84D67" w:rsidP="000B66BC">
      <w:pPr>
        <w:spacing w:after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ÚTMUTATÓ </w:t>
      </w: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TŐKEÁTTÉTELRE VONATKOZÓ ADATSZOLGÁLTATÁSHOZ</w:t>
      </w:r>
    </w:p>
    <w:p w14:paraId="359338A1" w14:textId="77777777" w:rsidR="00F4754B" w:rsidRPr="000B66BC" w:rsidRDefault="00F4754B" w:rsidP="000B66BC">
      <w:pPr>
        <w:pStyle w:val="BodyText1"/>
        <w:spacing w:after="240"/>
        <w:rPr>
          <w:rFonts w:ascii="Times New Roman" w:hAnsi="Times New Roman"/>
          <w:sz w:val="24"/>
          <w:szCs w:val="24"/>
        </w:rPr>
      </w:pPr>
    </w:p>
    <w:p w14:paraId="6BF05566" w14:textId="77777777" w:rsidR="00A15D28" w:rsidRPr="000B66BC" w:rsidRDefault="00A15D28" w:rsidP="000B66BC">
      <w:pPr>
        <w:pStyle w:val="BodyText1"/>
        <w:spacing w:after="240"/>
        <w:rPr>
          <w:rFonts w:ascii="Times New Roman" w:hAnsi="Times New Roman"/>
          <w:sz w:val="24"/>
          <w:szCs w:val="24"/>
        </w:rPr>
      </w:pPr>
    </w:p>
    <w:p w14:paraId="7E090CE2" w14:textId="77777777" w:rsidR="00F4754B" w:rsidRPr="000B66BC" w:rsidRDefault="00F4754B" w:rsidP="000B66BC">
      <w:pPr>
        <w:pStyle w:val="BodyText1"/>
        <w:spacing w:after="240"/>
        <w:rPr>
          <w:rFonts w:ascii="Times New Roman" w:hAnsi="Times New Roman"/>
          <w:sz w:val="24"/>
          <w:szCs w:val="24"/>
        </w:rPr>
      </w:pPr>
    </w:p>
    <w:p w14:paraId="3C402A6B" w14:textId="77777777" w:rsidR="009112BB" w:rsidRPr="000B66BC" w:rsidRDefault="009112BB" w:rsidP="000B66BC">
      <w:pPr>
        <w:pStyle w:val="BodyText1"/>
        <w:spacing w:after="240"/>
        <w:ind w:left="720"/>
        <w:rPr>
          <w:rFonts w:ascii="Times New Roman" w:hAnsi="Times New Roman"/>
          <w:sz w:val="24"/>
          <w:szCs w:val="24"/>
        </w:rPr>
      </w:pPr>
    </w:p>
    <w:p w14:paraId="45ACD5DD" w14:textId="62C88A5A" w:rsidR="005D4764" w:rsidRDefault="00391EF9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GB" w:eastAsia="en-GB"/>
        </w:rPr>
      </w:pPr>
      <w:r>
        <w:rPr>
          <w:rFonts w:ascii="Times New Roman" w:hAnsi="Times New Roman"/>
          <w:b/>
          <w:sz w:val="24"/>
          <w:szCs w:val="24"/>
        </w:rPr>
        <w:fldChar w:fldCharType="begin"/>
      </w:r>
      <w:r>
        <w:rPr>
          <w:rFonts w:ascii="Times New Roman" w:hAnsi="Times New Roman"/>
          <w:b/>
          <w:sz w:val="24"/>
          <w:szCs w:val="24"/>
        </w:rPr>
        <w:instrText xml:space="preserve"> TOC \o "1-3" \h \z \u </w:instrText>
      </w:r>
      <w:r>
        <w:rPr>
          <w:rFonts w:ascii="Times New Roman" w:hAnsi="Times New Roman"/>
          <w:b/>
          <w:sz w:val="24"/>
          <w:szCs w:val="24"/>
        </w:rPr>
        <w:fldChar w:fldCharType="separate"/>
      </w:r>
      <w:hyperlink w:anchor="_Toc58916202" w:history="1">
        <w:r w:rsidR="005D4764" w:rsidRPr="007F2BA4">
          <w:rPr>
            <w:rStyle w:val="Hyperlink"/>
            <w:rFonts w:ascii="Times New Roman" w:hAnsi="Times New Roman"/>
            <w:b/>
          </w:rPr>
          <w:t>I. RÉSZ: ÁLTALÁNOS ÚTMUTATÓ</w:t>
        </w:r>
        <w:r w:rsidR="005D4764">
          <w:rPr>
            <w:webHidden/>
          </w:rPr>
          <w:tab/>
        </w:r>
        <w:r w:rsidR="005D4764">
          <w:rPr>
            <w:webHidden/>
          </w:rPr>
          <w:fldChar w:fldCharType="begin"/>
        </w:r>
        <w:r w:rsidR="005D4764">
          <w:rPr>
            <w:webHidden/>
          </w:rPr>
          <w:instrText xml:space="preserve"> PAGEREF _Toc58916202 \h </w:instrText>
        </w:r>
        <w:r w:rsidR="005D4764">
          <w:rPr>
            <w:webHidden/>
          </w:rPr>
        </w:r>
        <w:r w:rsidR="005D4764">
          <w:rPr>
            <w:webHidden/>
          </w:rPr>
          <w:fldChar w:fldCharType="separate"/>
        </w:r>
        <w:r w:rsidR="005D4764">
          <w:rPr>
            <w:webHidden/>
          </w:rPr>
          <w:t>2</w:t>
        </w:r>
        <w:r w:rsidR="005D4764">
          <w:rPr>
            <w:webHidden/>
          </w:rPr>
          <w:fldChar w:fldCharType="end"/>
        </w:r>
      </w:hyperlink>
    </w:p>
    <w:p w14:paraId="129553A8" w14:textId="7BB9B412" w:rsidR="005D4764" w:rsidRDefault="005D476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/>
        </w:rPr>
      </w:pPr>
      <w:hyperlink w:anchor="_Toc58916203" w:history="1">
        <w:r w:rsidRPr="007F2BA4">
          <w:rPr>
            <w:rStyle w:val="Hyperlink"/>
            <w:rFonts w:ascii="Times New Roman" w:hAnsi="Times New Roman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/>
          </w:rPr>
          <w:tab/>
        </w:r>
        <w:r w:rsidRPr="007F2BA4">
          <w:rPr>
            <w:rStyle w:val="Hyperlink"/>
            <w:rFonts w:ascii="Times New Roman" w:hAnsi="Times New Roman"/>
          </w:rPr>
          <w:t>Szerkezet és szabályok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_Toc58916203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5B71BBE" w14:textId="788A440C" w:rsidR="005D4764" w:rsidRDefault="005D4764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/>
        </w:rPr>
      </w:pPr>
      <w:hyperlink w:anchor="_Toc58916204" w:history="1">
        <w:r w:rsidRPr="007F2BA4">
          <w:rPr>
            <w:rStyle w:val="Hyperlink"/>
            <w:rFonts w:ascii="Times New Roman" w:hAnsi="Times New Roman"/>
            <w:b/>
          </w:rPr>
          <w:t>1.1.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/>
          </w:rPr>
          <w:tab/>
        </w:r>
        <w:r w:rsidRPr="007F2BA4">
          <w:rPr>
            <w:rStyle w:val="Hyperlink"/>
            <w:rFonts w:ascii="Times New Roman" w:hAnsi="Times New Roman"/>
            <w:b/>
          </w:rPr>
          <w:t>Szerkezet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_Toc58916204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5CAFF4FB" w14:textId="7AEC0989" w:rsidR="005D4764" w:rsidRDefault="005D4764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/>
        </w:rPr>
      </w:pPr>
      <w:hyperlink w:anchor="_Toc58916205" w:history="1">
        <w:r w:rsidRPr="007F2BA4">
          <w:rPr>
            <w:rStyle w:val="Hyperlink"/>
            <w:rFonts w:ascii="Times New Roman" w:hAnsi="Times New Roman"/>
            <w:b/>
          </w:rPr>
          <w:t>1.2.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/>
          </w:rPr>
          <w:tab/>
        </w:r>
        <w:r w:rsidRPr="007F2BA4">
          <w:rPr>
            <w:rStyle w:val="Hyperlink"/>
            <w:rFonts w:ascii="Times New Roman" w:hAnsi="Times New Roman"/>
            <w:b/>
          </w:rPr>
          <w:t>Számozási szabályok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_Toc58916205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5561A6C" w14:textId="52CD9D1B" w:rsidR="005D4764" w:rsidRDefault="005D4764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/>
        </w:rPr>
      </w:pPr>
      <w:hyperlink w:anchor="_Toc58916206" w:history="1">
        <w:r w:rsidRPr="007F2BA4">
          <w:rPr>
            <w:rStyle w:val="Hyperlink"/>
            <w:rFonts w:ascii="Times New Roman" w:hAnsi="Times New Roman"/>
            <w:b/>
          </w:rPr>
          <w:t>1.3.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/>
          </w:rPr>
          <w:tab/>
        </w:r>
        <w:r w:rsidRPr="007F2BA4">
          <w:rPr>
            <w:rStyle w:val="Hyperlink"/>
            <w:rFonts w:ascii="Times New Roman" w:hAnsi="Times New Roman"/>
            <w:b/>
          </w:rPr>
          <w:t>Rövidítések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_Toc58916206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34087E3" w14:textId="71EE3C7A" w:rsidR="005D4764" w:rsidRDefault="005D4764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/>
        </w:rPr>
      </w:pPr>
      <w:hyperlink w:anchor="_Toc58916207" w:history="1">
        <w:r w:rsidRPr="007F2BA4">
          <w:rPr>
            <w:rStyle w:val="Hyperlink"/>
            <w:rFonts w:ascii="Times New Roman" w:hAnsi="Times New Roman"/>
            <w:b/>
          </w:rPr>
          <w:t>1.4.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/>
          </w:rPr>
          <w:tab/>
        </w:r>
        <w:r w:rsidRPr="007F2BA4">
          <w:rPr>
            <w:rStyle w:val="Hyperlink"/>
            <w:rFonts w:ascii="Times New Roman" w:hAnsi="Times New Roman"/>
            <w:b/>
          </w:rPr>
          <w:t>Előjelre vonatkozó szabályok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_Toc58916207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DA9E375" w14:textId="09F997D3" w:rsidR="005D4764" w:rsidRDefault="005D4764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GB" w:eastAsia="en-GB"/>
        </w:rPr>
      </w:pPr>
      <w:hyperlink w:anchor="_Toc58916208" w:history="1">
        <w:r w:rsidRPr="007F2BA4">
          <w:rPr>
            <w:rStyle w:val="Hyperlink"/>
            <w:rFonts w:ascii="Times New Roman" w:hAnsi="Times New Roman"/>
            <w:b/>
          </w:rPr>
          <w:t>II. RÉSZ: A TÁBLÁHOZ KAPCSOLÓDÓ ÚTMUTATÓ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_Toc58916208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987F119" w14:textId="226DB5F0" w:rsidR="005D4764" w:rsidRDefault="005D476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/>
        </w:rPr>
      </w:pPr>
      <w:hyperlink w:anchor="_Toc58916209" w:history="1">
        <w:r w:rsidRPr="007F2BA4">
          <w:rPr>
            <w:rStyle w:val="Hyperlink"/>
            <w:rFonts w:ascii="Times New Roman" w:hAnsi="Times New Roman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/>
          </w:rPr>
          <w:tab/>
        </w:r>
        <w:r w:rsidRPr="007F2BA4">
          <w:rPr>
            <w:rStyle w:val="Hyperlink"/>
            <w:rFonts w:ascii="Times New Roman" w:hAnsi="Times New Roman"/>
          </w:rPr>
          <w:t>A tőkeáttételi mutató számításának képletei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_Toc58916209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F390DA5" w14:textId="24F06F1A" w:rsidR="005D4764" w:rsidRDefault="005D476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/>
        </w:rPr>
      </w:pPr>
      <w:hyperlink w:anchor="_Toc58916210" w:history="1">
        <w:r w:rsidRPr="007F2BA4">
          <w:rPr>
            <w:rStyle w:val="Hyperlink"/>
            <w:rFonts w:ascii="Times New Roman" w:hAnsi="Times New Roman"/>
          </w:rPr>
          <w:t>2.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/>
          </w:rPr>
          <w:tab/>
        </w:r>
        <w:r w:rsidRPr="007F2BA4">
          <w:rPr>
            <w:rStyle w:val="Hyperlink"/>
            <w:rFonts w:ascii="Times New Roman" w:hAnsi="Times New Roman"/>
          </w:rPr>
          <w:t>Lényegességi küszöbérték származtatott ügyletek esetében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_Toc58916210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ACD4A50" w14:textId="2F7369F3" w:rsidR="005D4764" w:rsidRDefault="005D476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/>
        </w:rPr>
      </w:pPr>
      <w:hyperlink w:anchor="_Toc58916211" w:history="1">
        <w:r w:rsidRPr="007F2BA4">
          <w:rPr>
            <w:rStyle w:val="Hyperlink"/>
            <w:rFonts w:ascii="Times New Roman" w:hAnsi="Times New Roman"/>
          </w:rPr>
          <w:t>3.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/>
          </w:rPr>
          <w:tab/>
        </w:r>
        <w:r w:rsidRPr="007F2BA4">
          <w:rPr>
            <w:rStyle w:val="Hyperlink"/>
            <w:rFonts w:ascii="Times New Roman" w:hAnsi="Times New Roman"/>
          </w:rPr>
          <w:t>C 47.00 – A tőkeáttételi mutató számítása (LRCalc)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_Toc58916211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0A88A9A" w14:textId="7A3934E5" w:rsidR="005D4764" w:rsidRDefault="005D476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/>
        </w:rPr>
      </w:pPr>
      <w:hyperlink w:anchor="_Toc58916212" w:history="1">
        <w:r w:rsidRPr="007F2BA4">
          <w:rPr>
            <w:rStyle w:val="Hyperlink"/>
            <w:rFonts w:ascii="Times New Roman" w:hAnsi="Times New Roman"/>
          </w:rPr>
          <w:t>4.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/>
          </w:rPr>
          <w:tab/>
        </w:r>
        <w:r w:rsidRPr="007F2BA4">
          <w:rPr>
            <w:rStyle w:val="Hyperlink"/>
            <w:rFonts w:ascii="Times New Roman" w:hAnsi="Times New Roman"/>
          </w:rPr>
          <w:t>C 40.00 – A kitettségérték alternatív meghatározása (LR1)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_Toc58916212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14:paraId="5CD9D783" w14:textId="033AACB0" w:rsidR="005D4764" w:rsidRDefault="005D476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/>
        </w:rPr>
      </w:pPr>
      <w:hyperlink w:anchor="_Toc58916213" w:history="1">
        <w:r w:rsidRPr="007F2BA4">
          <w:rPr>
            <w:rStyle w:val="Hyperlink"/>
            <w:rFonts w:ascii="Times New Roman" w:hAnsi="Times New Roman"/>
          </w:rPr>
          <w:t>5.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/>
          </w:rPr>
          <w:tab/>
        </w:r>
        <w:r w:rsidRPr="007F2BA4">
          <w:rPr>
            <w:rStyle w:val="Hyperlink"/>
            <w:rFonts w:ascii="Times New Roman" w:hAnsi="Times New Roman"/>
          </w:rPr>
          <w:t>C 43.00 – A tőkeáttételi mutató számításához használt kitettségek alternatív bontása (LR4)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_Toc58916213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14:paraId="2C2DA4D1" w14:textId="6D590A65" w:rsidR="005D4764" w:rsidRDefault="005D476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/>
        </w:rPr>
      </w:pPr>
      <w:hyperlink w:anchor="_Toc58916214" w:history="1">
        <w:r w:rsidRPr="007F2BA4">
          <w:rPr>
            <w:rStyle w:val="Hyperlink"/>
            <w:rFonts w:ascii="Times New Roman" w:hAnsi="Times New Roman"/>
          </w:rPr>
          <w:t>6.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/>
          </w:rPr>
          <w:tab/>
        </w:r>
        <w:r w:rsidRPr="007F2BA4">
          <w:rPr>
            <w:rStyle w:val="Hyperlink"/>
            <w:rFonts w:ascii="Times New Roman" w:hAnsi="Times New Roman"/>
          </w:rPr>
          <w:t>C 44.00 – Általános információk (LR5)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_Toc58916214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70</w:t>
        </w:r>
        <w:r>
          <w:rPr>
            <w:webHidden/>
          </w:rPr>
          <w:fldChar w:fldCharType="end"/>
        </w:r>
      </w:hyperlink>
    </w:p>
    <w:p w14:paraId="6E18BE44" w14:textId="66DA841B" w:rsidR="005D4764" w:rsidRDefault="005D476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/>
        </w:rPr>
      </w:pPr>
      <w:hyperlink w:anchor="_Toc58916215" w:history="1">
        <w:r w:rsidRPr="007F2BA4">
          <w:rPr>
            <w:rStyle w:val="Hyperlink"/>
            <w:rFonts w:ascii="Times New Roman" w:hAnsi="Times New Roman"/>
          </w:rPr>
          <w:t>7.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/>
          </w:rPr>
          <w:tab/>
        </w:r>
        <w:r w:rsidRPr="007F2BA4">
          <w:rPr>
            <w:rStyle w:val="Hyperlink"/>
            <w:rFonts w:ascii="Times New Roman" w:hAnsi="Times New Roman"/>
          </w:rPr>
          <w:t>C 48.00 A tőkeáttételi mutató volatilitása (LR6)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_Toc58916215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72</w:t>
        </w:r>
        <w:r>
          <w:rPr>
            <w:webHidden/>
          </w:rPr>
          <w:fldChar w:fldCharType="end"/>
        </w:r>
      </w:hyperlink>
    </w:p>
    <w:p w14:paraId="46481676" w14:textId="0BF43368" w:rsidR="005D4764" w:rsidRDefault="005D476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/>
        </w:rPr>
      </w:pPr>
      <w:hyperlink w:anchor="_Toc58916216" w:history="1">
        <w:r w:rsidRPr="007F2BA4">
          <w:rPr>
            <w:rStyle w:val="Hyperlink"/>
            <w:rFonts w:ascii="Times New Roman" w:hAnsi="Times New Roman"/>
          </w:rPr>
          <w:t>8.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/>
          </w:rPr>
          <w:tab/>
        </w:r>
        <w:r w:rsidRPr="007F2BA4">
          <w:rPr>
            <w:rStyle w:val="Hyperlink"/>
            <w:rFonts w:ascii="Times New Roman" w:hAnsi="Times New Roman"/>
          </w:rPr>
          <w:t>C 48.01 A tőkeáttételi mutató volatilitása: Az adatszolgáltatási időszak számtani átlaga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_Toc58916216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72</w:t>
        </w:r>
        <w:r>
          <w:rPr>
            <w:webHidden/>
          </w:rPr>
          <w:fldChar w:fldCharType="end"/>
        </w:r>
      </w:hyperlink>
    </w:p>
    <w:p w14:paraId="56928C1A" w14:textId="060BCB64" w:rsidR="005D4764" w:rsidRDefault="005D4764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val="en-GB" w:eastAsia="en-GB"/>
        </w:rPr>
      </w:pPr>
      <w:hyperlink w:anchor="_Toc58916217" w:history="1">
        <w:r w:rsidRPr="007F2BA4">
          <w:rPr>
            <w:rStyle w:val="Hyperlink"/>
            <w:rFonts w:ascii="Times New Roman" w:hAnsi="Times New Roman"/>
          </w:rPr>
          <w:t>9.</w:t>
        </w:r>
        <w:r>
          <w:rPr>
            <w:rFonts w:asciiTheme="minorHAnsi" w:eastAsiaTheme="minorEastAsia" w:hAnsiTheme="minorHAnsi" w:cstheme="minorBidi"/>
            <w:b w:val="0"/>
            <w:smallCaps w:val="0"/>
            <w:sz w:val="22"/>
            <w:lang w:val="en-GB" w:eastAsia="en-GB"/>
          </w:rPr>
          <w:tab/>
        </w:r>
        <w:r w:rsidRPr="007F2BA4">
          <w:rPr>
            <w:rStyle w:val="Hyperlink"/>
            <w:rFonts w:ascii="Times New Roman" w:hAnsi="Times New Roman"/>
          </w:rPr>
          <w:t>C 48.02 A tőkeáttételi mutató volatilitása: Az adatszolgáltatási időszak napi értékei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_Toc58916217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72</w:t>
        </w:r>
        <w:r>
          <w:rPr>
            <w:webHidden/>
          </w:rPr>
          <w:fldChar w:fldCharType="end"/>
        </w:r>
      </w:hyperlink>
    </w:p>
    <w:p w14:paraId="43D747E1" w14:textId="4CD94159" w:rsidR="00AC3257" w:rsidRPr="000B66BC" w:rsidRDefault="00391EF9" w:rsidP="000B66BC">
      <w:pPr>
        <w:pStyle w:val="BodyText1"/>
        <w:rPr>
          <w:rFonts w:ascii="Times New Roman" w:hAnsi="Times New Roman"/>
          <w:sz w:val="24"/>
          <w:szCs w:val="24"/>
        </w:rPr>
        <w:sectPr w:rsidR="00AC3257" w:rsidRPr="000B66BC" w:rsidSect="00DC2C2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6" w:h="16838" w:code="9"/>
          <w:pgMar w:top="1417" w:right="1417" w:bottom="1134" w:left="1417" w:header="720" w:footer="720" w:gutter="0"/>
          <w:cols w:space="720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fldChar w:fldCharType="end"/>
      </w:r>
    </w:p>
    <w:p w14:paraId="34ED68DE" w14:textId="77777777" w:rsidR="00F4754B" w:rsidRPr="000B66BC" w:rsidRDefault="00F4754B" w:rsidP="000B66BC">
      <w:pPr>
        <w:pStyle w:val="BodyText1"/>
        <w:spacing w:after="240"/>
        <w:rPr>
          <w:rFonts w:ascii="Times New Roman" w:hAnsi="Times New Roman"/>
          <w:sz w:val="24"/>
          <w:szCs w:val="24"/>
        </w:rPr>
      </w:pPr>
    </w:p>
    <w:p w14:paraId="12DCD63B" w14:textId="77777777" w:rsidR="00217D1F" w:rsidRPr="00864866" w:rsidRDefault="00F4754B" w:rsidP="000B66BC">
      <w:pPr>
        <w:pStyle w:val="BodyText1"/>
        <w:spacing w:after="240"/>
        <w:outlineLvl w:val="0"/>
        <w:rPr>
          <w:rFonts w:ascii="Times New Roman" w:hAnsi="Times New Roman"/>
          <w:b/>
          <w:sz w:val="24"/>
          <w:szCs w:val="24"/>
        </w:rPr>
      </w:pPr>
      <w:bookmarkStart w:id="0" w:name="_Toc264038394"/>
      <w:bookmarkStart w:id="1" w:name="_Toc322687864"/>
      <w:bookmarkStart w:id="2" w:name="_Toc351048499"/>
      <w:bookmarkStart w:id="3" w:name="_Toc359414273"/>
      <w:bookmarkStart w:id="4" w:name="_Toc423089060"/>
      <w:bookmarkStart w:id="5" w:name="_Toc58916202"/>
      <w:r>
        <w:rPr>
          <w:rFonts w:ascii="Times New Roman" w:hAnsi="Times New Roman"/>
          <w:b/>
          <w:sz w:val="24"/>
          <w:szCs w:val="24"/>
        </w:rPr>
        <w:t>I. RÉSZ:</w:t>
      </w:r>
      <w:bookmarkEnd w:id="0"/>
      <w:r>
        <w:rPr>
          <w:rFonts w:ascii="Times New Roman" w:hAnsi="Times New Roman"/>
          <w:b/>
          <w:sz w:val="24"/>
          <w:szCs w:val="24"/>
        </w:rPr>
        <w:t xml:space="preserve"> ÁLTALÁNOS ÚTMUTATÓ</w:t>
      </w:r>
      <w:bookmarkEnd w:id="1"/>
      <w:bookmarkEnd w:id="2"/>
      <w:bookmarkEnd w:id="3"/>
      <w:bookmarkEnd w:id="4"/>
      <w:bookmarkEnd w:id="5"/>
    </w:p>
    <w:p w14:paraId="2A030BBF" w14:textId="593C59C8" w:rsidR="00217D1F" w:rsidRPr="000B66BC" w:rsidRDefault="00500508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6" w:name="_Toc351048500"/>
      <w:bookmarkStart w:id="7" w:name="_Toc322687865"/>
      <w:bookmarkStart w:id="8" w:name="_Toc359414274"/>
      <w:bookmarkStart w:id="9" w:name="_Toc423089061"/>
      <w:bookmarkStart w:id="10" w:name="_Toc58916203"/>
      <w:r>
        <w:rPr>
          <w:rFonts w:ascii="Times New Roman" w:hAnsi="Times New Roman"/>
          <w:b/>
          <w:sz w:val="24"/>
          <w:szCs w:val="24"/>
        </w:rPr>
        <w:t>1.</w:t>
      </w:r>
      <w:r>
        <w:tab/>
      </w:r>
      <w:r>
        <w:rPr>
          <w:rFonts w:ascii="Times New Roman" w:hAnsi="Times New Roman"/>
          <w:b/>
          <w:sz w:val="24"/>
          <w:szCs w:val="24"/>
        </w:rPr>
        <w:t>Szerkezet és szabályok</w:t>
      </w:r>
      <w:bookmarkEnd w:id="6"/>
      <w:bookmarkEnd w:id="7"/>
      <w:bookmarkEnd w:id="8"/>
      <w:bookmarkEnd w:id="9"/>
      <w:bookmarkEnd w:id="10"/>
    </w:p>
    <w:p w14:paraId="0F3236AE" w14:textId="6FB096EE" w:rsidR="00217D1F" w:rsidRPr="000B66BC" w:rsidRDefault="00500508" w:rsidP="000B66BC">
      <w:pPr>
        <w:pStyle w:val="BodyText1"/>
        <w:spacing w:after="240"/>
        <w:ind w:left="357" w:hanging="357"/>
        <w:outlineLvl w:val="2"/>
        <w:rPr>
          <w:rFonts w:ascii="Times New Roman" w:hAnsi="Times New Roman"/>
          <w:b/>
          <w:sz w:val="24"/>
          <w:szCs w:val="24"/>
        </w:rPr>
      </w:pPr>
      <w:bookmarkStart w:id="11" w:name="_Toc322687866"/>
      <w:bookmarkStart w:id="12" w:name="_Toc359414275"/>
      <w:bookmarkStart w:id="13" w:name="_Toc423089062"/>
      <w:bookmarkStart w:id="14" w:name="_Toc264038399"/>
      <w:bookmarkStart w:id="15" w:name="_Toc294018834"/>
      <w:bookmarkStart w:id="16" w:name="_Toc58916204"/>
      <w:r>
        <w:rPr>
          <w:rFonts w:ascii="Times New Roman" w:hAnsi="Times New Roman"/>
          <w:b/>
          <w:sz w:val="24"/>
          <w:szCs w:val="24"/>
        </w:rPr>
        <w:t>1.1.</w:t>
      </w:r>
      <w:r>
        <w:tab/>
      </w:r>
      <w:bookmarkEnd w:id="11"/>
      <w:bookmarkEnd w:id="12"/>
      <w:bookmarkEnd w:id="13"/>
      <w:r>
        <w:rPr>
          <w:rFonts w:ascii="Times New Roman" w:hAnsi="Times New Roman"/>
          <w:b/>
          <w:sz w:val="24"/>
          <w:szCs w:val="24"/>
        </w:rPr>
        <w:t>Szerkezet</w:t>
      </w:r>
      <w:bookmarkEnd w:id="16"/>
    </w:p>
    <w:p w14:paraId="050538F0" w14:textId="26924057" w:rsidR="00E22856" w:rsidRPr="000B66BC" w:rsidRDefault="00500508" w:rsidP="000B66BC">
      <w:pPr>
        <w:pStyle w:val="BodyText1"/>
        <w:spacing w:after="240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tab/>
      </w:r>
      <w:r>
        <w:rPr>
          <w:rFonts w:ascii="Times New Roman" w:hAnsi="Times New Roman"/>
          <w:sz w:val="24"/>
          <w:szCs w:val="24"/>
        </w:rPr>
        <w:t>Ez a melléklet a jelen rendelet X. mellékletében szereplő táblákkal (a továbbiakban „LR”) kap</w:t>
      </w:r>
      <w:r w:rsidR="005D4764">
        <w:rPr>
          <w:rFonts w:ascii="Times New Roman" w:hAnsi="Times New Roman"/>
          <w:sz w:val="24"/>
          <w:szCs w:val="24"/>
        </w:rPr>
        <w:t>csolatos útmutatót tartalmazza.</w:t>
      </w:r>
    </w:p>
    <w:p w14:paraId="4B2766E9" w14:textId="78B19E69" w:rsidR="00F4754B" w:rsidRPr="000B66BC" w:rsidRDefault="00500508" w:rsidP="009339D1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2.</w:t>
      </w:r>
      <w:r>
        <w:tab/>
      </w:r>
      <w:r>
        <w:rPr>
          <w:bCs/>
          <w:sz w:val="24"/>
        </w:rPr>
        <w:t>Az adatszolgáltatási keret a következő öt táblából áll:</w:t>
      </w:r>
    </w:p>
    <w:p w14:paraId="41A3C48C" w14:textId="77777777" w:rsidR="00675587" w:rsidRPr="000B66BC" w:rsidRDefault="00500508" w:rsidP="009339D1">
      <w:pPr>
        <w:pStyle w:val="InstructionsText2"/>
        <w:numPr>
          <w:ilvl w:val="0"/>
          <w:numId w:val="0"/>
        </w:numPr>
        <w:ind w:left="1080" w:hanging="360"/>
        <w:rPr>
          <w:rFonts w:eastAsia="Times New Roman"/>
          <w:bCs/>
          <w:sz w:val="24"/>
        </w:rPr>
      </w:pPr>
      <w:r>
        <w:rPr>
          <w:rFonts w:ascii="Symbol" w:hAnsi="Symbol"/>
          <w:bCs/>
          <w:sz w:val="24"/>
        </w:rPr>
        <w:t></w:t>
      </w:r>
      <w:r>
        <w:tab/>
      </w:r>
      <w:r>
        <w:rPr>
          <w:bCs/>
          <w:sz w:val="24"/>
        </w:rPr>
        <w:t>C47.00: A tőkeáttételi mutató számítása (</w:t>
      </w:r>
      <w:proofErr w:type="spellStart"/>
      <w:r>
        <w:rPr>
          <w:bCs/>
          <w:sz w:val="24"/>
        </w:rPr>
        <w:t>LRCalc</w:t>
      </w:r>
      <w:proofErr w:type="spellEnd"/>
      <w:r>
        <w:rPr>
          <w:bCs/>
          <w:sz w:val="24"/>
        </w:rPr>
        <w:t>): a tőkeáttételi mutató számítása,</w:t>
      </w:r>
    </w:p>
    <w:p w14:paraId="42B808C6" w14:textId="77777777" w:rsidR="00675587" w:rsidRPr="000B66BC" w:rsidRDefault="00500508" w:rsidP="009339D1">
      <w:pPr>
        <w:pStyle w:val="InstructionsText2"/>
        <w:numPr>
          <w:ilvl w:val="0"/>
          <w:numId w:val="0"/>
        </w:numPr>
        <w:ind w:left="1080" w:hanging="360"/>
        <w:rPr>
          <w:rFonts w:eastAsia="Times New Roman"/>
          <w:bCs/>
          <w:sz w:val="24"/>
        </w:rPr>
      </w:pPr>
      <w:r>
        <w:rPr>
          <w:rFonts w:ascii="Symbol" w:hAnsi="Symbol"/>
          <w:bCs/>
          <w:sz w:val="24"/>
        </w:rPr>
        <w:t></w:t>
      </w:r>
      <w:r>
        <w:tab/>
      </w:r>
      <w:r>
        <w:rPr>
          <w:bCs/>
          <w:sz w:val="24"/>
        </w:rPr>
        <w:t>C40.00: A tőkeáttételi mutatóra vonatkozó 1. tábla (LR1): A kitettségérték alternatív meghatározása,</w:t>
      </w:r>
    </w:p>
    <w:p w14:paraId="29356C92" w14:textId="650F5016" w:rsidR="00675587" w:rsidRPr="000B66BC" w:rsidRDefault="00500508" w:rsidP="009339D1">
      <w:pPr>
        <w:pStyle w:val="InstructionsText2"/>
        <w:numPr>
          <w:ilvl w:val="0"/>
          <w:numId w:val="0"/>
        </w:numPr>
        <w:ind w:left="1080" w:hanging="360"/>
        <w:rPr>
          <w:rFonts w:eastAsia="Times New Roman"/>
          <w:bCs/>
          <w:sz w:val="24"/>
        </w:rPr>
      </w:pPr>
      <w:r>
        <w:rPr>
          <w:rFonts w:ascii="Symbol" w:hAnsi="Symbol"/>
          <w:bCs/>
          <w:sz w:val="24"/>
        </w:rPr>
        <w:t></w:t>
      </w:r>
      <w:r>
        <w:tab/>
      </w:r>
      <w:r>
        <w:rPr>
          <w:bCs/>
          <w:sz w:val="24"/>
        </w:rPr>
        <w:t>C43.00: A tőkeáttételi mutatóra vonatkozó 4. tábla (LR4): A tőkeáttételi mutató számításához használt kitettségek alternatív bontása,</w:t>
      </w:r>
    </w:p>
    <w:p w14:paraId="0192F250" w14:textId="1780456B" w:rsidR="00675587" w:rsidRPr="000B66BC" w:rsidRDefault="00500508" w:rsidP="009339D1">
      <w:pPr>
        <w:pStyle w:val="InstructionsText2"/>
        <w:numPr>
          <w:ilvl w:val="0"/>
          <w:numId w:val="0"/>
        </w:numPr>
        <w:ind w:left="1080" w:hanging="360"/>
        <w:rPr>
          <w:rFonts w:eastAsia="Times New Roman"/>
          <w:bCs/>
          <w:sz w:val="24"/>
        </w:rPr>
      </w:pPr>
      <w:r>
        <w:rPr>
          <w:rFonts w:ascii="Symbol" w:hAnsi="Symbol"/>
          <w:bCs/>
          <w:sz w:val="24"/>
        </w:rPr>
        <w:t></w:t>
      </w:r>
      <w:r>
        <w:tab/>
      </w:r>
      <w:r>
        <w:rPr>
          <w:bCs/>
          <w:sz w:val="24"/>
        </w:rPr>
        <w:t xml:space="preserve">C44.00: A tőkeáttételi mutatóra vonatkozó 5. tábla (LR5): Általános </w:t>
      </w:r>
      <w:proofErr w:type="gramStart"/>
      <w:r>
        <w:rPr>
          <w:bCs/>
          <w:sz w:val="24"/>
        </w:rPr>
        <w:t>információk</w:t>
      </w:r>
      <w:proofErr w:type="gramEnd"/>
      <w:r>
        <w:rPr>
          <w:bCs/>
          <w:sz w:val="24"/>
        </w:rPr>
        <w:t>,</w:t>
      </w:r>
    </w:p>
    <w:p w14:paraId="7D668F4C" w14:textId="2EF3E327" w:rsidR="00BE473C" w:rsidRPr="000B66BC" w:rsidRDefault="00BE473C" w:rsidP="009339D1">
      <w:pPr>
        <w:pStyle w:val="InstructionsText2"/>
        <w:numPr>
          <w:ilvl w:val="0"/>
          <w:numId w:val="35"/>
        </w:numPr>
        <w:rPr>
          <w:rFonts w:eastAsia="Times New Roman"/>
          <w:bCs/>
          <w:sz w:val="24"/>
        </w:rPr>
      </w:pPr>
      <w:r>
        <w:rPr>
          <w:bCs/>
          <w:sz w:val="24"/>
        </w:rPr>
        <w:t xml:space="preserve">C48.00: A tőkeáttételi mutató </w:t>
      </w:r>
      <w:proofErr w:type="spellStart"/>
      <w:r>
        <w:rPr>
          <w:bCs/>
          <w:sz w:val="24"/>
        </w:rPr>
        <w:t>volatilitása</w:t>
      </w:r>
      <w:proofErr w:type="spellEnd"/>
      <w:r>
        <w:rPr>
          <w:bCs/>
          <w:sz w:val="24"/>
        </w:rPr>
        <w:t xml:space="preserve"> (LR6).</w:t>
      </w:r>
    </w:p>
    <w:p w14:paraId="6D2FC52A" w14:textId="5D5E1B5E" w:rsidR="00FC2664" w:rsidRPr="000B66BC" w:rsidRDefault="00500508" w:rsidP="000B66BC">
      <w:pPr>
        <w:pStyle w:val="InstructionsText2"/>
        <w:numPr>
          <w:ilvl w:val="0"/>
          <w:numId w:val="0"/>
        </w:numPr>
        <w:ind w:left="720" w:hanging="360"/>
        <w:rPr>
          <w:sz w:val="24"/>
        </w:rPr>
      </w:pPr>
      <w:r>
        <w:rPr>
          <w:bCs/>
          <w:sz w:val="24"/>
        </w:rPr>
        <w:t>3.</w:t>
      </w:r>
      <w:r>
        <w:tab/>
      </w:r>
      <w:r>
        <w:rPr>
          <w:bCs/>
          <w:sz w:val="24"/>
        </w:rPr>
        <w:t xml:space="preserve">Minden táblához rendelkezésre állnak a jogszabályi hivatkozások, valamint az adatszolgáltatás általánosabb szempontjaival kapcsolatos részletesebb </w:t>
      </w:r>
      <w:proofErr w:type="gramStart"/>
      <w:r>
        <w:rPr>
          <w:bCs/>
          <w:sz w:val="24"/>
        </w:rPr>
        <w:t>információk</w:t>
      </w:r>
      <w:proofErr w:type="gramEnd"/>
      <w:r>
        <w:rPr>
          <w:bCs/>
          <w:sz w:val="24"/>
        </w:rPr>
        <w:t>.</w:t>
      </w:r>
    </w:p>
    <w:p w14:paraId="5CABBDF6" w14:textId="77777777" w:rsidR="00217D1F" w:rsidRPr="000B66BC" w:rsidRDefault="00500508" w:rsidP="000B66BC">
      <w:pPr>
        <w:pStyle w:val="BodyText1"/>
        <w:spacing w:after="240"/>
        <w:ind w:left="357" w:hanging="357"/>
        <w:outlineLvl w:val="2"/>
        <w:rPr>
          <w:rFonts w:ascii="Times New Roman" w:hAnsi="Times New Roman"/>
          <w:b/>
          <w:sz w:val="24"/>
          <w:szCs w:val="24"/>
        </w:rPr>
      </w:pPr>
      <w:bookmarkStart w:id="17" w:name="_Toc359414277"/>
      <w:bookmarkStart w:id="18" w:name="_Toc322687867"/>
      <w:bookmarkStart w:id="19" w:name="_Toc351048502"/>
      <w:bookmarkStart w:id="20" w:name="_Toc359414278"/>
      <w:bookmarkStart w:id="21" w:name="_Toc423089063"/>
      <w:bookmarkStart w:id="22" w:name="_Toc58916205"/>
      <w:bookmarkEnd w:id="17"/>
      <w:r>
        <w:rPr>
          <w:rFonts w:ascii="Times New Roman" w:hAnsi="Times New Roman"/>
          <w:b/>
          <w:sz w:val="24"/>
          <w:szCs w:val="24"/>
        </w:rPr>
        <w:t>1.2.</w:t>
      </w:r>
      <w:r>
        <w:tab/>
      </w:r>
      <w:r>
        <w:rPr>
          <w:rFonts w:ascii="Times New Roman" w:hAnsi="Times New Roman"/>
          <w:b/>
          <w:sz w:val="24"/>
          <w:szCs w:val="24"/>
        </w:rPr>
        <w:t>Számozási szabályok</w:t>
      </w:r>
      <w:bookmarkEnd w:id="18"/>
      <w:bookmarkEnd w:id="19"/>
      <w:bookmarkEnd w:id="20"/>
      <w:bookmarkEnd w:id="21"/>
      <w:bookmarkEnd w:id="22"/>
    </w:p>
    <w:p w14:paraId="729F6A05" w14:textId="77777777" w:rsidR="00F4754B" w:rsidRPr="000B66BC" w:rsidRDefault="00500508" w:rsidP="009339D1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4.</w:t>
      </w:r>
      <w:r>
        <w:tab/>
      </w:r>
      <w:r>
        <w:rPr>
          <w:bCs/>
          <w:sz w:val="24"/>
        </w:rPr>
        <w:t xml:space="preserve">A táblák oszlopaira, soraira és mezőire való hivatkozáskor a </w:t>
      </w:r>
      <w:proofErr w:type="gramStart"/>
      <w:r>
        <w:rPr>
          <w:bCs/>
          <w:sz w:val="24"/>
        </w:rPr>
        <w:t>dokumentum</w:t>
      </w:r>
      <w:proofErr w:type="gramEnd"/>
      <w:r>
        <w:rPr>
          <w:bCs/>
          <w:sz w:val="24"/>
        </w:rPr>
        <w:t xml:space="preserve"> a következő pontokban meghatározott jelölési szabályokat követi. Ezeket a numerikus kódokat kimerítően használják a </w:t>
      </w:r>
      <w:proofErr w:type="spellStart"/>
      <w:r>
        <w:rPr>
          <w:bCs/>
          <w:sz w:val="24"/>
        </w:rPr>
        <w:t>validálási</w:t>
      </w:r>
      <w:proofErr w:type="spellEnd"/>
      <w:r>
        <w:rPr>
          <w:bCs/>
          <w:sz w:val="24"/>
        </w:rPr>
        <w:t xml:space="preserve"> szabályok.</w:t>
      </w:r>
    </w:p>
    <w:p w14:paraId="68B33760" w14:textId="77777777" w:rsidR="00F4754B" w:rsidRPr="000B66BC" w:rsidRDefault="00500508" w:rsidP="009339D1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5.</w:t>
      </w:r>
      <w:r>
        <w:tab/>
      </w:r>
      <w:r>
        <w:rPr>
          <w:bCs/>
          <w:sz w:val="24"/>
        </w:rPr>
        <w:t>Az útmutató a következő általános jelölést követi: {</w:t>
      </w:r>
      <w:proofErr w:type="spellStart"/>
      <w:r>
        <w:rPr>
          <w:bCs/>
          <w:sz w:val="24"/>
        </w:rPr>
        <w:t>Tábla</w:t>
      </w:r>
      <w:proofErr w:type="gramStart"/>
      <w:r>
        <w:rPr>
          <w:bCs/>
          <w:sz w:val="24"/>
        </w:rPr>
        <w:t>;Sor</w:t>
      </w:r>
      <w:proofErr w:type="gramEnd"/>
      <w:r>
        <w:rPr>
          <w:bCs/>
          <w:sz w:val="24"/>
        </w:rPr>
        <w:t>;Oszlop</w:t>
      </w:r>
      <w:proofErr w:type="spellEnd"/>
      <w:r>
        <w:rPr>
          <w:bCs/>
          <w:sz w:val="24"/>
        </w:rPr>
        <w:t>}. A teljes sorokat vagy oszlopokat csillag jelöli.</w:t>
      </w:r>
    </w:p>
    <w:p w14:paraId="3E605DEE" w14:textId="77777777" w:rsidR="00F4754B" w:rsidRPr="000B66BC" w:rsidRDefault="00500508" w:rsidP="009339D1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6.</w:t>
      </w:r>
      <w:r>
        <w:tab/>
      </w:r>
      <w:r>
        <w:rPr>
          <w:bCs/>
          <w:sz w:val="24"/>
        </w:rPr>
        <w:t xml:space="preserve">Táblán belüli – csak az adott tábla adatpontjaira támaszkodó – </w:t>
      </w:r>
      <w:proofErr w:type="spellStart"/>
      <w:r>
        <w:rPr>
          <w:bCs/>
          <w:sz w:val="24"/>
        </w:rPr>
        <w:t>validálások</w:t>
      </w:r>
      <w:proofErr w:type="spellEnd"/>
      <w:r>
        <w:rPr>
          <w:bCs/>
          <w:sz w:val="24"/>
        </w:rPr>
        <w:t xml:space="preserve"> esetében a jelölés nem hivatkozik a táblára: {</w:t>
      </w:r>
      <w:proofErr w:type="spellStart"/>
      <w:r>
        <w:rPr>
          <w:bCs/>
          <w:sz w:val="24"/>
        </w:rPr>
        <w:t>Sor</w:t>
      </w:r>
      <w:proofErr w:type="gramStart"/>
      <w:r>
        <w:rPr>
          <w:bCs/>
          <w:sz w:val="24"/>
        </w:rPr>
        <w:t>;Oszlop</w:t>
      </w:r>
      <w:proofErr w:type="spellEnd"/>
      <w:proofErr w:type="gramEnd"/>
      <w:r>
        <w:rPr>
          <w:bCs/>
          <w:sz w:val="24"/>
        </w:rPr>
        <w:t>}.</w:t>
      </w:r>
    </w:p>
    <w:p w14:paraId="12003733" w14:textId="22AC7641" w:rsidR="00F4754B" w:rsidRPr="000B66BC" w:rsidRDefault="00500508" w:rsidP="009339D1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7.</w:t>
      </w:r>
      <w:r>
        <w:tab/>
      </w:r>
      <w:r>
        <w:rPr>
          <w:bCs/>
          <w:sz w:val="24"/>
        </w:rPr>
        <w:t xml:space="preserve">A tőkeáttételre vonatkozó adatszolgáltatási táblákban az „ebből” kifejezés egy magasabb szintű kitettségi </w:t>
      </w:r>
      <w:proofErr w:type="gramStart"/>
      <w:r>
        <w:rPr>
          <w:bCs/>
          <w:sz w:val="24"/>
        </w:rPr>
        <w:t>kategória</w:t>
      </w:r>
      <w:proofErr w:type="gramEnd"/>
      <w:r>
        <w:rPr>
          <w:bCs/>
          <w:sz w:val="24"/>
        </w:rPr>
        <w:t xml:space="preserve"> részhalmazára utal, a „tájékoztató adat” pedig olyan külön tételre, amely nem részhalmaza valamely kitettségi osztálynak. Eltérő utasítás hiányában mind</w:t>
      </w:r>
      <w:r w:rsidR="005D4764">
        <w:rPr>
          <w:bCs/>
          <w:sz w:val="24"/>
        </w:rPr>
        <w:t>két mezőtípust ki kell tölteni.</w:t>
      </w:r>
    </w:p>
    <w:p w14:paraId="2D525ACC" w14:textId="77777777" w:rsidR="001D6F2F" w:rsidRPr="000B66BC" w:rsidRDefault="00500508" w:rsidP="000B66BC">
      <w:pPr>
        <w:pStyle w:val="BodyText1"/>
        <w:spacing w:after="240"/>
        <w:ind w:left="357" w:hanging="357"/>
        <w:outlineLvl w:val="2"/>
        <w:rPr>
          <w:rFonts w:ascii="Times New Roman" w:hAnsi="Times New Roman"/>
          <w:b/>
          <w:sz w:val="24"/>
          <w:szCs w:val="24"/>
        </w:rPr>
      </w:pPr>
      <w:bookmarkStart w:id="23" w:name="_Toc423089064"/>
      <w:bookmarkStart w:id="24" w:name="_Toc58916206"/>
      <w:r>
        <w:rPr>
          <w:rFonts w:ascii="Times New Roman" w:hAnsi="Times New Roman"/>
          <w:b/>
          <w:sz w:val="24"/>
          <w:szCs w:val="24"/>
        </w:rPr>
        <w:t>1.3.</w:t>
      </w:r>
      <w:r>
        <w:tab/>
      </w:r>
      <w:r>
        <w:rPr>
          <w:rFonts w:ascii="Times New Roman" w:hAnsi="Times New Roman"/>
          <w:b/>
          <w:sz w:val="24"/>
          <w:szCs w:val="24"/>
        </w:rPr>
        <w:t>Rövidítések</w:t>
      </w:r>
      <w:bookmarkEnd w:id="23"/>
      <w:bookmarkEnd w:id="24"/>
    </w:p>
    <w:p w14:paraId="72197A49" w14:textId="77777777" w:rsidR="00627E07" w:rsidRPr="000B66BC" w:rsidRDefault="00500508" w:rsidP="009339D1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 w:val="24"/>
        </w:rPr>
      </w:pPr>
      <w:bookmarkStart w:id="25" w:name="_Toc359414279"/>
      <w:bookmarkStart w:id="26" w:name="_Toc322687868"/>
      <w:bookmarkStart w:id="27" w:name="_Toc351048503"/>
      <w:bookmarkStart w:id="28" w:name="_Toc359414280"/>
      <w:bookmarkEnd w:id="25"/>
      <w:r>
        <w:rPr>
          <w:bCs/>
          <w:sz w:val="24"/>
        </w:rPr>
        <w:t>8.</w:t>
      </w:r>
      <w:r>
        <w:tab/>
      </w:r>
      <w:r>
        <w:rPr>
          <w:bCs/>
          <w:sz w:val="24"/>
        </w:rPr>
        <w:t>E melléklet és a vonatkozó táblák alkalmazásában a következő rövidítések használatosak:</w:t>
      </w:r>
    </w:p>
    <w:p w14:paraId="567537B5" w14:textId="77777777" w:rsidR="00627E07" w:rsidRPr="000B66BC" w:rsidRDefault="00500508" w:rsidP="009339D1">
      <w:pPr>
        <w:pStyle w:val="InstructionsText2"/>
        <w:numPr>
          <w:ilvl w:val="0"/>
          <w:numId w:val="0"/>
        </w:numPr>
        <w:ind w:left="1440" w:hanging="360"/>
        <w:rPr>
          <w:rFonts w:eastAsia="Times New Roman"/>
          <w:bCs/>
          <w:sz w:val="24"/>
        </w:rPr>
      </w:pPr>
      <w:proofErr w:type="gramStart"/>
      <w:r>
        <w:rPr>
          <w:bCs/>
          <w:sz w:val="24"/>
        </w:rPr>
        <w:lastRenderedPageBreak/>
        <w:t>a</w:t>
      </w:r>
      <w:proofErr w:type="gramEnd"/>
      <w:r>
        <w:rPr>
          <w:bCs/>
          <w:sz w:val="24"/>
        </w:rPr>
        <w:t>.</w:t>
      </w:r>
      <w:r>
        <w:tab/>
      </w:r>
      <w:r>
        <w:rPr>
          <w:bCs/>
          <w:sz w:val="24"/>
        </w:rPr>
        <w:t xml:space="preserve">CRR: a tőkekövetelményekről szóló 575/2013/EU rendelet (Capital </w:t>
      </w:r>
      <w:proofErr w:type="spellStart"/>
      <w:r>
        <w:rPr>
          <w:bCs/>
          <w:sz w:val="24"/>
        </w:rPr>
        <w:t>Requirements</w:t>
      </w:r>
      <w:proofErr w:type="spellEnd"/>
      <w:r>
        <w:rPr>
          <w:bCs/>
          <w:sz w:val="24"/>
        </w:rPr>
        <w:t xml:space="preserve"> </w:t>
      </w:r>
      <w:proofErr w:type="spellStart"/>
      <w:r>
        <w:rPr>
          <w:bCs/>
          <w:sz w:val="24"/>
        </w:rPr>
        <w:t>Regulation</w:t>
      </w:r>
      <w:proofErr w:type="spellEnd"/>
      <w:r>
        <w:rPr>
          <w:bCs/>
          <w:sz w:val="24"/>
        </w:rPr>
        <w:t>);</w:t>
      </w:r>
    </w:p>
    <w:p w14:paraId="69E6F7E3" w14:textId="77777777" w:rsidR="007E2989" w:rsidRPr="000B66BC" w:rsidRDefault="007E2989" w:rsidP="009339D1">
      <w:pPr>
        <w:pStyle w:val="InstructionsText2"/>
        <w:numPr>
          <w:ilvl w:val="0"/>
          <w:numId w:val="0"/>
        </w:numPr>
        <w:ind w:left="1440" w:hanging="360"/>
        <w:rPr>
          <w:rFonts w:eastAsia="Times New Roman"/>
          <w:bCs/>
          <w:sz w:val="24"/>
        </w:rPr>
      </w:pPr>
      <w:r>
        <w:rPr>
          <w:bCs/>
          <w:sz w:val="24"/>
        </w:rPr>
        <w:t xml:space="preserve">b. </w:t>
      </w:r>
      <w:r>
        <w:tab/>
      </w:r>
      <w:r>
        <w:rPr>
          <w:bCs/>
          <w:sz w:val="24"/>
        </w:rPr>
        <w:t xml:space="preserve">CRD: a tőkekövetelményekről szóló 2013/36/EU irányelv (Capital </w:t>
      </w:r>
      <w:proofErr w:type="spellStart"/>
      <w:r>
        <w:rPr>
          <w:bCs/>
          <w:sz w:val="24"/>
        </w:rPr>
        <w:t>Requirements</w:t>
      </w:r>
      <w:proofErr w:type="spellEnd"/>
      <w:r>
        <w:rPr>
          <w:bCs/>
          <w:sz w:val="24"/>
        </w:rPr>
        <w:t xml:space="preserve"> </w:t>
      </w:r>
      <w:proofErr w:type="spellStart"/>
      <w:r>
        <w:rPr>
          <w:bCs/>
          <w:sz w:val="24"/>
        </w:rPr>
        <w:t>Directive</w:t>
      </w:r>
      <w:proofErr w:type="spellEnd"/>
      <w:r>
        <w:rPr>
          <w:bCs/>
          <w:sz w:val="24"/>
        </w:rPr>
        <w:t>);</w:t>
      </w:r>
    </w:p>
    <w:p w14:paraId="5CC0B733" w14:textId="3EE7532F" w:rsidR="00627E07" w:rsidRPr="000B66BC" w:rsidRDefault="007E2989" w:rsidP="009339D1">
      <w:pPr>
        <w:pStyle w:val="InstructionsText2"/>
        <w:numPr>
          <w:ilvl w:val="0"/>
          <w:numId w:val="0"/>
        </w:numPr>
        <w:ind w:left="1440" w:hanging="360"/>
        <w:rPr>
          <w:rFonts w:eastAsia="Times New Roman"/>
          <w:bCs/>
          <w:sz w:val="24"/>
        </w:rPr>
      </w:pPr>
      <w:proofErr w:type="gramStart"/>
      <w:r>
        <w:rPr>
          <w:bCs/>
          <w:sz w:val="24"/>
        </w:rPr>
        <w:t>c.</w:t>
      </w:r>
      <w:proofErr w:type="gramEnd"/>
      <w:r>
        <w:tab/>
      </w:r>
      <w:r>
        <w:rPr>
          <w:bCs/>
          <w:sz w:val="24"/>
        </w:rPr>
        <w:t>SFT: értékpapír-finanszírozási ügylet (</w:t>
      </w:r>
      <w:proofErr w:type="spellStart"/>
      <w:r>
        <w:rPr>
          <w:bCs/>
          <w:sz w:val="24"/>
        </w:rPr>
        <w:t>Securities</w:t>
      </w:r>
      <w:proofErr w:type="spellEnd"/>
      <w:r>
        <w:rPr>
          <w:bCs/>
          <w:sz w:val="24"/>
        </w:rPr>
        <w:t xml:space="preserve"> </w:t>
      </w:r>
      <w:proofErr w:type="spellStart"/>
      <w:r>
        <w:rPr>
          <w:bCs/>
          <w:sz w:val="24"/>
        </w:rPr>
        <w:t>Financing</w:t>
      </w:r>
      <w:proofErr w:type="spellEnd"/>
      <w:r>
        <w:rPr>
          <w:bCs/>
          <w:sz w:val="24"/>
        </w:rPr>
        <w:t xml:space="preserve"> </w:t>
      </w:r>
      <w:proofErr w:type="spellStart"/>
      <w:r>
        <w:rPr>
          <w:bCs/>
          <w:sz w:val="24"/>
        </w:rPr>
        <w:t>Transactions</w:t>
      </w:r>
      <w:proofErr w:type="spellEnd"/>
      <w:r>
        <w:rPr>
          <w:bCs/>
          <w:sz w:val="24"/>
        </w:rPr>
        <w:t>), azaz az 575/2013/EU rendelet 4. cikke (1) bekezdésének 139. pontjában meghatározott „</w:t>
      </w:r>
      <w:proofErr w:type="spellStart"/>
      <w:r>
        <w:rPr>
          <w:bCs/>
          <w:sz w:val="24"/>
        </w:rPr>
        <w:t>repoügylet</w:t>
      </w:r>
      <w:proofErr w:type="spellEnd"/>
      <w:r>
        <w:rPr>
          <w:bCs/>
          <w:sz w:val="24"/>
        </w:rPr>
        <w:t>, értékpapírok vagy áruk kölcsönbe adása vagy kölcsönbe vétele, vagy értékpapírügylethez kapcsolódó hitel”.</w:t>
      </w:r>
    </w:p>
    <w:p w14:paraId="68410368" w14:textId="7E4CDAEF" w:rsidR="008E7068" w:rsidRPr="000B66BC" w:rsidRDefault="007E2989" w:rsidP="009339D1">
      <w:pPr>
        <w:pStyle w:val="InstructionsText2"/>
        <w:numPr>
          <w:ilvl w:val="0"/>
          <w:numId w:val="0"/>
        </w:numPr>
        <w:ind w:left="1440" w:hanging="360"/>
        <w:rPr>
          <w:rFonts w:eastAsia="Times New Roman"/>
          <w:bCs/>
          <w:sz w:val="24"/>
        </w:rPr>
      </w:pPr>
      <w:r>
        <w:rPr>
          <w:bCs/>
          <w:sz w:val="24"/>
        </w:rPr>
        <w:t>d.</w:t>
      </w:r>
      <w:r>
        <w:tab/>
      </w:r>
      <w:r>
        <w:rPr>
          <w:bCs/>
          <w:sz w:val="24"/>
        </w:rPr>
        <w:t xml:space="preserve">CRM: hitelkockázat-mérséklés (Credit </w:t>
      </w:r>
      <w:proofErr w:type="spellStart"/>
      <w:r>
        <w:rPr>
          <w:bCs/>
          <w:sz w:val="24"/>
        </w:rPr>
        <w:t>Risk</w:t>
      </w:r>
      <w:proofErr w:type="spellEnd"/>
      <w:r>
        <w:rPr>
          <w:bCs/>
          <w:sz w:val="24"/>
        </w:rPr>
        <w:t xml:space="preserve"> </w:t>
      </w:r>
      <w:proofErr w:type="spellStart"/>
      <w:r>
        <w:rPr>
          <w:bCs/>
          <w:sz w:val="24"/>
        </w:rPr>
        <w:t>Mitigation</w:t>
      </w:r>
      <w:proofErr w:type="spellEnd"/>
      <w:r>
        <w:rPr>
          <w:bCs/>
          <w:sz w:val="24"/>
        </w:rPr>
        <w:t>);</w:t>
      </w:r>
    </w:p>
    <w:p w14:paraId="212C8B7E" w14:textId="6577F157" w:rsidR="007E2989" w:rsidRPr="000B66BC" w:rsidRDefault="007E2989" w:rsidP="009339D1">
      <w:pPr>
        <w:pStyle w:val="InstructionsText2"/>
        <w:numPr>
          <w:ilvl w:val="0"/>
          <w:numId w:val="0"/>
        </w:numPr>
        <w:ind w:left="1440" w:hanging="360"/>
        <w:rPr>
          <w:rFonts w:eastAsia="Times New Roman"/>
          <w:bCs/>
          <w:sz w:val="24"/>
        </w:rPr>
      </w:pPr>
      <w:proofErr w:type="gramStart"/>
      <w:r>
        <w:rPr>
          <w:bCs/>
          <w:sz w:val="24"/>
        </w:rPr>
        <w:t>e</w:t>
      </w:r>
      <w:proofErr w:type="gramEnd"/>
      <w:r>
        <w:rPr>
          <w:bCs/>
          <w:sz w:val="24"/>
        </w:rPr>
        <w:t>.</w:t>
      </w:r>
      <w:r>
        <w:tab/>
      </w:r>
      <w:r>
        <w:rPr>
          <w:bCs/>
          <w:sz w:val="24"/>
        </w:rPr>
        <w:t>CSD: központi értéktár (</w:t>
      </w:r>
      <w:proofErr w:type="spellStart"/>
      <w:r>
        <w:rPr>
          <w:bCs/>
          <w:sz w:val="24"/>
        </w:rPr>
        <w:t>Central</w:t>
      </w:r>
      <w:proofErr w:type="spellEnd"/>
      <w:r>
        <w:rPr>
          <w:bCs/>
          <w:sz w:val="24"/>
        </w:rPr>
        <w:t xml:space="preserve"> </w:t>
      </w:r>
      <w:proofErr w:type="spellStart"/>
      <w:r>
        <w:rPr>
          <w:bCs/>
          <w:sz w:val="24"/>
        </w:rPr>
        <w:t>Securities</w:t>
      </w:r>
      <w:proofErr w:type="spellEnd"/>
      <w:r>
        <w:rPr>
          <w:bCs/>
          <w:sz w:val="24"/>
        </w:rPr>
        <w:t xml:space="preserve"> </w:t>
      </w:r>
      <w:proofErr w:type="spellStart"/>
      <w:r>
        <w:rPr>
          <w:bCs/>
          <w:sz w:val="24"/>
        </w:rPr>
        <w:t>Depository</w:t>
      </w:r>
      <w:proofErr w:type="spellEnd"/>
      <w:r>
        <w:rPr>
          <w:bCs/>
          <w:sz w:val="24"/>
        </w:rPr>
        <w:t>);</w:t>
      </w:r>
    </w:p>
    <w:p w14:paraId="44F02B07" w14:textId="457293D0" w:rsidR="007E2989" w:rsidRPr="000B66BC" w:rsidRDefault="007E2989" w:rsidP="009339D1">
      <w:pPr>
        <w:pStyle w:val="InstructionsText2"/>
        <w:numPr>
          <w:ilvl w:val="0"/>
          <w:numId w:val="0"/>
        </w:numPr>
        <w:ind w:left="1440" w:hanging="360"/>
        <w:rPr>
          <w:rFonts w:eastAsia="Times New Roman"/>
          <w:bCs/>
          <w:sz w:val="24"/>
        </w:rPr>
      </w:pPr>
      <w:proofErr w:type="gramStart"/>
      <w:r>
        <w:rPr>
          <w:bCs/>
          <w:sz w:val="24"/>
        </w:rPr>
        <w:t>f</w:t>
      </w:r>
      <w:proofErr w:type="gramEnd"/>
      <w:r>
        <w:rPr>
          <w:bCs/>
          <w:sz w:val="24"/>
        </w:rPr>
        <w:t xml:space="preserve">. </w:t>
      </w:r>
      <w:r>
        <w:tab/>
      </w:r>
      <w:r>
        <w:rPr>
          <w:bCs/>
          <w:sz w:val="24"/>
        </w:rPr>
        <w:t>QCCP: elfogadott központi szerződő fél (</w:t>
      </w:r>
      <w:proofErr w:type="spellStart"/>
      <w:r>
        <w:rPr>
          <w:bCs/>
          <w:sz w:val="24"/>
        </w:rPr>
        <w:t>Qualifying</w:t>
      </w:r>
      <w:proofErr w:type="spellEnd"/>
      <w:r>
        <w:rPr>
          <w:bCs/>
          <w:sz w:val="24"/>
        </w:rPr>
        <w:t xml:space="preserve"> </w:t>
      </w:r>
      <w:proofErr w:type="spellStart"/>
      <w:r>
        <w:rPr>
          <w:bCs/>
          <w:sz w:val="24"/>
        </w:rPr>
        <w:t>Central</w:t>
      </w:r>
      <w:proofErr w:type="spellEnd"/>
      <w:r>
        <w:rPr>
          <w:bCs/>
          <w:sz w:val="24"/>
        </w:rPr>
        <w:t xml:space="preserve"> </w:t>
      </w:r>
      <w:proofErr w:type="spellStart"/>
      <w:r>
        <w:rPr>
          <w:bCs/>
          <w:sz w:val="24"/>
        </w:rPr>
        <w:t>Counterparty</w:t>
      </w:r>
      <w:proofErr w:type="spellEnd"/>
      <w:r>
        <w:rPr>
          <w:bCs/>
          <w:sz w:val="24"/>
        </w:rPr>
        <w:t>);</w:t>
      </w:r>
    </w:p>
    <w:p w14:paraId="4CAF859B" w14:textId="77777777" w:rsidR="007E2989" w:rsidRPr="000B66BC" w:rsidRDefault="007E2989" w:rsidP="009339D1">
      <w:pPr>
        <w:pStyle w:val="InstructionsText2"/>
        <w:numPr>
          <w:ilvl w:val="0"/>
          <w:numId w:val="0"/>
        </w:numPr>
        <w:ind w:left="1440" w:hanging="360"/>
        <w:rPr>
          <w:rFonts w:eastAsia="Times New Roman"/>
          <w:bCs/>
          <w:sz w:val="24"/>
        </w:rPr>
      </w:pPr>
      <w:proofErr w:type="gramStart"/>
      <w:r>
        <w:rPr>
          <w:bCs/>
          <w:sz w:val="24"/>
        </w:rPr>
        <w:t>g</w:t>
      </w:r>
      <w:proofErr w:type="gramEnd"/>
      <w:r>
        <w:rPr>
          <w:bCs/>
          <w:sz w:val="24"/>
        </w:rPr>
        <w:t xml:space="preserve">. </w:t>
      </w:r>
      <w:r>
        <w:tab/>
      </w:r>
      <w:r>
        <w:rPr>
          <w:bCs/>
          <w:sz w:val="24"/>
        </w:rPr>
        <w:t xml:space="preserve">PFE: </w:t>
      </w:r>
      <w:proofErr w:type="gramStart"/>
      <w:r>
        <w:rPr>
          <w:bCs/>
          <w:sz w:val="24"/>
        </w:rPr>
        <w:t>potenciális</w:t>
      </w:r>
      <w:proofErr w:type="gramEnd"/>
      <w:r>
        <w:rPr>
          <w:bCs/>
          <w:sz w:val="24"/>
        </w:rPr>
        <w:t xml:space="preserve"> jövőbeli kitettség (</w:t>
      </w:r>
      <w:proofErr w:type="spellStart"/>
      <w:r>
        <w:rPr>
          <w:bCs/>
          <w:sz w:val="24"/>
        </w:rPr>
        <w:t>Potential</w:t>
      </w:r>
      <w:proofErr w:type="spellEnd"/>
      <w:r>
        <w:rPr>
          <w:bCs/>
          <w:sz w:val="24"/>
        </w:rPr>
        <w:t xml:space="preserve"> </w:t>
      </w:r>
      <w:proofErr w:type="spellStart"/>
      <w:r>
        <w:rPr>
          <w:bCs/>
          <w:sz w:val="24"/>
        </w:rPr>
        <w:t>Future</w:t>
      </w:r>
      <w:proofErr w:type="spellEnd"/>
      <w:r>
        <w:rPr>
          <w:bCs/>
          <w:sz w:val="24"/>
        </w:rPr>
        <w:t xml:space="preserve"> </w:t>
      </w:r>
      <w:proofErr w:type="spellStart"/>
      <w:r>
        <w:rPr>
          <w:bCs/>
          <w:sz w:val="24"/>
        </w:rPr>
        <w:t>Exposure</w:t>
      </w:r>
      <w:proofErr w:type="spellEnd"/>
      <w:r>
        <w:rPr>
          <w:bCs/>
          <w:sz w:val="24"/>
        </w:rPr>
        <w:t>).</w:t>
      </w:r>
    </w:p>
    <w:p w14:paraId="04A571E4" w14:textId="77777777" w:rsidR="00217D1F" w:rsidRPr="000B66BC" w:rsidRDefault="00500508" w:rsidP="000B66BC">
      <w:pPr>
        <w:pStyle w:val="BodyText1"/>
        <w:spacing w:after="240"/>
        <w:ind w:left="357" w:hanging="357"/>
        <w:outlineLvl w:val="2"/>
        <w:rPr>
          <w:rFonts w:ascii="Times New Roman" w:hAnsi="Times New Roman"/>
          <w:b/>
          <w:sz w:val="24"/>
          <w:szCs w:val="24"/>
        </w:rPr>
      </w:pPr>
      <w:bookmarkStart w:id="29" w:name="_Toc423089065"/>
      <w:bookmarkStart w:id="30" w:name="_Toc58916207"/>
      <w:r>
        <w:rPr>
          <w:rFonts w:ascii="Times New Roman" w:hAnsi="Times New Roman"/>
          <w:b/>
          <w:sz w:val="24"/>
          <w:szCs w:val="24"/>
        </w:rPr>
        <w:t>1.4.</w:t>
      </w:r>
      <w:r>
        <w:tab/>
      </w:r>
      <w:r>
        <w:rPr>
          <w:rFonts w:ascii="Times New Roman" w:hAnsi="Times New Roman"/>
          <w:b/>
          <w:sz w:val="24"/>
          <w:szCs w:val="24"/>
        </w:rPr>
        <w:t>Előjelre vonatkozó szabályok</w:t>
      </w:r>
      <w:bookmarkEnd w:id="14"/>
      <w:bookmarkEnd w:id="15"/>
      <w:bookmarkEnd w:id="26"/>
      <w:bookmarkEnd w:id="27"/>
      <w:bookmarkEnd w:id="28"/>
      <w:bookmarkEnd w:id="29"/>
      <w:bookmarkEnd w:id="30"/>
    </w:p>
    <w:p w14:paraId="077A5720" w14:textId="08AE4F7D" w:rsidR="0058289F" w:rsidRPr="000B66BC" w:rsidRDefault="00500508" w:rsidP="009339D1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 w:val="24"/>
        </w:rPr>
      </w:pPr>
      <w:bookmarkStart w:id="31" w:name="_Toc322687869"/>
      <w:r>
        <w:rPr>
          <w:bCs/>
          <w:sz w:val="24"/>
        </w:rPr>
        <w:t>9.</w:t>
      </w:r>
      <w:r>
        <w:tab/>
      </w:r>
      <w:r>
        <w:rPr>
          <w:bCs/>
          <w:sz w:val="24"/>
        </w:rPr>
        <w:t>Minden összeget pozitív számként kell feltüntetni.</w:t>
      </w:r>
      <w:bookmarkStart w:id="32" w:name="_Toc264033192"/>
      <w:bookmarkEnd w:id="32"/>
      <w:r>
        <w:rPr>
          <w:bCs/>
          <w:sz w:val="24"/>
        </w:rPr>
        <w:t xml:space="preserve"> Az alábbiak kivételével:</w:t>
      </w:r>
    </w:p>
    <w:p w14:paraId="7B6D27CF" w14:textId="222C2E2D" w:rsidR="0058289F" w:rsidRPr="000B66BC" w:rsidRDefault="00A5392D" w:rsidP="009339D1">
      <w:pPr>
        <w:pStyle w:val="InstructionsText2"/>
        <w:numPr>
          <w:ilvl w:val="0"/>
          <w:numId w:val="25"/>
        </w:numPr>
        <w:rPr>
          <w:rFonts w:eastAsia="Times New Roman"/>
          <w:bCs/>
          <w:sz w:val="24"/>
        </w:rPr>
      </w:pPr>
      <w:r>
        <w:rPr>
          <w:bCs/>
          <w:sz w:val="24"/>
        </w:rPr>
        <w:t>Azok a tételek, amelyek címkéjét negatív előjel (−) előzi meg, ahol az adott tételre vonatkozóan nem jelenthető pozitív érték.</w:t>
      </w:r>
    </w:p>
    <w:p w14:paraId="259D3174" w14:textId="186210E9" w:rsidR="00E40D66" w:rsidRPr="000B66BC" w:rsidRDefault="00E40D66" w:rsidP="009339D1">
      <w:pPr>
        <w:pStyle w:val="InstructionsText2"/>
        <w:numPr>
          <w:ilvl w:val="0"/>
          <w:numId w:val="25"/>
        </w:numPr>
        <w:rPr>
          <w:rFonts w:eastAsia="Times New Roman"/>
          <w:bCs/>
          <w:sz w:val="24"/>
        </w:rPr>
      </w:pPr>
      <w:r>
        <w:rPr>
          <w:bCs/>
          <w:sz w:val="24"/>
        </w:rPr>
        <w:t>{LRCalc</w:t>
      </w:r>
      <w:proofErr w:type="gramStart"/>
      <w:r>
        <w:rPr>
          <w:bCs/>
          <w:sz w:val="24"/>
        </w:rPr>
        <w:t>;0310</w:t>
      </w:r>
      <w:proofErr w:type="gramEnd"/>
      <w:r>
        <w:rPr>
          <w:bCs/>
          <w:sz w:val="24"/>
        </w:rPr>
        <w:t xml:space="preserve">;0010}, {LRCalc;0320;0010}, {LRCalc;0330;0010}, {LRCalc;0340;0010}, amelyek szélsőséges esetben </w:t>
      </w:r>
      <w:proofErr w:type="spellStart"/>
      <w:r>
        <w:rPr>
          <w:bCs/>
          <w:sz w:val="24"/>
        </w:rPr>
        <w:t>felvehetnek</w:t>
      </w:r>
      <w:proofErr w:type="spellEnd"/>
      <w:r>
        <w:rPr>
          <w:bCs/>
          <w:sz w:val="24"/>
        </w:rPr>
        <w:t xml:space="preserve"> negatív értéket, egyébként pozitív értékek.</w:t>
      </w:r>
    </w:p>
    <w:p w14:paraId="12B14317" w14:textId="012B994E" w:rsidR="001F28C3" w:rsidRPr="005D4764" w:rsidRDefault="0060741B" w:rsidP="005D4764">
      <w:pPr>
        <w:pStyle w:val="InstructionsText2"/>
        <w:numPr>
          <w:ilvl w:val="0"/>
          <w:numId w:val="25"/>
        </w:numPr>
        <w:rPr>
          <w:rFonts w:eastAsia="Times New Roman"/>
          <w:bCs/>
          <w:sz w:val="24"/>
        </w:rPr>
      </w:pPr>
      <w:r>
        <w:rPr>
          <w:bCs/>
          <w:sz w:val="24"/>
        </w:rPr>
        <w:t>{LRCalc</w:t>
      </w:r>
      <w:proofErr w:type="gramStart"/>
      <w:r>
        <w:rPr>
          <w:bCs/>
          <w:sz w:val="24"/>
        </w:rPr>
        <w:t>;0280</w:t>
      </w:r>
      <w:proofErr w:type="gramEnd"/>
      <w:r>
        <w:rPr>
          <w:bCs/>
          <w:sz w:val="24"/>
        </w:rPr>
        <w:t>;0010}, amely a CRR 473a. cikkének (7) bekezdése alapján pozitív értéket vehet fel, ellenkező esetben negatív érték.</w:t>
      </w:r>
    </w:p>
    <w:p w14:paraId="35677258" w14:textId="77777777" w:rsidR="00217D1F" w:rsidRPr="00864866" w:rsidRDefault="00F4754B" w:rsidP="000B66BC">
      <w:pPr>
        <w:pStyle w:val="BodyText1"/>
        <w:spacing w:after="240"/>
        <w:outlineLvl w:val="0"/>
        <w:rPr>
          <w:rFonts w:ascii="Times New Roman" w:hAnsi="Times New Roman"/>
          <w:b/>
          <w:sz w:val="24"/>
          <w:szCs w:val="24"/>
        </w:rPr>
      </w:pPr>
      <w:r>
        <w:br w:type="page"/>
      </w:r>
      <w:bookmarkStart w:id="33" w:name="_Toc351048504"/>
      <w:bookmarkStart w:id="34" w:name="_Toc359414281"/>
      <w:bookmarkStart w:id="35" w:name="_Toc423089066"/>
      <w:bookmarkStart w:id="36" w:name="_Toc58916208"/>
      <w:r>
        <w:rPr>
          <w:rFonts w:ascii="Times New Roman" w:hAnsi="Times New Roman"/>
          <w:b/>
          <w:sz w:val="24"/>
          <w:szCs w:val="24"/>
        </w:rPr>
        <w:lastRenderedPageBreak/>
        <w:t>II. RÉSZ: A TÁBLÁHOZ KAPCSOLÓDÓ ÚTMUTATÓ</w:t>
      </w:r>
      <w:bookmarkEnd w:id="31"/>
      <w:bookmarkEnd w:id="33"/>
      <w:bookmarkEnd w:id="34"/>
      <w:bookmarkEnd w:id="35"/>
      <w:bookmarkEnd w:id="36"/>
    </w:p>
    <w:p w14:paraId="4C8C375F" w14:textId="77777777" w:rsidR="00505096" w:rsidRPr="000B66BC" w:rsidRDefault="006F588E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37" w:name="_Toc423089068"/>
      <w:bookmarkStart w:id="38" w:name="_Toc359414283"/>
      <w:bookmarkStart w:id="39" w:name="_Toc322533849"/>
      <w:bookmarkStart w:id="40" w:name="_Toc58916209"/>
      <w:r>
        <w:rPr>
          <w:rFonts w:ascii="Times New Roman" w:hAnsi="Times New Roman"/>
          <w:b/>
          <w:sz w:val="24"/>
          <w:szCs w:val="24"/>
        </w:rPr>
        <w:t>1.</w:t>
      </w:r>
      <w:r>
        <w:tab/>
      </w:r>
      <w:r>
        <w:rPr>
          <w:rFonts w:ascii="Times New Roman" w:hAnsi="Times New Roman"/>
          <w:b/>
          <w:sz w:val="24"/>
          <w:szCs w:val="24"/>
        </w:rPr>
        <w:t>A tőkeáttételi mutató számításának képletei</w:t>
      </w:r>
      <w:bookmarkEnd w:id="37"/>
      <w:bookmarkEnd w:id="38"/>
      <w:bookmarkEnd w:id="40"/>
    </w:p>
    <w:p w14:paraId="23B05B4C" w14:textId="1AA1A60E" w:rsidR="00505096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tab/>
      </w:r>
      <w:r>
        <w:rPr>
          <w:rFonts w:ascii="Times New Roman" w:hAnsi="Times New Roman"/>
          <w:sz w:val="24"/>
          <w:szCs w:val="24"/>
        </w:rPr>
        <w:t xml:space="preserve">A tőkeáttételi mutató a tőkeértéken és a teljes kitettségértéken alapul, amelyet az </w:t>
      </w:r>
      <w:proofErr w:type="spellStart"/>
      <w:r>
        <w:rPr>
          <w:rFonts w:ascii="Times New Roman" w:hAnsi="Times New Roman"/>
          <w:sz w:val="24"/>
          <w:szCs w:val="24"/>
        </w:rPr>
        <w:t>LRCalc</w:t>
      </w:r>
      <w:proofErr w:type="spellEnd"/>
      <w:r>
        <w:rPr>
          <w:rFonts w:ascii="Times New Roman" w:hAnsi="Times New Roman"/>
          <w:sz w:val="24"/>
          <w:szCs w:val="24"/>
        </w:rPr>
        <w:t xml:space="preserve"> táblában szere</w:t>
      </w:r>
      <w:r w:rsidR="005D4764">
        <w:rPr>
          <w:rFonts w:ascii="Times New Roman" w:hAnsi="Times New Roman"/>
          <w:sz w:val="24"/>
          <w:szCs w:val="24"/>
        </w:rPr>
        <w:t xml:space="preserve">plő </w:t>
      </w:r>
      <w:proofErr w:type="spellStart"/>
      <w:r w:rsidR="005D4764">
        <w:rPr>
          <w:rFonts w:ascii="Times New Roman" w:hAnsi="Times New Roman"/>
          <w:sz w:val="24"/>
          <w:szCs w:val="24"/>
        </w:rPr>
        <w:t>mezőkkel</w:t>
      </w:r>
      <w:proofErr w:type="spellEnd"/>
      <w:r w:rsidR="005D4764">
        <w:rPr>
          <w:rFonts w:ascii="Times New Roman" w:hAnsi="Times New Roman"/>
          <w:sz w:val="24"/>
          <w:szCs w:val="24"/>
        </w:rPr>
        <w:t xml:space="preserve"> lehet kiszámítani.</w:t>
      </w:r>
    </w:p>
    <w:p w14:paraId="25E094A5" w14:textId="09CDBDB2" w:rsidR="00F4754B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tab/>
      </w:r>
      <w:r>
        <w:rPr>
          <w:rFonts w:ascii="Times New Roman" w:hAnsi="Times New Roman"/>
          <w:sz w:val="24"/>
          <w:szCs w:val="24"/>
        </w:rPr>
        <w:t>Tőkeáttételi mutató – teljes mértékben bevezetett fogalom = {LRCalc</w:t>
      </w:r>
      <w:proofErr w:type="gramStart"/>
      <w:r>
        <w:rPr>
          <w:rFonts w:ascii="Times New Roman" w:hAnsi="Times New Roman"/>
          <w:sz w:val="24"/>
          <w:szCs w:val="24"/>
        </w:rPr>
        <w:t>;0310</w:t>
      </w:r>
      <w:proofErr w:type="gramEnd"/>
      <w:r>
        <w:rPr>
          <w:rFonts w:ascii="Times New Roman" w:hAnsi="Times New Roman"/>
          <w:sz w:val="24"/>
          <w:szCs w:val="24"/>
        </w:rPr>
        <w:t>;0010 }/ LRCalc;0290;0010}.</w:t>
      </w:r>
    </w:p>
    <w:p w14:paraId="0177EE20" w14:textId="51F58570" w:rsidR="00B8400B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tab/>
      </w:r>
      <w:r>
        <w:rPr>
          <w:rFonts w:ascii="Times New Roman" w:hAnsi="Times New Roman"/>
          <w:sz w:val="24"/>
          <w:szCs w:val="24"/>
        </w:rPr>
        <w:t>Tőkeáttételi mutató – átmeneti fogalom = {LRCalc</w:t>
      </w:r>
      <w:proofErr w:type="gramStart"/>
      <w:r>
        <w:rPr>
          <w:rFonts w:ascii="Times New Roman" w:hAnsi="Times New Roman"/>
          <w:sz w:val="24"/>
          <w:szCs w:val="24"/>
        </w:rPr>
        <w:t>;0320</w:t>
      </w:r>
      <w:proofErr w:type="gramEnd"/>
      <w:r>
        <w:rPr>
          <w:rFonts w:ascii="Times New Roman" w:hAnsi="Times New Roman"/>
          <w:sz w:val="24"/>
          <w:szCs w:val="24"/>
        </w:rPr>
        <w:t>;0010 }/ LRCalc;0300;0010}.</w:t>
      </w:r>
    </w:p>
    <w:p w14:paraId="5857476D" w14:textId="11118B79" w:rsidR="00505096" w:rsidRPr="000B66BC" w:rsidRDefault="005F4574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41" w:name="_Toc359414284"/>
      <w:bookmarkStart w:id="42" w:name="_Toc423089069"/>
      <w:bookmarkStart w:id="43" w:name="_Toc322533852"/>
      <w:bookmarkStart w:id="44" w:name="_Toc58916210"/>
      <w:bookmarkEnd w:id="39"/>
      <w:r>
        <w:rPr>
          <w:rFonts w:ascii="Times New Roman" w:hAnsi="Times New Roman"/>
          <w:b/>
          <w:sz w:val="24"/>
          <w:szCs w:val="24"/>
        </w:rPr>
        <w:t>2.</w:t>
      </w:r>
      <w:r>
        <w:tab/>
      </w:r>
      <w:r>
        <w:rPr>
          <w:rFonts w:ascii="Times New Roman" w:hAnsi="Times New Roman"/>
          <w:b/>
          <w:sz w:val="24"/>
          <w:szCs w:val="24"/>
        </w:rPr>
        <w:t>Lényegességi küszöbérték származtatott ügyletek esetében</w:t>
      </w:r>
      <w:bookmarkEnd w:id="41"/>
      <w:bookmarkEnd w:id="42"/>
      <w:bookmarkEnd w:id="44"/>
    </w:p>
    <w:p w14:paraId="677B6944" w14:textId="3E22E31F" w:rsidR="00F4754B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tab/>
      </w:r>
      <w:r>
        <w:rPr>
          <w:rFonts w:ascii="Times New Roman" w:hAnsi="Times New Roman"/>
          <w:sz w:val="24"/>
          <w:szCs w:val="24"/>
        </w:rPr>
        <w:t xml:space="preserve">Az adatszolgáltatási teher csökkentése érdekében a származtatott ügyletekből korlátozott mértékű kitettséggel rendelkező intézmények esetében a következő mérőszámok alkalmazandók a származtatott kitettségek teljes kitettségértékhez viszonyított </w:t>
      </w:r>
      <w:proofErr w:type="gramStart"/>
      <w:r>
        <w:rPr>
          <w:rFonts w:ascii="Times New Roman" w:hAnsi="Times New Roman"/>
          <w:sz w:val="24"/>
          <w:szCs w:val="24"/>
        </w:rPr>
        <w:t>relatív</w:t>
      </w:r>
      <w:proofErr w:type="gramEnd"/>
      <w:r>
        <w:rPr>
          <w:rFonts w:ascii="Times New Roman" w:hAnsi="Times New Roman"/>
          <w:sz w:val="24"/>
          <w:szCs w:val="24"/>
        </w:rPr>
        <w:t xml:space="preserve"> fontosságának mérésére a tőkeáttételi mutatóban. Az intézményeknek ezeket a mérőszámokat az alábbiak szerint kell kiszámítaniuk</w:t>
      </w:r>
      <w:bookmarkStart w:id="45" w:name="_Toc322533853"/>
      <w:bookmarkEnd w:id="43"/>
      <w:r>
        <w:rPr>
          <w:rFonts w:ascii="Times New Roman" w:hAnsi="Times New Roman"/>
          <w:sz w:val="24"/>
          <w:szCs w:val="24"/>
        </w:rPr>
        <w:t>:</w:t>
      </w:r>
    </w:p>
    <w:p w14:paraId="1388E099" w14:textId="4BC96778" w:rsidR="00354188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bookmarkStart w:id="46" w:name="_Toc322533854"/>
      <w:bookmarkEnd w:id="45"/>
      <w:r>
        <w:rPr>
          <w:rFonts w:ascii="Times New Roman" w:hAnsi="Times New Roman"/>
          <w:sz w:val="24"/>
          <w:szCs w:val="24"/>
        </w:rPr>
        <w:t>5.</w:t>
      </w:r>
      <w:r>
        <w:tab/>
      </w:r>
      <w:r>
        <w:rPr>
          <w:rFonts w:ascii="Times New Roman" w:hAnsi="Times New Roman"/>
          <w:sz w:val="24"/>
          <w:szCs w:val="24"/>
        </w:rPr>
        <w:t xml:space="preserve">Származtatott ügyletek kitettségértéken belüli részesedése = </w:t>
      </w:r>
      <m:oMath>
        <m:f>
          <m:fPr>
            <m:ctrlPr>
              <w:rPr>
                <w:rFonts w:ascii="Cambria Math" w:hAnsi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Sz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á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rmaztatott kitetts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é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g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é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rt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é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k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Teljes kitetts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é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g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é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rt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é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k</m:t>
            </m:r>
          </m:den>
        </m:f>
      </m:oMath>
      <w:r>
        <w:rPr>
          <w:rFonts w:ascii="Times New Roman" w:hAnsi="Times New Roman"/>
          <w:sz w:val="24"/>
          <w:szCs w:val="24"/>
        </w:rPr>
        <w:t>.</w:t>
      </w:r>
    </w:p>
    <w:p w14:paraId="59FDE449" w14:textId="7D30F780" w:rsidR="00FC2664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tab/>
      </w:r>
      <w:proofErr w:type="gramStart"/>
      <w:r>
        <w:rPr>
          <w:rFonts w:ascii="Times New Roman" w:hAnsi="Times New Roman"/>
          <w:sz w:val="24"/>
          <w:szCs w:val="24"/>
        </w:rPr>
        <w:t>Ahol a származtatott kitettségérték egyenlő: {LRCalc;0061;0010}+{LRCalc;0065;0010}+{LRCalc;0071;0010}+{LRCalc;0081;0010}+{LRCalc;0091;0010}+{LRCalc;0092;0010}+{LRCalc;0093;0010}+{LRCalc;0101;0010}+{LRCalc;0102;0010}+{LRCalc;0103;0010}+{LRCalc;0104;0010}+{LRCalc;0110;0010}+{LRCalc;0120;0010}+{LRCalc;0130;0010}+{LRCalc;0140;0010}</w:t>
      </w:r>
      <w:proofErr w:type="gramEnd"/>
    </w:p>
    <w:p w14:paraId="7C2BB4E9" w14:textId="1E407FFF" w:rsidR="00EB7F64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tab/>
      </w:r>
      <w:r>
        <w:rPr>
          <w:rFonts w:ascii="Times New Roman" w:hAnsi="Times New Roman"/>
          <w:sz w:val="24"/>
          <w:szCs w:val="24"/>
        </w:rPr>
        <w:t>Ahol a teljes kitettségérték egyenlő: {LRCalc</w:t>
      </w:r>
      <w:proofErr w:type="gramStart"/>
      <w:r>
        <w:rPr>
          <w:rFonts w:ascii="Times New Roman" w:hAnsi="Times New Roman"/>
          <w:sz w:val="24"/>
          <w:szCs w:val="24"/>
        </w:rPr>
        <w:t>;0290</w:t>
      </w:r>
      <w:proofErr w:type="gramEnd"/>
      <w:r>
        <w:rPr>
          <w:rFonts w:ascii="Times New Roman" w:hAnsi="Times New Roman"/>
          <w:sz w:val="24"/>
          <w:szCs w:val="24"/>
        </w:rPr>
        <w:t>;0010}.</w:t>
      </w:r>
    </w:p>
    <w:p w14:paraId="236C5046" w14:textId="3D6A3933" w:rsidR="00F4754B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>
        <w:tab/>
      </w:r>
      <w:r>
        <w:rPr>
          <w:rFonts w:ascii="Times New Roman" w:hAnsi="Times New Roman"/>
          <w:sz w:val="24"/>
          <w:szCs w:val="24"/>
        </w:rPr>
        <w:t>A származtatott ügyletek névleges összege = {LR1; 0010</w:t>
      </w:r>
      <w:proofErr w:type="gramStart"/>
      <w:r>
        <w:rPr>
          <w:rFonts w:ascii="Times New Roman" w:hAnsi="Times New Roman"/>
          <w:sz w:val="24"/>
          <w:szCs w:val="24"/>
        </w:rPr>
        <w:t>;0070</w:t>
      </w:r>
      <w:proofErr w:type="gramEnd"/>
      <w:r>
        <w:rPr>
          <w:rFonts w:ascii="Times New Roman" w:hAnsi="Times New Roman"/>
          <w:sz w:val="24"/>
          <w:szCs w:val="24"/>
        </w:rPr>
        <w:t>}. Ezt a mezőt mindig ki kell tölteniük az intézményeknek.</w:t>
      </w:r>
    </w:p>
    <w:p w14:paraId="5F8B3FC4" w14:textId="32C9016A" w:rsidR="00F4754B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>
        <w:tab/>
      </w:r>
      <w:proofErr w:type="spellStart"/>
      <w:r>
        <w:rPr>
          <w:rFonts w:ascii="Times New Roman" w:hAnsi="Times New Roman"/>
          <w:sz w:val="24"/>
          <w:szCs w:val="24"/>
        </w:rPr>
        <w:t>Hitelderivatívák</w:t>
      </w:r>
      <w:proofErr w:type="spellEnd"/>
      <w:r>
        <w:rPr>
          <w:rFonts w:ascii="Times New Roman" w:hAnsi="Times New Roman"/>
          <w:sz w:val="24"/>
          <w:szCs w:val="24"/>
        </w:rPr>
        <w:t xml:space="preserve"> értéke = {LR1</w:t>
      </w:r>
      <w:proofErr w:type="gramStart"/>
      <w:r>
        <w:rPr>
          <w:rFonts w:ascii="Times New Roman" w:hAnsi="Times New Roman"/>
          <w:sz w:val="24"/>
          <w:szCs w:val="24"/>
        </w:rPr>
        <w:t>;0020</w:t>
      </w:r>
      <w:proofErr w:type="gramEnd"/>
      <w:r>
        <w:rPr>
          <w:rFonts w:ascii="Times New Roman" w:hAnsi="Times New Roman"/>
          <w:sz w:val="24"/>
          <w:szCs w:val="24"/>
        </w:rPr>
        <w:t>;0070 } + {LR1;0050;0070}. Ezeket a mezőket mindig ki kell tölteniük az intézményeknek.</w:t>
      </w:r>
    </w:p>
    <w:p w14:paraId="10930518" w14:textId="07ED25AD" w:rsidR="00F4754B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>
        <w:tab/>
      </w:r>
      <w:r>
        <w:rPr>
          <w:rFonts w:ascii="Times New Roman" w:hAnsi="Times New Roman"/>
          <w:sz w:val="24"/>
          <w:szCs w:val="24"/>
        </w:rPr>
        <w:t>Az intézmények csak akkor kötelesek kitölteni a 13. pontban említett mezőket, ha a következő feltételek bármelyike teljesül:</w:t>
      </w:r>
    </w:p>
    <w:p w14:paraId="2564CD75" w14:textId="1B9B37E1" w:rsidR="00F4754B" w:rsidRPr="000B66BC" w:rsidRDefault="007A001B" w:rsidP="009339D1">
      <w:pPr>
        <w:pStyle w:val="InstructionsText2"/>
        <w:numPr>
          <w:ilvl w:val="0"/>
          <w:numId w:val="39"/>
        </w:numPr>
        <w:rPr>
          <w:rFonts w:eastAsia="Times New Roman"/>
          <w:bCs/>
          <w:sz w:val="24"/>
        </w:rPr>
      </w:pPr>
      <w:r>
        <w:rPr>
          <w:bCs/>
          <w:sz w:val="24"/>
        </w:rPr>
        <w:t>a származtatott ügyletek 5. pont szerinti, kitettségértéken belüli részesedése meghaladja a 1,5 %-</w:t>
      </w:r>
      <w:proofErr w:type="spellStart"/>
      <w:r>
        <w:rPr>
          <w:bCs/>
          <w:sz w:val="24"/>
        </w:rPr>
        <w:t>ot</w:t>
      </w:r>
      <w:proofErr w:type="spellEnd"/>
      <w:r>
        <w:rPr>
          <w:bCs/>
          <w:sz w:val="24"/>
        </w:rPr>
        <w:t>.</w:t>
      </w:r>
    </w:p>
    <w:p w14:paraId="272AC9A9" w14:textId="6954E060" w:rsidR="00675587" w:rsidRPr="000B66BC" w:rsidRDefault="007A001B" w:rsidP="009339D1">
      <w:pPr>
        <w:pStyle w:val="InstructionsText2"/>
        <w:numPr>
          <w:ilvl w:val="0"/>
          <w:numId w:val="39"/>
        </w:numPr>
        <w:rPr>
          <w:rFonts w:eastAsia="Times New Roman"/>
          <w:bCs/>
          <w:sz w:val="24"/>
        </w:rPr>
      </w:pPr>
      <w:r>
        <w:rPr>
          <w:bCs/>
          <w:sz w:val="24"/>
        </w:rPr>
        <w:t>a származtatott ügyletek 5. pont szerinti, kitettségértéken belüli részesedése meghaladja a 2,0 %-</w:t>
      </w:r>
      <w:proofErr w:type="spellStart"/>
      <w:r>
        <w:rPr>
          <w:bCs/>
          <w:sz w:val="24"/>
        </w:rPr>
        <w:t>ot</w:t>
      </w:r>
      <w:proofErr w:type="spellEnd"/>
      <w:r>
        <w:rPr>
          <w:bCs/>
          <w:sz w:val="24"/>
        </w:rPr>
        <w:t>.</w:t>
      </w:r>
    </w:p>
    <w:p w14:paraId="2F872F2A" w14:textId="7830BBF5" w:rsidR="00242493" w:rsidRPr="000B66BC" w:rsidRDefault="00242493" w:rsidP="009339D1">
      <w:pPr>
        <w:pStyle w:val="InstructionsText2"/>
        <w:numPr>
          <w:ilvl w:val="0"/>
          <w:numId w:val="0"/>
        </w:numPr>
        <w:ind w:left="709" w:firstLine="11"/>
        <w:rPr>
          <w:rFonts w:eastAsia="Times New Roman"/>
          <w:bCs/>
          <w:sz w:val="24"/>
        </w:rPr>
      </w:pPr>
      <w:r>
        <w:rPr>
          <w:bCs/>
          <w:sz w:val="24"/>
        </w:rPr>
        <w:t xml:space="preserve">E rendelet 4. cikkében foglalt be- és kilépési </w:t>
      </w:r>
      <w:proofErr w:type="gramStart"/>
      <w:r>
        <w:rPr>
          <w:bCs/>
          <w:sz w:val="24"/>
        </w:rPr>
        <w:t>kritériumokat</w:t>
      </w:r>
      <w:proofErr w:type="gramEnd"/>
      <w:r>
        <w:rPr>
          <w:bCs/>
          <w:sz w:val="24"/>
        </w:rPr>
        <w:t xml:space="preserve"> kell alkalmazni a b) pont kivételével, amelynek esetében az intézmények a küszöbérték túllépése utáni, következő adatszolgáltatási vonatkozási időponttól kezdik meg az adatszolgáltatást.</w:t>
      </w:r>
    </w:p>
    <w:p w14:paraId="70291EC5" w14:textId="77777777" w:rsidR="00F4754B" w:rsidRPr="000B66BC" w:rsidRDefault="00F4754B" w:rsidP="000B66BC">
      <w:pPr>
        <w:pStyle w:val="BodyText1"/>
        <w:spacing w:after="240" w:line="240" w:lineRule="auto"/>
        <w:rPr>
          <w:rFonts w:ascii="Times New Roman" w:hAnsi="Times New Roman"/>
          <w:sz w:val="24"/>
          <w:szCs w:val="24"/>
        </w:rPr>
      </w:pPr>
    </w:p>
    <w:p w14:paraId="748E5477" w14:textId="35CC7961" w:rsidR="00F4754B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11.</w:t>
      </w:r>
      <w:r>
        <w:tab/>
      </w:r>
      <w:r>
        <w:rPr>
          <w:rFonts w:ascii="Times New Roman" w:hAnsi="Times New Roman"/>
          <w:sz w:val="24"/>
          <w:szCs w:val="24"/>
        </w:rPr>
        <w:t>Azon intézmények, amelyek esetében a származtatott ügyleteknek a 8. pontban meghatározott névleges összege meghaladja a 10 milliárd EUR-t, akkor is kötelesek kitölteni a 13. pontban említett mezőket, ha a származtatott ügyletek kitettségértéken belüli részesedése nem felel meg a 10. pontban leírt feltételeknek.</w:t>
      </w:r>
    </w:p>
    <w:p w14:paraId="48A7F7A1" w14:textId="00594413" w:rsidR="00242493" w:rsidRPr="000B66BC" w:rsidRDefault="00242493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tab/>
      </w:r>
      <w:r>
        <w:rPr>
          <w:rFonts w:ascii="Times New Roman" w:hAnsi="Times New Roman"/>
          <w:sz w:val="24"/>
          <w:szCs w:val="24"/>
        </w:rPr>
        <w:t xml:space="preserve">E rendelet 4. cikkének belépési </w:t>
      </w:r>
      <w:proofErr w:type="gramStart"/>
      <w:r>
        <w:rPr>
          <w:rFonts w:ascii="Times New Roman" w:hAnsi="Times New Roman"/>
          <w:sz w:val="24"/>
          <w:szCs w:val="24"/>
        </w:rPr>
        <w:t>kritériumai</w:t>
      </w:r>
      <w:proofErr w:type="gramEnd"/>
      <w:r>
        <w:rPr>
          <w:rFonts w:ascii="Times New Roman" w:hAnsi="Times New Roman"/>
          <w:sz w:val="24"/>
          <w:szCs w:val="24"/>
        </w:rPr>
        <w:t xml:space="preserve"> nem alkalmazandók a (4) bekezdésre. Az intézmények attól a következő adatszolgáltatási vonatkozási időponttól kezdik meg az adatszolgáltatást, ahol egy adatszolgáltatási vonatkozási időpontban túllépték a küszöbértéket.</w:t>
      </w:r>
    </w:p>
    <w:p w14:paraId="49F753AA" w14:textId="0D7F1C4D" w:rsidR="00F4754B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>
        <w:tab/>
      </w:r>
      <w:r>
        <w:rPr>
          <w:rFonts w:ascii="Times New Roman" w:hAnsi="Times New Roman"/>
          <w:sz w:val="24"/>
          <w:szCs w:val="24"/>
        </w:rPr>
        <w:t>Az intézmények csak akkor kötelesek kitölteni a 14. pontban említett mezőket, ha a következő feltételek bármelyike teljesül:</w:t>
      </w:r>
    </w:p>
    <w:p w14:paraId="3F12E5B0" w14:textId="61844629" w:rsidR="00F4754B" w:rsidRPr="000B66BC" w:rsidRDefault="007A001B" w:rsidP="009339D1">
      <w:pPr>
        <w:pStyle w:val="InstructionsText2"/>
        <w:numPr>
          <w:ilvl w:val="0"/>
          <w:numId w:val="40"/>
        </w:numPr>
        <w:rPr>
          <w:rFonts w:eastAsia="Times New Roman"/>
          <w:bCs/>
          <w:sz w:val="24"/>
        </w:rPr>
      </w:pPr>
      <w:r>
        <w:rPr>
          <w:sz w:val="24"/>
        </w:rPr>
        <w:t xml:space="preserve">a </w:t>
      </w:r>
      <w:proofErr w:type="spellStart"/>
      <w:r>
        <w:rPr>
          <w:sz w:val="24"/>
        </w:rPr>
        <w:t>hitelderivatíváknak</w:t>
      </w:r>
      <w:proofErr w:type="spellEnd"/>
      <w:r>
        <w:rPr>
          <w:sz w:val="24"/>
        </w:rPr>
        <w:t xml:space="preserve"> a 9. pont szerinti értéke meghaladja az 300 millió EUR-t.</w:t>
      </w:r>
    </w:p>
    <w:p w14:paraId="53026947" w14:textId="5B38C368" w:rsidR="00675587" w:rsidRPr="000B66BC" w:rsidRDefault="007A001B" w:rsidP="009339D1">
      <w:pPr>
        <w:pStyle w:val="InstructionsText2"/>
        <w:numPr>
          <w:ilvl w:val="0"/>
          <w:numId w:val="40"/>
        </w:numPr>
        <w:rPr>
          <w:rFonts w:eastAsia="Times New Roman"/>
          <w:bCs/>
          <w:sz w:val="24"/>
        </w:rPr>
      </w:pPr>
      <w:r>
        <w:rPr>
          <w:bCs/>
          <w:sz w:val="24"/>
        </w:rPr>
        <w:t xml:space="preserve">a </w:t>
      </w:r>
      <w:proofErr w:type="spellStart"/>
      <w:r>
        <w:rPr>
          <w:bCs/>
          <w:sz w:val="24"/>
        </w:rPr>
        <w:t>hitelderivatíváknak</w:t>
      </w:r>
      <w:proofErr w:type="spellEnd"/>
      <w:r>
        <w:rPr>
          <w:bCs/>
          <w:sz w:val="24"/>
        </w:rPr>
        <w:t xml:space="preserve"> a 9. pont szerinti értéke meghaladja az 500 millió EUR-t.</w:t>
      </w:r>
    </w:p>
    <w:p w14:paraId="3B88084F" w14:textId="34241752" w:rsidR="00F4754B" w:rsidRPr="000B66BC" w:rsidRDefault="00242493" w:rsidP="000B66BC">
      <w:pPr>
        <w:pStyle w:val="InstructionsText2"/>
        <w:numPr>
          <w:ilvl w:val="0"/>
          <w:numId w:val="0"/>
        </w:numPr>
        <w:ind w:left="709" w:firstLine="11"/>
        <w:rPr>
          <w:sz w:val="24"/>
        </w:rPr>
      </w:pPr>
      <w:r>
        <w:rPr>
          <w:bCs/>
          <w:sz w:val="24"/>
        </w:rPr>
        <w:t xml:space="preserve">E rendelet 4. cikkében foglalt be- és kilépési </w:t>
      </w:r>
      <w:proofErr w:type="gramStart"/>
      <w:r>
        <w:rPr>
          <w:bCs/>
          <w:sz w:val="24"/>
        </w:rPr>
        <w:t>kritériumokat</w:t>
      </w:r>
      <w:proofErr w:type="gramEnd"/>
      <w:r>
        <w:rPr>
          <w:bCs/>
          <w:sz w:val="24"/>
        </w:rPr>
        <w:t xml:space="preserve"> kell alkalmazni a b) pont kivételével, amely esetében az intézmények attól a következő adatszolgáltatási vonatkozási időponttól kezdik meg az adatszolgáltatást, ahol egy adatszolgáltatási vonatkozási időpontban túllépték a küszöbértéket.</w:t>
      </w:r>
    </w:p>
    <w:p w14:paraId="6CB3856E" w14:textId="36C7913E" w:rsidR="00F4754B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</w:r>
      <w:r>
        <w:tab/>
      </w:r>
      <w:proofErr w:type="gramStart"/>
      <w:r>
        <w:rPr>
          <w:rFonts w:ascii="Times New Roman" w:hAnsi="Times New Roman"/>
          <w:sz w:val="24"/>
          <w:szCs w:val="24"/>
        </w:rPr>
        <w:t>Az intézmények által a 10. és 11. pont értelmében kitöltendő mezők a következők: {LR1;0010;0010}, {LR1;0010;0020}, {LR1;0020;0010}, {LR1;0020;0020}, {LR1;0030;0070}, {LR1;0040;0070}, {LR1;0050;0010}, {LR1;0050;0020}, {LR1;0060;0010}, {LR1;0060;0020} és {LR1;0060;0070}.</w:t>
      </w:r>
      <w:proofErr w:type="gramEnd"/>
    </w:p>
    <w:p w14:paraId="6F47B92E" w14:textId="36B5B5EF" w:rsidR="00F4754B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>
        <w:tab/>
      </w:r>
      <w:r>
        <w:rPr>
          <w:rFonts w:ascii="Times New Roman" w:hAnsi="Times New Roman"/>
          <w:sz w:val="24"/>
          <w:szCs w:val="24"/>
        </w:rPr>
        <w:t>Az intézmények által a 12. pont értelmében kitöltendő mezők a következők: {LR1</w:t>
      </w:r>
      <w:proofErr w:type="gramStart"/>
      <w:r>
        <w:rPr>
          <w:rFonts w:ascii="Times New Roman" w:hAnsi="Times New Roman"/>
          <w:sz w:val="24"/>
          <w:szCs w:val="24"/>
        </w:rPr>
        <w:t>;0020</w:t>
      </w:r>
      <w:proofErr w:type="gramEnd"/>
      <w:r>
        <w:rPr>
          <w:rFonts w:ascii="Times New Roman" w:hAnsi="Times New Roman"/>
          <w:sz w:val="24"/>
          <w:szCs w:val="24"/>
        </w:rPr>
        <w:t>;0075}, {LR1;0050;0075} és {LR1;0050;0085}.</w:t>
      </w:r>
    </w:p>
    <w:p w14:paraId="00E6EF91" w14:textId="4226172D" w:rsidR="00217D1F" w:rsidRPr="000B66BC" w:rsidRDefault="005F4574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47" w:name="_Toc359414285"/>
      <w:bookmarkStart w:id="48" w:name="_Toc423089070"/>
      <w:bookmarkStart w:id="49" w:name="_Toc322687879"/>
      <w:bookmarkStart w:id="50" w:name="_Toc315961853"/>
      <w:bookmarkStart w:id="51" w:name="_Toc58916211"/>
      <w:bookmarkEnd w:id="46"/>
      <w:r>
        <w:rPr>
          <w:rFonts w:ascii="Times New Roman" w:hAnsi="Times New Roman"/>
          <w:b/>
          <w:sz w:val="24"/>
          <w:szCs w:val="24"/>
        </w:rPr>
        <w:t>3.</w:t>
      </w:r>
      <w:r>
        <w:tab/>
      </w:r>
      <w:bookmarkStart w:id="52" w:name="_Toc351048506"/>
      <w:r>
        <w:rPr>
          <w:rFonts w:ascii="Times New Roman" w:hAnsi="Times New Roman"/>
          <w:b/>
          <w:sz w:val="24"/>
          <w:szCs w:val="24"/>
        </w:rPr>
        <w:t xml:space="preserve">C 47.00 – </w:t>
      </w: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tőkeáttételi mutató számítása (</w:t>
      </w:r>
      <w:proofErr w:type="spellStart"/>
      <w:r>
        <w:rPr>
          <w:rFonts w:ascii="Times New Roman" w:hAnsi="Times New Roman"/>
          <w:b/>
          <w:sz w:val="24"/>
          <w:szCs w:val="24"/>
        </w:rPr>
        <w:t>LRCalc</w:t>
      </w:r>
      <w:proofErr w:type="spellEnd"/>
      <w:r>
        <w:rPr>
          <w:rFonts w:ascii="Times New Roman" w:hAnsi="Times New Roman"/>
          <w:b/>
          <w:sz w:val="24"/>
          <w:szCs w:val="24"/>
        </w:rPr>
        <w:t>)</w:t>
      </w:r>
      <w:bookmarkEnd w:id="47"/>
      <w:bookmarkEnd w:id="48"/>
      <w:bookmarkEnd w:id="51"/>
      <w:bookmarkEnd w:id="52"/>
    </w:p>
    <w:p w14:paraId="5579B71F" w14:textId="0D8FF6E3" w:rsidR="00AE2798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</w:t>
      </w:r>
      <w:r>
        <w:tab/>
      </w:r>
      <w:r>
        <w:rPr>
          <w:rFonts w:ascii="Times New Roman" w:hAnsi="Times New Roman"/>
          <w:sz w:val="24"/>
          <w:szCs w:val="24"/>
        </w:rPr>
        <w:t>Ez az adatszolgáltatási tábla gyűjti össze azokat az adatokat, amelyekre a tőkeáttételi mutatónak a CRR 429. cikkében meghatározottak szeri</w:t>
      </w:r>
      <w:r w:rsidR="005D4764">
        <w:rPr>
          <w:rFonts w:ascii="Times New Roman" w:hAnsi="Times New Roman"/>
          <w:sz w:val="24"/>
          <w:szCs w:val="24"/>
        </w:rPr>
        <w:t>nti kiszámításához van szükség.</w:t>
      </w:r>
    </w:p>
    <w:p w14:paraId="0E7DE041" w14:textId="23463C95" w:rsidR="00AE2798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</w:t>
      </w:r>
      <w:r>
        <w:tab/>
      </w:r>
      <w:r>
        <w:rPr>
          <w:rFonts w:ascii="Times New Roman" w:hAnsi="Times New Roman"/>
          <w:sz w:val="24"/>
          <w:szCs w:val="24"/>
        </w:rPr>
        <w:t>Az intézményeknek negyedévente kell adatot szolgáltatniuk a tőkeáttételi mutatóról. Az „adatszolgáltatási vonatkozási időpont” szerinti érték mindig az adott negyedév harmadik hónapjának utolsó naptári napján fennálló érték.</w:t>
      </w:r>
    </w:p>
    <w:p w14:paraId="36716E2F" w14:textId="501E6CBB" w:rsidR="00941862" w:rsidRPr="000B66BC" w:rsidRDefault="008B4710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</w:t>
      </w:r>
      <w:r>
        <w:tab/>
      </w:r>
      <w:r>
        <w:rPr>
          <w:rFonts w:ascii="Times New Roman" w:hAnsi="Times New Roman"/>
          <w:sz w:val="24"/>
          <w:szCs w:val="24"/>
        </w:rPr>
        <w:t>Az intézményeknek az e melléklet I. részének 9. pontjában szereplő jelkonvenciónak megfelelően pozitív előjellel kell feltüntetniük a kitettségértékekre vonatkozó szakaszban szereplő tételeket (kivéve {LRCalc</w:t>
      </w:r>
      <w:proofErr w:type="gramStart"/>
      <w:r>
        <w:rPr>
          <w:rFonts w:ascii="Times New Roman" w:hAnsi="Times New Roman"/>
          <w:sz w:val="24"/>
          <w:szCs w:val="24"/>
        </w:rPr>
        <w:t>;0270</w:t>
      </w:r>
      <w:proofErr w:type="gramEnd"/>
      <w:r>
        <w:rPr>
          <w:rFonts w:ascii="Times New Roman" w:hAnsi="Times New Roman"/>
          <w:sz w:val="24"/>
          <w:szCs w:val="24"/>
        </w:rPr>
        <w:t>;0010} and {LRCalc;0280;0010}) úgy, mintha az e melléklet I. részének 9. pontjában szereplő jelkonvenció szerinti negatív előjelű tételek (pl. kivételek/levonások) nem lennének alkalmazandók.</w:t>
      </w:r>
    </w:p>
    <w:p w14:paraId="725F2D82" w14:textId="2BEB62D8" w:rsidR="00720503" w:rsidRPr="000B66BC" w:rsidRDefault="006F588E" w:rsidP="009339D1">
      <w:pPr>
        <w:pStyle w:val="InstructionsText2"/>
        <w:numPr>
          <w:ilvl w:val="0"/>
          <w:numId w:val="0"/>
        </w:numPr>
        <w:ind w:left="720" w:hanging="360"/>
        <w:rPr>
          <w:sz w:val="24"/>
        </w:rPr>
      </w:pPr>
      <w:r>
        <w:rPr>
          <w:sz w:val="24"/>
        </w:rPr>
        <w:t>18.</w:t>
      </w:r>
      <w:r>
        <w:tab/>
      </w:r>
      <w:r>
        <w:rPr>
          <w:sz w:val="24"/>
        </w:rPr>
        <w:t>A szavatoló tőkét vagy a tőkeáttételi mutató számításához használt kitettségértéket növelő összegek előjele pozitív. Ugyanakkor a szavatoló tőke teljes összegét vagy a tőkeáttételi mutató számításához használt kitettségértéket csökkentő összegek előjele negatív. Ha egy tétel megjelölése előtt mínuszjel (–) található, akkor az adott tételről nem jelenthető pozitív érték.</w:t>
      </w:r>
    </w:p>
    <w:p w14:paraId="69E62B50" w14:textId="1986719D" w:rsidR="00EC3422" w:rsidRPr="000B66BC" w:rsidRDefault="005D4764" w:rsidP="009339D1">
      <w:pPr>
        <w:pStyle w:val="InstructionsText2"/>
        <w:numPr>
          <w:ilvl w:val="0"/>
          <w:numId w:val="0"/>
        </w:numPr>
        <w:ind w:left="720" w:hanging="360"/>
        <w:rPr>
          <w:sz w:val="24"/>
        </w:rPr>
      </w:pPr>
      <w:r>
        <w:rPr>
          <w:sz w:val="24"/>
        </w:rPr>
        <w:lastRenderedPageBreak/>
        <w:t xml:space="preserve">19. </w:t>
      </w:r>
      <w:r w:rsidR="006A4991">
        <w:rPr>
          <w:sz w:val="24"/>
        </w:rPr>
        <w:t>Amennyiben egy összeg több okból is levonható, az összeg csak a C47.00 tábla egyik sorában szereplő kitettségből csökkenthető.</w:t>
      </w:r>
    </w:p>
    <w:tbl>
      <w:tblPr>
        <w:tblW w:w="912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28"/>
        <w:gridCol w:w="7513"/>
        <w:gridCol w:w="49"/>
      </w:tblGrid>
      <w:tr w:rsidR="00AE2798" w:rsidRPr="00E75BB8" w14:paraId="5579CB50" w14:textId="77777777" w:rsidTr="00C7202A">
        <w:trPr>
          <w:trHeight w:val="304"/>
        </w:trPr>
        <w:tc>
          <w:tcPr>
            <w:tcW w:w="1531" w:type="dxa"/>
            <w:shd w:val="clear" w:color="auto" w:fill="D9D9D9"/>
          </w:tcPr>
          <w:p w14:paraId="0C50BBA6" w14:textId="77777777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shd w:val="clear" w:color="auto" w:fill="D9D9D9"/>
          </w:tcPr>
          <w:p w14:paraId="103B7EBD" w14:textId="77777777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Jogszabályi hivatkozások és előírások</w:t>
            </w:r>
          </w:p>
        </w:tc>
      </w:tr>
      <w:tr w:rsidR="00AE2798" w:rsidRPr="00E75BB8" w14:paraId="699B1E0D" w14:textId="77777777" w:rsidTr="00C7202A">
        <w:trPr>
          <w:trHeight w:val="304"/>
        </w:trPr>
        <w:tc>
          <w:tcPr>
            <w:tcW w:w="1531" w:type="dxa"/>
            <w:shd w:val="clear" w:color="auto" w:fill="D9D9D9" w:themeFill="background1" w:themeFillShade="D9"/>
          </w:tcPr>
          <w:p w14:paraId="3C798DCF" w14:textId="77777777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Sor és oszlop</w:t>
            </w:r>
          </w:p>
        </w:tc>
        <w:tc>
          <w:tcPr>
            <w:tcW w:w="7590" w:type="dxa"/>
            <w:gridSpan w:val="3"/>
            <w:shd w:val="clear" w:color="auto" w:fill="D9D9D9" w:themeFill="background1" w:themeFillShade="D9"/>
          </w:tcPr>
          <w:p w14:paraId="1E421E8F" w14:textId="77777777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Kitettségértékek</w:t>
            </w:r>
          </w:p>
        </w:tc>
      </w:tr>
      <w:tr w:rsidR="00AE2798" w:rsidRPr="00E75BB8" w14:paraId="2DE0B580" w14:textId="77777777" w:rsidTr="004F0BFB">
        <w:trPr>
          <w:trHeight w:val="304"/>
        </w:trPr>
        <w:tc>
          <w:tcPr>
            <w:tcW w:w="1531" w:type="dxa"/>
            <w:shd w:val="clear" w:color="auto" w:fill="auto"/>
          </w:tcPr>
          <w:p w14:paraId="7EDCCB36" w14:textId="20E5281F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{0010;0010}</w:t>
            </w:r>
          </w:p>
        </w:tc>
        <w:tc>
          <w:tcPr>
            <w:tcW w:w="7590" w:type="dxa"/>
            <w:gridSpan w:val="3"/>
            <w:shd w:val="clear" w:color="auto" w:fill="auto"/>
          </w:tcPr>
          <w:p w14:paraId="776CC56F" w14:textId="48DF4931" w:rsidR="00AE2798" w:rsidRPr="000B66BC" w:rsidRDefault="005D476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SFT-k: Kitettségérték</w:t>
            </w:r>
          </w:p>
          <w:p w14:paraId="24BF7807" w14:textId="5888AF5B" w:rsidR="00962812" w:rsidRPr="000B66BC" w:rsidRDefault="0096281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CRR 429b. cikke (1) bekezdésének b) pontja, valamint (4) és (5) bekezdése</w:t>
            </w:r>
          </w:p>
          <w:p w14:paraId="4DADBAA1" w14:textId="0426B62A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429b. cikke (1) bekezdésének b) pontja, valamint (4) és (5) bekezdése szerint számított értékpapír-finanszírozási üg</w:t>
            </w:r>
            <w:r w:rsidR="005D4764">
              <w:rPr>
                <w:rFonts w:ascii="Times New Roman" w:hAnsi="Times New Roman"/>
                <w:bCs/>
                <w:sz w:val="24"/>
                <w:szCs w:val="24"/>
              </w:rPr>
              <w:t>yletekhez kapcsolódó kitettség.</w:t>
            </w:r>
          </w:p>
          <w:p w14:paraId="7B519931" w14:textId="3059ADBE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ebben a mezőben a CRR 429e. cikke (7) bekezdésének c) pontja szerinti ügyleteket kell figyelembe venniük.</w:t>
            </w:r>
          </w:p>
          <w:p w14:paraId="2DB53AA1" w14:textId="46DA276A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intézmények ebben a mezőben nem tüntethetik fel a kapott készpénzt vagy az említett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tranzakciók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során bármely ügyleti partnernek adott biztosítékot, ha az továbbra is szerepel a mérlegben (vagyis akkor, ha a kivezetés számviteli feltételei nem teljesülnek). Ezeket a tételeket az intézmények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ehelyett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a {0190;0010} mezőben tüntetik fel.</w:t>
            </w:r>
          </w:p>
          <w:p w14:paraId="3B9A69FC" w14:textId="679F744A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 ebben a mezőben nem tüntethetik fel azokat az SFT-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ket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, amelyeknél megbízottként közreműködve a CRR 429e. cikke (7) bekezdése a) pontjának megfelelően kártalanítási vagy garanciakötelezettséget vállalnak egy ügyféllel vagy ügyleti partnerrel szemben, amely kötelezettség az ügyfél által kölcsönadott értékpapír vagy készpénz értéke és a kölcsönfelvevő által nyújtott biztosíték értéke közötti különbségre korlátozódik.</w:t>
            </w:r>
          </w:p>
        </w:tc>
      </w:tr>
      <w:tr w:rsidR="00AE2798" w:rsidRPr="00E75BB8" w14:paraId="76B5A234" w14:textId="77777777" w:rsidTr="004F0BFB">
        <w:trPr>
          <w:trHeight w:val="304"/>
        </w:trPr>
        <w:tc>
          <w:tcPr>
            <w:tcW w:w="1531" w:type="dxa"/>
          </w:tcPr>
          <w:p w14:paraId="209FB7E2" w14:textId="457D2517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{0020;0010}</w:t>
            </w:r>
          </w:p>
        </w:tc>
        <w:tc>
          <w:tcPr>
            <w:tcW w:w="7590" w:type="dxa"/>
            <w:gridSpan w:val="3"/>
          </w:tcPr>
          <w:p w14:paraId="2A5E1E69" w14:textId="77777777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SFT-k: Partnerkockázat miatti többlet</w:t>
            </w:r>
          </w:p>
          <w:p w14:paraId="54D8230E" w14:textId="6A119660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429e. cikkének (1) bekezdése</w:t>
            </w:r>
          </w:p>
          <w:p w14:paraId="74373937" w14:textId="31F6D14D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mérlegen belüli és a mérlegen kívüli SFT-k partnerkockázata miatti többlet, amelyet a CRR 429e. cikkének (2) vagy adott esetben (3) bekezdése és (4) bekezdése alapján számítanak ki.</w:t>
            </w:r>
          </w:p>
          <w:p w14:paraId="22B58EAB" w14:textId="00A0E249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ebben a mezőben a CRR 429e. cikke (7) bekezdésének c) pontja szerinti ügyleteket kell figyelembe venniük.</w:t>
            </w:r>
          </w:p>
          <w:p w14:paraId="68CF607E" w14:textId="6B3D2102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 ebben a mezőben nem tüntethetik fel azokat az SFT-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ket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amelyeknél megbízottként közreműködve a CRR 429e. cikke (7) bekezdése a) pontjának megfelelően kártalanítási vagy garanciakötelezettséget vállalnak egy ügyféllel vagy ügyleti partnerrel szemben, amely kötelezettség az ügyfél által kölcsönadott értékpapír vagy készpénz értéke és a kölcsönfelvevő által nyújtott biztosíték értéke közötti különbségre korlátozódik. Ezeket a tételeket az intézmények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ehelyett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a {0040;0010} mezőben tüntetik fel.</w:t>
            </w:r>
          </w:p>
        </w:tc>
      </w:tr>
      <w:tr w:rsidR="00AE2798" w:rsidRPr="00E75BB8" w14:paraId="0276DE00" w14:textId="77777777" w:rsidTr="004F0BFB">
        <w:trPr>
          <w:trHeight w:val="304"/>
        </w:trPr>
        <w:tc>
          <w:tcPr>
            <w:tcW w:w="1531" w:type="dxa"/>
          </w:tcPr>
          <w:p w14:paraId="311C9C54" w14:textId="6BFA55DF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{0030;0010}</w:t>
            </w:r>
          </w:p>
          <w:p w14:paraId="31A60AAC" w14:textId="77777777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</w:tcPr>
          <w:p w14:paraId="49F43F40" w14:textId="5DF45BD6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Értékpapír-finanszírozási ügyletekre vonatkozó eltérés: A CRR 429e. cikkének (5) bekezdése szerinti többlet</w:t>
            </w:r>
          </w:p>
          <w:p w14:paraId="2D39F187" w14:textId="262182BC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429e. cikkének (5) bekezdése és 222. cikke</w:t>
            </w:r>
          </w:p>
          <w:p w14:paraId="738B5B54" w14:textId="1B5F8B42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mérlegen belüli és a mérlegen kívüli SFT-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knek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a CRR 222. cikke szerint számított kitettségértéke, 20 %-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os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alsó küszöbértéket érvényesítve az</w:t>
            </w:r>
            <w:r w:rsidR="005D4764">
              <w:rPr>
                <w:rFonts w:ascii="Times New Roman" w:hAnsi="Times New Roman"/>
                <w:bCs/>
                <w:sz w:val="24"/>
                <w:szCs w:val="24"/>
              </w:rPr>
              <w:t xml:space="preserve"> alkalmazandó kockázati súlyra.</w:t>
            </w:r>
          </w:p>
          <w:p w14:paraId="3D5D2C18" w14:textId="6253EBAE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ebben a mezőben a CRR 429e. cikke (7) bekezdésének c) pontja szerinti ügyleteket kell figyelembe venniük.</w:t>
            </w:r>
          </w:p>
          <w:p w14:paraId="29AD8FEA" w14:textId="232839AC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 ebben a mezőben nem vehetik figyelembe azokat az ügyleteket, amelyek esetében a tőkeáttételi mutató számításához használt kitettségértéknek a többletet képviselő részét a CRR 429e. cikkének (1) bekezdésében említett módszer szerint határozták meg.</w:t>
            </w:r>
          </w:p>
        </w:tc>
      </w:tr>
      <w:tr w:rsidR="00AE2798" w:rsidRPr="00E75BB8" w14:paraId="5E04553E" w14:textId="77777777" w:rsidTr="004F0BFB">
        <w:trPr>
          <w:trHeight w:val="304"/>
        </w:trPr>
        <w:tc>
          <w:tcPr>
            <w:tcW w:w="1531" w:type="dxa"/>
          </w:tcPr>
          <w:p w14:paraId="252F5F3F" w14:textId="40B73EF4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{0040;0010}</w:t>
            </w:r>
          </w:p>
        </w:tc>
        <w:tc>
          <w:tcPr>
            <w:tcW w:w="7590" w:type="dxa"/>
            <w:gridSpan w:val="3"/>
          </w:tcPr>
          <w:p w14:paraId="2565C50A" w14:textId="7B282166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Megbízottként végzett SFT-k partnerk</w:t>
            </w:r>
            <w:r w:rsidR="005D4764">
              <w:rPr>
                <w:rFonts w:ascii="Times New Roman" w:hAnsi="Times New Roman"/>
                <w:b/>
                <w:bCs/>
                <w:sz w:val="24"/>
                <w:szCs w:val="24"/>
              </w:rPr>
              <w:t>ockázata</w:t>
            </w:r>
          </w:p>
          <w:p w14:paraId="475F166E" w14:textId="51D7BAEF" w:rsidR="00E1045E" w:rsidRPr="000B66BC" w:rsidRDefault="00E1045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CRR 429e. cikke (7) bekezdésének a) pontja, valamint (2) és (3) bekezdése</w:t>
            </w:r>
          </w:p>
          <w:p w14:paraId="1619B100" w14:textId="644E7F36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Azon SFT-k kitettségértéke, amelyeknél az intézmények megbízottként közreműködve a CRR 429e. cikke (7) bekezdése a) pontjának megfelelően kártalanítási vagy garanciakötelezettséget vállalnak egy ügyféllel vagy ügyleti partnerrel szemben, amely kötelezettség az ügyfél által kölcsönadott értékpapír vagy készpénz értéke és a kölcsönfelvevő által nyújtott biztosíték értéke közötti különbségre korlátozódik, és amely csak a CRR 429e. cikkének (2) vagy – adott esetben – (3) bekezdése szerint meghatározott többletből áll.</w:t>
            </w:r>
          </w:p>
          <w:p w14:paraId="138E8801" w14:textId="61A2D011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intézményeknek ebben a mezőben nem tüntethetik fel a 429e. cikke (7) bekezdésének c) pontja szerinti ügyleteket. Ezeket a tételeket az intézmények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ehelyett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a {0010;0010} és {0020;0010} vagy adott esetben a {0010;0010} és {0030;0010} mezőben tüntetik fel.</w:t>
            </w:r>
          </w:p>
        </w:tc>
      </w:tr>
      <w:tr w:rsidR="00AE2798" w:rsidRPr="00E75BB8" w14:paraId="730C9B47" w14:textId="77777777" w:rsidTr="004F0BFB">
        <w:trPr>
          <w:trHeight w:val="304"/>
        </w:trPr>
        <w:tc>
          <w:tcPr>
            <w:tcW w:w="1531" w:type="dxa"/>
          </w:tcPr>
          <w:p w14:paraId="67472548" w14:textId="3E8951DA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{0050;0010}</w:t>
            </w:r>
          </w:p>
        </w:tc>
        <w:tc>
          <w:tcPr>
            <w:tcW w:w="7590" w:type="dxa"/>
            <w:gridSpan w:val="3"/>
          </w:tcPr>
          <w:p w14:paraId="2F6E1B5E" w14:textId="77777777" w:rsidR="00AE2798" w:rsidRPr="000B66BC" w:rsidRDefault="005556D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(–) Ügyfél által elszámolt, központi szerződő féllel szembeni,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mentesített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SFT-kitettségek</w:t>
            </w:r>
          </w:p>
          <w:p w14:paraId="1B6574CC" w14:textId="59F0F3F4" w:rsidR="00AE2798" w:rsidRPr="000B66BC" w:rsidRDefault="00E1045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429a. cikke (1) bekezdésének g) pontja, valamint 306. cikke (1) bekezdésének c) pontja</w:t>
            </w:r>
          </w:p>
          <w:p w14:paraId="5E6D8E3F" w14:textId="0BCBCF9B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ügyfél által elszámolt SFT-k központi szerződő féllel szembeni,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mentesített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kereskedési kitettségei, amennyiben megfelelnek a CRR 306 cikke (1) bekezdésének c) pontjában megállapított feltételeknek.</w:t>
            </w:r>
          </w:p>
          <w:p w14:paraId="39011247" w14:textId="24E8195E" w:rsidR="004052F0" w:rsidRPr="000B66BC" w:rsidRDefault="004052F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Amennyiben a központi szerződő féllel szembeni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mentesített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kitettség biztosíték, az nem tüntethető fel ebben a mezőben, kivéve akkor, ha olyan újból elzálogosított biztosítékról van szó, amelyet az alkalmazandó számviteli szabályozás szerint (vagyis a CRR 111. cikke (1) bekezdése első mondatának megfelelően) teljes értéken kell figyelembe venni.</w:t>
            </w:r>
          </w:p>
          <w:p w14:paraId="0885E19A" w14:textId="61C30BC1" w:rsidR="00AF6C6D" w:rsidRPr="000B66BC" w:rsidRDefault="005A1D6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Az intézményeknek az ebben a mezőben feltüntetett összeget a {0010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}, a {0020;0010 és a {0030;0010}, valamint a {0190;0010} mezőben is szerepeltetniük kell, mintha nem lenne mentesség alkalmazandó, utóbbi mezőben akkor, ha olyan újból elzálogosított biztosítékról van szó, amelyet az alkalmazandó számviteli szabályozás szerint teljes értéken kell figyelembe venni.</w:t>
            </w:r>
          </w:p>
          <w:p w14:paraId="2D82192D" w14:textId="03F34C36" w:rsidR="00AE2798" w:rsidRPr="000B66BC" w:rsidRDefault="00AF6C6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Amennyiben az intézmény a mentesített SFT-kitettségek tekintetében olyan alapletétet helyezett el, amelyet a {0190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mezőben feltüntetett, de a {0020;0010} vagy a {0030;0010} mezőben nem tüntetett fel, úgy azt ebben a mezőben tüntetheti fel.</w:t>
            </w:r>
          </w:p>
        </w:tc>
      </w:tr>
      <w:tr w:rsidR="00AA0445" w:rsidRPr="00E75BB8" w14:paraId="22358CE2" w14:textId="77777777" w:rsidTr="004F0BFB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45ADDB05" w14:textId="0401F47D" w:rsidR="00AE3377" w:rsidRPr="000B66BC" w:rsidRDefault="00AE337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{0061;0010}</w:t>
            </w:r>
          </w:p>
          <w:p w14:paraId="39B81BC5" w14:textId="77777777" w:rsidR="00AE3377" w:rsidRPr="000B66BC" w:rsidRDefault="00AE337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70E1CF2" w14:textId="77777777" w:rsidR="00AA0445" w:rsidRPr="000B66BC" w:rsidRDefault="00AA0445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23795B97" w14:textId="787E6E31" w:rsidR="00AE3377" w:rsidRPr="000B66BC" w:rsidRDefault="00AE337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Származtatott ügyletek: Pótlásiköltség-hozzájárulás az SA-CCR szerint (a biztosíték N</w:t>
            </w:r>
            <w:r w:rsidR="005D4764">
              <w:rPr>
                <w:rFonts w:ascii="Times New Roman" w:hAnsi="Times New Roman"/>
                <w:b/>
                <w:bCs/>
                <w:sz w:val="24"/>
                <w:szCs w:val="24"/>
              </w:rPr>
              <w:t>ICA-</w:t>
            </w:r>
            <w:proofErr w:type="spellStart"/>
            <w:r w:rsidR="005D4764">
              <w:rPr>
                <w:rFonts w:ascii="Times New Roman" w:hAnsi="Times New Roman"/>
                <w:b/>
                <w:bCs/>
                <w:sz w:val="24"/>
                <w:szCs w:val="24"/>
              </w:rPr>
              <w:t>ra</w:t>
            </w:r>
            <w:proofErr w:type="spellEnd"/>
            <w:r w:rsidR="005D47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gyakorolt hatása nélkül)</w:t>
            </w:r>
          </w:p>
          <w:p w14:paraId="303004A2" w14:textId="27BF7508" w:rsidR="00AA0445" w:rsidRPr="000B66BC" w:rsidRDefault="00AA044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429c. cikkének (1) bekezdése</w:t>
            </w:r>
          </w:p>
          <w:p w14:paraId="3B8148BD" w14:textId="541319E8" w:rsidR="000864F6" w:rsidRPr="000B66BC" w:rsidRDefault="004E204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275. cikke szerinti pótlási költség a biztosíték NICA-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gyakorolt hatása és a változó letét hatása nélkül. Az intézmények e mezőben nem alkalmazhatják a CRR 429c. cikkének (3) és (4) bekezdésében, valamint 429a. cikke (1) bekezdésének g) pontjában foglalt eltéréseket. Az összeget a CRR 274. cikkének (2) bekezdésében meghatározott 1,4 alfa szorzóval kell megadni.</w:t>
            </w:r>
          </w:p>
          <w:p w14:paraId="69D03BFF" w14:textId="6D701FF0" w:rsidR="000864F6" w:rsidRDefault="000864F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CRR 429c. cikkének (1) bekezdése szerint az intézmények a CRR 295. cikkével összhangban figyelembe vehetik a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novációs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szerződések és más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nettósítási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megállapodások hatásait. Az eltérő termékkategóriák közötti nettósítás nem alkalmazható. Megengedett azonban az intézmények számára a CRR 272. cikke 25. pontjának c) pontjában említett termékkategórián és a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hitelderivatívákon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belüli nettósítás, ha a 295. cikk c) pontjában említett, eltérő termékkategóriák közötti szerződéses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nettósítási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megállapodás vonatkozik rájuk.</w:t>
            </w:r>
          </w:p>
          <w:p w14:paraId="68582320" w14:textId="76F97D55" w:rsidR="00AA0445" w:rsidRPr="000B66BC" w:rsidRDefault="000864F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intézménynek minden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számításba kell vennie, nem csak a kereskedési könyvben szereplőket.</w:t>
            </w:r>
          </w:p>
          <w:p w14:paraId="2DFB7147" w14:textId="5C4A2661" w:rsidR="00AA0445" w:rsidRPr="000B66BC" w:rsidRDefault="008C45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ebben a mezőben nem vehetik figyelembe az egyszerűsített sztenderd módszer vagy az eredeti kitettségi módszer alkalmazásával értékelt szerződéseket.</w:t>
            </w:r>
          </w:p>
        </w:tc>
      </w:tr>
      <w:tr w:rsidR="00AA0445" w:rsidRPr="00E75BB8" w14:paraId="6839640F" w14:textId="77777777" w:rsidTr="004F0BFB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7B6A76A4" w14:textId="48C3F797" w:rsidR="00AE3377" w:rsidRPr="000B66BC" w:rsidRDefault="00AE337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{0065;0010}</w:t>
            </w:r>
          </w:p>
          <w:p w14:paraId="3E5668CA" w14:textId="77777777" w:rsidR="00AE3377" w:rsidRPr="000B66BC" w:rsidRDefault="00AE337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3FEE6ED" w14:textId="77777777" w:rsidR="00AA0445" w:rsidRPr="000B66BC" w:rsidRDefault="00AA0445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34EDC7E6" w14:textId="3E0D75A1" w:rsidR="00AE3377" w:rsidRPr="000B66BC" w:rsidRDefault="00AE337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(–) A biztosíték elismerésének hatása a NICA-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 QCCP által elszámolt ügyletek esetében (SA-CCR – pótlási költség)</w:t>
            </w:r>
          </w:p>
          <w:p w14:paraId="4393A5C2" w14:textId="23AF44DC" w:rsidR="00AA0445" w:rsidRPr="000B66BC" w:rsidRDefault="00AA044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429c. cikkének (4) bekezdése</w:t>
            </w:r>
          </w:p>
          <w:p w14:paraId="5BDFEC31" w14:textId="38299D03" w:rsidR="00AA0445" w:rsidRPr="000B66BC" w:rsidRDefault="00143A3F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CRR 429c. cikkének (4) bekezdése szerinti eltérés alkalmazása az ügyfelekkel kötött származtatott ügyletek pótlási költségének kiszámítására, amennyiben ezeket az ügyleteket elfogadott központi szerződő fél számolja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el. Az összeget a CRR 274. cikkének (2) bekezdésében meghatározott 1,4 alfa szorzóval kell megadni.</w:t>
            </w:r>
          </w:p>
          <w:p w14:paraId="71B5D857" w14:textId="15F17BCC" w:rsidR="00860608" w:rsidRPr="000B66BC" w:rsidRDefault="00C622B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ebben a mezőben feltüntetett összeget a {0061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mezőben is szerepeltetniük kell, mintha nem lenne mentesség alkalmazandó.</w:t>
            </w:r>
          </w:p>
        </w:tc>
      </w:tr>
      <w:tr w:rsidR="00B451A5" w:rsidRPr="00E75BB8" w14:paraId="708471F4" w14:textId="77777777" w:rsidTr="004F0BFB">
        <w:trPr>
          <w:gridAfter w:val="1"/>
          <w:wAfter w:w="49" w:type="dxa"/>
          <w:trHeight w:val="30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5902" w14:textId="77777777" w:rsidR="00B451A5" w:rsidRPr="000B66BC" w:rsidRDefault="00B451A5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{0071;0010}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DD9" w14:textId="77777777" w:rsidR="00B451A5" w:rsidRPr="000B66BC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(–) A készpénzben kapott, a származtatott ügyletek piaci értékével szemben beszámított változó letét hatása (SA-CCR – pótlási költség)</w:t>
            </w:r>
          </w:p>
          <w:p w14:paraId="1A368C0C" w14:textId="77777777" w:rsidR="00B451A5" w:rsidRPr="000B66BC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429c. cikkének (3) bekezdése</w:t>
            </w:r>
          </w:p>
          <w:p w14:paraId="04F99B6B" w14:textId="6C270CB6" w:rsidR="00B451A5" w:rsidRPr="000B66BC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ügyleti partnertől készpénzben kapott, a származtatott kitettség pótlási költséget jelentő részével szemben a CRR 429c. cikke (3) bekezdésének megfelelően beszámítható változó készpénzletét. Az összeget a CRR 274. cikkének (2) bekezdésében meghatározott 1,4 alfa szorzóval kell megadni.</w:t>
            </w:r>
          </w:p>
          <w:p w14:paraId="0D6BE08A" w14:textId="311F8686" w:rsidR="00B451A5" w:rsidRPr="000B66BC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Nem tüntethető fel itt a CRR 429a. cikke (1) bekezdésének g) pontja szerinti, központi szerződő féllel szembeni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mentesített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kitettségek tekintetében kapott változó készpénzletét.</w:t>
            </w:r>
          </w:p>
          <w:p w14:paraId="3C49A67A" w14:textId="21788571" w:rsidR="00B451A5" w:rsidRPr="000B66BC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ebben a mezőben feltüntetett összeget a {0061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mezőben is szerepeltetniük kell, mintha a változó készpénzletét levonása nem lenne alkalmazandó.</w:t>
            </w:r>
          </w:p>
        </w:tc>
      </w:tr>
      <w:tr w:rsidR="00B451A5" w:rsidRPr="00E75BB8" w14:paraId="2A6BC469" w14:textId="77777777" w:rsidTr="004F0BFB">
        <w:trPr>
          <w:gridAfter w:val="1"/>
          <w:wAfter w:w="49" w:type="dxa"/>
          <w:trHeight w:val="30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B0D5" w14:textId="77777777" w:rsidR="00B451A5" w:rsidRPr="000B66BC" w:rsidDel="002D1CE8" w:rsidRDefault="00B451A5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{0081;0010}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B90B" w14:textId="77777777" w:rsidR="00B451A5" w:rsidRPr="000B66BC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(–) Ügyfél által elszámolt, központi szerződő féllel szembeni,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mentesített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kereskedési kitettségek hatása (SA-CCR – pótlási költség)</w:t>
            </w:r>
          </w:p>
          <w:p w14:paraId="4B3A4644" w14:textId="77777777" w:rsidR="00B451A5" w:rsidRPr="000B66BC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429a. cikke (1) bekezdésének g) pontja</w:t>
            </w:r>
          </w:p>
          <w:p w14:paraId="2F8AB13D" w14:textId="77777777" w:rsidR="00B451A5" w:rsidRPr="000B66BC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ügyfél által elszámolt származtatott ügyletekből eredő, minősített központi szerződő féllel szembeni,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mentesített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kereskedési kitettségek pótlási költséget jelentő része, amennyiben e tételek teljesítik a CRR 306. cikke (1) bekezdésének c) pontjában foglalt feltételeket. Az összeget az e kitettségek tekintetében kapott változó készpénzletéttel együtt kell feltüntetni. Az összeget a CRR 274. cikkének (2) bekezdésében meghatározott 1,4 alfa szorzóval kell megadni.</w:t>
            </w:r>
          </w:p>
          <w:p w14:paraId="3D70C614" w14:textId="27A413D3" w:rsidR="00B451A5" w:rsidRPr="000B66BC" w:rsidDel="002D1CE8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ebben a mezőben feltüntetett összeget a {0061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mezőben is szerepeltetniük kell, mintha nem lenne mentesség alkalmazandó.</w:t>
            </w:r>
          </w:p>
        </w:tc>
      </w:tr>
      <w:tr w:rsidR="00BE4B9E" w:rsidRPr="00E75BB8" w14:paraId="21C5C5EE" w14:textId="77777777" w:rsidTr="004F0BFB">
        <w:trPr>
          <w:trHeight w:val="304"/>
        </w:trPr>
        <w:tc>
          <w:tcPr>
            <w:tcW w:w="1531" w:type="dxa"/>
          </w:tcPr>
          <w:p w14:paraId="12F2B1DD" w14:textId="54C860E8" w:rsidR="00BE4B9E" w:rsidRPr="000B66BC" w:rsidRDefault="00BE4B9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{0091;0010}</w:t>
            </w:r>
          </w:p>
        </w:tc>
        <w:tc>
          <w:tcPr>
            <w:tcW w:w="7590" w:type="dxa"/>
            <w:gridSpan w:val="3"/>
          </w:tcPr>
          <w:p w14:paraId="039E3624" w14:textId="6FC42919" w:rsidR="00BE4B9E" w:rsidRPr="000B66BC" w:rsidRDefault="00BE4B9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Származtatott ügyletek: Potenciális jövőbeli kitettségi hozzájárulás </w:t>
            </w:r>
            <w:r w:rsidR="000E7468">
              <w:rPr>
                <w:rFonts w:ascii="Times New Roman" w:hAnsi="Times New Roman"/>
                <w:b/>
                <w:bCs/>
                <w:sz w:val="24"/>
                <w:szCs w:val="24"/>
              </w:rPr>
              <w:t>az SA-CCR szerint (1-es szorzó)</w:t>
            </w:r>
          </w:p>
          <w:p w14:paraId="11FEB8DF" w14:textId="5E3F076A" w:rsidR="00BE4B9E" w:rsidRPr="000B66BC" w:rsidRDefault="00BE4B9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429c. cikkének (5) bekezdése</w:t>
            </w:r>
          </w:p>
          <w:p w14:paraId="77480A73" w14:textId="5C993BF9" w:rsidR="00BE4B9E" w:rsidRPr="000B66BC" w:rsidRDefault="00BE4B9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CRR 278. cikke szerinti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potenciális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jövőbeli kitettség, 1-szeres szorzót feltételezve, azaz az ügyfelekkel kötött, QCCP által elszámolt szerződésekre vonatkozó eltérés alkalmazása nélkül, a CRR 429c. cikkének (5) bekezdése szerint. Az összeget a CRR 274. cikkének (2) bekezdésében meghatározott 1,4 alfa szorzóval kell megadni.</w:t>
            </w:r>
          </w:p>
        </w:tc>
      </w:tr>
      <w:tr w:rsidR="00BE4B9E" w:rsidRPr="00E75BB8" w14:paraId="1F0CF2B9" w14:textId="77777777" w:rsidTr="004F0BFB">
        <w:trPr>
          <w:trHeight w:val="304"/>
        </w:trPr>
        <w:tc>
          <w:tcPr>
            <w:tcW w:w="1531" w:type="dxa"/>
          </w:tcPr>
          <w:p w14:paraId="3B470185" w14:textId="419934C4" w:rsidR="00BE4B9E" w:rsidRPr="000B66BC" w:rsidRDefault="00BE4B9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{0092;0010}</w:t>
            </w:r>
          </w:p>
        </w:tc>
        <w:tc>
          <w:tcPr>
            <w:tcW w:w="7590" w:type="dxa"/>
            <w:gridSpan w:val="3"/>
          </w:tcPr>
          <w:p w14:paraId="2E121ECA" w14:textId="77777777" w:rsidR="00BE4B9E" w:rsidRPr="000B66BC" w:rsidRDefault="00BE4B9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(−) A QCCP által elszámolt ügyletekre vonatkozó alacsonyabb szorzó hatása a PFE-hozzájárulásra (SA-CCR – lehetséges jövőbeli kitettség)</w:t>
            </w:r>
          </w:p>
          <w:p w14:paraId="51309425" w14:textId="7D9EB3BE" w:rsidR="00BE4B9E" w:rsidRPr="000B66BC" w:rsidRDefault="00BE4B9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429c. cikkének (5) bekezdése</w:t>
            </w:r>
          </w:p>
          <w:p w14:paraId="36AD83FD" w14:textId="6042A3D2" w:rsidR="00BE4B9E" w:rsidRPr="000B66BC" w:rsidRDefault="0033453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CRR 429c. cikkének (5) bekezdése szerinti eltérés alkalmazása az ügyfelekkel kötött származtatott ügyletek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potenciális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jövőbeli kitettségének kiszámítására, amennyiben ezeket az ügyleteket elfogadott központi szerződő fél számolja el. Az összeget a CRR 274. cikkének (2) bekezdésében meghatározott 1,4 alfa szorzóval kell megadni.</w:t>
            </w:r>
          </w:p>
          <w:p w14:paraId="69C754CC" w14:textId="4C627CA1" w:rsidR="00334535" w:rsidRPr="000B66BC" w:rsidRDefault="00C622B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ebben a mezőben feltüntetett összeget a {0091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mezőben is szerepeltetniük kell, mintha nem lenne mentesség alkalmazandó.</w:t>
            </w:r>
          </w:p>
        </w:tc>
      </w:tr>
      <w:tr w:rsidR="00721D6C" w:rsidRPr="00E75BB8" w14:paraId="337DFBE3" w14:textId="77777777" w:rsidTr="004F0BFB">
        <w:trPr>
          <w:trHeight w:val="304"/>
        </w:trPr>
        <w:tc>
          <w:tcPr>
            <w:tcW w:w="1531" w:type="dxa"/>
          </w:tcPr>
          <w:p w14:paraId="4EC86A2A" w14:textId="23F426EB" w:rsidR="00721D6C" w:rsidRPr="000B66BC" w:rsidRDefault="00721D6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{0093;0010}</w:t>
            </w:r>
          </w:p>
        </w:tc>
        <w:tc>
          <w:tcPr>
            <w:tcW w:w="7590" w:type="dxa"/>
            <w:gridSpan w:val="3"/>
          </w:tcPr>
          <w:p w14:paraId="799DA79E" w14:textId="77777777" w:rsidR="00721D6C" w:rsidRPr="000B66BC" w:rsidRDefault="00721D6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(–) Ügyfél által elszámolt, központi szerződő féllel szembeni,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mentesített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kereskedési kitettségek hatása (SA-CCR – lehetséges jövőbeli kitettség)</w:t>
            </w:r>
          </w:p>
          <w:p w14:paraId="638E19CF" w14:textId="71B8ABE4" w:rsidR="00721D6C" w:rsidRPr="000B66BC" w:rsidRDefault="002F3BA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429a. cikke (1) bekezdésének g) pontja</w:t>
            </w:r>
          </w:p>
          <w:p w14:paraId="3C911695" w14:textId="3127CB2D" w:rsidR="00721D6C" w:rsidRPr="000B66BC" w:rsidRDefault="00721D6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ügyfél által elszámolt származtatott ügyletekből eredő, minősített központi szerződő féllel szembeni,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mentesített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kereskedési kitettségek lehetséges jövőbeli kitettséget jelentő része, amennyiben e tételek teljesítik a CRR 306. cikke (1) bekezdésének c) pontjában foglalt feltételeket. Az összeget a CRR 274. cikkének (2) bekezdésében meghatározott 1,4 alfa szorzóval kell megadni.</w:t>
            </w:r>
          </w:p>
          <w:p w14:paraId="5DC396D3" w14:textId="79540906" w:rsidR="00721D6C" w:rsidRPr="000B66BC" w:rsidRDefault="00721D6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ebben a mezőben feltüntetett összeget a {0091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mezőben is szerepeltetniük kell, mintha nem lenne mentesség alkalmazandó.</w:t>
            </w:r>
          </w:p>
        </w:tc>
      </w:tr>
      <w:tr w:rsidR="001D7778" w:rsidRPr="00E75BB8" w14:paraId="7D779BBC" w14:textId="77777777" w:rsidTr="001D7778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2254" w14:textId="77777777" w:rsidR="001D7778" w:rsidRPr="000B66BC" w:rsidRDefault="001D777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{0101;0010}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E3AE" w14:textId="3A414210" w:rsidR="001D7778" w:rsidRPr="000B66BC" w:rsidRDefault="001D777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Származtatott ügyletekre vonatkozó eltérés: pótlásiköltség-hozzájárulás az egyszerűs</w:t>
            </w:r>
            <w:r w:rsidR="000E7468">
              <w:rPr>
                <w:rFonts w:ascii="Times New Roman" w:hAnsi="Times New Roman"/>
                <w:b/>
                <w:bCs/>
                <w:sz w:val="24"/>
                <w:szCs w:val="24"/>
              </w:rPr>
              <w:t>ített sztenderd módszer szerint</w:t>
            </w:r>
          </w:p>
          <w:p w14:paraId="729E4C3C" w14:textId="77777777" w:rsidR="001D7778" w:rsidRPr="000B66BC" w:rsidRDefault="001D777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429c. cikkének (6) bekezdése és 281. cikke</w:t>
            </w:r>
          </w:p>
          <w:p w14:paraId="4582CAFD" w14:textId="145A1646" w:rsidR="001D7778" w:rsidRPr="000B66BC" w:rsidRDefault="001D777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Ebben a mezőben a CRR II. mellékletének 1. és 2. pontjában felsorolt szerződéseknek a CRR 281. cikkében megállapított egyszerűsített sztenderd módszer szerint számított kitettségértékét kell feltüntetni. Az összeget a CRR 274. cikkének (2) bekezdésében meghatározott 1,4 alfa szorzóval kell megadni.</w:t>
            </w:r>
          </w:p>
          <w:p w14:paraId="6AF43C3C" w14:textId="27EB1189" w:rsidR="001D7778" w:rsidRPr="000B66BC" w:rsidRDefault="001D777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429c. cikke (6) bekezdésének megfelelően az egyszerűsített sztenderd módszert alkalmazó intézmények nem csökkenthetik a kitettségértéket a készpénzben kapott letét összegével. Ezért az ügyfelekkel kötött származtatott ügyletekre vonatkozó, a CRR 429c. cikkének (4) bekezdésében foglalt kivétel nem alkalmazandó, amennyiben ezeket az ügyleteket elfogadott központi szerződő fél számolja el.</w:t>
            </w:r>
          </w:p>
          <w:p w14:paraId="41A54C94" w14:textId="000C6D0B" w:rsidR="001D7778" w:rsidRPr="000B66BC" w:rsidRDefault="001D777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 ebben a mezőben nem vehetik figyelembe az egyszerűsített sztenderd módszer vagy az eredeti kitettségi módszer alkalmazásával értékelt szerződéseket.</w:t>
            </w:r>
          </w:p>
        </w:tc>
      </w:tr>
      <w:tr w:rsidR="00CB48CC" w:rsidRPr="00E75BB8" w14:paraId="177E0E57" w14:textId="77777777" w:rsidTr="004F0BFB">
        <w:trPr>
          <w:trHeight w:val="304"/>
        </w:trPr>
        <w:tc>
          <w:tcPr>
            <w:tcW w:w="1531" w:type="dxa"/>
          </w:tcPr>
          <w:p w14:paraId="1A21B8B9" w14:textId="3A3A59D4" w:rsidR="00CB48CC" w:rsidRPr="000B66BC" w:rsidRDefault="001F3E84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{0102;0010}</w:t>
            </w:r>
          </w:p>
        </w:tc>
        <w:tc>
          <w:tcPr>
            <w:tcW w:w="7590" w:type="dxa"/>
            <w:gridSpan w:val="3"/>
          </w:tcPr>
          <w:p w14:paraId="1AB84BA7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(–) Ügyfél által elszámolt, központi szerződő féllel szembeni,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mentesített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kereskedési kitettségek hatása (egyszerűsített sztenderd módszer – pótlási költség)</w:t>
            </w:r>
          </w:p>
          <w:p w14:paraId="145D251C" w14:textId="0940A089" w:rsidR="00CB48CC" w:rsidRPr="000B66BC" w:rsidRDefault="00803ED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429a. cikke (1) bekezdésének g) pontja</w:t>
            </w:r>
          </w:p>
          <w:p w14:paraId="577C5D50" w14:textId="2C869536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ügyfél által elszámolt származtatott ügyletekből eredő, minősített központi szerződő féllel szembeni,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mentesített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kereskedési kitettségek pótlási költséget jelentő része, amennyiben e tételek teljesítik a CRR 306. cikke (1) bekezdésének c) pontjában foglalt feltételeket. Az összeget az e kitettségek tekintetében kapott változó készpénzletéttel együtt kell feltüntetni. Az összeget a CRR 274. cikkének (2) bekezdésében meghatározott 1</w:t>
            </w:r>
            <w:r w:rsidR="000E7468">
              <w:rPr>
                <w:rFonts w:ascii="Times New Roman" w:hAnsi="Times New Roman"/>
                <w:bCs/>
                <w:sz w:val="24"/>
                <w:szCs w:val="24"/>
              </w:rPr>
              <w:t>,4 alfa szorzóval kell megadni.</w:t>
            </w:r>
          </w:p>
          <w:p w14:paraId="217819AF" w14:textId="1C246258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ebben a mezőben feltüntetett összeget a {0101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mezőben is szerepeltetniük kell, mintha nem lenne mentesség alkalmazandó.</w:t>
            </w:r>
          </w:p>
        </w:tc>
      </w:tr>
      <w:tr w:rsidR="00CB48CC" w:rsidRPr="00E75BB8" w14:paraId="77B81E13" w14:textId="77777777" w:rsidTr="004F0BFB">
        <w:trPr>
          <w:trHeight w:val="304"/>
        </w:trPr>
        <w:tc>
          <w:tcPr>
            <w:tcW w:w="1531" w:type="dxa"/>
          </w:tcPr>
          <w:p w14:paraId="59F8E92F" w14:textId="10EA442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{0103;0010}</w:t>
            </w:r>
          </w:p>
        </w:tc>
        <w:tc>
          <w:tcPr>
            <w:tcW w:w="7590" w:type="dxa"/>
            <w:gridSpan w:val="3"/>
          </w:tcPr>
          <w:p w14:paraId="3D169826" w14:textId="751FAC73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Származtatott ügyletekre vonatkozó eltérés: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potenciális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jövőbeli kitettségi hozzájárulás az egyszerűsített sztender</w:t>
            </w:r>
            <w:r w:rsidR="000E7468">
              <w:rPr>
                <w:rFonts w:ascii="Times New Roman" w:hAnsi="Times New Roman"/>
                <w:b/>
                <w:bCs/>
                <w:sz w:val="24"/>
                <w:szCs w:val="24"/>
              </w:rPr>
              <w:t>d módszer szerint (1-es szorzó)</w:t>
            </w:r>
          </w:p>
          <w:p w14:paraId="39DE43B2" w14:textId="3ADD9785" w:rsidR="009E7F70" w:rsidRPr="000B66BC" w:rsidRDefault="00803ED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281. cikke (2) bekezdésének f) pontja, valamint 429c. cikkének (6) bekezdése</w:t>
            </w:r>
          </w:p>
          <w:p w14:paraId="5B7322DC" w14:textId="620AA314" w:rsidR="00201339" w:rsidRPr="000B66BC" w:rsidRDefault="009E7F70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potenciális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jövőbeli kitettség a CRR 281. cikkében meghatározott egyszerűsített sztenderd módszer szerint, 1-es szorzót feltételezve. Az összeget a CRR 274. cikkének (2) bekezdésében meghatározott 1,4 alfa szorzóval kell megadni.</w:t>
            </w:r>
          </w:p>
          <w:p w14:paraId="3AE17E54" w14:textId="7FCB8487" w:rsidR="00CB48CC" w:rsidRPr="000B66BC" w:rsidRDefault="00201339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429c. cikke (6) bekezdésének megfelelően az egyszerűsített sztenderd módszert alkalmazó intézmények nem csökkenthetik a kitettségértéket a készpénzben kapott letét összegével.</w:t>
            </w:r>
          </w:p>
        </w:tc>
      </w:tr>
      <w:tr w:rsidR="00E1595A" w:rsidRPr="00E75BB8" w14:paraId="65B70708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5996" w14:textId="77777777" w:rsidR="00E1595A" w:rsidRPr="000B66BC" w:rsidRDefault="00E1595A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{0104;0010}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8B96" w14:textId="77777777" w:rsidR="00E1595A" w:rsidRPr="000B66BC" w:rsidRDefault="00E1595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(–) Ügyfél által elszámolt, központi szerződő féllel szembeni, mentesített kereskedési kitettségek hatása (egyszerűsített sztenderd módszer –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potenciális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jövőbeli kitettség)</w:t>
            </w:r>
          </w:p>
          <w:p w14:paraId="350D0B05" w14:textId="3F34C564" w:rsidR="00E1595A" w:rsidRPr="000B66BC" w:rsidRDefault="00E1595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429a. cikke (1) bekezdésének g) pontja</w:t>
            </w:r>
          </w:p>
          <w:p w14:paraId="7020C299" w14:textId="77777777" w:rsidR="00E1595A" w:rsidRPr="000B66BC" w:rsidRDefault="00E1595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ügyfél által elszámolt származtatott ügyletekből eredő, minősített központi szerződő féllel szembeni,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mentesített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kereskedési kitettségek lehetséges jövőbeli kitettséget jelentő része, amennyiben e tételek teljesítik a CRR 306. cikke (1) bekezdésének c) pontjában foglalt feltételeket. Az összeget a CRR 274. cikkének (2) bekezdésében meghatározott 1,4 alfa szorzóval kell megadni.</w:t>
            </w:r>
          </w:p>
          <w:p w14:paraId="419E01C7" w14:textId="70A232D0" w:rsidR="00E1595A" w:rsidRPr="000B66BC" w:rsidRDefault="00E1595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ebben a mezőben feltüntetett összeget a {0103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mezőben is szerepeltetniük kell, mintha nem lenne mentesség alkalmazandó.</w:t>
            </w:r>
          </w:p>
        </w:tc>
      </w:tr>
      <w:tr w:rsidR="00CB48CC" w:rsidRPr="00E75BB8" w14:paraId="28BF0347" w14:textId="77777777" w:rsidTr="00E1595A">
        <w:trPr>
          <w:trHeight w:val="304"/>
        </w:trPr>
        <w:tc>
          <w:tcPr>
            <w:tcW w:w="1531" w:type="dxa"/>
          </w:tcPr>
          <w:p w14:paraId="313EA046" w14:textId="430415F9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{0110;0010}</w:t>
            </w:r>
          </w:p>
          <w:p w14:paraId="4A976476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</w:tcPr>
          <w:p w14:paraId="2CF5E433" w14:textId="00E40A8B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Származtatott ügyletekre vonatkozó eltérés: az eredeti kitettség szerinti módszer</w:t>
            </w:r>
          </w:p>
          <w:p w14:paraId="6E5CD50D" w14:textId="2D0AEC20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429c. cikkének (6) bekezdése és 282. cikke</w:t>
            </w:r>
          </w:p>
          <w:p w14:paraId="394FA10D" w14:textId="2507C2FD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Ebben a mezőben a CRR II. mellékletének 1. és 2. pontjában felsorolt szerződéseknek a CRR 282. cikkében megállapított eredeti kitettség szerinti módszer szerint számított kitettségértékét kell feltüntetni.</w:t>
            </w:r>
          </w:p>
          <w:p w14:paraId="0B0A4108" w14:textId="0C20B700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429c. cikke (6) bekezdésének megfelelően az eredeti kitettség szerinti módszert alkalmazó intézmények nem csökkenthetik a kitettségértéket a készpénzben kapott letét összegével.</w:t>
            </w:r>
          </w:p>
          <w:p w14:paraId="39B54B07" w14:textId="5E193AC3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eredeti kitettség szerinti módszert nem alkalmazó intézményeknek ezt a mezőt nem szabad kitölteniük.</w:t>
            </w:r>
          </w:p>
          <w:p w14:paraId="1981EF1E" w14:textId="08F03AC9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 ebben a mezőben nem vehetik figyelembe az SA-CCR vagy az eredeti kitettségi módszer alkalmazásával értékelt szerződéseket.</w:t>
            </w:r>
          </w:p>
        </w:tc>
      </w:tr>
      <w:tr w:rsidR="00CB48CC" w:rsidRPr="00E75BB8" w14:paraId="3B7D8618" w14:textId="77777777" w:rsidTr="00E1595A">
        <w:trPr>
          <w:trHeight w:val="304"/>
        </w:trPr>
        <w:tc>
          <w:tcPr>
            <w:tcW w:w="1531" w:type="dxa"/>
          </w:tcPr>
          <w:p w14:paraId="42ED892B" w14:textId="40D1913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{0120;0010}</w:t>
            </w:r>
          </w:p>
        </w:tc>
        <w:tc>
          <w:tcPr>
            <w:tcW w:w="7590" w:type="dxa"/>
            <w:gridSpan w:val="3"/>
          </w:tcPr>
          <w:p w14:paraId="6FE290CC" w14:textId="030BF2BC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(–) Ügyfél által elszámolt, központi szerződő féllel szembeni,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mentesített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kereskedési kitettségek (eredeti kitettség szerinti módszer)</w:t>
            </w:r>
          </w:p>
          <w:p w14:paraId="7A371D92" w14:textId="7C6BD53C" w:rsidR="00CB48CC" w:rsidRPr="000B66BC" w:rsidRDefault="00803ED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429a. cikke (1) bekezdésének g) pontja</w:t>
            </w:r>
          </w:p>
          <w:p w14:paraId="6CD3BE79" w14:textId="4FE04ED1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ügyfél által elszámolt, központi szerződő féllel szembeni,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mentesített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kereskedési kitettségek a CRR 282. cikke szerinti eredeti kitettség szerinti módszer alkalmazásával, amennyiben megfelelnek a CRR 306. cikke (1) bekezdésének c) pontjában megállapított feltételeknek.</w:t>
            </w:r>
          </w:p>
          <w:p w14:paraId="18D8428B" w14:textId="6B3C879B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ebben a mezőben feltüntetett összeget a {0110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mezőben is szerepeltetniük kell, mintha nem lenne mentesség alkalmazandó.</w:t>
            </w:r>
          </w:p>
        </w:tc>
      </w:tr>
      <w:tr w:rsidR="00CB48CC" w:rsidRPr="00E75BB8" w14:paraId="5029F8E7" w14:textId="77777777" w:rsidTr="00E1595A">
        <w:trPr>
          <w:trHeight w:val="304"/>
        </w:trPr>
        <w:tc>
          <w:tcPr>
            <w:tcW w:w="1531" w:type="dxa"/>
          </w:tcPr>
          <w:p w14:paraId="598E1804" w14:textId="33506324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{0130;0010}</w:t>
            </w:r>
          </w:p>
        </w:tc>
        <w:tc>
          <w:tcPr>
            <w:tcW w:w="7590" w:type="dxa"/>
            <w:gridSpan w:val="3"/>
          </w:tcPr>
          <w:p w14:paraId="0ECB889E" w14:textId="0C2B43CB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Eladott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csökkentett névleges összege</w:t>
            </w:r>
          </w:p>
          <w:p w14:paraId="3144DF47" w14:textId="2DF8394A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429d. cikke</w:t>
            </w:r>
          </w:p>
          <w:p w14:paraId="7435D499" w14:textId="489D0FDD" w:rsidR="00CB48CC" w:rsidRPr="000B66BC" w:rsidRDefault="00E75BB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intézményeknek a CRR 429d. cikkének (1) bekezdésében meghatározott eladott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csökkentett névleges összegét a CRR 429d. cikkével összhangban kell meghatározniuk.</w:t>
            </w:r>
          </w:p>
        </w:tc>
      </w:tr>
      <w:tr w:rsidR="00CB48CC" w:rsidRPr="00E75BB8" w14:paraId="5DA0B9DC" w14:textId="77777777" w:rsidTr="00E1595A">
        <w:trPr>
          <w:trHeight w:val="304"/>
        </w:trPr>
        <w:tc>
          <w:tcPr>
            <w:tcW w:w="1531" w:type="dxa"/>
          </w:tcPr>
          <w:p w14:paraId="753E918D" w14:textId="3CA2220D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{0140;0010}</w:t>
            </w:r>
          </w:p>
        </w:tc>
        <w:tc>
          <w:tcPr>
            <w:tcW w:w="7590" w:type="dxa"/>
            <w:gridSpan w:val="3"/>
          </w:tcPr>
          <w:p w14:paraId="7C62D40B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(–) Az elismerhető vásárolt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beszámítása az eladott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hitelderivatívákkal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szemben</w:t>
            </w:r>
          </w:p>
          <w:p w14:paraId="64C8DF12" w14:textId="33012B95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429d. cikke</w:t>
            </w:r>
          </w:p>
          <w:p w14:paraId="444D1EBB" w14:textId="45DE543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Azon vásárolt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(az intézmény által ügyleti partnerétől vásárolt hitelkockázati fedezet) csökkentett névleges összege, amelyek referencianeve azonos az intézmény által eladott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hitelderivatívákéval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amennyiben a vásárolt fedezet hátralévő futamideje nem rövidebb az eladott fedezet hátralévő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futamidejénél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A megadott érték következésképpen nem lehet nagyobb, mint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 {0130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mezőben az egyes referencianevek vonatkozásában feltüntetett érték.</w:t>
            </w:r>
          </w:p>
        </w:tc>
      </w:tr>
      <w:tr w:rsidR="00CB48CC" w:rsidRPr="00E75BB8" w14:paraId="31F41404" w14:textId="77777777" w:rsidTr="00E1595A">
        <w:trPr>
          <w:trHeight w:val="983"/>
        </w:trPr>
        <w:tc>
          <w:tcPr>
            <w:tcW w:w="1531" w:type="dxa"/>
          </w:tcPr>
          <w:p w14:paraId="7A070329" w14:textId="158316A9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{0150;0010}</w:t>
            </w:r>
          </w:p>
          <w:p w14:paraId="7A113EB7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</w:tcPr>
          <w:p w14:paraId="4E086B7E" w14:textId="7D519EE3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 CRR 429f. cikkének megfelelő, 10 %-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os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hitel-egyenértékesítési tényezővel rendelkező mérlegen kívüli tételek</w:t>
            </w:r>
          </w:p>
          <w:p w14:paraId="7C110152" w14:textId="3F4973A9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429f. cikke, 111. cikke (1) bekezdésének d) pontja, valamint 166. cikkének (9) bekezdése</w:t>
            </w:r>
          </w:p>
          <w:p w14:paraId="6707D5C8" w14:textId="5828F16F" w:rsidR="00494A67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Azon alacsony kockázatú mérlegen kívüli tételek kitett</w:t>
            </w:r>
            <w:r w:rsidR="000E7468">
              <w:rPr>
                <w:rFonts w:ascii="Times New Roman" w:hAnsi="Times New Roman"/>
                <w:sz w:val="24"/>
                <w:szCs w:val="24"/>
              </w:rPr>
              <w:t xml:space="preserve">ségértéke a CRR 429f. cikkével </w:t>
            </w:r>
            <w:r>
              <w:rPr>
                <w:rFonts w:ascii="Times New Roman" w:hAnsi="Times New Roman"/>
                <w:sz w:val="24"/>
                <w:szCs w:val="24"/>
              </w:rPr>
              <w:t>és 111. cikke (1) bekezdése d) pontjával összhangban, amelyek a CRR I. melléklete 4. pontjának a)–c) alpontja szerint 0 %-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hitel-egyenértékesítési tényezőt kapnának (emlékeztetőül: a kitettségérték itt a névérték 10 %-a).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Ezek olyan kötelezettségvállalások, amelyeket az intézmény bármikor, feltétel és előzetes értesítés nélkül felmondhat (UCC), vagy amelyeknél a hitelfelvevő hitelképességének romlása automatikusan a megállapodás felmondását eredményezi.</w:t>
            </w:r>
            <w:proofErr w:type="gramEnd"/>
          </w:p>
          <w:p w14:paraId="7057DD3E" w14:textId="56EEEB50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Emlékeztetőül: a névérték nem csökkenthető egyedi hitelkockázati kiigazításokkal.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Ellenben, a 429f. cikk (2) bekezdésében foglaltaknak megfelelően az intézmények az egyedi hitelkockázati kiigazítás megfelelő összegével csökkenthetik a mérlegen kívüli tétel hitelkockázatikitettség-egyenértékes összegét. Erre a számításra nulla alsó korlát vonatkozik.</w:t>
            </w:r>
          </w:p>
          <w:p w14:paraId="34359CD8" w14:textId="26C6358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Ha a kötelezettségvállalás egy másik kötelezettségvállalás meghosszabbításához kapcsolódik, akkor az egyedi kötelezettségvállaláshoz kapcsolódó két egyenértékesítési tényező közül a CRR 166. cikke (9) bekezdésének megfelelően az alacsonyabb alkalmazandó.</w:t>
            </w:r>
          </w:p>
          <w:p w14:paraId="2398A4B9" w14:textId="4F8273FB" w:rsidR="00CB48CC" w:rsidRPr="000B66BC" w:rsidRDefault="00CB48CC" w:rsidP="0061658B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intézmények a CRR 429f. cikkével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összhangban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ebben a mezőben nem vehetik figyelembe a CRR II. mellékletében felsorolt szerződéseket, a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hitelderivatívákat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, az értékpapír-finanszírozási ügyleteket és 429d. cikkben említett pozíciókat.</w:t>
            </w:r>
          </w:p>
        </w:tc>
      </w:tr>
      <w:tr w:rsidR="00CB48CC" w:rsidRPr="00E75BB8" w14:paraId="736A5471" w14:textId="77777777" w:rsidTr="00E1595A">
        <w:trPr>
          <w:trHeight w:val="712"/>
        </w:trPr>
        <w:tc>
          <w:tcPr>
            <w:tcW w:w="1531" w:type="dxa"/>
          </w:tcPr>
          <w:p w14:paraId="7BB0A9E0" w14:textId="321744DC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{0160;0010}</w:t>
            </w:r>
          </w:p>
        </w:tc>
        <w:tc>
          <w:tcPr>
            <w:tcW w:w="7590" w:type="dxa"/>
            <w:gridSpan w:val="3"/>
          </w:tcPr>
          <w:p w14:paraId="079FCB69" w14:textId="303958CB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 CRR 429f. cikkének megfelelő, 20 %-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os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hitel-egyenértékesítési tényezővel rendelkező mérlegen kívüli tételek</w:t>
            </w:r>
          </w:p>
          <w:p w14:paraId="1808F2C6" w14:textId="2310301A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429f. cikke, 111. cikke (1) bekezdésének c) pontja, valamint 166. cikkének (9) bekezdése</w:t>
            </w:r>
          </w:p>
          <w:p w14:paraId="4A175A4A" w14:textId="2A2EA35F" w:rsidR="00494A67" w:rsidRPr="000B66BC" w:rsidRDefault="00CB48CC" w:rsidP="000B66BC">
            <w:pPr>
              <w:pStyle w:val="BodyText1"/>
              <w:spacing w:after="24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Azon közepes/alacsony kockázatú mérlegen kívüli tételek kitett</w:t>
            </w:r>
            <w:r w:rsidR="000E7468">
              <w:rPr>
                <w:rFonts w:ascii="Times New Roman" w:hAnsi="Times New Roman"/>
                <w:sz w:val="24"/>
                <w:szCs w:val="24"/>
              </w:rPr>
              <w:t xml:space="preserve">ségértéke a CRR 429f. cikkével </w:t>
            </w:r>
            <w:r>
              <w:rPr>
                <w:rFonts w:ascii="Times New Roman" w:hAnsi="Times New Roman"/>
                <w:sz w:val="24"/>
                <w:szCs w:val="24"/>
              </w:rPr>
              <w:t>és 111. cikke (1) bekezdése c) pontjával összhangban, amelyek a CRR I. melléklete 3. pontjának a)–b) alpontja szerint 20 %-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hitel-egyenértékesítési tényezőt kapnának (emlékeztetőül: a kitettségérték itt a névérték 20 %-a).</w:t>
            </w:r>
          </w:p>
          <w:p w14:paraId="130864F0" w14:textId="32743154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Emlékeztetőül: a névérték nem csökkenthető egyedi hitelkockázati kiigazításokkal. Ellenben, a 429f. cikk (2) bekezdésében foglaltaknak megfelelően az intézmények az egyedi hitelkockázati kiigazítás megfelelő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összegével csökkenthetik a mérlegen kívüli tétel hitelkockázatikitettség-egyenértékes összegét. Erre a számításra nulla alsó korlát vonatkozik.</w:t>
            </w:r>
          </w:p>
          <w:p w14:paraId="771B332A" w14:textId="2E953B09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Ha a kötelezettségvállalás egy másik kötelezettségvállalás meghosszabbításához kapcsolódik, akkor az egyedi kötelezettségvállaláshoz kapcsolódó két egyenértékesítési tényező közül a CRR 166. cikke (9) bekezdésének megfelelően az alacsonyabb alkalmazandó.</w:t>
            </w:r>
          </w:p>
          <w:p w14:paraId="6986CCC3" w14:textId="2E0681BE" w:rsidR="003A5EB5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intézmények a CRR 429f. cikkével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összhangban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ebben a mezőben nem vehetik figyelembe a CRR II. mellékletében felsorolt szerződéseket, a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hitelderivatívákat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, az értékpapír-finanszírozási ügyleteket és 429d. cikkben említett pozíciókat.</w:t>
            </w:r>
          </w:p>
        </w:tc>
      </w:tr>
      <w:tr w:rsidR="00CB48CC" w:rsidRPr="00E75BB8" w14:paraId="3354B9C5" w14:textId="77777777" w:rsidTr="00E1595A">
        <w:trPr>
          <w:trHeight w:val="304"/>
        </w:trPr>
        <w:tc>
          <w:tcPr>
            <w:tcW w:w="1531" w:type="dxa"/>
          </w:tcPr>
          <w:p w14:paraId="513659B4" w14:textId="6E2AF11C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{0170;0010}</w:t>
            </w:r>
          </w:p>
          <w:p w14:paraId="2D1C2289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</w:tcPr>
          <w:p w14:paraId="2B65BAF0" w14:textId="7FC0FF2C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 CRR 429f. cikkének megfelelő, 50 %-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os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hitel-egyenértékesítési tényezővel rendelkező mérlegen kívüli tételek</w:t>
            </w:r>
          </w:p>
          <w:p w14:paraId="7DA0F3D2" w14:textId="4AAC15B6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429f. cikke, 111. cikke (1) bekezdésének b) pontja, valamint 166. cikkének (9) bekezdése</w:t>
            </w:r>
          </w:p>
          <w:p w14:paraId="54C0DA6B" w14:textId="64B2950F" w:rsidR="00494A67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Azon közepes kockázatú mérlegen kívüli tételek kitett</w:t>
            </w:r>
            <w:r w:rsidR="00902815">
              <w:rPr>
                <w:rFonts w:ascii="Times New Roman" w:hAnsi="Times New Roman"/>
                <w:sz w:val="24"/>
                <w:szCs w:val="24"/>
              </w:rPr>
              <w:t xml:space="preserve">ségértéke a CRR 429f. cikkével </w:t>
            </w:r>
            <w:r>
              <w:rPr>
                <w:rFonts w:ascii="Times New Roman" w:hAnsi="Times New Roman"/>
                <w:sz w:val="24"/>
                <w:szCs w:val="24"/>
              </w:rPr>
              <w:t>és 111. cikke (1) bekezdése b) pontjával összhangban, amelyek a CRR I. melléklete 2. pontjának a)–b) alpontja szerint 50 %-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hitel-egyenértékesítési tényezőt kapnának (emlékeztetőül: a kitettségérték itt a névérték 50 %).</w:t>
            </w:r>
          </w:p>
          <w:p w14:paraId="512D74AD" w14:textId="4740EE8D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Emlékeztetőül: a névérték nem csökkenthető egyedi hitelkockázati kiigazításokkal. Ellenben, a 429f. cikk (2) bekezdésében foglaltaknak megfelelően az intézmények az egyedi hitelkockázati kiigazítás megfelelő összegével csökkenthetik a mérlegen kívüli tétel hitelkockázatikitettség-egyenértékes összegét. Erre a számításra nulla alsó korlát vonatkozik.</w:t>
            </w:r>
          </w:p>
          <w:p w14:paraId="116B0E4F" w14:textId="210C7C2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Ebben a mezőben kell feltüntetni a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likviditási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hitelkereteket és az egyéb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értékpapírosítási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kötelezettségvállalásokat. Más szóval: a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likviditási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hitelkeretek hitel-egyenértékesítési tényezője a CRR 255. cikkének megfelelően a lejárattól függetlenül 50 %.</w:t>
            </w:r>
          </w:p>
          <w:p w14:paraId="4339295A" w14:textId="7703B15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Ha a kötelezettségvállalás egy másik kötelezettségvállalás meghosszabbításához kapcsolódik, akkor az egyedi kötelezettségvállaláshoz kapcsolódó két egyenértékesítési tényező közül a CRR 166. cikke (9) bekezdésének megfelelően az alacsonyabb alkalmazandó.</w:t>
            </w:r>
          </w:p>
          <w:p w14:paraId="6DDC311B" w14:textId="63B75A41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intézmények a CRR 429f. cikkével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összhangban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ebben a mezőben nem vehetik figyelembe a CRR II. mellékletében felsorolt szerződéseket, a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hitelderivatívákat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, az értékpapír-finanszírozási ügyleteket és 429d. cikkben említett pozíciókat.</w:t>
            </w:r>
          </w:p>
        </w:tc>
      </w:tr>
      <w:tr w:rsidR="00CB48CC" w:rsidRPr="00E75BB8" w14:paraId="0A0BB45E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546786C4" w14:textId="1D71B0CD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{0180;0010}</w:t>
            </w:r>
          </w:p>
          <w:p w14:paraId="22AA02FE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6F41926D" w14:textId="012BDE3A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 CRR 429f. cikkének megfelelő, 100 %-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os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hitel-egyenértékesítési tényezővel ren</w:t>
            </w:r>
            <w:r w:rsidR="000E7468">
              <w:rPr>
                <w:rFonts w:ascii="Times New Roman" w:hAnsi="Times New Roman"/>
                <w:b/>
                <w:bCs/>
                <w:sz w:val="24"/>
                <w:szCs w:val="24"/>
              </w:rPr>
              <w:t>delkező mérlegen kívüli tételek</w:t>
            </w:r>
          </w:p>
          <w:p w14:paraId="603EE80E" w14:textId="0C0E4F00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 CRR 429f. cikke, 111. cikke (1) bekezdésének a) pontja, valamint 166. cikkének (9) bekezdése</w:t>
            </w:r>
          </w:p>
          <w:p w14:paraId="42AF30B9" w14:textId="3CA868DB" w:rsidR="00494A67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Azon magas kockázatú mérlegen kívüli tételek kitet</w:t>
            </w:r>
            <w:r w:rsidR="00902815">
              <w:rPr>
                <w:rFonts w:ascii="Times New Roman" w:hAnsi="Times New Roman"/>
                <w:bCs/>
                <w:sz w:val="24"/>
                <w:szCs w:val="24"/>
              </w:rPr>
              <w:t>tségértéke a CRR 429f. cikkével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és 111. cikke (1) bekezdése a) pontjával összhangban, amelyek a CRR I. melléklete 1. pontjának a)–k) alpontja szerint 100 %-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os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hitel-egyenértékesítési tényezőt kapnának (emlékeztetőül: a kitettségérték itt a névérték 100 %-a).</w:t>
            </w:r>
          </w:p>
          <w:p w14:paraId="02A01DC2" w14:textId="2A8279DF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Emlékeztetőül: a névérték nem csökkenthető egyedi hitelkockázati kiigazításokkal. Ellenben, a 429f. cikk (2) bekezdésében foglaltaknak megfelelően az intézmények az egyedi hitelkockázati kiigazítás megfelelő összegével csökkenthetik a mérlegen kívüli tétel hitelkockázatikitettség-egyenértékes összegét. Erre a számításra nulla alsó korlát vonatkozik.</w:t>
            </w:r>
          </w:p>
          <w:p w14:paraId="12BC0F57" w14:textId="6A8A33B4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Ebben a mezőben kell feltüntetni a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likviditási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hitelkereteket és az egyéb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értékpapírosítási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kötelezettségvállalásokat.</w:t>
            </w:r>
          </w:p>
          <w:p w14:paraId="01861A93" w14:textId="52EE7C79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Ha a kötelezettségvállalás egy másik kötelezettségvállalás meghosszabbításához kapcsolódik, akkor az egyedi kötelezettségvállaláshoz kapcsolódó két egyenértékesítési tényező közül a CRR 166. cikke (9) bekezdésének megfelelően az alacsonyabb alkalmazandó.</w:t>
            </w:r>
          </w:p>
          <w:p w14:paraId="37DBE5CD" w14:textId="222A0001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intézmények a CRR 429f. cikkével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összhangban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ebben a mezőben nem vehetik figyelembe a CRR II. mellékletében felsorolt szerződéseket, a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hitelderivatívákat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, az értékpapír-finanszírozási ügyleteket és 429d. cikkben említett pozíciókat.</w:t>
            </w:r>
          </w:p>
        </w:tc>
      </w:tr>
      <w:tr w:rsidR="00CB48CC" w:rsidRPr="00E75BB8" w14:paraId="36A7A2BB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7E132F7E" w14:textId="5BAF48E5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{0181;0010}</w:t>
            </w:r>
          </w:p>
          <w:p w14:paraId="41120190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6AD2D6D7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(−) A mérlegen kívüli tételek általános hitelkockázati kiigazításai </w:t>
            </w:r>
          </w:p>
          <w:p w14:paraId="62AD4ABC" w14:textId="404EFC3B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429. cikkének (4) bekezdése</w:t>
            </w:r>
          </w:p>
          <w:p w14:paraId="301E11EC" w14:textId="312F436B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429. cikk (4) bekezdésének d) pontjában említett mérlegen kívüli tételeknek megfelelő általános hitelkockázati kiigazítások összege, amelyet az intézmények a CRR 429. cikke (4) bekezdésének utolsó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összhangban levonnak.</w:t>
            </w:r>
          </w:p>
          <w:p w14:paraId="2059F8B9" w14:textId="5CF2B1A7" w:rsidR="00CB48CC" w:rsidRPr="000B66BC" w:rsidRDefault="00CB48CC" w:rsidP="0061658B">
            <w:pPr>
              <w:pStyle w:val="BodyText1"/>
              <w:spacing w:after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feltüntetett összeg nem vehető figyelembe csökkentéskén a mérlegen kívüli tételekre vonatkozó, a {0150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}–{0180;0010} sorokban megadott számítások csökkenéseként.</w:t>
            </w:r>
          </w:p>
        </w:tc>
      </w:tr>
      <w:tr w:rsidR="00CB48CC" w:rsidRPr="00E75BB8" w14:paraId="1DF5F072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581AAB63" w14:textId="5DF88AB5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{0185;0010}</w:t>
            </w:r>
          </w:p>
          <w:p w14:paraId="122DCB6F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01E22C55" w14:textId="1B5443D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Kiegyenlítésre váró, szokásos módon történő vétel és eladás: könyv szerinti érték kötési időpo</w:t>
            </w:r>
            <w:r w:rsidR="00CB670E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nt szerinti elszámolás esetében</w:t>
            </w:r>
          </w:p>
          <w:p w14:paraId="4C694246" w14:textId="3BF041DF" w:rsidR="00CB48CC" w:rsidRPr="000B66BC" w:rsidRDefault="00995F8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429g. cikkének (1) bekezdése</w:t>
            </w:r>
          </w:p>
          <w:p w14:paraId="7D206739" w14:textId="0B1BCEAC" w:rsidR="00272017" w:rsidRPr="000B66BC" w:rsidRDefault="0027201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Az alábbiak összege:</w:t>
            </w:r>
          </w:p>
          <w:p w14:paraId="5F24E6D9" w14:textId="44D45AF9" w:rsidR="00995F8D" w:rsidRPr="000B66BC" w:rsidRDefault="00995F8D" w:rsidP="000B66BC">
            <w:pPr>
              <w:pStyle w:val="BodyText1"/>
              <w:numPr>
                <w:ilvl w:val="0"/>
                <w:numId w:val="42"/>
              </w:numPr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lastRenderedPageBreak/>
              <w:t>A CRR 429. cikke (4) bekezdésének a) pontjával összhangban az elszámolás időpontjáig eszközként a mérlegben maradó, szokásos módon történő vételhez kapcsolódó készpénz összege;</w:t>
            </w:r>
          </w:p>
          <w:p w14:paraId="72B0EC2C" w14:textId="45D41EE2" w:rsidR="00995F8D" w:rsidRPr="000B66BC" w:rsidRDefault="00272017" w:rsidP="000B66BC">
            <w:pPr>
              <w:pStyle w:val="BodyText1"/>
              <w:numPr>
                <w:ilvl w:val="0"/>
                <w:numId w:val="42"/>
              </w:numPr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a CRR 429. cikke (4) bekezdésének a) pontjával összhangban az elszámolás időpontjáig eszközként a mérlegben maradó, szokásos módon történő eladáshoz kapcsolódó készpénz összege. Ez az összeg a kiegyenlítésre váró, szokásos módon történő eladáshoz kapcsolódó készpénzkövetelések és a kiegyenlítésre váró, szokásos módon történő vételhez kapcsolódó készpénzkötelezettségek közötti, az alkalmazandó számviteli szabályozás által adott esetben lehetővé tett beszámítás után összeg.</w:t>
            </w:r>
          </w:p>
          <w:p w14:paraId="5C35FB48" w14:textId="21B2EF08" w:rsidR="00CB48CC" w:rsidRPr="000B66BC" w:rsidRDefault="0027201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 kötési időpont szerinti elszámolást követő intézményeknek a fent említett összeget nem a 0190. (Egyéb eszközök) sorban, hanem ebben a mezőben kell feltüntetniük, míg a szokásos módon történő vételhez kapcsolódó értékpapírokat a 0190. sorban kell jelenteniük.</w:t>
            </w:r>
          </w:p>
        </w:tc>
      </w:tr>
      <w:tr w:rsidR="00CB48CC" w:rsidRPr="00E75BB8" w14:paraId="5102550B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7F15FF7B" w14:textId="4280A8CB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{0186;0010}</w:t>
            </w:r>
          </w:p>
          <w:p w14:paraId="09F7091F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6525B26A" w14:textId="37531743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Kiegyenlítésre váró, szokásos módon történő eladás: számviteli szabályozás által megengedett beszámítások visszaírása kötési időpont szerinti elszámolás esetében</w:t>
            </w:r>
          </w:p>
          <w:p w14:paraId="20327055" w14:textId="6888C0F3" w:rsidR="00CB48CC" w:rsidRPr="000B66BC" w:rsidRDefault="00995F8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429g. cikkének (2) bekezdése</w:t>
            </w:r>
          </w:p>
          <w:p w14:paraId="4A0C32B6" w14:textId="15F13BC7" w:rsidR="002B0AAC" w:rsidRPr="000B66BC" w:rsidRDefault="00995F8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Ez az összeg a kiegyenlítésre váró, szokásos módon történő eladáshoz kapcsolódó készpénzkövetelések és a kiegyenlítésre váró, szokásos módon történő vételhez kapcsolódó készpénzkötelezettségek közötti, az alkalmazandó számviteli szabályozás által adott esetben lehetővé tett beszámítás.</w:t>
            </w:r>
          </w:p>
        </w:tc>
      </w:tr>
      <w:tr w:rsidR="00195426" w:rsidRPr="00E75BB8" w14:paraId="78EEA43B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61857A89" w14:textId="623EBF8F" w:rsidR="00195426" w:rsidRPr="000B66BC" w:rsidRDefault="00195426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{0187;0010}</w:t>
            </w:r>
          </w:p>
          <w:p w14:paraId="58BAB70E" w14:textId="77777777" w:rsidR="00195426" w:rsidRPr="000B66BC" w:rsidRDefault="00195426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3510C554" w14:textId="628F0EFE" w:rsidR="00195426" w:rsidRPr="000B66BC" w:rsidRDefault="0019542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(–) Kiegyenlítésre váró, szokásos módon történő eladás: beszámítás a CRR 429g. cikkének (2) bekezdése szerint</w:t>
            </w:r>
          </w:p>
          <w:p w14:paraId="416B6808" w14:textId="7F07F247" w:rsidR="00195426" w:rsidRPr="000B66BC" w:rsidRDefault="0019542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429g. cikkének (2) bekezdése</w:t>
            </w:r>
          </w:p>
          <w:p w14:paraId="057F1FAB" w14:textId="6EE6926A" w:rsidR="00195426" w:rsidRPr="000B66BC" w:rsidRDefault="00195426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 készpénzkövetelések és a készpénzkötelezettségek között elszámolt összeg, ha a kapcsolódó, szokásos módon történő eladást és értékesítést egyaránt 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szállítás fizetés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ellenében alapon egyenlítik ki, a CRR 429 g. cikkének (2) bekezdésével összhangban.</w:t>
            </w:r>
          </w:p>
        </w:tc>
      </w:tr>
      <w:tr w:rsidR="00CB48CC" w:rsidRPr="00E75BB8" w14:paraId="664DB6ED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761F65B7" w14:textId="0803C63C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{0188;0010}</w:t>
            </w:r>
          </w:p>
          <w:p w14:paraId="2D8E081B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3CD9B991" w14:textId="1F5C665A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Kiegyenlítésre váró, szokásos módon történő vásárlás: a fizetési kötelezettségvállalások teljes körű megjelenítése a kiegyenlítés határideje szerinti elszámolás esetében </w:t>
            </w:r>
          </w:p>
          <w:p w14:paraId="0305F981" w14:textId="76307473" w:rsidR="00CB48CC" w:rsidRPr="000B66BC" w:rsidRDefault="0019542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429g. cikkének (3) bekezdése</w:t>
            </w:r>
          </w:p>
          <w:p w14:paraId="17418655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A szokásos módon történő vásárlásokhoz kapcsolódó fizetési kötelezettségvállalások teljes névértéke azon intézmények esetében, amelyek az alkalmazandó számviteli szabályozással összhangban a kiegyenlítés 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lastRenderedPageBreak/>
              <w:t>határideje szerinti elszámolást alkalmaznak a szokásos módon történő vásárlásokra és eladásokra.</w:t>
            </w:r>
          </w:p>
          <w:p w14:paraId="59B3EB10" w14:textId="3BF06932" w:rsidR="00CB48CC" w:rsidRPr="000B66BC" w:rsidRDefault="003718C7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 szokásos módon történő eladáshoz kapcsolódó értékpapírokat a 0190. sorban (Egyéb eszközök) kell feltüntetni.</w:t>
            </w:r>
          </w:p>
        </w:tc>
      </w:tr>
      <w:tr w:rsidR="00CB48CC" w:rsidRPr="00E75BB8" w14:paraId="061A339C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4E6F9470" w14:textId="411DE5F9" w:rsidR="00974BCC" w:rsidRPr="000B66BC" w:rsidRDefault="00974B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{0189;0010}</w:t>
            </w:r>
          </w:p>
          <w:p w14:paraId="299E6D92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3DDE4E8F" w14:textId="709B620B" w:rsidR="00974BCC" w:rsidRPr="000B66BC" w:rsidRDefault="00974B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(–) Kiegyenlítésre váró, szokásos módon történő vásárlás: a fizetési kötelezettségvállalások ellentételezése a kiegyenlítés határideje szerinti elszámolás esetében a CRR 429 g. cikkének (3) bekezdése szerint</w:t>
            </w:r>
          </w:p>
          <w:p w14:paraId="0155689A" w14:textId="5B8BD83D" w:rsidR="0049459B" w:rsidRPr="000B66BC" w:rsidRDefault="0049459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CRR 429g. cikkének (3) bekezdése </w:t>
            </w:r>
          </w:p>
          <w:p w14:paraId="795D29D1" w14:textId="1EF3903A" w:rsidR="0049459B" w:rsidRPr="000B66BC" w:rsidRDefault="00DC3476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0188. sorban feltüntetett összegnek az a része, amelyet a CRR 429 g. cikkének (3) bekezdése szerint a kiegyenlítésre váró, szokásos módon történő eladáshoz kapcsolódó készpénzkövetelések teljes névértékével ellentételeznek.</w:t>
            </w:r>
          </w:p>
        </w:tc>
      </w:tr>
      <w:tr w:rsidR="00CB48CC" w:rsidRPr="00E75BB8" w14:paraId="7F056AC7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363AA4BD" w14:textId="49D24DA5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{0190;0010}</w:t>
            </w:r>
          </w:p>
          <w:p w14:paraId="02CEC1ED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50F25DB7" w14:textId="2AA8E20A" w:rsidR="00CB48CC" w:rsidRPr="000B66BC" w:rsidRDefault="00CB670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Egyéb eszközök</w:t>
            </w:r>
          </w:p>
          <w:p w14:paraId="6BF56BA7" w14:textId="7B1BA577" w:rsidR="00CB48CC" w:rsidRPr="000B66BC" w:rsidRDefault="009716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429. c</w:t>
            </w:r>
            <w:r w:rsidR="00CB670E">
              <w:rPr>
                <w:rFonts w:ascii="Times New Roman" w:hAnsi="Times New Roman"/>
                <w:bCs/>
                <w:sz w:val="24"/>
                <w:szCs w:val="24"/>
              </w:rPr>
              <w:t>ikke (4) bekezdésének a) pontja</w:t>
            </w:r>
          </w:p>
          <w:p w14:paraId="412FDEE7" w14:textId="715A83A2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összes olyan eszköz, amely nem tartozik a CRR II. mellékletében felsorolt szerződések, a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és az SFT-k közé (többek között ebben a mezőben kell feltüntetni a változó készpénzletétre vonatkozó követeléseket – ha azokat az alkalmazott számviteli keretben megjelenítik –, a likviditásfedezeti ráta keretében meghatározott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likvid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eszközöket, a meghiúsult és kiegyenlítetlen ügyleteket). Az intézmények az értékelést a CRR 429b. cikkének (1) bekezdésében és 429. cikkének (7) bekezdésében meghatározott elvek alapján végzik.</w:t>
            </w:r>
          </w:p>
          <w:p w14:paraId="1C53A1E2" w14:textId="69743091" w:rsidR="00BA46B1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 ebben a mezőben tüntetik fel a kapott készpénzt vagy az SFT-k során bármely ügyleti partnernek adott biztosítékot, ha az továbbra is szerepel a mérlegben (vagyis akkor, ha a kivezetés számviteli feltételei nem teljesülnek). Az intézmények itt tüntetik fel továbbá az elsődleges és az egyéb alapvető tőkéből levont tételeket (például immateriális javakat, halasztott adóköveteléseket stb.)</w:t>
            </w:r>
          </w:p>
          <w:p w14:paraId="0030E8E6" w14:textId="29782359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{0191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sorban feltüntetett összeg e sor számítása során nem vehető figyelembe csökkentésként.</w:t>
            </w:r>
          </w:p>
          <w:p w14:paraId="52C58829" w14:textId="00F0E873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számla-összevezetési megállapodás nem itt, hanem a {0193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}, {0194;0010}, {0195;0010}, {0196;0010}, {0197;0010} és {0198;0010} sorokban kell feltüntetni.</w:t>
            </w:r>
          </w:p>
        </w:tc>
      </w:tr>
      <w:tr w:rsidR="00CB48CC" w:rsidRPr="00E75BB8" w14:paraId="5EC00608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0DDE44FD" w14:textId="34148683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{0191;0010}</w:t>
            </w:r>
          </w:p>
          <w:p w14:paraId="23095895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38980839" w14:textId="6EC2F31A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(−) A mérlegen belüli tételek általá</w:t>
            </w:r>
            <w:r w:rsidR="00CB670E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nos hitelkockázati kiigazításai</w:t>
            </w:r>
          </w:p>
          <w:p w14:paraId="1CDF58F3" w14:textId="16269291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CRR 429. cikkének (4) bekezdése </w:t>
            </w:r>
          </w:p>
          <w:p w14:paraId="7E1379BD" w14:textId="60D17E68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429. cikk (4) bekezdésének a) pontjában említett mérlegen belüli tételeknek megfelelő általános hitelkockázati kiigazítások összege CRR, amelyet az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intézmények a CRR 429. cikke (4) bekezdésének utolsó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összhangban levonnak.</w:t>
            </w:r>
          </w:p>
          <w:p w14:paraId="58EB87A7" w14:textId="5FEB470A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feltüntetett összeg nem vehető figyelembe csökkentésként az egyéb eszközök {0190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mezőben jelentett számításakor.</w:t>
            </w:r>
          </w:p>
        </w:tc>
      </w:tr>
      <w:tr w:rsidR="006E0322" w:rsidRPr="00E75BB8" w14:paraId="2DB04EEA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07B43E1F" w14:textId="12AF740D" w:rsidR="006E0322" w:rsidRPr="000B66BC" w:rsidRDefault="006E0322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{0193;0010}</w:t>
            </w:r>
          </w:p>
          <w:p w14:paraId="28BFDD3E" w14:textId="77777777" w:rsidR="006E0322" w:rsidRPr="000B66BC" w:rsidRDefault="006E0322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63974CEB" w14:textId="77777777" w:rsidR="00103B23" w:rsidRPr="000B66BC" w:rsidRDefault="00103B2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Prudenciálisan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nem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nettósítható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számla-összevezetési megállapodások: számviteli szabályozás szerinti érték</w:t>
            </w:r>
          </w:p>
          <w:p w14:paraId="01265E9F" w14:textId="60113854" w:rsidR="00103B23" w:rsidRPr="000B66BC" w:rsidRDefault="009F6A5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 CRR 429b. cikkének (2) és (3) bekezdése</w:t>
            </w:r>
          </w:p>
          <w:p w14:paraId="421B559D" w14:textId="0FAAC55C" w:rsidR="006E0322" w:rsidRPr="000B66BC" w:rsidRDefault="00103B2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 több egyéni számla tartozik vagy követel egyenlegét készpénz- vagy likviditáskezelés céljából összevonó számla-összevezetési megállapodásoknak a CRR 429b. cikkének (2) és (3) bekezdése szerint nem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nettósítható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könyv szerinti értéke.</w:t>
            </w:r>
          </w:p>
        </w:tc>
      </w:tr>
      <w:tr w:rsidR="00CB48CC" w:rsidRPr="00E75BB8" w14:paraId="26F15125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5FD0298B" w14:textId="2215C91C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{0194;0010}</w:t>
            </w:r>
          </w:p>
          <w:p w14:paraId="4FD69EB9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77940841" w14:textId="77777777" w:rsidR="00103B23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Prudenciálisan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nem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nettósítható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számla-összevezetési megállapodások: a számviteli szabályozásban alkalmazott nettósítás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bruttósításának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hatása</w:t>
            </w:r>
          </w:p>
          <w:p w14:paraId="390CF1DE" w14:textId="256221E8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 CRR 429. cikke (7) bekezdésének b) pontja, valamint 429b. cikkének (2) és (3) bekezdése</w:t>
            </w:r>
          </w:p>
          <w:p w14:paraId="7AC9B352" w14:textId="40BB7FB2" w:rsidR="00CB48CC" w:rsidRPr="000B66BC" w:rsidRDefault="00103B2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prudenciálisan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nem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nettósítható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számla-összevezetési megállapodásokra alkalmazandó számviteli szabályozás alapján nettósított, a {0193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>} mezőben jelentett összeg.</w:t>
            </w:r>
          </w:p>
        </w:tc>
      </w:tr>
      <w:tr w:rsidR="00CB48CC" w:rsidRPr="00E75BB8" w14:paraId="751549C0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12C2B1C4" w14:textId="60D4BAFE" w:rsidR="00974BCC" w:rsidRPr="000B66BC" w:rsidRDefault="00974B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{0195;0010}</w:t>
            </w:r>
          </w:p>
          <w:p w14:paraId="522A5DF4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3E634ADC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Prudenciálisan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nettósítható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számla-összevezetési megállapodások: számviteli szabályozás szerinti érték</w:t>
            </w:r>
          </w:p>
          <w:p w14:paraId="444FD556" w14:textId="103ECED4" w:rsidR="00CB48CC" w:rsidRPr="000B66BC" w:rsidRDefault="0073197F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 CRR 429b. cikkének (2) és (3) bekezdése</w:t>
            </w:r>
          </w:p>
          <w:p w14:paraId="5FF92BE1" w14:textId="741EB544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 több egyéni számla tartozik vagy követel egyenlegét készpénz- vagy likviditáskezelés céljából összevonó számla-összevezetési megállapodásoknak a CRR 429b. cikkének (2) és (3) bekezdése szerint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nettósítható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könyv szerinti értéke.</w:t>
            </w:r>
          </w:p>
        </w:tc>
      </w:tr>
      <w:tr w:rsidR="00CB48CC" w:rsidRPr="00E75BB8" w14:paraId="0FD5A27F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4CBB43FC" w14:textId="18B8DCAA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{0196;0010}</w:t>
            </w:r>
          </w:p>
          <w:p w14:paraId="472BF07D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7BB5D25C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Prudenciálisan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nettósítható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számla-összevezetési megállapodások: a számviteli szabályozásban alkalmazott nettósítás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bruttósításának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hatása</w:t>
            </w:r>
          </w:p>
          <w:p w14:paraId="770F0F10" w14:textId="602EA66B" w:rsidR="00CB48CC" w:rsidRPr="000B66BC" w:rsidRDefault="009F6A5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 CRR 429b. cikkének (2) és (3) bekezdése</w:t>
            </w:r>
          </w:p>
          <w:p w14:paraId="4F594E25" w14:textId="2FF29B12" w:rsidR="00864866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prudenciálisan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nettósítható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számla-összevezetési megállapodásokra alkalmazandó számviteli szabályozás alapján nettósított, a {0195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>} mezőben jelentett összeg.</w:t>
            </w:r>
          </w:p>
          <w:p w14:paraId="14E77DE6" w14:textId="4279D111" w:rsidR="00CB48CC" w:rsidRPr="000B66BC" w:rsidRDefault="00166A6F" w:rsidP="000B66BC">
            <w:pPr>
              <w:pStyle w:val="BodyText1"/>
              <w:spacing w:after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Amennyiben az intézmény megfelel a 429b. cikk (2) bekezdése b) pontjának, az ebben a sorban 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szereplő bruttósítást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nem alkalmazhatja a 429b. cikk (2) bekezdésének a) pontjában meghatározott eljárás alapján nullára állított egyenlegekre.</w:t>
            </w:r>
          </w:p>
        </w:tc>
      </w:tr>
      <w:tr w:rsidR="00CB48CC" w:rsidRPr="00E75BB8" w14:paraId="6C598455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11C78F9F" w14:textId="649683AF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{0197;0010}</w:t>
            </w:r>
          </w:p>
          <w:p w14:paraId="2FDD840E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601FD6E4" w14:textId="21052221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(–)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Prudenciálisan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nettósítható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számla-összevezetési megállapodások: a nettósítás megjelenítése a CRR 429b. cikkének (2) bekezdése szerint</w:t>
            </w:r>
          </w:p>
          <w:p w14:paraId="52C1DAD6" w14:textId="565662D3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429b. cikkének (2) bekezdése</w:t>
            </w:r>
          </w:p>
          <w:p w14:paraId="6514DC6F" w14:textId="4B1A16D6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 számla-összevezetési megállapodásokhoz kapcsolódó bruttó kitettségből nettósított összeg (a 0195. és 0196. sor összege), a 429b. cikk (2) bekezdésével összhangban.</w:t>
            </w:r>
          </w:p>
        </w:tc>
      </w:tr>
      <w:tr w:rsidR="00CB48CC" w:rsidRPr="00E75BB8" w14:paraId="6681A527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4136B44E" w14:textId="263B95A4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{0198;0010}</w:t>
            </w:r>
          </w:p>
          <w:p w14:paraId="6AAFDEE3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7806A066" w14:textId="2775C46E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(–)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Prudenciálisan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nettósítható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számla-összevezetési megállapodások: a nettósítás megjelenítése a CRR 429b. cikkének (3) bekezdése szerint</w:t>
            </w:r>
          </w:p>
          <w:p w14:paraId="4EC11D08" w14:textId="4AEA1576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429b. cikkének (3) bekezdése</w:t>
            </w:r>
          </w:p>
          <w:p w14:paraId="10AA0B56" w14:textId="114633D3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 számla-összevezetési megállapodásokhoz kapcsolódó bruttó kitettségből nettósított összeg (a 0195. és 0196. sor összege), a 429b. cikk (3) bekezdésével összhangban.</w:t>
            </w:r>
          </w:p>
        </w:tc>
      </w:tr>
      <w:tr w:rsidR="00CB48CC" w:rsidRPr="00E75BB8" w14:paraId="3E08AE39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16A9AAE1" w14:textId="7B5874EF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{0200;0010}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060D27D3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Származtatott ügylet során nyújtott biztosíték miatti visszaírás</w:t>
            </w:r>
          </w:p>
          <w:p w14:paraId="2AA08714" w14:textId="4D3EE4F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429c. cikkének (2) bekezdése</w:t>
            </w:r>
          </w:p>
          <w:p w14:paraId="6B6AC708" w14:textId="78EEE9CB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származtatott ügyletek során nyújtott azon biztosítékok összege, amelyek – a CRR 429c. cikkének (2) bekezdésének meghatározása szerint – az alkalmazandó számviteli szabályozás értelmében csökkentik az eszközök összegét.</w:t>
            </w:r>
          </w:p>
          <w:p w14:paraId="3815F945" w14:textId="00E2C43B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 ebben a mezőben nem tüntethetik fel az elfogadott központi szerződő féllel kötött, ügyfél által elszámolt származtatott ügyletek alapletétjét és a CRR 429c. cikkének (3) bekezdésében meghatározott elismerhető változó készpénzletétet.</w:t>
            </w:r>
          </w:p>
        </w:tc>
      </w:tr>
      <w:tr w:rsidR="00CB48CC" w:rsidRPr="00E75BB8" w14:paraId="5CAE26AC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6E109898" w14:textId="552996B4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{0210;0010}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0DBB01E6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(–) Származtatott ügylet során nyújtott változó készpénzletétre vonatkozó követelések</w:t>
            </w:r>
          </w:p>
          <w:p w14:paraId="353AEF67" w14:textId="168EBF83" w:rsidR="00CB48CC" w:rsidRPr="000B66BC" w:rsidRDefault="001475A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429c. cikke (3) bekezdésének c) pontja</w:t>
            </w:r>
          </w:p>
          <w:p w14:paraId="43A45BE7" w14:textId="7D55C148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származtatott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ügyletbeli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partnernek készpénzben fizetett változó letétre vonatkozó követelések, ha az intézménynek azokat az alkalmazandó számviteli szabályozás szerint eszközként kell megjelenítenie, amennyiben teljesülnek a CRR 429c. cikke (3) bekezdésének a)–e) pontjában megállapított feltételek.</w:t>
            </w:r>
          </w:p>
          <w:p w14:paraId="5E1EBFBA" w14:textId="5DE4D171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itt feltüntetett összeget szerepeltetni kell a {0190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mezőben feltüntetett egyéb eszközök között is.</w:t>
            </w:r>
          </w:p>
        </w:tc>
      </w:tr>
      <w:tr w:rsidR="00CB48CC" w:rsidRPr="00E75BB8" w14:paraId="7004E9E4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200E881A" w14:textId="0436C5A2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{0220;0010}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68880B55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(–) Ügyfél által elszámolt, központi szerződő féllel szembeni,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mentesített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kereskedési kitettségek (alapletét)</w:t>
            </w:r>
          </w:p>
          <w:p w14:paraId="3E812C65" w14:textId="2E43BC09" w:rsidR="00CB48CC" w:rsidRPr="000B66BC" w:rsidRDefault="001475A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429a. cikke (1) bekezdésének g) pontja</w:t>
            </w:r>
          </w:p>
          <w:p w14:paraId="5FE3535A" w14:textId="779172E4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Az ügyfél által elszámolt származtatott ügyletekből eredő, minősített központi szerződő féllel szembeni,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mentesített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kereskedési kitettségek (nyújtott) alapletétet képviselő része, amennyiben e tételek teljesítik a CRR 306. cikke (1) bekezdésének c) pontjában foglalt feltételeket.</w:t>
            </w:r>
          </w:p>
          <w:p w14:paraId="6C360905" w14:textId="21F19BED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itt feltüntetett összeget szerepeltetni kell a {0190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mezőben feltüntetett egyéb eszközök között is.</w:t>
            </w:r>
          </w:p>
        </w:tc>
      </w:tr>
      <w:tr w:rsidR="00CB48CC" w:rsidRPr="00E75BB8" w14:paraId="49F39ED5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078DD162" w14:textId="26EF1E5A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{0230;0010}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66A65253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Eladásként elszámolt SFT-k miatti kiigazítás</w:t>
            </w:r>
          </w:p>
          <w:p w14:paraId="46B4994C" w14:textId="11B91C90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429e. cikkének (6) bekezdése</w:t>
            </w:r>
          </w:p>
          <w:p w14:paraId="05B69EB8" w14:textId="4CF799C1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repoügyletek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során kölcsönadott azon értékpapírok értéke, amelyeket az ügyleteknek az alkalmazandó számviteli szabályozás szerinti eladásként való elszámolása miatt kivezetnek.</w:t>
            </w:r>
          </w:p>
        </w:tc>
      </w:tr>
      <w:tr w:rsidR="00CB48CC" w:rsidRPr="00E75BB8" w14:paraId="5CBC395D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22212EBE" w14:textId="01A07AD0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{0235;0010}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6E0AEEEF" w14:textId="04EE423C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(–) Az előfinanszírozási vagy áthidaló hitelek kitettségértékének csök</w:t>
            </w:r>
            <w:r w:rsidR="00CB670E">
              <w:rPr>
                <w:rFonts w:ascii="Times New Roman" w:hAnsi="Times New Roman"/>
                <w:b/>
                <w:bCs/>
                <w:sz w:val="24"/>
                <w:szCs w:val="24"/>
              </w:rPr>
              <w:t>kentése</w:t>
            </w:r>
          </w:p>
          <w:p w14:paraId="44C18D39" w14:textId="51D265F7" w:rsidR="00131C70" w:rsidRPr="000B66BC" w:rsidRDefault="00131C7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429. cikkének (8) bekezdése</w:t>
            </w:r>
          </w:p>
          <w:p w14:paraId="211507FA" w14:textId="0F9EA14E" w:rsidR="00131C70" w:rsidRPr="000B66BC" w:rsidRDefault="00131C70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előfinanszírozási hitel vagy áthidaló hitel kitettségértékéből a CRR 429. cikkének (8) bekezdésével összhangban csökkentett összeg.</w:t>
            </w:r>
          </w:p>
          <w:p w14:paraId="28E46325" w14:textId="539EE861" w:rsidR="00131C70" w:rsidRPr="000B66BC" w:rsidRDefault="002662F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itt feltüntetett összeget szerepeltetni kell a {0190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mezőben feltüntetett egyéb eszközök között is.</w:t>
            </w:r>
          </w:p>
        </w:tc>
      </w:tr>
      <w:tr w:rsidR="00CB48CC" w:rsidRPr="00E75BB8" w14:paraId="18C57782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3BF18418" w14:textId="18069978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{0240;0010}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3B65685B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(–) Bizalmi vagyonkezelés keretében kezelt eszközök</w:t>
            </w:r>
          </w:p>
          <w:p w14:paraId="7B749386" w14:textId="503A5C32" w:rsidR="00CB48CC" w:rsidRPr="000B66BC" w:rsidRDefault="00520E2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429a. cikke (1) bekezdésének i) pontja</w:t>
            </w:r>
          </w:p>
          <w:p w14:paraId="0AD4C34E" w14:textId="5E45FFBD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intézmény mérlegében az általánosan elfogadott nemzeti számviteli elvek alapján megjelenített vagyonkezelői eszközök értéke, amelyek a CRR 429a. cikke (1) bekezdésének i) pontjával összhangban megfelelnek a megjelenítés alóli kivételre vonatkozó IFRS 9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kritériumoknak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, és adott esetben a konszolidálás alóli kivételre vonatkozó IFRS 10 standardnak, számviteli nettósítást vagy más CRM-hatást nem feltételezve (azaz a számviteli nettósításnak vagy a CRM-nek a könyv szerinti értéket befolyásoló hatásait vissza kell írni).</w:t>
            </w:r>
          </w:p>
          <w:p w14:paraId="3BDFEE4B" w14:textId="1245B02D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itt feltüntetett összeget szerepeltetni kell a {0190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mezőben feltüntetett egyéb eszközök között is.</w:t>
            </w:r>
          </w:p>
        </w:tc>
      </w:tr>
      <w:tr w:rsidR="00CB48CC" w:rsidRPr="00E75BB8" w14:paraId="6FE4C909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6A867BE8" w14:textId="56A136F0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{0250;0010}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444C70A3" w14:textId="10B6B4E5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(–) A CRR 429a. cikke (1) bekezdésének c) pontja szerint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mentesített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csoporton belüli kitettségek (egyedi alapon)</w:t>
            </w:r>
          </w:p>
          <w:p w14:paraId="1E2E0D64" w14:textId="46D39225" w:rsidR="00CB48CC" w:rsidRPr="000B66BC" w:rsidRDefault="0001056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429a. cikke (1) bekezdésének c) pontja, valamint 113. cikkének (6) bekezdése</w:t>
            </w:r>
          </w:p>
          <w:p w14:paraId="76D582E8" w14:textId="6A5B1B6D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A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konszolidáció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alkalmazandó szintjén nem konszolidált azon kitettségek, amelyek tekintetében igénybe vehető a CRR 113. cikkének (6) bekezdése szerinti elbánás, amennyiben a CRR 113. cikke (6) bekezdésének a)–e) pontjában előírt összes feltétel teljesül, és az illetékes hatóság megadta az engedélyt.</w:t>
            </w:r>
          </w:p>
          <w:p w14:paraId="01853F94" w14:textId="16846725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feltüntetett összeget a megfelelő fenti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mezőkben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is szerepeltetni kell, mintha nem lenne mentesség alkalmazandó.</w:t>
            </w:r>
          </w:p>
        </w:tc>
      </w:tr>
      <w:tr w:rsidR="00CB48CC" w:rsidRPr="00E75BB8" w14:paraId="38D7A9B9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370147EC" w14:textId="12EDC221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{0251;0010}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4730EC18" w14:textId="5DA0D2A7" w:rsidR="00CB48CC" w:rsidRPr="000B66BC" w:rsidRDefault="00CB48CC" w:rsidP="000B66BC">
            <w:pPr>
              <w:spacing w:after="24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(–) A CRR 429a. cikke (1) bekezdésének c) pontja szerint </w:t>
            </w:r>
            <w:proofErr w:type="gram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mentesített</w:t>
            </w:r>
            <w:proofErr w:type="gram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, intézményvédelmi rendszerhez tartozó partnerrel szembeni kitettségek </w:t>
            </w:r>
          </w:p>
          <w:p w14:paraId="7A5F0217" w14:textId="2F9E23D3" w:rsidR="00CB48CC" w:rsidRPr="000B66BC" w:rsidRDefault="009433A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CRR 429a. cikke (1) bekezdésének c) pontja, valamint 113. cikkének (7) bekezdése</w:t>
            </w:r>
          </w:p>
          <w:p w14:paraId="16C42B04" w14:textId="24D6E08E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Azon kitettségek, amelyek tekintetében igénybe vehető a CRR 113. cikkének (7) bekezdése szerinti elbánás, amennyiben a CRR 113. cikke (7) bekezdésének a)–i) pontjában előírt összes feltétel teljesül, és az illetékes hatóság megadta az engedélyt.</w:t>
            </w:r>
          </w:p>
          <w:p w14:paraId="3349FF66" w14:textId="7075C424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feltüntetett összeget a megfelelő fenti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mezőkben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is szerepeltetni kell, mintha nem lenne mentesség alkalmazandó.</w:t>
            </w:r>
          </w:p>
        </w:tc>
      </w:tr>
      <w:tr w:rsidR="00EC6F1E" w:rsidRPr="00E75BB8" w14:paraId="1D8BFA67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4496E47D" w14:textId="20CF4394" w:rsidR="00EC6F1E" w:rsidRPr="000B66BC" w:rsidRDefault="00EC6F1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{0252;0010}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6BC877C8" w14:textId="77777777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(−) Exporthitelekből eredő kitettségek </w:t>
            </w:r>
            <w:proofErr w:type="gram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garantált</w:t>
            </w:r>
            <w:proofErr w:type="gram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, kizárt részei </w:t>
            </w:r>
          </w:p>
          <w:p w14:paraId="43FFAEEA" w14:textId="4E83D7AF" w:rsidR="00EC6F1E" w:rsidRPr="000B66BC" w:rsidRDefault="00A42B1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429a. cikke (1) bekezdésének f) pontja</w:t>
            </w:r>
          </w:p>
          <w:p w14:paraId="0F2E3189" w14:textId="5999AD94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 exporthitelekből eredő kitettségek azon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garantált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részei, amelyek kizárhatók a kitettségérték számításából, ha a CRR 429a. cikke (1) bekezdésének f) pontjában foglalt feltételek teljesülnek.</w:t>
            </w:r>
          </w:p>
          <w:p w14:paraId="4BBC9AD0" w14:textId="70F280C7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feltüntetett összeget a megfelelő fenti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mezőkben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is szerepeltetni kell, mintha nem lenne mentesség alkalmazandó.</w:t>
            </w:r>
          </w:p>
        </w:tc>
      </w:tr>
      <w:tr w:rsidR="00EC6F1E" w:rsidRPr="00E75BB8" w14:paraId="7AD87F00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1E11F6EB" w14:textId="77777777" w:rsidR="00EC6F1E" w:rsidRPr="000B66BC" w:rsidRDefault="00EC6F1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23A635F" w14:textId="34C01BC7" w:rsidR="00EC6F1E" w:rsidRPr="000B66BC" w:rsidRDefault="00EC6F1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{0253;0010}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050310BA" w14:textId="77777777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(−) Harmadik félnél elhelyezett, kizárt többletbiztosíték</w:t>
            </w:r>
          </w:p>
          <w:p w14:paraId="209C179F" w14:textId="4127E36D" w:rsidR="00EC6F1E" w:rsidRPr="000B66BC" w:rsidRDefault="00A42B1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429a. cikke (1) bekezdésének k) pontja</w:t>
            </w:r>
          </w:p>
          <w:p w14:paraId="64B746C7" w14:textId="3E23835E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harmadik félnél elhelyezett többletbiztosíték, amelyet nem adtak kölcsön, és amely a 429a. cikk (1) bekezdésének k) pontjával összhangban kizárható a kitettségérték számításából.</w:t>
            </w:r>
          </w:p>
          <w:p w14:paraId="7D107153" w14:textId="22433B1F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feltüntetett összeget a megfelelő fenti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mezőkben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is szerepeltetni kell, mintha nem lenne mentesség alkalmazandó.</w:t>
            </w:r>
          </w:p>
        </w:tc>
      </w:tr>
      <w:tr w:rsidR="00EC6F1E" w:rsidRPr="00E75BB8" w14:paraId="54166E91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5E8D1AF5" w14:textId="6DF49680" w:rsidR="00EC6F1E" w:rsidRPr="000B66BC" w:rsidRDefault="00EC6F1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{0254;0010}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665021DC" w14:textId="77777777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(–) Jelentős kockázatátruházást képviselő, kizárt értékpapírosított kitettségek </w:t>
            </w:r>
          </w:p>
          <w:p w14:paraId="69C77F33" w14:textId="64BBCCE1" w:rsidR="00EC6F1E" w:rsidRPr="000B66BC" w:rsidRDefault="00A42B1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429a. cikke (1) bekezdésének m) pontja</w:t>
            </w:r>
          </w:p>
          <w:p w14:paraId="17E7D3CF" w14:textId="77777777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Hagyományos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értékpapírosításból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eredő értékpapírosított kitettségek, amelyek teljesítik a 244. cikk (2) bekezdésében foglalt, a jelentős kockázatátruházásra vonatkozóan meghatározott feltételeket.</w:t>
            </w:r>
          </w:p>
          <w:p w14:paraId="56BAB74A" w14:textId="083FCC3D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feltüntetett összeget a megfelelő fenti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mezőkben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is szerepeltetni kell, mintha nem lenne mentesség alkalmazandó.</w:t>
            </w:r>
          </w:p>
        </w:tc>
      </w:tr>
      <w:tr w:rsidR="00EC6F1E" w:rsidRPr="00E75BB8" w14:paraId="7069054A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7B9CA4F6" w14:textId="3C428DC7" w:rsidR="00EC6F1E" w:rsidRPr="000B66BC" w:rsidRDefault="00EC6F1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{0255;0010}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43716DF9" w14:textId="2825BB71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(–) A CRR 429a. cikke (1) bekezdésének n) pontja szerint </w:t>
            </w:r>
            <w:proofErr w:type="gram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mentesített</w:t>
            </w:r>
            <w:proofErr w:type="gram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, központi bankkal szembeni kitettségek</w:t>
            </w:r>
          </w:p>
          <w:p w14:paraId="737C879F" w14:textId="14999659" w:rsidR="00EC6F1E" w:rsidRPr="000B66BC" w:rsidRDefault="00DE248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CRR 429a. cikke (1) bekezdésének n) pontja</w:t>
            </w:r>
          </w:p>
          <w:p w14:paraId="300950AF" w14:textId="128AE793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feltüntetett összeget a megfelelő fenti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mezőkben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is szerepeltetni kell, mintha nem lenne mentesség alkalmazandó.</w:t>
            </w:r>
          </w:p>
        </w:tc>
      </w:tr>
      <w:tr w:rsidR="00EC6F1E" w:rsidRPr="00E75BB8" w14:paraId="54E04016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07FCDF2C" w14:textId="69109565" w:rsidR="00EC6F1E" w:rsidRPr="000B66BC" w:rsidRDefault="00EC6F1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{0256;0010}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0B0A550F" w14:textId="48704114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(–) A központi értéktárnak/intézménynek a CRR 429a. cikke (1) bekezdésének o) pontja szerint kizárt, banki jellegű kiegészítő szolgáltatások miatti kitettségei</w:t>
            </w:r>
          </w:p>
          <w:p w14:paraId="5D17ABE6" w14:textId="52B88A9E" w:rsidR="00EC6F1E" w:rsidRPr="000B66BC" w:rsidRDefault="00F8268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CRR 429a. cikke (1) bekezdésének o) pontja</w:t>
            </w:r>
          </w:p>
          <w:p w14:paraId="2A59DF82" w14:textId="75E2BAB5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feltüntetett összeget a megfelelő fenti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mezőkben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is szerepeltetni kell, mintha nem lenne mentesség alkalmazandó.</w:t>
            </w:r>
          </w:p>
        </w:tc>
      </w:tr>
      <w:tr w:rsidR="00EC6F1E" w:rsidRPr="00E75BB8" w14:paraId="796C7E67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3A077F3C" w14:textId="5BBF63E4" w:rsidR="00EC6F1E" w:rsidRPr="000B66BC" w:rsidRDefault="0001312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{0257;0010}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4CA8E235" w14:textId="29A8F0CD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(–) A kijelölt intézménynek a CRR 429a. cikke (1) bekezdésének p) pontja szerint kizárt, banki jellegű kiegészítő szolgáltatások miatti kitettségei</w:t>
            </w:r>
          </w:p>
          <w:p w14:paraId="290DEB1D" w14:textId="16219676" w:rsidR="00F82681" w:rsidRPr="000B66BC" w:rsidRDefault="00B329C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CRR 429a. cikke (1) bekezdésének p) pontja</w:t>
            </w:r>
          </w:p>
          <w:p w14:paraId="302E407B" w14:textId="2195E524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feltüntetett összeget a megfelelő fenti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mezőkben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is szerepeltetni kell, mintha nem lenne mentesség alkalmazandó.</w:t>
            </w:r>
          </w:p>
        </w:tc>
      </w:tr>
      <w:tr w:rsidR="00CB48CC" w:rsidRPr="00E75BB8" w14:paraId="759771C3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523A3FCF" w14:textId="6DF532E0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{0260;0010}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1FAED4EC" w14:textId="0BBD48A4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(–) A CRR 429a. cikke (1) bekezdésének j) pontja szerint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mentesített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kitettségek</w:t>
            </w:r>
          </w:p>
          <w:p w14:paraId="218BC8E5" w14:textId="0E84595E" w:rsidR="00CB48CC" w:rsidRPr="000B66BC" w:rsidRDefault="00B329C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CRR 429a. cikke (1) bekezdésének j) pontja</w:t>
            </w:r>
          </w:p>
          <w:p w14:paraId="3A1ACCB0" w14:textId="066522F9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CRR 429a. cikke (1) bekezdésének j) pontja szerint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mentesített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kitettségek, amennyiben az ott meghatározott feltételek teljesülnek.</w:t>
            </w:r>
          </w:p>
          <w:p w14:paraId="639566D9" w14:textId="70FB6A4B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feltüntetett összeget a megfelelő fenti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mezőkben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is szerepeltetni kell, mintha nem lenne mentesség alkalmazandó.</w:t>
            </w:r>
          </w:p>
        </w:tc>
      </w:tr>
      <w:tr w:rsidR="00CB48CC" w:rsidRPr="00E75BB8" w14:paraId="4D2ECF18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4DF44B5D" w14:textId="2AAC5E7C" w:rsidR="00CB48CC" w:rsidRPr="000B66BC" w:rsidRDefault="0094613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{0261;0010}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7117C87C" w14:textId="7829B627" w:rsidR="00743C1E" w:rsidRPr="000B66BC" w:rsidRDefault="009D46F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(–)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fejlesztési hitelintézetek kizárt kitettségei –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beruházások</w:t>
            </w:r>
          </w:p>
          <w:p w14:paraId="387343FE" w14:textId="733E008F" w:rsidR="00743C1E" w:rsidRPr="000B66BC" w:rsidRDefault="0099354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CRR 429a. cikke (1) bekezdésének d) pontja, valamint és (2) bekezdése</w:t>
            </w:r>
          </w:p>
          <w:p w14:paraId="740BFE27" w14:textId="2CA85AAC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 központi kormányzatokkal, regionális kormányzatokkal, helyi hatóságokkal vagy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intézményekkel szemben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beruházásokhoz kapcsolódó követeléseket megtestesítő eszközökből eredő kitettségek, amelyek a CRR 429a. cikke (1) bekezdésének d) pontja szerint kizárhatók a kitettségérték számításából.</w:t>
            </w:r>
          </w:p>
          <w:p w14:paraId="0B2209FE" w14:textId="4A72C105" w:rsidR="000F5958" w:rsidRPr="000B66BC" w:rsidRDefault="000F595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Amennyiben a követelés a 429a. cikk (3) bekezdése értelmében kedvezményes kölcsönnek is minősül, nem ebben a mezőben, hanem a 0262–0264. sorok közül a megfelelőben kell feltüntetni.</w:t>
            </w:r>
          </w:p>
          <w:p w14:paraId="1F103E32" w14:textId="51AB418A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feltüntetett összeget a megfelelő fenti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mezőkben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is szerepeltetni kell, mintha nem lenne mentesség alkalmazandó.</w:t>
            </w:r>
          </w:p>
        </w:tc>
      </w:tr>
      <w:tr w:rsidR="00CB48CC" w:rsidRPr="00E75BB8" w14:paraId="53C01F29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17CB97C6" w14:textId="5334142B" w:rsidR="00CB48CC" w:rsidRPr="000B66BC" w:rsidRDefault="0094613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{0262;0010}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788A486A" w14:textId="77777777" w:rsidR="00946138" w:rsidRPr="000B66BC" w:rsidRDefault="0094613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(–)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fejlesztési hitelintézetek kizárt kitettségei –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fejlesztési hitelintézet által nyújtott kedvezményes kölcsönök</w:t>
            </w:r>
          </w:p>
          <w:p w14:paraId="30828A29" w14:textId="31FE28CB" w:rsidR="00743C1E" w:rsidRPr="000B66BC" w:rsidRDefault="0054252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CRR 429a. cikke (1) bekezdésének d) pontja, valamint (2) és (3) bekezdése</w:t>
            </w:r>
          </w:p>
          <w:p w14:paraId="672E00E2" w14:textId="7E6FCF88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fejlesztési hitelintézet által nyújtott és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továbbközvetített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kedvezményes kölcsönökből eredő kitettségek, amelyek a CRR 429a. cikke (1) bekezdésének d) pontjával összhangban kizárhatók a kitettségérték számításából.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Figyelembe kell venni az intézmény azon egységének kitettségeit is, amelyet az illetékes hatóság a CRR 429a. cikke (2) bekezdésének utolsó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összhangban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fejlesztési hitelintézetként kezel.</w:t>
            </w:r>
          </w:p>
          <w:p w14:paraId="64C77AD5" w14:textId="227981CE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feltüntetett összeget a megfelelő fenti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mezőkben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is szerepeltetni kell, mintha nem lenne mentesség alkalmazandó.</w:t>
            </w:r>
          </w:p>
        </w:tc>
      </w:tr>
      <w:tr w:rsidR="00CB48CC" w:rsidRPr="00E75BB8" w14:paraId="00B60DDD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0C78434F" w14:textId="7703C49F" w:rsidR="00CB48CC" w:rsidRPr="000B66BC" w:rsidRDefault="0094613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{0263;0010}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7CBAF840" w14:textId="77777777" w:rsidR="00946138" w:rsidRPr="000B66BC" w:rsidRDefault="0094613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(–)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fejlesztési hitelintézetek kizárt kitettségei – Valamely tagállam központi kormányzata, regionális kormányzata vagy helyi hatósága által közvetlenül létrehozott szervezet által nyújtott kedvezményes kölcsönök</w:t>
            </w:r>
          </w:p>
          <w:p w14:paraId="4B17F8AE" w14:textId="3DD44064" w:rsidR="009D46F6" w:rsidRPr="000B66BC" w:rsidRDefault="00C36AC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CRR 429a. cikke (1) bekezdésének d) pontja, valamint (2) és (3) bekezdése</w:t>
            </w:r>
          </w:p>
          <w:p w14:paraId="6FAF30DE" w14:textId="69B451A9" w:rsidR="00E849C2" w:rsidRPr="000B66BC" w:rsidRDefault="00E849C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valamely tagállam központi kormányzata, regionális kormányzata vagy helyi hatósága által közvetlenül létrehozott szervezet által nyújtott és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továbbközvetített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kedvezményes kölcsönökből eredő kitettségek, amelyek a 429a. cikk (1) bekezdésének d) pontjával összhangban kizárhatók a kitettségérték számításából.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Figyelembe kell venni az intézmény azon egységének kitettségeit is, amelyet az illetékes hatóság a 429a. cikke (2) bekezdésének utolsó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összhangban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fejlesztési hitelintézetként kezel.</w:t>
            </w:r>
          </w:p>
          <w:p w14:paraId="5A3364FC" w14:textId="2A7576CE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feltüntetett összeget a megfelelő fenti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mezőkben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is szerepeltetni kell, mintha nem lenne mentesség alkalmazandó.</w:t>
            </w:r>
          </w:p>
        </w:tc>
      </w:tr>
      <w:tr w:rsidR="00CB48CC" w:rsidRPr="00E75BB8" w14:paraId="24911276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633E837E" w14:textId="64229AC4" w:rsidR="00CB48CC" w:rsidRPr="000B66BC" w:rsidRDefault="0094613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{0264;0010}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7047590E" w14:textId="77777777" w:rsidR="00946138" w:rsidRPr="000B66BC" w:rsidRDefault="0094613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(–)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fejlesztési hitelintézetek kizárt kitettségei – Valamely tagállam központi kormányzata, regionális kormányzata vagy helyi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hatósága által létrehozott szervezet közbenső hitelintézeten keresztül nyújtott kedvezményes kölcsönei</w:t>
            </w:r>
          </w:p>
          <w:p w14:paraId="6754B207" w14:textId="392DBA3E" w:rsidR="009D46F6" w:rsidRPr="000B66BC" w:rsidRDefault="00C36AC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CRR 429a. cikke (1) bekezdésének d) pontja, valamint (2) és (3) bekezdése</w:t>
            </w:r>
          </w:p>
          <w:p w14:paraId="77D97E64" w14:textId="7D7F74AF" w:rsidR="00E849C2" w:rsidRPr="000B66BC" w:rsidRDefault="00E849C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valamely tagállam központi kormányzata, regionális kormán</w:t>
            </w:r>
            <w:r w:rsidR="00902815">
              <w:rPr>
                <w:rFonts w:ascii="Times New Roman" w:hAnsi="Times New Roman"/>
                <w:sz w:val="24"/>
                <w:szCs w:val="24"/>
              </w:rPr>
              <w:t>yzata vagy helyi hatósága által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létrehozott szervezet által közbenső hitelintézeten keresztül nyújtott és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továbbközvetített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kedvezményes kölcsönökből eredő kitettségek, amelyek a 429a. cikk (1) bekezdésének d) pontjával összhangban kizárhatók a kitettségérték számításából.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Figyelembe kell venni az intézmény azon egységének kitettségeit is, amelyet az illetékes hatóság a 429a. cikke (2) bekezdésének utolsó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összhangban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fejlesztési hitelintézetként kezel.</w:t>
            </w:r>
          </w:p>
          <w:p w14:paraId="318709D6" w14:textId="775B94CC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feltüntetett összeget a megfelelő fenti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mezőkben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is szerepeltetni kell, mintha nem lenne mentesség alkalmazandó.</w:t>
            </w:r>
          </w:p>
        </w:tc>
      </w:tr>
      <w:tr w:rsidR="00CB48CC" w:rsidRPr="00E75BB8" w14:paraId="337CD92B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6C7E09CA" w14:textId="166BCBE4" w:rsidR="00CB48CC" w:rsidRPr="000B66BC" w:rsidRDefault="0094613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{0265;0010}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3A4A6AD1" w14:textId="77777777" w:rsidR="00946138" w:rsidRPr="000B66BC" w:rsidRDefault="0094613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(–) Nem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fejlesztési hitelintézetek (vagy szervezeti egységek)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továbbközvetített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kedvezményes kölcsönökből eredő kizárt kitettségei –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fejlesztési hitelintézet által nyújtott kedvezményes kölcsönök</w:t>
            </w:r>
          </w:p>
          <w:p w14:paraId="51F998E0" w14:textId="0F685FC2" w:rsidR="009D46F6" w:rsidRPr="000B66BC" w:rsidRDefault="0079137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CRR 429a. cikke (1) bekezdésének e) pontja, valamint (2) és (3) bekezdése</w:t>
            </w:r>
          </w:p>
          <w:p w14:paraId="6B9968E8" w14:textId="7DFDBBBB" w:rsidR="00743C1E" w:rsidRPr="000B66BC" w:rsidRDefault="00E849C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 kitettségek azon részei, amelyek a kedvezményes kölcsönök más hitelintézeteknek való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továbbközvetítéséből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erednek, amennyiben a kedvezményes kölcsönöket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fejlesztési hitelintézet nyújtotta.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Figyelembe kell venni az intézmény azon szervezeti egységének kitettségeit is, amelyet az illetékes hatóság a 429a. cikke (2) bekezdésének utolsó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összhangban nem kezel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fejlesztési hitelintézetként.</w:t>
            </w:r>
          </w:p>
          <w:p w14:paraId="1CF30E6B" w14:textId="322E3C84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feltüntetett összeget a megfelelő fenti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mezőkben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is szerepeltetni kell, mintha nem lenne mentesség alkalmazandó.</w:t>
            </w:r>
          </w:p>
        </w:tc>
      </w:tr>
      <w:tr w:rsidR="00CB48CC" w:rsidRPr="00E75BB8" w14:paraId="02D73868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57A4063C" w14:textId="06DE7FF4" w:rsidR="00CB48CC" w:rsidRPr="000B66BC" w:rsidRDefault="0094613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{0266;0010}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4A900DCE" w14:textId="77777777" w:rsidR="00946138" w:rsidRPr="000B66BC" w:rsidRDefault="0094613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(–) Nem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fejlesztési hitelintézetek (vagy szervezeti egységek)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továbbközvetített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kedvezményes kölcsönökből eredő kizárt kitettségei – Valamely tagállam központi kormányzata, regionális kormányzata vagy helyi hatósága által közvetlenül létrehozott szervezet által nyújtott kedvezményes kölcsönök</w:t>
            </w:r>
          </w:p>
          <w:p w14:paraId="003BD5E4" w14:textId="186B4E9B" w:rsidR="00743C1E" w:rsidRPr="000B66BC" w:rsidRDefault="00D0353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CRR 429a. cikke (1) bekezdésének e) pontja, valamint (2) és (3) bekezdése</w:t>
            </w:r>
          </w:p>
          <w:p w14:paraId="128930FF" w14:textId="4A97FBF9" w:rsidR="00415D69" w:rsidRPr="000B66BC" w:rsidRDefault="00415D6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 kitettségek azon részei, amelyek a kedvezményes kölcsönök más hitelintézeteknek való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továbbközvetítéséből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erednek, amennyiben a kedvezményes kölcsönöket egy tagállam központi kormányzata, regionális kormányzata vagy helyi hatósága által közvetlenül létrehozott szervezet nyújtja.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Figyelembe kell venni az intézmény azon szervezeti egységének kitettségeit is, amelyet az illetékes hatóság a 429a. cikke (2) bekezdésének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utolsó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összhangban nem kezel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fejlesztési hitelintézetként.</w:t>
            </w:r>
          </w:p>
          <w:p w14:paraId="4DD1C09D" w14:textId="67B346B4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feltüntetett összeget a megfelelő fenti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mezőkben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is szerepeltetni kell, mintha nem lenne mentesség alkalmazandó.</w:t>
            </w:r>
          </w:p>
        </w:tc>
      </w:tr>
      <w:tr w:rsidR="00CB48CC" w:rsidRPr="00E75BB8" w14:paraId="78DBF21B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159B9A71" w14:textId="29511FD8" w:rsidR="00946138" w:rsidRPr="000B66BC" w:rsidRDefault="0094613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{0267;0010}</w:t>
            </w: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  <w:vAlign w:val="center"/>
          </w:tcPr>
          <w:p w14:paraId="0D809E6C" w14:textId="08A2E272" w:rsidR="00946138" w:rsidRPr="000B66BC" w:rsidRDefault="0094613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(–) Nem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fejlesztési hitelintézetek (vagy szervezeti egységek)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továbbközvetített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kedvezményes kölcsönök</w:t>
            </w:r>
            <w:r w:rsidR="0093715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ből eredő kizárt kitettségei –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Valamely tagállam központi kormányzata, regionális kormányzata vagy helyi hatósága által létrehozott szervezet közbenső hitelintézeten keresztül nyújtott kedvezményes kölcsönei</w:t>
            </w:r>
          </w:p>
          <w:p w14:paraId="30EAE7BC" w14:textId="63AC62A5" w:rsidR="009D46F6" w:rsidRPr="000B66BC" w:rsidRDefault="00D0353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CRR 429a. cikke (1) bekezdésének e) pontja, valamint (2) és (3) bekezdése</w:t>
            </w:r>
          </w:p>
          <w:p w14:paraId="3DE31CDF" w14:textId="7B1B92C9" w:rsidR="00743C1E" w:rsidRPr="000B66BC" w:rsidRDefault="00415D6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 kitettségek azon részei, amelyek a kedvezményes kölcsönök más hitelintézeteknek való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továbbközvetítéséből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erednek, amennyiben a kedvezményes kölcsönöket egy tagállam központi kormányzata, regionális kormányzata vagy helyi hatósága által létrehozott szervezet közbenső hitelintézeten keresztül nyújtja.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Figyelembe kell venni az intézmény azon szervezeti egységének kitettségeit is, amelyet az illetékes hatóság a 429a. cikke (2) bekezdésének utolsó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összhangban nem kezel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fejlesztési hitelintézetként.</w:t>
            </w:r>
          </w:p>
          <w:p w14:paraId="53C99EBF" w14:textId="67514C6D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feltüntetett összeget a megfelelő fenti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mezőkben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is szerepeltetni kell, mintha nem lenne mentesség alkalmazandó.</w:t>
            </w:r>
          </w:p>
        </w:tc>
      </w:tr>
      <w:tr w:rsidR="00CB48CC" w:rsidRPr="00E75BB8" w14:paraId="39D281E6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28E3E527" w14:textId="64B2DB2E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{0270;0010}</w:t>
            </w:r>
          </w:p>
          <w:p w14:paraId="49DAE002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6CD09A92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(–) Levont eszközérték – Alapvető tőke – teljes mértékben bevezetett fogalom</w:t>
            </w:r>
          </w:p>
          <w:p w14:paraId="7786B29A" w14:textId="16FE3CE7" w:rsidR="00CB48CC" w:rsidRPr="000B66BC" w:rsidRDefault="0054252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CRR 429a. cikke (1) bekezdésének b) pontja, valamint 499. cikke (1) bekezdésének a) pontja</w:t>
            </w:r>
          </w:p>
          <w:p w14:paraId="675D8B7D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alábbi rendelkezések által előírt, valamely eszköz értékét érintő kiigazítások összege:</w:t>
            </w:r>
          </w:p>
          <w:p w14:paraId="0ABD1D78" w14:textId="0198F3C1" w:rsidR="00CB48CC" w:rsidRPr="000B66BC" w:rsidRDefault="00CB48CC" w:rsidP="000B66BC">
            <w:pPr>
              <w:pStyle w:val="BodyText1"/>
              <w:spacing w:after="240" w:line="240" w:lineRule="auto"/>
              <w:ind w:left="72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>
              <w:tab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CRR 32–35. cikke, vagy </w:t>
            </w:r>
          </w:p>
          <w:p w14:paraId="14203D05" w14:textId="63CBF1E7" w:rsidR="00CB48CC" w:rsidRPr="000B66BC" w:rsidRDefault="00CB48CC" w:rsidP="000B66BC">
            <w:pPr>
              <w:pStyle w:val="BodyText1"/>
              <w:spacing w:after="240" w:line="240" w:lineRule="auto"/>
              <w:ind w:left="72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>
              <w:tab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a CRR 36–47. cikke, vagy</w:t>
            </w:r>
          </w:p>
          <w:p w14:paraId="33D193AD" w14:textId="220C0D01" w:rsidR="00CB48CC" w:rsidRPr="000B66BC" w:rsidRDefault="00CB48CC" w:rsidP="000B66BC">
            <w:pPr>
              <w:pStyle w:val="BodyText1"/>
              <w:spacing w:after="240" w:line="240" w:lineRule="auto"/>
              <w:ind w:left="72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>
              <w:tab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a CRR 56–60. cikke,</w:t>
            </w:r>
          </w:p>
          <w:p w14:paraId="0A1B29CB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esetnek megfelelően.</w:t>
            </w:r>
          </w:p>
          <w:p w14:paraId="75E8D9BE" w14:textId="75588980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ilyen levonások tekintetében figyelembe kell venniük a 48., a 49. és a 79. cikkben megállapított kivételeket, alternatívákat és mentességeket, a CRR tizedik része I. címének 1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.,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2. és 4. fejezetében megállapított eltérés figyelembevétele nélkül. A kettős elszámolás elkerülése érdekében az intézmények nem vehetik figyelembe a CRR 111. cikke alapján a {0010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}–{0267;0010} mezőben megadott kitettségértékek számítása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során már alkalmazott kiigazításokat, sem azokat a kiigazításokat, amelyek nem csökkentik egy adott eszköz értékét.</w:t>
            </w:r>
          </w:p>
          <w:p w14:paraId="36ECE9CF" w14:textId="32731BE5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Ezeket az összegeket már levonták a tőkeértékből, vagyis csökkentik a tőkeáttételi mutató kitettségértékét, tehát előjelük negatív.</w:t>
            </w:r>
          </w:p>
        </w:tc>
      </w:tr>
      <w:tr w:rsidR="00CB48CC" w:rsidRPr="00E75BB8" w14:paraId="70428859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5BCE2B05" w14:textId="02607C2D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{0280;0010}</w:t>
            </w:r>
          </w:p>
          <w:p w14:paraId="0F555030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56F1EE18" w14:textId="4A888983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Levont (–) vagy hozzáadott (+) eszközérték – Alapvető tőke – átmeneti fogalom</w:t>
            </w:r>
          </w:p>
          <w:p w14:paraId="552CF68D" w14:textId="18B726F6" w:rsidR="00CB48CC" w:rsidRPr="000B66BC" w:rsidRDefault="006F5F1F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429a. cikke (1) bekezdésének b) pontja, valamint 499. cikke (1) bekezdésének a) pontja</w:t>
            </w:r>
          </w:p>
          <w:p w14:paraId="1C7AD929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alábbi rendelkezések által előírt, valamely eszköz értékét módosító kiigazítások összege:</w:t>
            </w:r>
          </w:p>
          <w:p w14:paraId="2FE9C127" w14:textId="455E5900" w:rsidR="00CB48CC" w:rsidRPr="000B66BC" w:rsidRDefault="00CB48CC" w:rsidP="000B66BC">
            <w:pPr>
              <w:pStyle w:val="BodyText1"/>
              <w:spacing w:after="240" w:line="240" w:lineRule="auto"/>
              <w:ind w:left="72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>
              <w:tab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CRR 32–35. cikke, vagy </w:t>
            </w:r>
          </w:p>
          <w:p w14:paraId="35A3C50B" w14:textId="4F89203A" w:rsidR="00CB48CC" w:rsidRPr="000B66BC" w:rsidRDefault="00CB48CC" w:rsidP="000B66BC">
            <w:pPr>
              <w:pStyle w:val="BodyText1"/>
              <w:spacing w:after="240" w:line="240" w:lineRule="auto"/>
              <w:ind w:left="72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>
              <w:tab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CRR 36–47. cikke, vagy </w:t>
            </w:r>
          </w:p>
          <w:p w14:paraId="66CB0299" w14:textId="34D60510" w:rsidR="00CB48CC" w:rsidRPr="000B66BC" w:rsidRDefault="00CB48CC" w:rsidP="000B66BC">
            <w:pPr>
              <w:pStyle w:val="BodyText1"/>
              <w:spacing w:after="240" w:line="240" w:lineRule="auto"/>
              <w:ind w:left="72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>
              <w:tab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a CRR 56–60. cikke,</w:t>
            </w:r>
          </w:p>
          <w:p w14:paraId="152F8BFD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esetnek megfelelően.</w:t>
            </w:r>
          </w:p>
          <w:p w14:paraId="730A3940" w14:textId="2AFA1AF4" w:rsidR="00D9327B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ilyen levonások tekintetében figyelembe kell venniük a 48., a 49. és a 79. cikkben megállapított kivételeket, alternatívákat és mentességeket, valamint a CRR tizedik része I. címének 1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.,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2. és 4. fejezetében megállapított eltéréseket is. A kettős elszámolás elkerülése érdekében az intézmények nem vehetik figyelembe a CRR 111. cikke alapján a {0010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}–{0267;0010} mezőben megadott kitettségértékek számítása során már alkalmazott kiigazításokat, sem azokat a kiigazításokat, amelyek nem csökkentik egy adott eszköz értékét.</w:t>
            </w:r>
          </w:p>
          <w:p w14:paraId="33460AF9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Ezeket az összegeket már levonták a tőkeértékből, vagyis csökkentik a tőkeáttételi mutató kitettségértékét, tehát előjelük negatív.</w:t>
            </w:r>
          </w:p>
          <w:p w14:paraId="5A75B235" w14:textId="38C4EC5D" w:rsidR="00CB48CC" w:rsidRPr="000B66BC" w:rsidRDefault="00D9327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Ezen túlmenően az intézményeknek ebben a sorban pozitív értékként kell megadniuk a tőkeáttételi mutató számításához használt kitettségértékhez a CRR 473a. cikkének (7) és (7a) bekezdésével összhangban hozzáadandó összegeket.</w:t>
            </w:r>
          </w:p>
        </w:tc>
      </w:tr>
      <w:tr w:rsidR="00CB48CC" w:rsidRPr="00E75BB8" w14:paraId="2854FA96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4375AA27" w14:textId="5FEC739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{0290;0010}</w:t>
            </w:r>
          </w:p>
          <w:p w14:paraId="140D82B2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655BA90C" w14:textId="6C419506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 tőkeáttételi mutató teljes kitettségértéke – az alapvető tőke teljes mértékben bevezetett fogalma alapján</w:t>
            </w:r>
          </w:p>
          <w:p w14:paraId="18A90C99" w14:textId="73B21DC6" w:rsidR="00CB48CC" w:rsidRPr="000B66BC" w:rsidRDefault="0026270F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0010-0267. sorok és a 0270. sor összegét kell megadniuk.</w:t>
            </w:r>
          </w:p>
        </w:tc>
      </w:tr>
      <w:tr w:rsidR="00CB48CC" w:rsidRPr="00E75BB8" w14:paraId="16865D6C" w14:textId="77777777" w:rsidTr="00E1595A">
        <w:trPr>
          <w:trHeight w:val="304"/>
        </w:trPr>
        <w:tc>
          <w:tcPr>
            <w:tcW w:w="1531" w:type="dxa"/>
            <w:tcBorders>
              <w:bottom w:val="single" w:sz="4" w:space="0" w:color="auto"/>
            </w:tcBorders>
          </w:tcPr>
          <w:p w14:paraId="5F1E1E63" w14:textId="6C4A4D91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{0300;0010}</w:t>
            </w:r>
          </w:p>
          <w:p w14:paraId="2180AA43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  <w:tcBorders>
              <w:bottom w:val="single" w:sz="4" w:space="0" w:color="auto"/>
            </w:tcBorders>
          </w:tcPr>
          <w:p w14:paraId="762C2DC4" w14:textId="132D1D75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 tőkeáttételi mutató teljes kitettségértéke – az alapvető tőke átmeneti fogalma alapján</w:t>
            </w:r>
          </w:p>
          <w:p w14:paraId="247E260C" w14:textId="44CFD3F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Az intézményeknek a 0010-0267. sorok és a 0280. sor összegét kell megadniuk.</w:t>
            </w:r>
          </w:p>
        </w:tc>
      </w:tr>
      <w:tr w:rsidR="00CB48CC" w:rsidRPr="00E75BB8" w14:paraId="25B9F129" w14:textId="77777777" w:rsidTr="00E1595A">
        <w:trPr>
          <w:trHeight w:val="304"/>
        </w:trPr>
        <w:tc>
          <w:tcPr>
            <w:tcW w:w="1531" w:type="dxa"/>
            <w:shd w:val="pct25" w:color="auto" w:fill="auto"/>
          </w:tcPr>
          <w:p w14:paraId="069EB129" w14:textId="740388FD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Sor és oszlop</w:t>
            </w:r>
          </w:p>
        </w:tc>
        <w:tc>
          <w:tcPr>
            <w:tcW w:w="7590" w:type="dxa"/>
            <w:gridSpan w:val="3"/>
            <w:shd w:val="pct25" w:color="auto" w:fill="auto"/>
          </w:tcPr>
          <w:p w14:paraId="10FF1AF5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Tőke </w:t>
            </w:r>
          </w:p>
        </w:tc>
      </w:tr>
      <w:tr w:rsidR="00CB48CC" w:rsidRPr="00E75BB8" w14:paraId="448FE1D7" w14:textId="77777777" w:rsidTr="00E1595A">
        <w:trPr>
          <w:trHeight w:val="304"/>
        </w:trPr>
        <w:tc>
          <w:tcPr>
            <w:tcW w:w="1531" w:type="dxa"/>
          </w:tcPr>
          <w:p w14:paraId="696588A9" w14:textId="3F9C3A82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{0310;0010}</w:t>
            </w:r>
          </w:p>
          <w:p w14:paraId="7738A245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</w:tcPr>
          <w:p w14:paraId="2F0EFDF6" w14:textId="46AB3F15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Alapvető tőke – teljes mértékben bevezetett fogalom</w:t>
            </w:r>
          </w:p>
          <w:p w14:paraId="6D31890D" w14:textId="5223FA9F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429. cikkének (3) bekezdése, valamint 499. cikke (1) bekezdésének a) pontja</w:t>
            </w:r>
          </w:p>
          <w:p w14:paraId="49E3D5DA" w14:textId="329FD522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25. cikke szerinti alapvető tőke összege, a CRR tizedik része I. címének 1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.,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2. és 4. fejezetében megállapított eltérés figyelembevétele nélkül.</w:t>
            </w:r>
          </w:p>
        </w:tc>
      </w:tr>
      <w:tr w:rsidR="00CB48CC" w:rsidRPr="00E75BB8" w14:paraId="2B054486" w14:textId="77777777" w:rsidTr="00E1595A">
        <w:trPr>
          <w:trHeight w:val="304"/>
        </w:trPr>
        <w:tc>
          <w:tcPr>
            <w:tcW w:w="1531" w:type="dxa"/>
          </w:tcPr>
          <w:p w14:paraId="5ED7C02F" w14:textId="7A8D781A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{0320;0010}</w:t>
            </w:r>
          </w:p>
          <w:p w14:paraId="15F4A511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90" w:type="dxa"/>
            <w:gridSpan w:val="3"/>
          </w:tcPr>
          <w:p w14:paraId="656D366B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Alapvető tőke – átmeneti fogalom</w:t>
            </w:r>
          </w:p>
          <w:p w14:paraId="5041E493" w14:textId="204565F9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429. cikkének (3) bekezdése, valamint 499. cikke (1) bekezdésének b) pontja</w:t>
            </w:r>
          </w:p>
          <w:p w14:paraId="3270C368" w14:textId="06319C94" w:rsidR="00CB48CC" w:rsidRPr="000B66BC" w:rsidRDefault="00CB48CC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25. cikke szerinti alapvető tőke összege, a CRR tizedik része I. címének 1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.,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2. és 4. fejezetében megállapított eltérés figyelembevétele után.</w:t>
            </w:r>
          </w:p>
        </w:tc>
      </w:tr>
      <w:tr w:rsidR="00CB48CC" w:rsidRPr="00E75BB8" w14:paraId="30D5612D" w14:textId="77777777" w:rsidTr="00E1595A">
        <w:trPr>
          <w:trHeight w:val="304"/>
        </w:trPr>
        <w:tc>
          <w:tcPr>
            <w:tcW w:w="1531" w:type="dxa"/>
            <w:shd w:val="clear" w:color="auto" w:fill="D9D9D9" w:themeFill="background1" w:themeFillShade="D9"/>
          </w:tcPr>
          <w:p w14:paraId="3E09CDC7" w14:textId="4222548E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Sor és oszlop</w:t>
            </w:r>
          </w:p>
        </w:tc>
        <w:tc>
          <w:tcPr>
            <w:tcW w:w="7590" w:type="dxa"/>
            <w:gridSpan w:val="3"/>
            <w:shd w:val="clear" w:color="auto" w:fill="D9D9D9" w:themeFill="background1" w:themeFillShade="D9"/>
          </w:tcPr>
          <w:p w14:paraId="19280F08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Tőkeáttételi mutató</w:t>
            </w:r>
          </w:p>
        </w:tc>
      </w:tr>
      <w:tr w:rsidR="00CB48CC" w:rsidRPr="00E75BB8" w14:paraId="7E720607" w14:textId="77777777" w:rsidTr="00E1595A">
        <w:trPr>
          <w:trHeight w:val="304"/>
        </w:trPr>
        <w:tc>
          <w:tcPr>
            <w:tcW w:w="1531" w:type="dxa"/>
          </w:tcPr>
          <w:p w14:paraId="04FDC8D4" w14:textId="563122E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{0330;0010}</w:t>
            </w:r>
          </w:p>
        </w:tc>
        <w:tc>
          <w:tcPr>
            <w:tcW w:w="7590" w:type="dxa"/>
            <w:gridSpan w:val="3"/>
          </w:tcPr>
          <w:p w14:paraId="170E1973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Tőkeáttételi mutató – az alapvető tőke teljes mértékben bevezetett fogalma alapján</w:t>
            </w:r>
          </w:p>
          <w:p w14:paraId="14103416" w14:textId="56BA3CEA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429. cikkének (2) bekezdése, valamint 499. cikkének (1) bekezdése</w:t>
            </w:r>
          </w:p>
          <w:p w14:paraId="13640073" w14:textId="1BB24A76" w:rsidR="00CB48CC" w:rsidRPr="000B66BC" w:rsidRDefault="00CB48CC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jelen melléklet II. részének 4. pontjában kiszámított tőkeáttételi mutató.</w:t>
            </w:r>
          </w:p>
        </w:tc>
      </w:tr>
      <w:tr w:rsidR="00CB48CC" w:rsidRPr="00E75BB8" w14:paraId="58F7E1A1" w14:textId="77777777" w:rsidTr="00E1595A">
        <w:trPr>
          <w:trHeight w:val="304"/>
        </w:trPr>
        <w:tc>
          <w:tcPr>
            <w:tcW w:w="1531" w:type="dxa"/>
          </w:tcPr>
          <w:p w14:paraId="775E3AF8" w14:textId="15CC0D81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{0340;0010}</w:t>
            </w:r>
          </w:p>
        </w:tc>
        <w:tc>
          <w:tcPr>
            <w:tcW w:w="7590" w:type="dxa"/>
            <w:gridSpan w:val="3"/>
          </w:tcPr>
          <w:p w14:paraId="750922D1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Tőkeáttételi mutató – az alapvető tőke átmeneti fogalma alapján</w:t>
            </w:r>
          </w:p>
          <w:p w14:paraId="26098DFB" w14:textId="7824BAFB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429. cikkének (2) bekezdése, valamint 499. cikkének (1) bekezdése</w:t>
            </w:r>
          </w:p>
          <w:p w14:paraId="173B4CA4" w14:textId="217771DE" w:rsidR="000A486B" w:rsidRPr="000B66BC" w:rsidRDefault="00CB48CC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jelen melléklet II. részének 5. pontjában kiszámított tőkeáttételi mutató.</w:t>
            </w:r>
          </w:p>
        </w:tc>
      </w:tr>
      <w:tr w:rsidR="00CB48CC" w:rsidRPr="00E75BB8" w14:paraId="39DF531E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4F4CF2" w14:textId="395C0A79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Sor és oszlop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47A705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Követelmények: összegek</w:t>
            </w:r>
          </w:p>
        </w:tc>
      </w:tr>
      <w:tr w:rsidR="00E36E71" w:rsidRPr="00E75BB8" w14:paraId="49D3F110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79BE" w14:textId="15CB4911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{0350;0010}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51AE" w14:textId="77777777" w:rsidR="00E36E71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A 2. pillér szerinti követelmény (P2R) a túlzott tőkeáttétel kockázatának kezelésére</w:t>
            </w:r>
          </w:p>
          <w:p w14:paraId="52420558" w14:textId="1AD55706" w:rsidR="00E36E71" w:rsidRPr="000B66BC" w:rsidRDefault="008B096D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CRD 104. és 104a. cikke; </w:t>
            </w:r>
            <w:r>
              <w:rPr>
                <w:rFonts w:ascii="Times New Roman" w:hAnsi="Times New Roman"/>
                <w:sz w:val="24"/>
                <w:szCs w:val="24"/>
              </w:rPr>
              <w:t>az illetékes hatóság által a túlzott tőkeáttétel kockázatának kezelése érdekében előírt, a CRD 104. cikkében említett kiegészítő szavatoló tőke</w:t>
            </w:r>
          </w:p>
        </w:tc>
      </w:tr>
      <w:tr w:rsidR="00E36E71" w:rsidRPr="00E75BB8" w14:paraId="5E2FEE39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C276" w14:textId="64F853EC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{0360;0010}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45DE" w14:textId="659EEC38" w:rsidR="00E36E71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ebből: CET1 tőke formájában</w:t>
            </w:r>
          </w:p>
          <w:p w14:paraId="118609BA" w14:textId="66E6068C" w:rsidR="008E21B3" w:rsidRPr="000B66BC" w:rsidRDefault="008E21B3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 0350. sorban említett P2R azon része, amely az illetékes hatóság által előírtak szerint CET1 tőke formájában tartandó.</w:t>
            </w:r>
          </w:p>
        </w:tc>
      </w:tr>
      <w:tr w:rsidR="00E36E71" w:rsidRPr="00E75BB8" w14:paraId="050776BA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4369" w14:textId="61BE47AC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{0370;0010}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9DE4" w14:textId="4DD14E6A" w:rsidR="008E21B3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A </w:t>
            </w:r>
            <w:proofErr w:type="gram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globálisan</w:t>
            </w:r>
            <w:proofErr w:type="gram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rendszerszinten jelentős intézmények tőkeáttételi mutató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pufferja</w:t>
            </w:r>
            <w:proofErr w:type="spellEnd"/>
          </w:p>
          <w:p w14:paraId="2DF708A7" w14:textId="0B222937" w:rsidR="008E21B3" w:rsidRPr="000B66BC" w:rsidRDefault="008E21B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92. cikkének (1a) bekezdése</w:t>
            </w:r>
          </w:p>
          <w:p w14:paraId="04DDCD79" w14:textId="1E39E84B" w:rsidR="008E21B3" w:rsidRPr="000B66BC" w:rsidRDefault="00B70EBF" w:rsidP="000B66BC">
            <w:pPr>
              <w:pStyle w:val="BodyText1"/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A </w:t>
            </w:r>
            <w:proofErr w:type="gramStart"/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globálisan</w:t>
            </w:r>
            <w:proofErr w:type="gramEnd"/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rendszerszinten jelentős intézmények itt kötelesek feltüntetni a CRR 92. cikke (1a) bekezdésének megfelelően meghatározott tőkeáttételi mutató puffer értékét.</w:t>
            </w:r>
          </w:p>
          <w:p w14:paraId="10B82F9E" w14:textId="4585213B" w:rsidR="00E36E71" w:rsidRPr="000B66BC" w:rsidRDefault="008E21B3" w:rsidP="000B66BC">
            <w:pPr>
              <w:pStyle w:val="BodyText1"/>
              <w:spacing w:after="24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A </w:t>
            </w:r>
            <w:proofErr w:type="gramStart"/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globálisan</w:t>
            </w:r>
            <w:proofErr w:type="gramEnd"/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rendszerszinten jelentős intézményeknek ezt az összeget a puffer alkalmazásának a CRR-</w:t>
            </w:r>
            <w:proofErr w:type="spellStart"/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ben</w:t>
            </w:r>
            <w:proofErr w:type="spellEnd"/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előírt időpontjától kell megadniuk.</w:t>
            </w:r>
          </w:p>
        </w:tc>
      </w:tr>
      <w:tr w:rsidR="00E36E71" w:rsidRPr="00E75BB8" w14:paraId="756B6F5A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6523" w14:textId="5BD07284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{0380;0010}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9F97" w14:textId="77777777" w:rsidR="00E36E71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A 2. pillér szerinti tőke-iránymutatás (P2G) a túlzott tőkeáttétel kockázatának kezelésére</w:t>
            </w:r>
          </w:p>
          <w:p w14:paraId="0B3B1A45" w14:textId="1A1C051A" w:rsidR="00E36E71" w:rsidRPr="000B66BC" w:rsidRDefault="008E21B3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 CRD 104b. cikke; Az illetékes hatóság által a túlzott tőkeáttétel kockázatának kezelése érdekében adott, a kiegészítő szavatoló tőkére vonatkozó, a CRD 104b. cikkében említett iránymutatás.</w:t>
            </w:r>
          </w:p>
        </w:tc>
      </w:tr>
      <w:tr w:rsidR="00E36E71" w:rsidRPr="00E75BB8" w14:paraId="5FB7C0D6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C8EE" w14:textId="66C61468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{0390;0010}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2868" w14:textId="77777777" w:rsidR="00E36E71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ebből: CET1 tőke formájában</w:t>
            </w:r>
          </w:p>
          <w:p w14:paraId="3318F690" w14:textId="590855DB" w:rsidR="00E36E71" w:rsidRPr="000B66BC" w:rsidRDefault="00FB31D6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 0380. sorban említett P2G azon része, amely az illetékes hatóság által előírtak szerint CET1 tőke formájában tartandó.</w:t>
            </w:r>
          </w:p>
        </w:tc>
      </w:tr>
      <w:tr w:rsidR="00E36E71" w:rsidRPr="00E75BB8" w14:paraId="65AB50BB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B95F" w14:textId="0B1F3FB1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{0400;0010}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461BE" w14:textId="2AF2CC4F" w:rsidR="00FB31D6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ebből: alapvető tőke formájában</w:t>
            </w:r>
          </w:p>
          <w:p w14:paraId="69A1223C" w14:textId="5FB61961" w:rsidR="00E36E71" w:rsidRPr="000B66BC" w:rsidRDefault="00FB31D6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 0380. sorban említett P2G azon része, amely az illetékes hatóság által előírtak szerint alapvető tőke formájában tartandó.</w:t>
            </w:r>
          </w:p>
        </w:tc>
      </w:tr>
      <w:tr w:rsidR="00E36E71" w:rsidRPr="00E75BB8" w14:paraId="0EAD8BE9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A6857C" w14:textId="480AB7BD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Sor és oszlop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5B8FEE" w14:textId="77777777" w:rsidR="00E36E71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Követelmények: arányszámok</w:t>
            </w:r>
          </w:p>
        </w:tc>
      </w:tr>
      <w:tr w:rsidR="00CB48CC" w:rsidRPr="00E75BB8" w14:paraId="297BFBE3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133B" w14:textId="17E35BDE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{0410;0010}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B3A5" w14:textId="68FCDEBA" w:rsidR="00CB48CC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1. pillér szerinti</w:t>
            </w:r>
            <w:r w:rsidR="0093715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tőkeáttételimutató-követelmény</w:t>
            </w:r>
          </w:p>
          <w:p w14:paraId="75955E40" w14:textId="22BA171D" w:rsidR="00B70EBF" w:rsidRDefault="006F5F1F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CRR 92. cikke (1) bekezdésének d) pontja, 429a. cikkének (7) bekezdése, 429a. cikke (1) bekezdésének n) pontja; a túlzott tőkeáttétel kockázatának kezelése érdekében előírt, a CRR 92. cikke (1) bekezdésének d) pontjában említett tőkeáttételi mutató </w:t>
            </w:r>
          </w:p>
          <w:p w14:paraId="2ACA2F0E" w14:textId="548B0D98" w:rsidR="00CB48CC" w:rsidRPr="000B66BC" w:rsidRDefault="00FB31D6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CRR 429a. cikke (1) bekezdésének n) pontjában említett, az intézmény központi bankjával szembeni kitettségeket kizáró intézményeknek a CRR 429a. cikkének (7) bekezdése szerinti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korrigált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tőkeáttételi mutatót kell megadniuk.</w:t>
            </w:r>
          </w:p>
        </w:tc>
      </w:tr>
      <w:tr w:rsidR="00E36E71" w:rsidRPr="00E75BB8" w14:paraId="18E64DF4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F81A" w14:textId="0848022F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{0420;0010}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BF9B" w14:textId="77777777" w:rsidR="00E36E71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Teljes SREP tőkeáttételimutató-követelmény (TSLRR)</w:t>
            </w:r>
          </w:p>
          <w:p w14:paraId="58E6C4BD" w14:textId="29BB005C" w:rsidR="00FB31D6" w:rsidRPr="000B66BC" w:rsidRDefault="00136A9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CRD 104. és 104a. cikke</w:t>
            </w:r>
          </w:p>
          <w:p w14:paraId="010497B2" w14:textId="77777777" w:rsidR="00FB31D6" w:rsidRPr="000B66BC" w:rsidRDefault="00FB31D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alábbi i. és ii. összege:</w:t>
            </w:r>
          </w:p>
          <w:p w14:paraId="2BCF2D92" w14:textId="4D8870D5" w:rsidR="00FB31D6" w:rsidRPr="000B66BC" w:rsidRDefault="00FB31D6" w:rsidP="000B66BC">
            <w:pPr>
              <w:pStyle w:val="BodyText1"/>
              <w:numPr>
                <w:ilvl w:val="0"/>
                <w:numId w:val="27"/>
              </w:numPr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az 1. pillér szerinti tőkeáttételimutató-követelmény, a 0410. sorban megadottak szerint;</w:t>
            </w:r>
          </w:p>
          <w:p w14:paraId="4613F532" w14:textId="0609A36A" w:rsidR="00FB31D6" w:rsidRPr="000B66BC" w:rsidRDefault="00FB31D6" w:rsidP="000B66BC">
            <w:pPr>
              <w:pStyle w:val="BodyText1"/>
              <w:numPr>
                <w:ilvl w:val="0"/>
                <w:numId w:val="27"/>
              </w:numPr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illetékes hatóság által a túlzott tőkeáttétel kockázatának kezelése érdekében előírt, a CRD 104. cikkében említett kiegészítő szavatolótőke-követelmény.</w:t>
            </w:r>
          </w:p>
          <w:p w14:paraId="4F1A1488" w14:textId="77777777" w:rsidR="00B70EBF" w:rsidRDefault="00780634" w:rsidP="00B70EBF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 intézményeknek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ii. pontot úgy kell kiszámítaniuk, hogy a {0350;0010} mezőben szereplő értéket elosztják a {0300;0010} mezőben megadott értékkel.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128BD13A" w14:textId="3F8F4801" w:rsidR="00FB31D6" w:rsidRPr="000B66BC" w:rsidRDefault="00B70EBF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Ha az illetékes hatóság nem közölt kiegészítő szavatolótőke-követelményeket, akkor csak az i. pontot kell jelenteni.</w:t>
            </w:r>
          </w:p>
        </w:tc>
      </w:tr>
      <w:tr w:rsidR="00E36E71" w:rsidRPr="00E75BB8" w14:paraId="0482CAD5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3FBD" w14:textId="065D7838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{0430;0010}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F150B" w14:textId="77777777" w:rsidR="00E36E71" w:rsidRPr="000B66BC" w:rsidRDefault="001D36C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TSLRR: CET1 tőke formájában</w:t>
            </w:r>
          </w:p>
          <w:p w14:paraId="7473B81A" w14:textId="78011C71" w:rsidR="00780634" w:rsidRPr="000B66BC" w:rsidRDefault="00A0709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 0420 sor ii. pontjában említett kiegészítő szavatolótőke-követelmény azon része, amely az illetékes hatóság által előírtak szerint CET1 tőke formájában tartandó.</w:t>
            </w:r>
          </w:p>
          <w:p w14:paraId="17146566" w14:textId="660DECA9" w:rsidR="00E36E71" w:rsidRPr="000B66BC" w:rsidRDefault="0078063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intézményeknek ezt az értéket úgy kell kiszámítaniuk, hogy a {0360</w:t>
            </w:r>
            <w:proofErr w:type="gramStart"/>
            <w:r w:rsidR="00902815">
              <w:rPr>
                <w:rFonts w:ascii="Times New Roman" w:hAnsi="Times New Roman"/>
                <w:sz w:val="24"/>
                <w:szCs w:val="24"/>
              </w:rPr>
              <w:t>;0010</w:t>
            </w:r>
            <w:proofErr w:type="gramEnd"/>
            <w:r w:rsidR="00902815">
              <w:rPr>
                <w:rFonts w:ascii="Times New Roman" w:hAnsi="Times New Roman"/>
                <w:sz w:val="24"/>
                <w:szCs w:val="24"/>
              </w:rPr>
              <w:t>} mezőben szereplő értéket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elosztják a {0300;0010} mezőben megadott értékkel.</w:t>
            </w:r>
          </w:p>
        </w:tc>
      </w:tr>
      <w:tr w:rsidR="00E36E71" w:rsidRPr="00E75BB8" w14:paraId="769316AF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C5FF" w14:textId="7241185F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{0440;0010}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666F" w14:textId="77777777" w:rsidR="00E36E71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Együttes tőkeáttételimutató-követelmény (OLRR)</w:t>
            </w:r>
          </w:p>
          <w:p w14:paraId="42BE8CD3" w14:textId="1383D3D9" w:rsidR="00136A9C" w:rsidRPr="000B66BC" w:rsidRDefault="00136A9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92. cikkének (1a) bekezdése</w:t>
            </w:r>
          </w:p>
          <w:p w14:paraId="1BB646F8" w14:textId="77777777" w:rsidR="00136A9C" w:rsidRPr="000B66BC" w:rsidRDefault="00136A9C" w:rsidP="000B66BC">
            <w:pPr>
              <w:pStyle w:val="BodyText1"/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Az alábbi i. és ii. összege:</w:t>
            </w:r>
          </w:p>
          <w:p w14:paraId="3ACD46ED" w14:textId="4650EB7F" w:rsidR="00136A9C" w:rsidRPr="000B66BC" w:rsidRDefault="00136A9C" w:rsidP="000B66BC">
            <w:pPr>
              <w:pStyle w:val="BodyText1"/>
              <w:numPr>
                <w:ilvl w:val="0"/>
                <w:numId w:val="28"/>
              </w:numPr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a 0420. sorban említett TSLRR;</w:t>
            </w:r>
          </w:p>
          <w:p w14:paraId="7026B9BA" w14:textId="6D50CC87" w:rsidR="00136A9C" w:rsidRPr="000B66BC" w:rsidRDefault="00136A9C" w:rsidP="000B66BC">
            <w:pPr>
              <w:pStyle w:val="BodyText1"/>
              <w:numPr>
                <w:ilvl w:val="0"/>
                <w:numId w:val="28"/>
              </w:numPr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 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globálisan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rendszerszinten jelentős intézményekre vonatkozó tőkeáttételi mutató puffer a CRR 92. cikke (1a) bekezdésének megfelelően, a tőkeáttételi mutató teljes kitettségértékének százalékában kifejezve.</w:t>
            </w:r>
          </w:p>
          <w:p w14:paraId="2D72E728" w14:textId="77777777" w:rsidR="00B70EBF" w:rsidRDefault="00B70EBF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 intézményeknek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ii. pontot úgy kell kiszámítaniuk, hogy a {0370;0010} mezőben szereplő értéket elosztják a {0300;0010} mezőben megadott értékkel.</w:t>
            </w:r>
          </w:p>
          <w:p w14:paraId="341458F5" w14:textId="1339DA28" w:rsidR="00136A9C" w:rsidRPr="000B66BC" w:rsidRDefault="00136A9C" w:rsidP="000B66BC">
            <w:pPr>
              <w:pStyle w:val="BodyText1"/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A </w:t>
            </w:r>
            <w:proofErr w:type="gramStart"/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globálisan</w:t>
            </w:r>
            <w:proofErr w:type="gramEnd"/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rendszerszinten jelentős intézmények ezt az összeget csak a puffer alkalmazásának a CRR-</w:t>
            </w:r>
            <w:proofErr w:type="spellStart"/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ben</w:t>
            </w:r>
            <w:proofErr w:type="spellEnd"/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előírt időpontjától vehetik figyelembe.</w:t>
            </w:r>
          </w:p>
          <w:p w14:paraId="0AEE6486" w14:textId="71BAF399" w:rsidR="00136A9C" w:rsidRPr="000B66BC" w:rsidRDefault="00136A9C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Ha nem alkalmazandó a </w:t>
            </w:r>
            <w:proofErr w:type="gramStart"/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globálisan</w:t>
            </w:r>
            <w:proofErr w:type="gramEnd"/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rendszerszinten jelentős intézmények kiegészítő tőkepuffere, akkor csak az i. pontot kell feltüntetni.</w:t>
            </w:r>
          </w:p>
        </w:tc>
      </w:tr>
      <w:tr w:rsidR="00E36E71" w:rsidRPr="00E75BB8" w14:paraId="700506B4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25A6" w14:textId="7BC3EB01" w:rsidR="00E36E71" w:rsidRPr="000B66BC" w:rsidRDefault="00A0709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{0450;0010}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0973" w14:textId="44BB98C0" w:rsidR="00136A9C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Együttes tőkeáttételimutató-követelmény (OLRR) és 2. pillér szerinti tőke-iránymutatás (P2G)</w:t>
            </w:r>
          </w:p>
          <w:p w14:paraId="022B6350" w14:textId="029B6D58" w:rsidR="00136A9C" w:rsidRPr="000B66BC" w:rsidRDefault="00136A9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 CRD 104b. cikke</w:t>
            </w:r>
          </w:p>
          <w:p w14:paraId="358F5440" w14:textId="77777777" w:rsidR="00136A9C" w:rsidRPr="000B66BC" w:rsidRDefault="00136A9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alábbi i. és ii. összege:</w:t>
            </w:r>
          </w:p>
          <w:p w14:paraId="4E42EACA" w14:textId="261B723C" w:rsidR="00136A9C" w:rsidRPr="000B66BC" w:rsidRDefault="00136A9C" w:rsidP="000B66BC">
            <w:pPr>
              <w:pStyle w:val="BodyText1"/>
              <w:numPr>
                <w:ilvl w:val="0"/>
                <w:numId w:val="29"/>
              </w:numPr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 0440. sorban említett OLRR;</w:t>
            </w:r>
          </w:p>
          <w:p w14:paraId="51B081D7" w14:textId="1FBE8C55" w:rsidR="00136A9C" w:rsidRPr="000B66BC" w:rsidRDefault="00136A9C" w:rsidP="000B66BC">
            <w:pPr>
              <w:pStyle w:val="BodyText1"/>
              <w:numPr>
                <w:ilvl w:val="0"/>
                <w:numId w:val="29"/>
              </w:numPr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az illetékes hatóság által a túlzott tőkeáttétel kockázatának kezelése érdekében adott, a kiegészítő szavatoló tőkére vonatkozó, a CRD 104b. cikkében említett iránymutatás, a tőkeáttételi mutató teljes kitettségértékének százalékában kifejezve.</w:t>
            </w:r>
          </w:p>
          <w:p w14:paraId="1C4745E4" w14:textId="77777777" w:rsidR="00B70EBF" w:rsidRDefault="00780634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 intézményeknek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ii. pontot úgy kell kiszámítaniuk, hogy a {0380;0010} mezőben szereplő értéket elosztják a {0300;0010} mezőben megadott értékkel.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</w:p>
          <w:p w14:paraId="6E55E37C" w14:textId="5108C444" w:rsidR="00136A9C" w:rsidRPr="000B66BC" w:rsidRDefault="00B70EBF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Ha az illetékes hatóság nem közölt P2G-t, akkor csak az i. pontot kell jelenteni.</w:t>
            </w:r>
          </w:p>
        </w:tc>
      </w:tr>
      <w:tr w:rsidR="00E36E71" w:rsidRPr="00E75BB8" w14:paraId="680EF640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0E92" w14:textId="6C47A0CC" w:rsidR="00E36E71" w:rsidRPr="000B66BC" w:rsidRDefault="009573B2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{0460;0010}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AF2A" w14:textId="3A51D2AA" w:rsidR="00E36E71" w:rsidRPr="000B66BC" w:rsidRDefault="001D36C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OLRR és P2G: CET1 tőke formájában</w:t>
            </w:r>
          </w:p>
          <w:p w14:paraId="76E51CBF" w14:textId="77777777" w:rsidR="00136A9C" w:rsidRPr="000B66BC" w:rsidRDefault="00136A9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Az alábbi i. és ii. összege:</w:t>
            </w:r>
          </w:p>
          <w:p w14:paraId="4E8CC957" w14:textId="6092A4C3" w:rsidR="00136A9C" w:rsidRPr="000B66BC" w:rsidRDefault="00136A9C" w:rsidP="000B66BC">
            <w:pPr>
              <w:pStyle w:val="BodyText1"/>
              <w:numPr>
                <w:ilvl w:val="0"/>
                <w:numId w:val="30"/>
              </w:numPr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 0450. sorban említett kiegészítő szavatolótőke-követelmény azon része, amely az illetékes hatóság által előírtak szerint CET1 tőke formájában tartandó;</w:t>
            </w:r>
          </w:p>
          <w:p w14:paraId="611A5895" w14:textId="6EB99D1C" w:rsidR="00136A9C" w:rsidRPr="000B66BC" w:rsidRDefault="00136A9C" w:rsidP="000B66BC">
            <w:pPr>
              <w:pStyle w:val="BodyText1"/>
              <w:numPr>
                <w:ilvl w:val="0"/>
                <w:numId w:val="30"/>
              </w:numPr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 0450 sornál 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ii. pontban említett P2G mutató azon része, amely az illetékes hatóság iránymutatása szerint CET1 tőke formájában tartandó.</w:t>
            </w:r>
          </w:p>
          <w:p w14:paraId="30A327FA" w14:textId="77777777" w:rsidR="003E3C45" w:rsidRDefault="00780634" w:rsidP="003E3C45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 intézményeknek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ii. pontot úgy kell kiszámítaniuk, hogy a {0390;0010} mezőben szereplő értéket elosztják a {0300;0010} mezőben megadott értékkel.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32685844" w14:textId="531CB8FD" w:rsidR="00E36E71" w:rsidRPr="000B66BC" w:rsidRDefault="003E3C45" w:rsidP="003E3C45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Ha az illetékes hatóság nem közölt P2G-t, akkor csak az i. pontot kell jelenteni.</w:t>
            </w:r>
          </w:p>
        </w:tc>
      </w:tr>
      <w:tr w:rsidR="00E36E71" w:rsidRPr="00E75BB8" w14:paraId="5CCACDAA" w14:textId="77777777" w:rsidTr="00E1595A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F561" w14:textId="5D20E85A" w:rsidR="00E36E71" w:rsidRPr="000B66BC" w:rsidRDefault="00A0709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{0470;0010}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54F2" w14:textId="77777777" w:rsidR="00E36E71" w:rsidRPr="000B66BC" w:rsidRDefault="001D36C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OLRR és P2G: alapvető tőke formájában</w:t>
            </w:r>
          </w:p>
          <w:p w14:paraId="7E7156A9" w14:textId="787E9B54" w:rsidR="00136A9C" w:rsidRPr="000B66BC" w:rsidRDefault="00136A9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Az alábbi i., ii. és iii. összege:</w:t>
            </w:r>
          </w:p>
          <w:p w14:paraId="5D168708" w14:textId="116662AF" w:rsidR="00136A9C" w:rsidRPr="000B66BC" w:rsidRDefault="00843D9B" w:rsidP="000B66BC">
            <w:pPr>
              <w:pStyle w:val="BodyText1"/>
              <w:numPr>
                <w:ilvl w:val="0"/>
                <w:numId w:val="32"/>
              </w:numPr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 0420. sorban említett, teljes SREP tőkeáttételimutató-követelmény;</w:t>
            </w:r>
          </w:p>
          <w:p w14:paraId="44471EA4" w14:textId="4CE94828" w:rsidR="00843D9B" w:rsidRPr="000B66BC" w:rsidRDefault="00843D9B" w:rsidP="000B66BC">
            <w:pPr>
              <w:pStyle w:val="ListParagraph"/>
              <w:numPr>
                <w:ilvl w:val="0"/>
                <w:numId w:val="32"/>
              </w:numPr>
              <w:spacing w:after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 </w:t>
            </w:r>
            <w:proofErr w:type="gramStart"/>
            <w:r>
              <w:rPr>
                <w:rFonts w:ascii="Times New Roman" w:hAnsi="Times New Roman"/>
                <w:sz w:val="24"/>
              </w:rPr>
              <w:t>globálisan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rendszerszinten jelentős intézményekre vonatkozó tőkeáttételi mutató puffer a CRR 92. cikke (1a) bekezdésének megfelelően, a tőkeáttételi mutató teljes kitettségértékének százalékában kifejezve;</w:t>
            </w:r>
          </w:p>
          <w:p w14:paraId="776F4028" w14:textId="5132AE58" w:rsidR="00136A9C" w:rsidRPr="000B66BC" w:rsidRDefault="00136A9C" w:rsidP="000B66BC">
            <w:pPr>
              <w:pStyle w:val="BodyText1"/>
              <w:numPr>
                <w:ilvl w:val="0"/>
                <w:numId w:val="32"/>
              </w:numPr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a 0450 sor ii. pontjában említett P2G mutató azon része, amely az illetékes hatóság által előírtak szerint alapvető tőke formájában tartandó.</w:t>
            </w:r>
          </w:p>
          <w:p w14:paraId="26F19755" w14:textId="77777777" w:rsidR="003E3C45" w:rsidRPr="000B66BC" w:rsidRDefault="003E3C45" w:rsidP="003E3C45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 intézményeknek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ii. pontot úgy kell kiszámítaniuk, hogy a {0370;0010} mezőben szereplő értéket elosztják a {0300;0010} mezőben megadott értékkel.</w:t>
            </w:r>
          </w:p>
          <w:p w14:paraId="2313052B" w14:textId="77777777" w:rsidR="003E3C45" w:rsidRDefault="003E3C45" w:rsidP="003E3C45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 intézményeknek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iii. pontot úgy kell kiszámítaniuk, hogy a {0400;0010} mezőben szereplő értéket elosztják a {0300;0010} mezőben megadott értékkel.</w:t>
            </w:r>
          </w:p>
          <w:p w14:paraId="6BF7BD0F" w14:textId="49D247A3" w:rsidR="00843D9B" w:rsidRPr="000B66BC" w:rsidRDefault="00843D9B" w:rsidP="003E3C45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Ha nem alkalmazandó a </w:t>
            </w:r>
            <w:proofErr w:type="gramStart"/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globálisan</w:t>
            </w:r>
            <w:proofErr w:type="gramEnd"/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rendszerszinten jelentős intézmények kiegészítő tőkepuffere, akkor csak az i. és iii. pontot kell feltüntetni.</w:t>
            </w:r>
          </w:p>
          <w:p w14:paraId="784A7DD8" w14:textId="6852D82B" w:rsidR="00E36E71" w:rsidRPr="000B66BC" w:rsidRDefault="00136A9C" w:rsidP="003E3C45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Ha az illetékes hatóság nem közölt P2G-t, akkor csak az i. és ii. pontot kell jelenteni.</w:t>
            </w:r>
          </w:p>
        </w:tc>
      </w:tr>
      <w:tr w:rsidR="00E524FC" w:rsidRPr="00E75BB8" w14:paraId="601424AF" w14:textId="77777777" w:rsidTr="00E524FC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BFD45C" w14:textId="1021D484" w:rsidR="00E524FC" w:rsidRPr="000B66BC" w:rsidRDefault="00E524F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Sor és oszlop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42BB32" w14:textId="77777777" w:rsidR="00E524FC" w:rsidRPr="000B66BC" w:rsidRDefault="00E524F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Tájékoztató adatok</w:t>
            </w:r>
          </w:p>
        </w:tc>
      </w:tr>
      <w:tr w:rsidR="00E524FC" w:rsidRPr="00E75BB8" w14:paraId="66E51847" w14:textId="77777777" w:rsidTr="00E524FC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3E43" w14:textId="0903377D" w:rsidR="00E524FC" w:rsidRPr="000B66BC" w:rsidRDefault="00E524F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{0480;0010}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97BC" w14:textId="55DA8CC4" w:rsidR="00E524FC" w:rsidRPr="000B66BC" w:rsidRDefault="00E524F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Tőkeáttételi mutató, mintha nem alkalmazták volna az IFRS 9 standardot vagy a várható hitelezési veszteségre vonatkozó hasonló átmeneti rendelkezéseket</w:t>
            </w:r>
          </w:p>
          <w:p w14:paraId="56553E75" w14:textId="77777777" w:rsidR="00E524FC" w:rsidRPr="000B66BC" w:rsidRDefault="00E524F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 CRR 473a. cikkének (8) bekezdése</w:t>
            </w:r>
          </w:p>
          <w:p w14:paraId="7576BAB1" w14:textId="7CE29514" w:rsidR="00E524FC" w:rsidRPr="000B66BC" w:rsidRDefault="00E524F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 CRR 473a. cikkében meghatározott átmeneti rendelkezések alkalmazása mellett döntő intézményeknek meg kell adniuk azt a tőkeáttételi mutatót, amellyel akkor rendelkeznének, ha nem alkalmaznák ezt a cikket.</w:t>
            </w:r>
          </w:p>
        </w:tc>
      </w:tr>
      <w:tr w:rsidR="00E524FC" w:rsidRPr="00E75BB8" w14:paraId="12DDA6F6" w14:textId="77777777" w:rsidTr="00E524FC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3EEB" w14:textId="7EBFE2F4" w:rsidR="00E524FC" w:rsidRPr="000B66BC" w:rsidRDefault="00E524F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{0490;0010}</w:t>
            </w:r>
          </w:p>
        </w:tc>
        <w:tc>
          <w:tcPr>
            <w:tcW w:w="7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7C97D" w14:textId="7B6565CA" w:rsidR="00E524FC" w:rsidRPr="000B66BC" w:rsidRDefault="00E524F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Tőkeáttételi mutató, mintha nem alkalmazták volna az egyéb átfogó jövedelemmel szemben valós értéken értékelt nem </w:t>
            </w:r>
            <w:proofErr w:type="gramStart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realizált</w:t>
            </w:r>
            <w:proofErr w:type="gramEnd"/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nyereség és veszteség ideiglenes kezelését</w:t>
            </w:r>
          </w:p>
          <w:p w14:paraId="22FC70A7" w14:textId="77777777" w:rsidR="00E524FC" w:rsidRPr="000B66BC" w:rsidRDefault="00E524F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 CRR 468. cikkének (5) bekezdése</w:t>
            </w:r>
          </w:p>
          <w:p w14:paraId="787A9CC8" w14:textId="1B7E2B43" w:rsidR="00E524FC" w:rsidRPr="000B66BC" w:rsidRDefault="00E524F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 CRR 468. cikkének (1) bekezdésében meghatározott ideiglenes kezelés alkalmazása mellett döntő intézményeknek meg kell adniuk azt a tőkeáttételi mutatót, amellyel akkor rendelkeznének, ha nem alkalmaznák az ideiglenes kezelést.</w:t>
            </w:r>
          </w:p>
        </w:tc>
      </w:tr>
    </w:tbl>
    <w:p w14:paraId="6B40D8E2" w14:textId="77777777" w:rsidR="00AE2798" w:rsidRPr="000B66BC" w:rsidRDefault="00AE2798" w:rsidP="000B66BC">
      <w:pPr>
        <w:pStyle w:val="BodyText1"/>
        <w:spacing w:after="240"/>
        <w:rPr>
          <w:rFonts w:ascii="Times New Roman" w:hAnsi="Times New Roman"/>
          <w:sz w:val="24"/>
          <w:szCs w:val="24"/>
        </w:rPr>
      </w:pPr>
    </w:p>
    <w:p w14:paraId="794CE395" w14:textId="173F43D2" w:rsidR="00700DA6" w:rsidRPr="000B66BC" w:rsidRDefault="005F4574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53" w:name="_Toc359414286"/>
      <w:bookmarkStart w:id="54" w:name="_Toc423089071"/>
      <w:bookmarkStart w:id="55" w:name="_Toc58916212"/>
      <w:r>
        <w:rPr>
          <w:rFonts w:ascii="Times New Roman" w:hAnsi="Times New Roman"/>
          <w:b/>
          <w:sz w:val="24"/>
          <w:szCs w:val="24"/>
        </w:rPr>
        <w:t>4.</w:t>
      </w:r>
      <w:r>
        <w:tab/>
      </w:r>
      <w:bookmarkStart w:id="56" w:name="_Toc351048507"/>
      <w:r>
        <w:rPr>
          <w:rFonts w:ascii="Times New Roman" w:hAnsi="Times New Roman"/>
          <w:b/>
          <w:sz w:val="24"/>
          <w:szCs w:val="24"/>
        </w:rPr>
        <w:t xml:space="preserve">C 40.00 – </w:t>
      </w: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kitettségérték alternatív meghatározása (LR1)</w:t>
      </w:r>
      <w:bookmarkEnd w:id="49"/>
      <w:bookmarkEnd w:id="53"/>
      <w:bookmarkEnd w:id="54"/>
      <w:bookmarkEnd w:id="55"/>
      <w:bookmarkEnd w:id="56"/>
    </w:p>
    <w:p w14:paraId="0FB337CA" w14:textId="6E018840" w:rsidR="00F4754B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</w:t>
      </w:r>
      <w:r>
        <w:tab/>
      </w:r>
      <w:r>
        <w:rPr>
          <w:rFonts w:ascii="Times New Roman" w:hAnsi="Times New Roman"/>
          <w:sz w:val="24"/>
          <w:szCs w:val="24"/>
        </w:rPr>
        <w:t xml:space="preserve">Az adatszolgáltatásnak ez a része a származtatott ügyletek, az értékpapír-finanszírozási ügyletek, a mérlegen kívüli tételek, a </w:t>
      </w:r>
      <w:proofErr w:type="gramStart"/>
      <w:r>
        <w:rPr>
          <w:rFonts w:ascii="Times New Roman" w:hAnsi="Times New Roman"/>
          <w:sz w:val="24"/>
          <w:szCs w:val="24"/>
        </w:rPr>
        <w:t>mentesített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közszektorbeli</w:t>
      </w:r>
      <w:proofErr w:type="spellEnd"/>
      <w:r>
        <w:rPr>
          <w:rFonts w:ascii="Times New Roman" w:hAnsi="Times New Roman"/>
          <w:sz w:val="24"/>
          <w:szCs w:val="24"/>
        </w:rPr>
        <w:t xml:space="preserve"> beruházások és a kedvezményes kölcsönökkel szembeni mentesített kitettségek alternatív kezelés</w:t>
      </w:r>
      <w:r w:rsidR="00937155">
        <w:rPr>
          <w:rFonts w:ascii="Times New Roman" w:hAnsi="Times New Roman"/>
          <w:sz w:val="24"/>
          <w:szCs w:val="24"/>
        </w:rPr>
        <w:t>ére vonatkozóan gyűjt adatokat.</w:t>
      </w:r>
    </w:p>
    <w:p w14:paraId="0801E40E" w14:textId="112E6D1D" w:rsidR="00F4754B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21.</w:t>
      </w:r>
      <w:r>
        <w:tab/>
      </w:r>
      <w:r>
        <w:rPr>
          <w:rFonts w:ascii="Times New Roman" w:hAnsi="Times New Roman"/>
          <w:sz w:val="24"/>
          <w:szCs w:val="24"/>
        </w:rPr>
        <w:t xml:space="preserve">Az intézményeknek az LR1 tábla „mérleg szerinti értékeit” a CRR 4. cikke (1) bekezdésének 77. pontja szerinti alkalmazandó számviteli szabályozás alapján kell meghatározniuk. A „Nettósítás és más CRM nélküli könyv szerinti érték” az a mérleg szerinti érték, amely nem veszi figyelembe a nettósítás vagy </w:t>
      </w:r>
      <w:r w:rsidR="00937155">
        <w:rPr>
          <w:rFonts w:ascii="Times New Roman" w:hAnsi="Times New Roman"/>
          <w:sz w:val="24"/>
          <w:szCs w:val="24"/>
        </w:rPr>
        <w:t>más kockázatmérséklés hatásait.</w:t>
      </w:r>
    </w:p>
    <w:p w14:paraId="6A1F4290" w14:textId="209D6435" w:rsidR="005556DC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</w:t>
      </w:r>
      <w:r>
        <w:tab/>
      </w:r>
      <w:r>
        <w:rPr>
          <w:rFonts w:ascii="Times New Roman" w:hAnsi="Times New Roman"/>
          <w:sz w:val="24"/>
          <w:szCs w:val="24"/>
        </w:rPr>
        <w:t xml:space="preserve">Az intézményeknek úgy kell jelenteniük az LR1 tételeket, mintha az </w:t>
      </w:r>
      <w:proofErr w:type="spellStart"/>
      <w:r>
        <w:rPr>
          <w:rFonts w:ascii="Times New Roman" w:hAnsi="Times New Roman"/>
          <w:sz w:val="24"/>
          <w:szCs w:val="24"/>
        </w:rPr>
        <w:t>LRCalc</w:t>
      </w:r>
      <w:proofErr w:type="spellEnd"/>
      <w:r>
        <w:rPr>
          <w:rFonts w:ascii="Times New Roman" w:hAnsi="Times New Roman"/>
          <w:sz w:val="24"/>
          <w:szCs w:val="24"/>
        </w:rPr>
        <w:t xml:space="preserve"> táblában szereplő, az e melléklet I. részének 9. pontjában meghatározott jelkonvenciónak megfelelő negatív előjelű tételek (például mentességek/levonások) nem lennének alkalmazandók, kivéve a {0270</w:t>
      </w:r>
      <w:proofErr w:type="gramStart"/>
      <w:r>
        <w:rPr>
          <w:rFonts w:ascii="Times New Roman" w:hAnsi="Times New Roman"/>
          <w:sz w:val="24"/>
          <w:szCs w:val="24"/>
        </w:rPr>
        <w:t>;0010</w:t>
      </w:r>
      <w:proofErr w:type="gramEnd"/>
      <w:r>
        <w:rPr>
          <w:rFonts w:ascii="Times New Roman" w:hAnsi="Times New Roman"/>
          <w:sz w:val="24"/>
          <w:szCs w:val="24"/>
        </w:rPr>
        <w:t>} {0280;0010} sorokat.</w:t>
      </w:r>
    </w:p>
    <w:p w14:paraId="3B5DA19A" w14:textId="2845E321" w:rsidR="00201643" w:rsidRPr="000B66BC" w:rsidRDefault="00201643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</w:t>
      </w:r>
      <w:r>
        <w:tab/>
      </w:r>
      <w:r>
        <w:rPr>
          <w:rFonts w:ascii="Times New Roman" w:hAnsi="Times New Roman"/>
          <w:sz w:val="24"/>
          <w:szCs w:val="24"/>
        </w:rPr>
        <w:t>A 40.00. tábla {r0410</w:t>
      </w:r>
      <w:proofErr w:type="gramStart"/>
      <w:r>
        <w:rPr>
          <w:rFonts w:ascii="Times New Roman" w:hAnsi="Times New Roman"/>
          <w:sz w:val="24"/>
          <w:szCs w:val="24"/>
        </w:rPr>
        <w:t>;c0010</w:t>
      </w:r>
      <w:proofErr w:type="gramEnd"/>
      <w:r>
        <w:rPr>
          <w:rFonts w:ascii="Times New Roman" w:hAnsi="Times New Roman"/>
          <w:sz w:val="24"/>
          <w:szCs w:val="24"/>
        </w:rPr>
        <w:t>} mezőjét csak a következőknek kell jelenteniük:</w:t>
      </w:r>
    </w:p>
    <w:p w14:paraId="120D67B7" w14:textId="7350FC6D" w:rsidR="00390B64" w:rsidRPr="000B66BC" w:rsidRDefault="00390B64" w:rsidP="000B66BC">
      <w:pPr>
        <w:pStyle w:val="BodyText1"/>
        <w:numPr>
          <w:ilvl w:val="0"/>
          <w:numId w:val="35"/>
        </w:numPr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féléves gyakorisággal azoknak a nagy intézményeknek, amelyek </w:t>
      </w:r>
      <w:proofErr w:type="gramStart"/>
      <w:r>
        <w:rPr>
          <w:rFonts w:ascii="Times New Roman" w:hAnsi="Times New Roman"/>
          <w:sz w:val="24"/>
          <w:szCs w:val="24"/>
        </w:rPr>
        <w:t>globálisan</w:t>
      </w:r>
      <w:proofErr w:type="gramEnd"/>
      <w:r>
        <w:rPr>
          <w:rFonts w:ascii="Times New Roman" w:hAnsi="Times New Roman"/>
          <w:sz w:val="24"/>
          <w:szCs w:val="24"/>
        </w:rPr>
        <w:t xml:space="preserve"> rendszerszinten jelentős intézmények, vagy amelyek szabályozott piacra bevezetett értékpapírokat bocsátottak ki, </w:t>
      </w:r>
    </w:p>
    <w:p w14:paraId="275097FF" w14:textId="4F3F0B8E" w:rsidR="00390B64" w:rsidRPr="000B66BC" w:rsidRDefault="00390B64" w:rsidP="000B66BC">
      <w:pPr>
        <w:pStyle w:val="BodyText1"/>
        <w:numPr>
          <w:ilvl w:val="0"/>
          <w:numId w:val="35"/>
        </w:numPr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éves gyakorisággal azoknak a </w:t>
      </w:r>
      <w:proofErr w:type="gramStart"/>
      <w:r>
        <w:rPr>
          <w:rFonts w:ascii="Times New Roman" w:hAnsi="Times New Roman"/>
          <w:sz w:val="24"/>
          <w:szCs w:val="24"/>
        </w:rPr>
        <w:t>globálisan</w:t>
      </w:r>
      <w:proofErr w:type="gramEnd"/>
      <w:r>
        <w:rPr>
          <w:rFonts w:ascii="Times New Roman" w:hAnsi="Times New Roman"/>
          <w:sz w:val="24"/>
          <w:szCs w:val="24"/>
        </w:rPr>
        <w:t xml:space="preserve"> rendszerszinten jelentős intézményektől eltérő nagy intézményeknek, amelyek nem jegyzett intézmények,</w:t>
      </w:r>
    </w:p>
    <w:p w14:paraId="59E3D42C" w14:textId="64FE3358" w:rsidR="00390B64" w:rsidRPr="000B66BC" w:rsidRDefault="00390B64" w:rsidP="000B66BC">
      <w:pPr>
        <w:pStyle w:val="BodyText1"/>
        <w:numPr>
          <w:ilvl w:val="0"/>
          <w:numId w:val="35"/>
        </w:numPr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éves gyakorisággal azoknak a nagy intézményektől, valamint a </w:t>
      </w:r>
      <w:proofErr w:type="gramStart"/>
      <w:r>
        <w:rPr>
          <w:rFonts w:ascii="Times New Roman" w:hAnsi="Times New Roman"/>
          <w:sz w:val="24"/>
          <w:szCs w:val="24"/>
        </w:rPr>
        <w:t>kis méretű</w:t>
      </w:r>
      <w:proofErr w:type="gramEnd"/>
      <w:r>
        <w:rPr>
          <w:rFonts w:ascii="Times New Roman" w:hAnsi="Times New Roman"/>
          <w:sz w:val="24"/>
          <w:szCs w:val="24"/>
        </w:rPr>
        <w:t xml:space="preserve"> és nem összetett intézményektől eltérő intézményeknek, amelyek szabályozott piacra bevezetett értékpapírokat bocsátottak ki. </w:t>
      </w:r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F4754B" w:rsidRPr="00E75BB8" w14:paraId="26421155" w14:textId="77777777" w:rsidTr="00C7202A">
        <w:tc>
          <w:tcPr>
            <w:tcW w:w="1418" w:type="dxa"/>
            <w:shd w:val="clear" w:color="auto" w:fill="D9D9D9" w:themeFill="background1" w:themeFillShade="D9"/>
          </w:tcPr>
          <w:p w14:paraId="08FB450D" w14:textId="524E5AB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Sor és oszlop</w:t>
            </w:r>
          </w:p>
        </w:tc>
        <w:tc>
          <w:tcPr>
            <w:tcW w:w="7620" w:type="dxa"/>
            <w:shd w:val="clear" w:color="auto" w:fill="D9D9D9" w:themeFill="background1" w:themeFillShade="D9"/>
          </w:tcPr>
          <w:p w14:paraId="2A94B720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Jogszabályi hivatkozások és előírások</w:t>
            </w:r>
          </w:p>
        </w:tc>
      </w:tr>
      <w:tr w:rsidR="00F4754B" w:rsidRPr="00E75BB8" w14:paraId="361F248A" w14:textId="77777777" w:rsidTr="00776650">
        <w:tc>
          <w:tcPr>
            <w:tcW w:w="1418" w:type="dxa"/>
          </w:tcPr>
          <w:p w14:paraId="4F9FA107" w14:textId="57BE6A8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{0010;0010}</w:t>
            </w:r>
          </w:p>
        </w:tc>
        <w:tc>
          <w:tcPr>
            <w:tcW w:w="7620" w:type="dxa"/>
          </w:tcPr>
          <w:p w14:paraId="39F15765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Származtatott ügyletek – Mérleg szerinti érték</w:t>
            </w:r>
          </w:p>
          <w:p w14:paraId="7F9C9C25" w14:textId="151D2509" w:rsidR="000A6437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{0020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}, a {0050;0010 és a {0060;0010} mező összege.</w:t>
            </w:r>
          </w:p>
        </w:tc>
      </w:tr>
      <w:tr w:rsidR="00F4754B" w:rsidRPr="00E75BB8" w14:paraId="1D231FFA" w14:textId="77777777" w:rsidTr="00776650">
        <w:tc>
          <w:tcPr>
            <w:tcW w:w="1418" w:type="dxa"/>
          </w:tcPr>
          <w:p w14:paraId="63C98797" w14:textId="06C6C9DC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{0010;0020}</w:t>
            </w:r>
          </w:p>
        </w:tc>
        <w:tc>
          <w:tcPr>
            <w:tcW w:w="7620" w:type="dxa"/>
          </w:tcPr>
          <w:p w14:paraId="4563944E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Származtatott ügyletek – Nettósítás és más CRM nélküli könyv szerinti érték</w:t>
            </w:r>
          </w:p>
          <w:p w14:paraId="7E68FF9D" w14:textId="3AAE9DFF" w:rsidR="00FF3AC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{0020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;0020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}, a {0050;0020 és a {0060;0020} mező összege.</w:t>
            </w:r>
          </w:p>
        </w:tc>
      </w:tr>
      <w:tr w:rsidR="00F4754B" w:rsidRPr="00E75BB8" w14:paraId="56F668DB" w14:textId="77777777" w:rsidTr="00776650">
        <w:tc>
          <w:tcPr>
            <w:tcW w:w="1418" w:type="dxa"/>
          </w:tcPr>
          <w:p w14:paraId="678E69B3" w14:textId="4CB76640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{0010;0070}</w:t>
            </w:r>
          </w:p>
        </w:tc>
        <w:tc>
          <w:tcPr>
            <w:tcW w:w="7620" w:type="dxa"/>
          </w:tcPr>
          <w:p w14:paraId="5D79D47D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Származtatott ügyletek – Névleges összeg</w:t>
            </w:r>
          </w:p>
          <w:p w14:paraId="2AECBC09" w14:textId="2F33E455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{0020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;0070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}, a {0050;0070 és a {0060;0070} mező összege.</w:t>
            </w:r>
          </w:p>
        </w:tc>
      </w:tr>
      <w:tr w:rsidR="00F4754B" w:rsidRPr="00E75BB8" w14:paraId="6B45BB27" w14:textId="77777777" w:rsidTr="00776650">
        <w:tc>
          <w:tcPr>
            <w:tcW w:w="1418" w:type="dxa"/>
          </w:tcPr>
          <w:p w14:paraId="46216D41" w14:textId="7412E93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{0020;0010}</w:t>
            </w:r>
          </w:p>
        </w:tc>
        <w:tc>
          <w:tcPr>
            <w:tcW w:w="7620" w:type="dxa"/>
          </w:tcPr>
          <w:p w14:paraId="0B692C56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(eladott hitelkockázati fedezet) – Mérleg szerinti érték</w:t>
            </w:r>
          </w:p>
          <w:p w14:paraId="0232A08C" w14:textId="71CBB29B" w:rsidR="00F4754B" w:rsidRPr="000B66BC" w:rsidRDefault="006D6827" w:rsidP="003E3C45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CRR 4. cikke (1) bekezdésének 77. pontja; azon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mérleg szerinti értéke az alkalmazandó számviteli szabályozás értelmében, amelyeknél az intézmény hitelkockázati fedezetet ad el ügyleti partnerének, és a szerződést eszközként jeleníti meg a mérlegben</w:t>
            </w:r>
          </w:p>
        </w:tc>
      </w:tr>
      <w:tr w:rsidR="00F4754B" w:rsidRPr="00E75BB8" w14:paraId="78089643" w14:textId="77777777" w:rsidTr="00776650">
        <w:tc>
          <w:tcPr>
            <w:tcW w:w="1418" w:type="dxa"/>
          </w:tcPr>
          <w:p w14:paraId="6D29AC05" w14:textId="21326B2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{0020;0020}</w:t>
            </w:r>
          </w:p>
        </w:tc>
        <w:tc>
          <w:tcPr>
            <w:tcW w:w="7620" w:type="dxa"/>
          </w:tcPr>
          <w:p w14:paraId="47C4979D" w14:textId="1C2E617E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(eladott hitelkockázati fedezet) – Nettósítás és más CRM nélküli könyv szerinti érték</w:t>
            </w:r>
          </w:p>
          <w:p w14:paraId="379F5EE7" w14:textId="22B93F7B" w:rsidR="00F4754B" w:rsidRPr="000B66BC" w:rsidRDefault="006D6827" w:rsidP="003E3C45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A CRR 4. cikke (1) bekezdésének 77. pontja; azon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mérleg szerinti értéke az alkalmazandó számviteli szabályozás értelmében, amelyeknél az intézmény hitelkockázati fedezet ad el ügyleti partnerének, és a szerződést eszközként jeleníti meg a mérlegben,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prudenciális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vagy számviteli nettósítás és más CRM-hatások nélkül (vagyis a számviteli nettósítás vagy a CRM könyv szerinti értéket befolyásoló hatásait vissza kell írni)</w:t>
            </w:r>
          </w:p>
        </w:tc>
      </w:tr>
      <w:tr w:rsidR="00F4754B" w:rsidRPr="00E75BB8" w14:paraId="6F14FFAF" w14:textId="77777777" w:rsidTr="00776650">
        <w:tc>
          <w:tcPr>
            <w:tcW w:w="1418" w:type="dxa"/>
          </w:tcPr>
          <w:p w14:paraId="7C797A14" w14:textId="4C6AAC2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{0020;0070}</w:t>
            </w:r>
          </w:p>
        </w:tc>
        <w:tc>
          <w:tcPr>
            <w:tcW w:w="7620" w:type="dxa"/>
          </w:tcPr>
          <w:p w14:paraId="5B4D4747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(eladott hitelkockázati fedezet) – Névleges összeg</w:t>
            </w:r>
          </w:p>
          <w:p w14:paraId="79F96141" w14:textId="45B474E1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{0030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;0070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és a {0040;0070} mező összege.</w:t>
            </w:r>
          </w:p>
        </w:tc>
      </w:tr>
      <w:tr w:rsidR="00410E47" w:rsidRPr="00E75BB8" w14:paraId="3223F811" w14:textId="77777777" w:rsidTr="00776650">
        <w:tc>
          <w:tcPr>
            <w:tcW w:w="1418" w:type="dxa"/>
          </w:tcPr>
          <w:p w14:paraId="13A1CD32" w14:textId="73B22E89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{0020;0075}</w:t>
            </w:r>
          </w:p>
        </w:tc>
        <w:tc>
          <w:tcPr>
            <w:tcW w:w="7620" w:type="dxa"/>
          </w:tcPr>
          <w:p w14:paraId="4149AAF1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(eladott hitelkockázati fedezet) – Csökkentett névleges összeg</w:t>
            </w:r>
          </w:p>
          <w:p w14:paraId="0C4AF19E" w14:textId="54E04166" w:rsidR="00410E47" w:rsidRPr="000B66BC" w:rsidRDefault="003E3C4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Ebben a mezőben a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(eladott hitelkockázati fedezet) {0020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;0070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} mező szerinti névleges összegét kell feltüntetni, csökkentve az eladott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vonatkozásában az alapvető tőkében figyelembe vett negatív valósérték-változásokkal.</w:t>
            </w:r>
          </w:p>
        </w:tc>
      </w:tr>
      <w:tr w:rsidR="00F56B61" w:rsidRPr="00E75BB8" w14:paraId="01AA1F98" w14:textId="77777777" w:rsidTr="00F56B6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4FE0" w14:textId="29A35CD8" w:rsidR="00F56B61" w:rsidRPr="000B66BC" w:rsidRDefault="00F56B6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{0030;0070}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1D07" w14:textId="36F4ADB6" w:rsidR="00F56B61" w:rsidRPr="000B66BC" w:rsidRDefault="00F56B6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Pozíció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zárási rendelkezés hatályába tartozó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(eladott hitelkockázati fedezet) – Névleges összeg</w:t>
            </w:r>
          </w:p>
          <w:p w14:paraId="018BEF1F" w14:textId="22289BB3" w:rsidR="00F56B61" w:rsidRPr="000B66BC" w:rsidRDefault="003E3C4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Ebben a mezőben azon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névleges összegét kell feltüntetni, amelyeknél az intézmény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pozíció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zárási rendelkezés hatályába tartozó hitelkockázati fedezetet ad el ügyleti partnerének.</w:t>
            </w:r>
          </w:p>
          <w:p w14:paraId="5A116C41" w14:textId="488FF38F" w:rsidR="00F56B61" w:rsidRPr="000B66BC" w:rsidRDefault="00F56B6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pozíció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zárási rendelkezés olyan rendelkezés, amely biztosítja a teljesítő félnek az összes, az adott megállapodással kapcsolatos ügylet időben történő felmondásának és lezárásának jogát nemteljesítés esetén, beleértve a partner fizetésképtelenségét vagy felszámolási eljárás alá vonásának esetét is.</w:t>
            </w:r>
          </w:p>
          <w:p w14:paraId="7931AC41" w14:textId="557F8233" w:rsidR="00F56B61" w:rsidRPr="000B66BC" w:rsidRDefault="00F56B6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intézményeknek minden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figyelembe kell venniük, nem csak a kereskedési könyvben szereplőket.</w:t>
            </w:r>
          </w:p>
        </w:tc>
      </w:tr>
      <w:tr w:rsidR="00410E47" w:rsidRPr="00E75BB8" w14:paraId="758B12D8" w14:textId="77777777" w:rsidTr="00F56B61">
        <w:tc>
          <w:tcPr>
            <w:tcW w:w="1418" w:type="dxa"/>
          </w:tcPr>
          <w:p w14:paraId="25EB07E0" w14:textId="122C4861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{0040;0070}</w:t>
            </w:r>
          </w:p>
        </w:tc>
        <w:tc>
          <w:tcPr>
            <w:tcW w:w="7620" w:type="dxa"/>
          </w:tcPr>
          <w:p w14:paraId="6050FB9E" w14:textId="17B2C2C9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Pozíció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zárási rendelkezés hatályába nem tartozó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(eladott hitelkockázati fedezet) – Névleges összeg</w:t>
            </w:r>
          </w:p>
          <w:p w14:paraId="1DD1CCDE" w14:textId="0B30797B" w:rsidR="00410E47" w:rsidRPr="000B66BC" w:rsidRDefault="003E3C4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Ebben a mezőben azon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névleges összegét kell feltüntetni, amelyeknél az intézmény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pozíció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zárási rendelkezés hatályába nem tartozó hitelkockázati fedezetet ad el ügyleti partnerének.</w:t>
            </w:r>
          </w:p>
          <w:p w14:paraId="35F31007" w14:textId="3FE74DD8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pozíció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zárási rendelkezés olyan rendelkezés, amely biztosítja a teljesítő félnek az összes, az adott megállapodással kapcsolatos ügylet időben történő felmondásának és lezárásának jogát nemteljesítés esetén, beleértve a partner fizetésképtelenségét vagy felszámolási eljárás alá vonásának esetét is.</w:t>
            </w:r>
          </w:p>
          <w:p w14:paraId="3D6F6539" w14:textId="27A2337C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intézményeknek minden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figyelembe kell venniük, nem csak a kereskedési könyvben szereplőket.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</w:p>
        </w:tc>
      </w:tr>
      <w:tr w:rsidR="00410E47" w:rsidRPr="00E75BB8" w14:paraId="6FD3F9A1" w14:textId="77777777" w:rsidTr="00F56B61">
        <w:tc>
          <w:tcPr>
            <w:tcW w:w="1418" w:type="dxa"/>
          </w:tcPr>
          <w:p w14:paraId="735EF22F" w14:textId="3084E841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{0050;0010}</w:t>
            </w:r>
          </w:p>
        </w:tc>
        <w:tc>
          <w:tcPr>
            <w:tcW w:w="7620" w:type="dxa"/>
          </w:tcPr>
          <w:p w14:paraId="1C7DEFE2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(vásárolt hitelkockázati fedezet) – Mérleg szerinti érték</w:t>
            </w:r>
          </w:p>
          <w:p w14:paraId="253831D8" w14:textId="2DDCF90C" w:rsidR="00410E47" w:rsidRPr="000B66BC" w:rsidRDefault="006D682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CRR 4. cikke (1) bekezdésének 77. pontja; azon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mérleg szerinti értéke az alkalmazandó számviteli szabályozás értelmében, amelyeknél az intézmény hitelkockázati fedezetet vásárol ügyleti partnerétől, és a szerződést eszközként jeleníti meg a mérlegben</w:t>
            </w:r>
          </w:p>
          <w:p w14:paraId="702252EB" w14:textId="057F95BC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intézményeknek minden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figyelembe kell venniük, nem csak a kereskedési könyvben szereplőket.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</w:p>
        </w:tc>
      </w:tr>
      <w:tr w:rsidR="00410E47" w:rsidRPr="00E75BB8" w14:paraId="7D57309E" w14:textId="77777777" w:rsidTr="00F56B61">
        <w:tc>
          <w:tcPr>
            <w:tcW w:w="1418" w:type="dxa"/>
          </w:tcPr>
          <w:p w14:paraId="321C83DC" w14:textId="405C1057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{0050;0020}</w:t>
            </w:r>
          </w:p>
        </w:tc>
        <w:tc>
          <w:tcPr>
            <w:tcW w:w="7620" w:type="dxa"/>
          </w:tcPr>
          <w:p w14:paraId="0AFB57D5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(vásárolt hitelkockázati fedezet) – Nettósítás és más CRM nélküli könyv szerinti érték</w:t>
            </w:r>
          </w:p>
          <w:p w14:paraId="269D2982" w14:textId="78A45E3B" w:rsidR="00410E47" w:rsidRPr="000B66BC" w:rsidRDefault="006D682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CRR 4. cikke (1) bekezdésének 77. pontja; azon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mérleg szerinti értéke az alkalmazandó számviteli szabályozás értelmében, amelyeknél az intézmény hitelkockázati fedezet vásárol ügyleti partnerétől, és a szerződést eszközként jeleníti meg a mérlegben,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prudenciális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vagy számviteli nettósítás vagy más CRM-hatások nélkül (vagyis a számviteli nettósítás vagy a CRM könyv szerinti értéket befolyásoló hatásait vissza kell írni)</w:t>
            </w:r>
          </w:p>
          <w:p w14:paraId="2E8D49DB" w14:textId="65CE7AD6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intézményeknek minden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figyelembe kell venniük, nem csak a kereskedési könyvben szereplőket.</w:t>
            </w:r>
          </w:p>
        </w:tc>
      </w:tr>
      <w:tr w:rsidR="00410E47" w:rsidRPr="00E75BB8" w14:paraId="66D4DF42" w14:textId="77777777" w:rsidTr="00776650">
        <w:tc>
          <w:tcPr>
            <w:tcW w:w="1418" w:type="dxa"/>
          </w:tcPr>
          <w:p w14:paraId="14F12A57" w14:textId="14E0A38E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{0050;0070}</w:t>
            </w:r>
          </w:p>
          <w:p w14:paraId="02F218B6" w14:textId="77777777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20" w:type="dxa"/>
          </w:tcPr>
          <w:p w14:paraId="1CAAAE13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(vásárolt hitelkockázati fedezet) – Névleges összeg</w:t>
            </w:r>
          </w:p>
          <w:p w14:paraId="1671DB5D" w14:textId="3D6728B4" w:rsidR="00410E47" w:rsidRPr="000B66BC" w:rsidRDefault="003E3C4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Ebben a mezőben azon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névleges összegét kell feltüntetni, amelyeknél az intézmény hitelkockázati fedezetet vásárol ügyleti partnerétől. </w:t>
            </w:r>
          </w:p>
          <w:p w14:paraId="38DBE45F" w14:textId="73E0FE2F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intézményeknek minden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figyelembe kell venniük, nem csak a kereskedési könyvben szereplőket.</w:t>
            </w:r>
          </w:p>
        </w:tc>
      </w:tr>
      <w:tr w:rsidR="00410E47" w:rsidRPr="00E75BB8" w14:paraId="05C9F42E" w14:textId="77777777" w:rsidTr="00776650">
        <w:tc>
          <w:tcPr>
            <w:tcW w:w="1418" w:type="dxa"/>
          </w:tcPr>
          <w:p w14:paraId="0F85E383" w14:textId="5077338D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{0050;0075}</w:t>
            </w:r>
          </w:p>
        </w:tc>
        <w:tc>
          <w:tcPr>
            <w:tcW w:w="7620" w:type="dxa"/>
          </w:tcPr>
          <w:p w14:paraId="1E75C7B9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(vásárolt hitelkockázati fedezet) – Csökkentett névleges összeg</w:t>
            </w:r>
          </w:p>
          <w:p w14:paraId="34A0542C" w14:textId="20F92B99" w:rsidR="00410E47" w:rsidRPr="000B66BC" w:rsidRDefault="003E3C4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Ebben a mezőben a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(vásárolt hitelkockázati fedezet) {0050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;0070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} mező szerinti névleges összegét kell feltüntetni, csökkentve a vásárolt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vonatkozásában az alapvető tőkében figyelembe vett pozitív valósérték-változásokkal.</w:t>
            </w:r>
          </w:p>
        </w:tc>
      </w:tr>
      <w:tr w:rsidR="00410E47" w:rsidRPr="00E75BB8" w14:paraId="3D24D0EB" w14:textId="77777777" w:rsidTr="00776650">
        <w:tc>
          <w:tcPr>
            <w:tcW w:w="1418" w:type="dxa"/>
          </w:tcPr>
          <w:p w14:paraId="2FA9342C" w14:textId="1D5DB6DE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{0050;0085}</w:t>
            </w:r>
          </w:p>
          <w:p w14:paraId="09433CF3" w14:textId="77777777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20" w:type="dxa"/>
          </w:tcPr>
          <w:p w14:paraId="7385FC42" w14:textId="77777777" w:rsidR="00410E47" w:rsidRPr="000B66BC" w:rsidRDefault="00ED741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(vásárolt hitelkockázati fedezet) – Csökkentett névleges összeg (azonos referencianév)</w:t>
            </w:r>
          </w:p>
          <w:p w14:paraId="797BBD79" w14:textId="03DB9559" w:rsidR="00410E47" w:rsidRPr="000B66BC" w:rsidRDefault="003E3C4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Azon vásárolt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névleges összege, amelyek referencianeve azonos az intézmény által eladott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hitelderivatívákéval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5CDE23E" w14:textId="0E012924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e mezőben történő adatszolgáltatás céljából az alaptermékek referencianeve akkor tekinthető azonosnak, ha azonos jogalanyra és a</w:t>
            </w:r>
            <w:r w:rsidR="001F6CD5">
              <w:rPr>
                <w:rFonts w:ascii="Times New Roman" w:hAnsi="Times New Roman"/>
                <w:bCs/>
                <w:sz w:val="24"/>
                <w:szCs w:val="24"/>
              </w:rPr>
              <w:t>zonos szenioritásra vonatkozik.</w:t>
            </w:r>
          </w:p>
          <w:p w14:paraId="2F022BB9" w14:textId="3144A560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 referencia-jogalanyok egy halmaza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poolja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) tekintetében vásárolt hitelkockázati fedezet akkor tekinthető azonosnak, ha gazdasági szempontból egyenértékű a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poolba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tartozó jogalanyokra vonatkozó hitelkockázati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fedezetek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külön-külön történő megvásárlásával.</w:t>
            </w:r>
          </w:p>
          <w:p w14:paraId="0154314D" w14:textId="2FD8883E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Ha egy intézmény referencianevek egy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poolja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tekintetében vásárol hitelkockázati fedezetet, akkor ez a hitelkockázati fedezet csak akkor tekinthető azonosnak, ha hatálya az eladott hitelkockázati fedezet hatályába tartozó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pool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összes alcsoportjára kiterjed. Más szóval: beszámítást csak akkor lehet megjeleníteni, ha a referencia-jogalanyok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poolja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és az alárendeltség szintje mindkét </w:t>
            </w:r>
            <w:r w:rsidR="001F6CD5">
              <w:rPr>
                <w:rFonts w:ascii="Times New Roman" w:hAnsi="Times New Roman"/>
                <w:bCs/>
                <w:sz w:val="24"/>
                <w:szCs w:val="24"/>
              </w:rPr>
              <w:t>ügylet tekintetében megegyezik.</w:t>
            </w:r>
          </w:p>
          <w:p w14:paraId="52D47F4F" w14:textId="120567C7" w:rsidR="00410E47" w:rsidRPr="000B66BC" w:rsidRDefault="00410E47" w:rsidP="00474B43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e mezőben figyelembe vett hitelfedezet névleges összege az egyes referencianevek esetében nem haladhatja meg a {0020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;0075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} és {0050;0075} mezőben feltüntetett összegeket.</w:t>
            </w:r>
          </w:p>
        </w:tc>
      </w:tr>
      <w:tr w:rsidR="00410E47" w:rsidRPr="00E75BB8" w14:paraId="679A8A87" w14:textId="77777777" w:rsidTr="00776650">
        <w:tc>
          <w:tcPr>
            <w:tcW w:w="1418" w:type="dxa"/>
          </w:tcPr>
          <w:p w14:paraId="486F8B55" w14:textId="7C0C1343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{0060;0010}</w:t>
            </w:r>
          </w:p>
        </w:tc>
        <w:tc>
          <w:tcPr>
            <w:tcW w:w="7620" w:type="dxa"/>
          </w:tcPr>
          <w:p w14:paraId="7A410C0D" w14:textId="15D05203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Pénzügyi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derivatívák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Mérleg szerinti érték</w:t>
            </w:r>
          </w:p>
          <w:p w14:paraId="6FA0DDE8" w14:textId="76BC30CE" w:rsidR="00410E47" w:rsidRPr="000B66BC" w:rsidRDefault="006D682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4. cikke (1) bekezdésének 77. pontja</w:t>
            </w:r>
          </w:p>
          <w:p w14:paraId="5A64C9B2" w14:textId="6BFDB4D4" w:rsidR="00410E47" w:rsidRPr="000B66BC" w:rsidRDefault="00E24137" w:rsidP="00474B43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CRR II. mellékletében felsorolt azon szerződések mérleg szerinti értékét kell jelenteniük az alkalmazandó számviteli szabályozás értelmében, amelyeknél a szerződést eszközként jelenítik meg a mérlegben.</w:t>
            </w:r>
          </w:p>
        </w:tc>
      </w:tr>
      <w:tr w:rsidR="00410E47" w:rsidRPr="00E75BB8" w14:paraId="64AB4D96" w14:textId="77777777" w:rsidTr="00776650">
        <w:tc>
          <w:tcPr>
            <w:tcW w:w="1418" w:type="dxa"/>
          </w:tcPr>
          <w:p w14:paraId="2EC14738" w14:textId="4D7985E6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{0060;0020}</w:t>
            </w:r>
          </w:p>
        </w:tc>
        <w:tc>
          <w:tcPr>
            <w:tcW w:w="7620" w:type="dxa"/>
          </w:tcPr>
          <w:p w14:paraId="47D5F195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Pénzügyi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derivatívák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Nettósítás és más CRM nélküli könyv szerinti érték</w:t>
            </w:r>
          </w:p>
          <w:p w14:paraId="00EB79C6" w14:textId="7804F83C" w:rsidR="00410E47" w:rsidRPr="000B66BC" w:rsidRDefault="006D6827" w:rsidP="00474B43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CRR 4. cikke (1) bekezdésének 77. pontja; a CRR II. mellékletében felsorolt azon szerződések mérleg szerinti értéke az alkalmazandó számviteli szabályozás értelmében, amelyeket eszközként jelenítenek meg a mérlegben,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prudenciális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vagy számviteli nettósítás és más CRM-hatások nélkül (vagyis a számviteli nettósítás vagy a CRM könyv szerinti értéket befolyásoló hatásait vissza kell írni).</w:t>
            </w:r>
          </w:p>
        </w:tc>
      </w:tr>
      <w:tr w:rsidR="00410E47" w:rsidRPr="00E75BB8" w14:paraId="24EE0FAD" w14:textId="77777777" w:rsidTr="00776650">
        <w:tc>
          <w:tcPr>
            <w:tcW w:w="1418" w:type="dxa"/>
          </w:tcPr>
          <w:p w14:paraId="1ACC573A" w14:textId="679E5400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{0060;0070}</w:t>
            </w:r>
          </w:p>
        </w:tc>
        <w:tc>
          <w:tcPr>
            <w:tcW w:w="7620" w:type="dxa"/>
          </w:tcPr>
          <w:p w14:paraId="2C3B01F2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Pénzügyi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derivatívák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Névleges összeg</w:t>
            </w:r>
          </w:p>
          <w:p w14:paraId="64E79FE5" w14:textId="6D634E0A" w:rsidR="00410E47" w:rsidRPr="000B66BC" w:rsidRDefault="00410E47" w:rsidP="00474B43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Ebben a mezőben a CRR II. mellékletében felsorolt szerződések névleges összegét kell feltüntetni.</w:t>
            </w:r>
          </w:p>
        </w:tc>
      </w:tr>
      <w:tr w:rsidR="007B7914" w:rsidRPr="00E75BB8" w14:paraId="77E61D46" w14:textId="77777777" w:rsidTr="007B791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4BB" w14:textId="77777777" w:rsidR="007B7914" w:rsidRPr="000B66BC" w:rsidRDefault="007B7914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{0071;0010}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E17E" w14:textId="77777777" w:rsidR="007B7914" w:rsidRPr="000B66BC" w:rsidRDefault="007B79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Értékpapír-finanszírozási ügyletek – Mérleg szerinti érték</w:t>
            </w:r>
          </w:p>
          <w:p w14:paraId="0D6AB751" w14:textId="715CA2F8" w:rsidR="007B7914" w:rsidRPr="000B66BC" w:rsidRDefault="007B79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CRR 4. cikke (1) bekezdésének 77. pontja; az értékpapír-finanszírozási ügyletek számviteli mérleg szerinti értéke az alkalmazandó számviteli szabályozás szerint, amennyiben a szerződéseket a mérlegben eszközként jelenítik meg</w:t>
            </w:r>
          </w:p>
          <w:p w14:paraId="2235756A" w14:textId="4A4EF690" w:rsidR="007B7914" w:rsidRPr="000B66BC" w:rsidRDefault="007B79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intézmények ebben a mezőben nem tüntethetik fel a kapott készpénzt vagy az említett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tranzakciók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során bármely ügyleti partnernek adott biztosítékot, ha az továbbra is szerepel a mérlegben (vagyis akkor, ha a kivezetés számviteli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feltételei nem teljesülnek). Az intézményeknek ezt az adatot a {0090,0010} mezőben kell szerepeltetniük.</w:t>
            </w:r>
          </w:p>
        </w:tc>
      </w:tr>
      <w:tr w:rsidR="007B7914" w:rsidRPr="00E75BB8" w14:paraId="4906EC4F" w14:textId="77777777" w:rsidTr="007B791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085B" w14:textId="77777777" w:rsidR="007B7914" w:rsidRPr="000B66BC" w:rsidRDefault="007B7914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{0071;0020}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63B4" w14:textId="77777777" w:rsidR="007B7914" w:rsidRPr="000B66BC" w:rsidRDefault="007B79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Értékpapír-finanszírozási ügyletek – Nettósítás és más CRM nélküli könyv szerinti érték</w:t>
            </w:r>
          </w:p>
          <w:p w14:paraId="07F0EA6D" w14:textId="41C73358" w:rsidR="00474B43" w:rsidRDefault="007B79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CRR 4. cikke (1) bekezdésének 77. pontja; azon szerződések mérleg szerinti értéke az alkalmazandó számviteli szabályozás értelmében, amelyeket eszközként jelenítenek meg a mérlegben,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prudenciális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vagy számviteli nettósítás és más CRM-hatások nélkül (vagyis a számviteli nettósítás vagy a CRM könyv szerinti értéket befolyá</w:t>
            </w:r>
            <w:r w:rsidR="001F6CD5">
              <w:rPr>
                <w:rFonts w:ascii="Times New Roman" w:hAnsi="Times New Roman"/>
                <w:bCs/>
                <w:sz w:val="24"/>
                <w:szCs w:val="24"/>
              </w:rPr>
              <w:t>soló hatásait vissza kell írni).</w:t>
            </w:r>
          </w:p>
          <w:p w14:paraId="04F4C292" w14:textId="292EA0BD" w:rsidR="007B7914" w:rsidRPr="000B66BC" w:rsidRDefault="00474B4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Ha az SFT-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ket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az alkalmazandó számviteli szabályozás szerint eladásként számolják el, az intézménynek vissza kell írnia az értékesítéssel kapcsolatban nyilvántartott valamennyi könyvelési tételt.</w:t>
            </w:r>
          </w:p>
          <w:p w14:paraId="072F9F82" w14:textId="5255D9A3" w:rsidR="007B7914" w:rsidRPr="000B66BC" w:rsidRDefault="007B79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intézmények ebben a mezőben nem tüntethetik fel a kapott készpénzt vagy az említett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tranzakciók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során bármely ügyleti partnernek adott biztosítékot, ha az továbbra is szerepel a mérlegben (vagyis akkor, ha a kivezetés számviteli feltételei nem teljesülnek). Az intézményeknek ezt az adatot a {0090,0020} mezőben kell szerepeltetniük.</w:t>
            </w:r>
          </w:p>
        </w:tc>
      </w:tr>
      <w:tr w:rsidR="00410E47" w:rsidRPr="00E75BB8" w14:paraId="2BD078C3" w14:textId="77777777" w:rsidTr="00FC2664">
        <w:tc>
          <w:tcPr>
            <w:tcW w:w="1418" w:type="dxa"/>
          </w:tcPr>
          <w:p w14:paraId="793DC72B" w14:textId="19D262D1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{0090;0010}</w:t>
            </w:r>
          </w:p>
        </w:tc>
        <w:tc>
          <w:tcPr>
            <w:tcW w:w="7620" w:type="dxa"/>
          </w:tcPr>
          <w:p w14:paraId="520EA2AC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Egyéb eszközök – Mérleg szerinti érték</w:t>
            </w:r>
          </w:p>
          <w:p w14:paraId="6BEE30BB" w14:textId="22D8D469" w:rsidR="00410E47" w:rsidRPr="000B66BC" w:rsidRDefault="0084728D" w:rsidP="00474B43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CRR 4. cikke (1) bekezdésének 77. pontja; az összes olyan eszköz mérleg szerinti értéke az alkalmazandó számviteli szabályozás értelmében, amely nem tartozik a CRR II. mellékletében felsorolt szerződések, a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és az SFT-k közé.</w:t>
            </w:r>
          </w:p>
        </w:tc>
      </w:tr>
      <w:tr w:rsidR="00410E47" w:rsidRPr="00E75BB8" w14:paraId="2A9CFA05" w14:textId="77777777" w:rsidTr="00FC2664">
        <w:tc>
          <w:tcPr>
            <w:tcW w:w="1418" w:type="dxa"/>
          </w:tcPr>
          <w:p w14:paraId="77B58A02" w14:textId="52063391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{0090;0020}</w:t>
            </w:r>
          </w:p>
        </w:tc>
        <w:tc>
          <w:tcPr>
            <w:tcW w:w="7620" w:type="dxa"/>
          </w:tcPr>
          <w:p w14:paraId="0A7C5F46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Egyéb eszközök – Nettósítás és más CRM nélküli könyv szerinti érték</w:t>
            </w:r>
          </w:p>
          <w:p w14:paraId="398E7EA3" w14:textId="1172C7C7" w:rsidR="00410E47" w:rsidRPr="000B66BC" w:rsidRDefault="00E20CD8" w:rsidP="00474B43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CRR 4. cikke (1) bekezdésének 77. pontja; a CRR II. mellékletében felsorolt szerződések, a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és az SFT-k közé nem tartozó összes eszköz mérleg szerinti értéke az alkalmazandó számviteli szabályozás értelmében, számviteli nettósítás és más CRM-hatások nélkül (vagyis a számviteli nettósítás vagy a CRM könyv szerinti értéket befolyásoló hatásait vissza kell írni)</w:t>
            </w:r>
          </w:p>
        </w:tc>
      </w:tr>
      <w:tr w:rsidR="00D5649D" w:rsidRPr="00E75BB8" w14:paraId="6FD4B7E9" w14:textId="77777777" w:rsidTr="00D5649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263B" w14:textId="77777777" w:rsidR="00D5649D" w:rsidRPr="000B66BC" w:rsidDel="00764219" w:rsidRDefault="00D5649D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{0095;0070}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8604" w14:textId="77777777" w:rsidR="00D5649D" w:rsidRPr="000B66BC" w:rsidRDefault="00D5649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Mérlegen kívüli tételek</w:t>
            </w:r>
          </w:p>
          <w:p w14:paraId="75A062FE" w14:textId="5F4AEDAA" w:rsidR="00D5649D" w:rsidRPr="000B66BC" w:rsidRDefault="00474B4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mérlegen kívüli tételek névértékét kell megadniuk. Ez az érték nem csökkenthető egyedi hitelkockázati kiigazításokkal.</w:t>
            </w:r>
          </w:p>
          <w:p w14:paraId="76247621" w14:textId="632614DC" w:rsidR="00D5649D" w:rsidRPr="000B66BC" w:rsidDel="00764219" w:rsidRDefault="00D5649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CRR 429f. cikkének (1) bekezdése értelmében az intézmények ebben a mezőben nem vehetik figyelembe a CRR II. mellékletében felsorolt szerződéseket, a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hitelderivatívákat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és az SFT-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ket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410E47" w:rsidRPr="00E75BB8" w14:paraId="0FBB579D" w14:textId="77777777" w:rsidTr="00086398">
        <w:tc>
          <w:tcPr>
            <w:tcW w:w="1418" w:type="dxa"/>
          </w:tcPr>
          <w:p w14:paraId="28FDBFBD" w14:textId="613B5E03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{0210;0020}</w:t>
            </w:r>
          </w:p>
        </w:tc>
        <w:tc>
          <w:tcPr>
            <w:tcW w:w="7620" w:type="dxa"/>
          </w:tcPr>
          <w:p w14:paraId="29B185C3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Származtatott ügyletekben kapott készpénzbiztosíték – Nettósítás és más CRM nélküli könyv szerinti érték</w:t>
            </w:r>
          </w:p>
          <w:p w14:paraId="39EDF297" w14:textId="273BC4C8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A származtatott ügyletekben kapott készpénzbiztosíték mérleg szerinti értéke az alkalmazandó számviteli szabályozás értelmében, számviteli nettósítás és más CRM-hatások nélkül (vagyis a számviteli nettósítás vagy a CRM könyv szerinti értéket befolyásoló hatásait vissza kell írni).</w:t>
            </w:r>
          </w:p>
          <w:p w14:paraId="2131D4BF" w14:textId="59EC9867" w:rsidR="00410E47" w:rsidRPr="000B66BC" w:rsidRDefault="00410E47" w:rsidP="00474B43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 mező vonatkozásában a készpénz a készpénz teljes összegét jelenti, beleértve az érméket és bankjegyeket/devizát. A központi bankoknál tartott betétek teljes összege is ideértendő, amennyiben e betétek stresszhelyzetben felvehetők. Az intézmények ebben a mezőben nem tüntethetik fel a más intézményeknél tartott készpénzbetéteket.</w:t>
            </w:r>
          </w:p>
        </w:tc>
      </w:tr>
      <w:tr w:rsidR="00410E47" w:rsidRPr="00E75BB8" w14:paraId="53DF6927" w14:textId="77777777" w:rsidTr="00086398">
        <w:tc>
          <w:tcPr>
            <w:tcW w:w="1418" w:type="dxa"/>
          </w:tcPr>
          <w:p w14:paraId="211CECAA" w14:textId="44AF7167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{0220;0020}</w:t>
            </w:r>
          </w:p>
        </w:tc>
        <w:tc>
          <w:tcPr>
            <w:tcW w:w="7620" w:type="dxa"/>
          </w:tcPr>
          <w:p w14:paraId="6DB00C4C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Származtatott ügyletekben nyújtott készpénzbiztosítékhoz kapcsolódó követelések – Nettósítás és más CRM nélküli könyv szerinti érték</w:t>
            </w:r>
          </w:p>
          <w:p w14:paraId="7D33E862" w14:textId="047F9D4A" w:rsidR="00474B43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származtatott ügyletekben nyújtott készpénzbiztosítékhoz kapcsolódó követelések mérleg szerinti értéke az alkalmazandó számviteli szabályozás értelmében, számviteli nettósítás és CRM-hatások nélkül (vagyis a számviteli nettósítás vagy a CRM könyv szerinti értéket befolyásoló hatásait vissza kell írni). </w:t>
            </w:r>
          </w:p>
          <w:p w14:paraId="7CD00868" w14:textId="0996E74B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Azon intézményeknek, amelyek az alkalmazandó számviteli szabályozás értelmében a nyújtott készpénzbiztosítékhoz kapcsolódó követelést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nettósíthatják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 kapcsolódó származtatott kötelezettséggel szemben (negatív valós érték), és ennek megfelelően is járnak el, a nettósítást vissza kell írniuk és a nettó készpénzkövetelést kell feltüntetniük.</w:t>
            </w:r>
          </w:p>
        </w:tc>
      </w:tr>
      <w:tr w:rsidR="00410E47" w:rsidRPr="00E75BB8" w14:paraId="56CCADD2" w14:textId="77777777" w:rsidTr="00086398">
        <w:tc>
          <w:tcPr>
            <w:tcW w:w="1418" w:type="dxa"/>
          </w:tcPr>
          <w:p w14:paraId="3CD1E23F" w14:textId="2F79B69D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{0230;0020}</w:t>
            </w:r>
          </w:p>
        </w:tc>
        <w:tc>
          <w:tcPr>
            <w:tcW w:w="7620" w:type="dxa"/>
          </w:tcPr>
          <w:p w14:paraId="5AE16600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SFT során kapott, a mérlegben eszközként megjelenített értékpapírok – Nettósítás és más CRM nélküli könyv szerinti érték</w:t>
            </w:r>
          </w:p>
          <w:p w14:paraId="28A4D6AF" w14:textId="5C43B50B" w:rsidR="00410E47" w:rsidRPr="000B66BC" w:rsidRDefault="00410E47" w:rsidP="00474B43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SFT során kapott, a mérlegben az alkalmazandó számviteli szabályozás értelmében eszközként megjelenített értékpapírok mérleg szerinti értéke az alkalmazandó számviteli szabályozás értelmében, számviteli nettósítás és más CRM-hatások nélkül (vagyis a számviteli nettósítás vagy a CRM könyv szerinti értéket befolyásoló hatásait vissza kell írni).</w:t>
            </w:r>
          </w:p>
        </w:tc>
      </w:tr>
      <w:tr w:rsidR="00410E47" w:rsidRPr="00E75BB8" w14:paraId="73AB9A4D" w14:textId="77777777" w:rsidTr="00086398">
        <w:tc>
          <w:tcPr>
            <w:tcW w:w="1418" w:type="dxa"/>
          </w:tcPr>
          <w:p w14:paraId="05353E9D" w14:textId="466C38AA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{0240;0020}</w:t>
            </w:r>
          </w:p>
        </w:tc>
        <w:tc>
          <w:tcPr>
            <w:tcW w:w="7620" w:type="dxa"/>
          </w:tcPr>
          <w:p w14:paraId="66AFC109" w14:textId="77777777" w:rsidR="00410E47" w:rsidRPr="000B66BC" w:rsidRDefault="00410E47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SFT készpénz-közvetítési hitelezési ügylet (készpénzkövetelések) – Nettósítás és más CRM nélküli könyv szerinti érték</w:t>
            </w:r>
          </w:p>
          <w:p w14:paraId="6B9D4FF6" w14:textId="65358007" w:rsidR="00410E47" w:rsidRPr="000B66BC" w:rsidRDefault="00410E47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minősített készpénz-közvetítési hitelezési ügylet (CCLT) során az értékpapír-tulajdonosnak továbbkölcsönzött készpénz utáni készpénzkövetelés mérleg szerinti értéke az alkalmazandó számviteli szabályozás értelmében, számviteli nettósítás és más CRM-hatások nélkül (vagyis a számviteli nettósítás vagy a CRM könyv szerinti értéket befolyásoló hatásait vissza kell írni).</w:t>
            </w:r>
          </w:p>
          <w:p w14:paraId="748B124D" w14:textId="5207C935" w:rsidR="00410E47" w:rsidRPr="000B66BC" w:rsidRDefault="00410E47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 mező vonatkozásában a készpénz a készpénz teljes összegét jelenti, beleértve az érméket és bankjegyeket/devizát. A központi bankoknál tartott betétek teljes összege is ideértendő, amennyiben e betétek stresszhelyzetben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felvehetők. Az intézmények ebben a mezőben nem tüntethetik fel a más intézményeknél tartott készpénzbetéteket.</w:t>
            </w:r>
          </w:p>
          <w:p w14:paraId="334DF029" w14:textId="53853645" w:rsidR="00410E47" w:rsidRPr="000B66BC" w:rsidRDefault="00410E47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CCLT két ügylet kombinációja, amelynek során egy intézmény értékpapírt vesz kölcsön az értékpapír-tulajdonostól, és azt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továbbkölcsönzi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az értékpapírok kölcsönvevőjének. Ezzel egyidejűleg az intézmény az értékpapírok kölcsönvevőjétől készpénzbiztosítékot kap, és a kapott készpénzt kölcsönadja az értékpapír-tulajdonosnak. A minősített CCLT-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nek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 következő feltételeknek kell megfelelnie:</w:t>
            </w:r>
          </w:p>
          <w:p w14:paraId="2544528C" w14:textId="77777777" w:rsidR="00410E47" w:rsidRPr="000B66BC" w:rsidRDefault="00500508" w:rsidP="000B66BC">
            <w:pPr>
              <w:pStyle w:val="Paragraph"/>
              <w:spacing w:after="240"/>
              <w:ind w:left="794" w:hanging="7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a)</w:t>
            </w:r>
            <w: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 két egyedi ügyletet azonos kereskedési napon, vagy nemzetközi ügyletek esetében két egymást követő munkanapon hajtják végre;</w:t>
            </w:r>
          </w:p>
          <w:p w14:paraId="491F9748" w14:textId="77777777" w:rsidR="00410E47" w:rsidRPr="000B66BC" w:rsidRDefault="00500508" w:rsidP="000B66BC">
            <w:pPr>
              <w:pStyle w:val="Paragraph"/>
              <w:spacing w:after="240"/>
              <w:ind w:left="794" w:hanging="7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b)</w:t>
            </w:r>
            <w: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ha a két egyedi ügyletnek nincs lejárata, az intézménynek törvényes joga, hogy a CCLT mindkét oldalát – vagyis mindkét egyedi ügyletet – bármikor, előzetes értesítés nélkül lezárja;</w:t>
            </w:r>
          </w:p>
          <w:p w14:paraId="5BFB7780" w14:textId="77777777" w:rsidR="00410E47" w:rsidRPr="000B66BC" w:rsidRDefault="00500508" w:rsidP="000B66BC">
            <w:pPr>
              <w:pStyle w:val="Paragraph"/>
              <w:spacing w:after="240"/>
              <w:ind w:left="794" w:hanging="7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c)</w:t>
            </w:r>
            <w: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ha a két egyedi ügyletnek van lejárata, a CCLT akkor sem vezet lejárati eltéréshez az intézménynél; az intézménynek törvényes joga, hogy a CCLT mindkét oldalát – vagyis mindkét egyedi ügyletet – bármikor, előzetes értesítés nélkül lezárja;</w:t>
            </w:r>
          </w:p>
          <w:p w14:paraId="62CD2905" w14:textId="1AEDC3DC" w:rsidR="00410E47" w:rsidRPr="000B66BC" w:rsidRDefault="00500508" w:rsidP="000B66BC">
            <w:pPr>
              <w:pStyle w:val="Paragraph"/>
              <w:spacing w:after="240"/>
              <w:ind w:left="794" w:hanging="79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d)</w:t>
            </w:r>
            <w:r>
              <w:tab/>
            </w:r>
            <w:r>
              <w:rPr>
                <w:rFonts w:ascii="Times New Roman" w:hAnsi="Times New Roman"/>
                <w:sz w:val="24"/>
                <w:szCs w:val="24"/>
              </w:rPr>
              <w:t>nem vezet egyéb járulékos kitettségekhez.</w:t>
            </w:r>
          </w:p>
        </w:tc>
      </w:tr>
      <w:tr w:rsidR="00142881" w:rsidRPr="00E75BB8" w14:paraId="12EB77F9" w14:textId="77777777" w:rsidTr="003B3824">
        <w:tc>
          <w:tcPr>
            <w:tcW w:w="1418" w:type="dxa"/>
          </w:tcPr>
          <w:p w14:paraId="2EC98E8B" w14:textId="4055F8C1" w:rsidR="00142881" w:rsidRPr="000B66BC" w:rsidRDefault="0014288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57" w:name="_Toc322687882"/>
            <w:bookmarkEnd w:id="50"/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{0270;0010}</w:t>
            </w:r>
          </w:p>
        </w:tc>
        <w:tc>
          <w:tcPr>
            <w:tcW w:w="7620" w:type="dxa"/>
          </w:tcPr>
          <w:p w14:paraId="056E429E" w14:textId="1C4A54EB" w:rsidR="00142881" w:rsidRPr="000B66BC" w:rsidRDefault="00142881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beruházások – Központi kormányzatokkal szembeni követelések – Mérleg szerinti érték</w:t>
            </w:r>
          </w:p>
          <w:p w14:paraId="62173A01" w14:textId="5BF8955C" w:rsidR="00474B43" w:rsidRDefault="0014288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Amennyiben az intézmény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hitelintézet, azon eszközök mérleg szerinti értéke az alkalmazandó számviteli szabályozás szerint, amelyek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beruházásokkal kapcsolatos követeléseket képeznek a központi korm</w:t>
            </w:r>
            <w:r w:rsidR="001F6CD5">
              <w:rPr>
                <w:rFonts w:ascii="Times New Roman" w:hAnsi="Times New Roman"/>
                <w:bCs/>
                <w:sz w:val="24"/>
                <w:szCs w:val="24"/>
              </w:rPr>
              <w:t>ányzatokkal szemben.</w:t>
            </w:r>
          </w:p>
          <w:p w14:paraId="4B86F17F" w14:textId="318E21E8" w:rsidR="00142881" w:rsidRPr="000B66BC" w:rsidRDefault="007A5EF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Figyelembe kell venni azon intézmények mérleg szerinti értékét is, amelyeket az illetékes hatóság a 429a. cikk (2) bekezdésének utolsó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összhangban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hitelintézetként kezel.</w:t>
            </w:r>
          </w:p>
        </w:tc>
      </w:tr>
      <w:tr w:rsidR="00142881" w:rsidRPr="00E75BB8" w14:paraId="65A561BA" w14:textId="77777777" w:rsidTr="003B3824">
        <w:tc>
          <w:tcPr>
            <w:tcW w:w="1418" w:type="dxa"/>
          </w:tcPr>
          <w:p w14:paraId="6E6645F9" w14:textId="7051B924" w:rsidR="00142881" w:rsidRPr="000B66BC" w:rsidRDefault="0014288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{0280;0010}</w:t>
            </w:r>
          </w:p>
        </w:tc>
        <w:tc>
          <w:tcPr>
            <w:tcW w:w="7620" w:type="dxa"/>
          </w:tcPr>
          <w:p w14:paraId="64975C56" w14:textId="4DD757EC" w:rsidR="00142881" w:rsidRPr="000B66BC" w:rsidRDefault="00142881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beruházások – Regionális kormányzatokkal szembeni követelések – Mérleg szerinti érték</w:t>
            </w:r>
          </w:p>
          <w:p w14:paraId="13E2AB70" w14:textId="664A07AF" w:rsidR="006E4F4E" w:rsidRDefault="00142881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Amennyiben az intézmény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hitelintézet, azon eszközök mérleg szerinti értéke az alkalmazandó számviteli szabályozás szerint, amelyek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beruházásokkal kapcsolatos követeléseket képeznek a regi</w:t>
            </w:r>
            <w:r w:rsidR="001F6CD5">
              <w:rPr>
                <w:rFonts w:ascii="Times New Roman" w:hAnsi="Times New Roman"/>
                <w:bCs/>
                <w:sz w:val="24"/>
                <w:szCs w:val="24"/>
              </w:rPr>
              <w:t>onális kormányzatokkal szemben.</w:t>
            </w:r>
          </w:p>
          <w:p w14:paraId="440096C8" w14:textId="4D2E5EED" w:rsidR="00142881" w:rsidRPr="000B66BC" w:rsidRDefault="007A5EF2" w:rsidP="006E4F4E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Figyelembe kell venni azon intézmények mérleg szerinti értékét is, amelyeket az illetékes hatóság a 429a. cikk (2) bekezdésének utolsó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összhangban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hitelintézetként kezel.</w:t>
            </w:r>
          </w:p>
        </w:tc>
      </w:tr>
      <w:tr w:rsidR="00142881" w:rsidRPr="00E75BB8" w14:paraId="178B01CC" w14:textId="77777777" w:rsidTr="003B3824">
        <w:tc>
          <w:tcPr>
            <w:tcW w:w="1418" w:type="dxa"/>
          </w:tcPr>
          <w:p w14:paraId="14A30C11" w14:textId="09FC39C8" w:rsidR="00142881" w:rsidRPr="000B66BC" w:rsidRDefault="0014288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{0290;0010}</w:t>
            </w:r>
          </w:p>
        </w:tc>
        <w:tc>
          <w:tcPr>
            <w:tcW w:w="7620" w:type="dxa"/>
          </w:tcPr>
          <w:p w14:paraId="4E12A671" w14:textId="20EE5DA6" w:rsidR="00142881" w:rsidRPr="000B66BC" w:rsidRDefault="00142881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beruházások – Helyi hatóságokkal szembeni követelések – Mérleg szerinti érték</w:t>
            </w:r>
          </w:p>
          <w:p w14:paraId="1993F59B" w14:textId="77777777" w:rsidR="006E4F4E" w:rsidRDefault="00142881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Amennyiben az intézmény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hitelintézet, azon eszközök mérleg szerinti értéke az alkalmazandó számviteli szabályozás szerint, amelyek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beruházásokkal kapcsolatos követeléseket képeznek a helyi hatóságokkal szemben.</w:t>
            </w:r>
          </w:p>
          <w:p w14:paraId="3AEC5523" w14:textId="32E213BF" w:rsidR="00142881" w:rsidRPr="000B66BC" w:rsidRDefault="007A5EF2" w:rsidP="006E4F4E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Figyelembe kell venni azon intézmények mérleg szerinti értékét is, amelyeket az illetékes hatóság a 429a. cikk (2) bekezdésének utolsó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összhangban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hitelintézetként kezel.</w:t>
            </w:r>
          </w:p>
        </w:tc>
      </w:tr>
      <w:tr w:rsidR="00142881" w:rsidRPr="00E75BB8" w14:paraId="6B4A4FFD" w14:textId="77777777" w:rsidTr="003B3824">
        <w:tc>
          <w:tcPr>
            <w:tcW w:w="1418" w:type="dxa"/>
          </w:tcPr>
          <w:p w14:paraId="4AD0C008" w14:textId="06F13C4A" w:rsidR="00142881" w:rsidRPr="000B66BC" w:rsidRDefault="0014288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{0300;0010}</w:t>
            </w:r>
          </w:p>
        </w:tc>
        <w:tc>
          <w:tcPr>
            <w:tcW w:w="7620" w:type="dxa"/>
          </w:tcPr>
          <w:p w14:paraId="00BE052E" w14:textId="3ADFA117" w:rsidR="00142881" w:rsidRPr="000B66BC" w:rsidRDefault="00142881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beruházások –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szervezetekkel szembeni követelések – Mérleg szerinti érték</w:t>
            </w:r>
          </w:p>
          <w:p w14:paraId="4C818D07" w14:textId="23446733" w:rsidR="006E4F4E" w:rsidRDefault="00142881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Amennyiben az intézmény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hitelintézet, azon eszközök mérleg szerinti értéke az alkalmazandó számviteli szabályozás szerint, amelyek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beruházásokkal kapcsolatos követeléseket képeznek a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szervezetekkel szemben.</w:t>
            </w:r>
          </w:p>
          <w:p w14:paraId="7115C598" w14:textId="32973285" w:rsidR="00142881" w:rsidRPr="000B66BC" w:rsidRDefault="007A5EF2" w:rsidP="006E4F4E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Figyelembe kell venni azon intézményi egységek mérleg szerinti értékét is, amelyeket az illetékes hatóság a 429a. cikk (2) bekezdésének utolsó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összhangban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hitelintézetként kezel.</w:t>
            </w:r>
          </w:p>
        </w:tc>
      </w:tr>
      <w:tr w:rsidR="00D126C3" w:rsidRPr="00E75BB8" w14:paraId="5655180E" w14:textId="77777777" w:rsidTr="00D126C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E0CF" w14:textId="68555762" w:rsidR="00D126C3" w:rsidRPr="000B66BC" w:rsidRDefault="00D126C3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{0310;0010}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0077" w14:textId="4AFA1485" w:rsidR="00D126C3" w:rsidRPr="000B66BC" w:rsidRDefault="00D126C3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Kedvezményes kölcsönök – Központi kormányzatokkal szembeni követelések – Mérleg szerinti érték</w:t>
            </w:r>
          </w:p>
          <w:p w14:paraId="23369FCD" w14:textId="74E86023" w:rsidR="006E4F4E" w:rsidRDefault="00D126C3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Amennyiben az intézmény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hitelintézet, azon eszközök mérleg szerinti értéke az alkalmazandó számviteli szabályozás szerint, amelyek kedvezményes kölcsönökkel kapcsolatos követeléseket képeznek a központi kormányzatokkal szemben. </w:t>
            </w:r>
          </w:p>
          <w:p w14:paraId="57D9B72D" w14:textId="5104929D" w:rsidR="00D126C3" w:rsidRPr="000B66BC" w:rsidRDefault="00D126C3" w:rsidP="006E4F4E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Figyelembe kell venni azon intézményi egységek mérleg szerinti értékét is, amelyeket az illetékes hatóság a 429a. cikk (2) bekezdésének utolsó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összhangban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hitelintézetként kezel.</w:t>
            </w:r>
          </w:p>
        </w:tc>
      </w:tr>
      <w:tr w:rsidR="001E5A9A" w:rsidRPr="00E75BB8" w14:paraId="31EDB1F9" w14:textId="77777777" w:rsidTr="00E631B4">
        <w:tc>
          <w:tcPr>
            <w:tcW w:w="1418" w:type="dxa"/>
          </w:tcPr>
          <w:p w14:paraId="1988C1B5" w14:textId="4DEDEE5A" w:rsidR="001E5A9A" w:rsidRPr="000B66BC" w:rsidRDefault="001E5A9A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{0310;0070}</w:t>
            </w:r>
          </w:p>
        </w:tc>
        <w:tc>
          <w:tcPr>
            <w:tcW w:w="7620" w:type="dxa"/>
          </w:tcPr>
          <w:p w14:paraId="63C478B7" w14:textId="76F217EB" w:rsidR="001E5A9A" w:rsidRPr="000B66BC" w:rsidRDefault="001E5A9A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Kedvezményes kölcsönök – Központi kormányzatokkal szembeni követelések – Névleges összeg / névérték</w:t>
            </w:r>
          </w:p>
          <w:p w14:paraId="7A0E36C1" w14:textId="77777777" w:rsidR="006E4F4E" w:rsidRDefault="001E5A9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Amennyiben az intézmény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hitelintézet, a központi kormányzatoknak nyújtott kedvezményes kölcsönök le nem hívott részével kapcsolatos mérlegen kívüli tételek névértéke.</w:t>
            </w:r>
          </w:p>
          <w:p w14:paraId="60CCF55C" w14:textId="65935CC3" w:rsidR="001E5A9A" w:rsidRPr="000B66BC" w:rsidRDefault="001E5A9A" w:rsidP="006E4F4E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Figyelembe kell venni a névértékeket az intézmény azon egységeinek esetében is, amelyet az illetékes hatóság a 429a. cikk (2) bekezdésének utolsó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összhangban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hitelintézetként kezel.</w:t>
            </w:r>
          </w:p>
        </w:tc>
      </w:tr>
      <w:tr w:rsidR="00D126C3" w:rsidRPr="00E75BB8" w14:paraId="4CD3F0D4" w14:textId="77777777" w:rsidTr="00D126C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7859" w14:textId="476A44FC" w:rsidR="00D126C3" w:rsidRPr="000B66BC" w:rsidRDefault="00D126C3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{0320;0010}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1E03" w14:textId="67E09130" w:rsidR="00D126C3" w:rsidRPr="000B66BC" w:rsidRDefault="003B79B4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Kedvezményes kölcsönök – Regionális kormányzatokkal szembeni követelések – Mérleg szerinti érték</w:t>
            </w:r>
          </w:p>
          <w:p w14:paraId="23DFAEA6" w14:textId="77777777" w:rsidR="006E4F4E" w:rsidRDefault="00D126C3" w:rsidP="006E4F4E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Amennyiben az intézmény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hitelintézet, azon eszközök mérleg szerinti értéke az alkalmazandó számviteli szabályozás szerint, amelyek kedvezményes kölcsönökkel kapcsolatos követeléseket képeznek a regionális kormányzatokkal szemben.</w:t>
            </w:r>
          </w:p>
          <w:p w14:paraId="5822DF0E" w14:textId="16DA8EF0" w:rsidR="00D126C3" w:rsidRPr="000B66BC" w:rsidRDefault="00D126C3" w:rsidP="006918E9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Figyelembe kell venni azon intézményi egységek mérleg szerinti értékét is, amelyeket az illetékes hatóság a 429a. cikk (2) bekezdésének utolsó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összhangban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hitelintézetként kezel.</w:t>
            </w:r>
          </w:p>
        </w:tc>
      </w:tr>
      <w:tr w:rsidR="001943A2" w:rsidRPr="00E75BB8" w14:paraId="44874BFB" w14:textId="77777777" w:rsidTr="00E631B4">
        <w:tc>
          <w:tcPr>
            <w:tcW w:w="1418" w:type="dxa"/>
          </w:tcPr>
          <w:p w14:paraId="79CADF8F" w14:textId="0B21C100" w:rsidR="001943A2" w:rsidRPr="000B66BC" w:rsidRDefault="001943A2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{0320;0070}</w:t>
            </w:r>
          </w:p>
        </w:tc>
        <w:tc>
          <w:tcPr>
            <w:tcW w:w="7620" w:type="dxa"/>
          </w:tcPr>
          <w:p w14:paraId="5C83E384" w14:textId="76BED22D" w:rsidR="001943A2" w:rsidRPr="000B66BC" w:rsidRDefault="001943A2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Kedvezményes kölcsönök – Regionális kormányzatokkal szembeni követelések – Névleges összeg / névérték</w:t>
            </w:r>
          </w:p>
          <w:p w14:paraId="645C841D" w14:textId="1E4EDCB5" w:rsidR="006918E9" w:rsidRDefault="001943A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Amennyiben az intézmény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hitelintézet, a regionális kormányzatoknak nyújtott kedvezményes kölcsönök le nem hívott részével kapcsolatos mérlegen kívüli tételek névértéke.</w:t>
            </w:r>
          </w:p>
          <w:p w14:paraId="2D66318A" w14:textId="19721B69" w:rsidR="000A486B" w:rsidRPr="000B66BC" w:rsidRDefault="001943A2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Figyelembe kell venni a névértékeket az intézmény azon egységeinek esetében is, amelyet az illetékes hatóság a 429a. cikk (2) bekezdésének utolsó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összhangban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hitelintézetként kezel.</w:t>
            </w:r>
          </w:p>
        </w:tc>
      </w:tr>
      <w:tr w:rsidR="00D126C3" w:rsidRPr="00E75BB8" w14:paraId="31B79207" w14:textId="77777777" w:rsidTr="00D126C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B5A7" w14:textId="6C4B4A9D" w:rsidR="00D126C3" w:rsidRPr="000B66BC" w:rsidRDefault="00D126C3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{0330;0010}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D422" w14:textId="267967C6" w:rsidR="00D126C3" w:rsidRPr="000B66BC" w:rsidRDefault="00D126C3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Kedvezményes kölcsönök – Helyi hatóságokkal szembeni követelések – Mérleg szerinti érték</w:t>
            </w:r>
          </w:p>
          <w:p w14:paraId="04327041" w14:textId="6CF71B42" w:rsidR="006918E9" w:rsidRDefault="00D126C3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Amennyiben az intézmény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hitelintézet, azon eszközök mérleg szerinti értéke az alkalmazandó számviteli szabályozás szerint, amelyek kedvezményes kölcsönökkel kapcsolatos követeléseket képeznek a helyi hatóságokkal szemben.</w:t>
            </w:r>
          </w:p>
          <w:p w14:paraId="3B5B1EC0" w14:textId="304F0DBC" w:rsidR="00D126C3" w:rsidRPr="000B66BC" w:rsidRDefault="00D126C3" w:rsidP="006918E9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Figyelembe kell venni azon intézményi egységek mérleg szerinti értékét is, amelyeket az illetékes hatóság a 429a. cikk (2) bekezdésének utolsó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összhangban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hitelintézetként kezel.</w:t>
            </w:r>
          </w:p>
        </w:tc>
      </w:tr>
      <w:tr w:rsidR="001943A2" w:rsidRPr="00E75BB8" w14:paraId="0ABE486A" w14:textId="77777777" w:rsidTr="00E631B4">
        <w:tc>
          <w:tcPr>
            <w:tcW w:w="1418" w:type="dxa"/>
          </w:tcPr>
          <w:p w14:paraId="6A69EE0F" w14:textId="4A68D204" w:rsidR="001943A2" w:rsidRPr="000B66BC" w:rsidRDefault="001943A2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{0330;0070}</w:t>
            </w:r>
          </w:p>
        </w:tc>
        <w:tc>
          <w:tcPr>
            <w:tcW w:w="7620" w:type="dxa"/>
          </w:tcPr>
          <w:p w14:paraId="0211D136" w14:textId="747BD7FE" w:rsidR="001943A2" w:rsidRPr="000B66BC" w:rsidRDefault="001943A2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Kedvezményes kölcsönök – Helyi hatóságokkal szembeni követelések – Névleges összeg / névérték</w:t>
            </w:r>
          </w:p>
          <w:p w14:paraId="38BCF0DC" w14:textId="6D975688" w:rsidR="006918E9" w:rsidRDefault="001943A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Amennyiben az intézmény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hitelintézet, a helyi hatóságoknak nyújtott kedvezményes kölcsönök le nem hívott részével kapcsolatos mérlegen kívüli tételek névértéke.</w:t>
            </w:r>
          </w:p>
          <w:p w14:paraId="4054A803" w14:textId="7D1F66F0" w:rsidR="001943A2" w:rsidRPr="000B66BC" w:rsidRDefault="001943A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Figyelembe kell venni a névértékeket az intézmény azon egységeinek esetében is, amelyet az illetékes hatóság a 429a. cikk (2) bekezdésének utolsó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összhangban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hitelintézetként kezel.</w:t>
            </w:r>
          </w:p>
        </w:tc>
      </w:tr>
      <w:tr w:rsidR="00D126C3" w:rsidRPr="00E75BB8" w14:paraId="7024E473" w14:textId="77777777" w:rsidTr="00D126C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BC43" w14:textId="4FD45966" w:rsidR="00D126C3" w:rsidRPr="000B66BC" w:rsidRDefault="00D126C3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{0340;0010}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403F" w14:textId="5A0EBB01" w:rsidR="00D126C3" w:rsidRPr="000B66BC" w:rsidRDefault="00D126C3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Kedvezményes kölcsönök –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szervezetekkel szembeni követelések – Mérleg szerinti érték</w:t>
            </w:r>
          </w:p>
          <w:p w14:paraId="01C18437" w14:textId="77777777" w:rsidR="006918E9" w:rsidRDefault="00D126C3" w:rsidP="006918E9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Amennyiben az intézmény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hitelintézet, azon eszközök mérleg szerinti értéke az alkalmazandó számviteli szabályozás szerint, amelyek kedvezményes kölcsönökkel kapcsolatos követeléseket képeznek a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szervezetekkel szemben.</w:t>
            </w:r>
          </w:p>
          <w:p w14:paraId="271873F2" w14:textId="69D63A33" w:rsidR="00D126C3" w:rsidRPr="000B66BC" w:rsidRDefault="00D126C3" w:rsidP="006918E9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Figyelembe kell venni azon intézményi egységek mérleg szerinti értékét is, amelyeket az illetékes hatóság a 429a. cikk (2) bekezdésének utolsó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összhangban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hitelintézetként kezel.</w:t>
            </w:r>
          </w:p>
        </w:tc>
      </w:tr>
      <w:tr w:rsidR="001943A2" w:rsidRPr="00E75BB8" w14:paraId="5E7DDD36" w14:textId="77777777" w:rsidTr="00E631B4">
        <w:tc>
          <w:tcPr>
            <w:tcW w:w="1418" w:type="dxa"/>
          </w:tcPr>
          <w:p w14:paraId="525D124D" w14:textId="765B9FDB" w:rsidR="001943A2" w:rsidRPr="000B66BC" w:rsidRDefault="001943A2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{0340;0070}</w:t>
            </w:r>
          </w:p>
        </w:tc>
        <w:tc>
          <w:tcPr>
            <w:tcW w:w="7620" w:type="dxa"/>
          </w:tcPr>
          <w:p w14:paraId="6383FA4C" w14:textId="78CEFFA7" w:rsidR="001943A2" w:rsidRPr="000B66BC" w:rsidRDefault="001943A2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Kedvezményes kölcsönök –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szervezetekkel szembeni követelések – Névleges összeg / névérték</w:t>
            </w:r>
          </w:p>
          <w:p w14:paraId="5C047141" w14:textId="77777777" w:rsidR="006918E9" w:rsidRDefault="001943A2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Amennyiben az intézmény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hitelintézet, a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szervezeteknek nyújtott kedvezményes kölcsönök le nem hívott részével kapcsolatos mérlegen kívüli tételek névértéke.</w:t>
            </w:r>
          </w:p>
          <w:p w14:paraId="28AF0C76" w14:textId="43B760BA" w:rsidR="001943A2" w:rsidRPr="000B66BC" w:rsidRDefault="001943A2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Figyelembe kell venni a névértékeket az intézmény azon egységeinek esetében is, amelyet az illetékes hatóság a 429a. cikk (2) bekezdésének utolsó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összhangban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hitelintézetként kezel.</w:t>
            </w:r>
          </w:p>
        </w:tc>
      </w:tr>
      <w:tr w:rsidR="00462408" w:rsidRPr="00E75BB8" w14:paraId="29DF5E7A" w14:textId="77777777" w:rsidTr="00E631B4">
        <w:tc>
          <w:tcPr>
            <w:tcW w:w="1418" w:type="dxa"/>
          </w:tcPr>
          <w:p w14:paraId="1D9C525C" w14:textId="680B64DF" w:rsidR="00462408" w:rsidRPr="000B66BC" w:rsidRDefault="0046240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{0350;0010}</w:t>
            </w:r>
          </w:p>
        </w:tc>
        <w:tc>
          <w:tcPr>
            <w:tcW w:w="7620" w:type="dxa"/>
          </w:tcPr>
          <w:p w14:paraId="3CAFC6DC" w14:textId="096127A3" w:rsidR="00462408" w:rsidRPr="000B66BC" w:rsidRDefault="00462408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Kedvezményes kölcsönök – Nem pénzügyi vállalatokkal szembeni követelések – Mérleg szerinti érték</w:t>
            </w:r>
          </w:p>
          <w:p w14:paraId="38EC1D3F" w14:textId="77777777" w:rsidR="006918E9" w:rsidRDefault="00462408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Amennyiben az intézmény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hitelintézet, azon eszközök mérleg szerinti értéke az alkalmazandó számviteli szabályozás szerint, amelyek kedvezményes kölcsönökkel kapcsolatos követeléseket képeznek a nem pénzügyi vállalatokkal szemben.</w:t>
            </w:r>
          </w:p>
          <w:p w14:paraId="6BF179ED" w14:textId="2C4CB2A0" w:rsidR="00462408" w:rsidRPr="000B66BC" w:rsidRDefault="00462408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Figyelembe kell venni azon intézményi egységek mérleg szerinti értékét is, amelyeket az illetékes hatóság a 429a. cikk (2) bekezdésének utolsó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összhangban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hitelintézetként kezel.</w:t>
            </w:r>
          </w:p>
        </w:tc>
      </w:tr>
      <w:tr w:rsidR="00A7136D" w:rsidRPr="00E75BB8" w14:paraId="12870EEF" w14:textId="77777777" w:rsidTr="00E631B4">
        <w:tc>
          <w:tcPr>
            <w:tcW w:w="1418" w:type="dxa"/>
          </w:tcPr>
          <w:p w14:paraId="79383F04" w14:textId="29554F65" w:rsidR="00A7136D" w:rsidRPr="000B66BC" w:rsidRDefault="00A7136D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{0350;0070}</w:t>
            </w:r>
          </w:p>
        </w:tc>
        <w:tc>
          <w:tcPr>
            <w:tcW w:w="7620" w:type="dxa"/>
          </w:tcPr>
          <w:p w14:paraId="26540368" w14:textId="2C1D23F7" w:rsidR="00A7136D" w:rsidRPr="000B66BC" w:rsidRDefault="00A7136D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Kedvezményes kölcsönök – Nem pénzügyi vállalatokkal szembeni követelések – Névleges összeg / névérték</w:t>
            </w:r>
          </w:p>
          <w:p w14:paraId="054BF407" w14:textId="212AEBBD" w:rsidR="00A7136D" w:rsidRPr="000B66BC" w:rsidRDefault="00A7136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Amennyiben az intézmény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hitelintézet, a nem pénzügyi vállalatoknak nyújtott kedvezményes kölcsönök le nem hívott részével kapcsolatos mérlegen kívüli tételek névértéke.</w:t>
            </w:r>
          </w:p>
          <w:p w14:paraId="41A92F44" w14:textId="7D39B959" w:rsidR="00A7136D" w:rsidRPr="000B66BC" w:rsidRDefault="00A7136D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Figyelembe kell venni a névértékeket az intézmény azon egységeinek esetében is, amelyet az illetékes hatóság a 429a. cikk (2) bekezdésének utolsó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összhangban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hitelintézetként kezel.</w:t>
            </w:r>
          </w:p>
        </w:tc>
      </w:tr>
      <w:tr w:rsidR="00462408" w:rsidRPr="00E75BB8" w14:paraId="1F6E7CB4" w14:textId="77777777" w:rsidTr="00E631B4">
        <w:tc>
          <w:tcPr>
            <w:tcW w:w="1418" w:type="dxa"/>
          </w:tcPr>
          <w:p w14:paraId="6254A862" w14:textId="004992BC" w:rsidR="00462408" w:rsidRPr="000B66BC" w:rsidRDefault="0046240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{0360;0010}</w:t>
            </w:r>
          </w:p>
        </w:tc>
        <w:tc>
          <w:tcPr>
            <w:tcW w:w="7620" w:type="dxa"/>
          </w:tcPr>
          <w:p w14:paraId="1C554FC7" w14:textId="1F3CBF52" w:rsidR="00462408" w:rsidRPr="000B66BC" w:rsidRDefault="00462408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Kedvezményes kölcsönök – Háztartásokkal szembeni követelések – Mérleg szerinti érték</w:t>
            </w:r>
          </w:p>
          <w:p w14:paraId="55D67008" w14:textId="77777777" w:rsidR="006918E9" w:rsidRDefault="00462408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Amennyiben az intézmény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hitelintézet, azon eszközök mérleg szerinti értéke az alkalmazandó számviteli szabályozás szerint, amelyek kedvezményes kölcsönökkel kapcsolatos követeléseket képeznek a háztartásokkal szemben.</w:t>
            </w:r>
          </w:p>
          <w:p w14:paraId="77B96BEE" w14:textId="794E8F25" w:rsidR="00462408" w:rsidRPr="000B66BC" w:rsidRDefault="00462408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Figyelembe kell venni azon intézményi egységek mérleg szerinti értékét is, amelyeket az illetékes hatóság a 429a. cikk (2) bekezdésének utolsó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összhangban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hitelintézetként kezel.</w:t>
            </w:r>
          </w:p>
        </w:tc>
      </w:tr>
      <w:tr w:rsidR="00D126C3" w:rsidRPr="00E75BB8" w14:paraId="18F55D0D" w14:textId="77777777" w:rsidTr="00E631B4">
        <w:tc>
          <w:tcPr>
            <w:tcW w:w="1418" w:type="dxa"/>
          </w:tcPr>
          <w:p w14:paraId="6CB2C6F3" w14:textId="0D17F3B9" w:rsidR="00D126C3" w:rsidRPr="000B66BC" w:rsidRDefault="00D126C3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{0360;0070}</w:t>
            </w:r>
          </w:p>
        </w:tc>
        <w:tc>
          <w:tcPr>
            <w:tcW w:w="7620" w:type="dxa"/>
          </w:tcPr>
          <w:p w14:paraId="5FFB5CC5" w14:textId="0AFA9088" w:rsidR="00D126C3" w:rsidRPr="000B66BC" w:rsidRDefault="00D126C3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Kedvezményes kölcsönök – Háztartásokkal szembeni követelések – Névleges összeg / névérték</w:t>
            </w:r>
          </w:p>
          <w:p w14:paraId="5C098B17" w14:textId="561EFEA4" w:rsidR="00D126C3" w:rsidRPr="000B66BC" w:rsidRDefault="00D126C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Amennyiben az intézmény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hitelintézet, a háztartásoknak nyújtott kedvezményes kölcsönök le nem hívott részével kapcsolatos mérlegen kívüli tételek névértéke.</w:t>
            </w:r>
          </w:p>
          <w:p w14:paraId="635041B3" w14:textId="7B16BC5F" w:rsidR="00D126C3" w:rsidRPr="000B66BC" w:rsidRDefault="00D126C3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Figyelembe kell venni a névértékeket az intézmény azon egységeinek esetében is, amelyet az illetékes hatóság a 429a. cikk (2) bekezdésének utolsó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összhangban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hitelintézetként kezel.</w:t>
            </w:r>
          </w:p>
        </w:tc>
      </w:tr>
      <w:tr w:rsidR="00462408" w:rsidRPr="00E75BB8" w14:paraId="44E1C677" w14:textId="77777777" w:rsidTr="00E631B4">
        <w:tc>
          <w:tcPr>
            <w:tcW w:w="1418" w:type="dxa"/>
          </w:tcPr>
          <w:p w14:paraId="17FF7A37" w14:textId="4D384D9C" w:rsidR="00462408" w:rsidRPr="000B66BC" w:rsidRDefault="0046240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{0370;0010}</w:t>
            </w:r>
          </w:p>
        </w:tc>
        <w:tc>
          <w:tcPr>
            <w:tcW w:w="7620" w:type="dxa"/>
          </w:tcPr>
          <w:p w14:paraId="3F005630" w14:textId="77777777" w:rsidR="00462408" w:rsidRPr="000B66BC" w:rsidRDefault="00462408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Kedvezményes kölcsönök –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Továbbközvetítés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Mérleg szerinti érték</w:t>
            </w:r>
          </w:p>
          <w:p w14:paraId="77AE875C" w14:textId="77777777" w:rsidR="006918E9" w:rsidRDefault="00462408" w:rsidP="006918E9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Amennyiben az intézmény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fejlesztési hitelintézet,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továbbközvetített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kedvezményes kölcsönök mérleg szerinti értéke az alkalmazandó számviteli szabályozás szerint, ha a kedvezményes kölcsönöket nem maga az intézmény nyújtotta.</w:t>
            </w:r>
          </w:p>
          <w:p w14:paraId="13D74794" w14:textId="2A0E0A51" w:rsidR="00462408" w:rsidRPr="000B66BC" w:rsidRDefault="00462408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Figyelembe kell venni azon intézményi egységek mérleg szerinti értékét is, amelyeket az illetékes hatóság a 429a. cikk (2) bekezdésének utolsó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összhangban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hitelintézetként kezel.</w:t>
            </w:r>
          </w:p>
        </w:tc>
      </w:tr>
      <w:tr w:rsidR="004A107B" w:rsidRPr="00E75BB8" w14:paraId="09331359" w14:textId="77777777" w:rsidTr="00E631B4">
        <w:tc>
          <w:tcPr>
            <w:tcW w:w="1418" w:type="dxa"/>
          </w:tcPr>
          <w:p w14:paraId="073777C0" w14:textId="772CDEDA" w:rsidR="004A107B" w:rsidRPr="000B66BC" w:rsidRDefault="004A107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{0370;0070}</w:t>
            </w:r>
          </w:p>
        </w:tc>
        <w:tc>
          <w:tcPr>
            <w:tcW w:w="7620" w:type="dxa"/>
          </w:tcPr>
          <w:p w14:paraId="0CA54233" w14:textId="2370225D" w:rsidR="004A107B" w:rsidRPr="000B66BC" w:rsidRDefault="004A107B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Kedvezményes kölcsönök –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Továbbközvetítés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Névleges összeg / névérték</w:t>
            </w:r>
          </w:p>
          <w:p w14:paraId="67DCF513" w14:textId="77777777" w:rsidR="006918E9" w:rsidRDefault="004A107B" w:rsidP="006918E9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Amennyiben az intézmény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fejlesztési hitelintézet,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továbbközvetített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kedvezményes kölcsönök le nem hívott részével kapcsolatos mérlegen kívüli tételek névértéke, ha a kedvezményes kölcsönöket nem maga az intézmény nyújtotta.</w:t>
            </w:r>
          </w:p>
          <w:p w14:paraId="75F9BF76" w14:textId="0F97AE35" w:rsidR="004A107B" w:rsidRPr="000B66BC" w:rsidRDefault="0033642B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Figyelembe kell venni a névértékeket az intézmény azon egységeinek esetében is, amelyet az illetékes hatóság a 429a. cikk (2) bekezdésének utolsó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albekezdésével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összhangban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hitelintézetként kezel.</w:t>
            </w:r>
          </w:p>
        </w:tc>
      </w:tr>
      <w:tr w:rsidR="00703CC2" w:rsidRPr="00E75BB8" w14:paraId="5432666E" w14:textId="77777777" w:rsidTr="000C01E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FB29" w14:textId="23478B5E" w:rsidR="00703CC2" w:rsidRPr="000B66BC" w:rsidRDefault="007F383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{0380;0010}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A2BC" w14:textId="0B7E2413" w:rsidR="00703CC2" w:rsidRPr="000B66BC" w:rsidRDefault="00703CC2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Központi bankkal szembeni kitettségek – Mérleg szerinti érték</w:t>
            </w:r>
          </w:p>
          <w:p w14:paraId="68FD6F4B" w14:textId="013AB044" w:rsidR="007F3838" w:rsidRPr="000B66BC" w:rsidRDefault="007F3838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alkalmazandó számviteli szabályozással összhangban a következő, az intézmény központi bankjával szembeni kitettségek értékét kell megadniuk: i. érmék és bankjegyek a központi bank joghatóságának törvényes pénznemében; ii. a központi bankkal szembeni követeléseket megtestesítő eszközök, beleértve a központi banknál tartott tartalékokat.</w:t>
            </w:r>
          </w:p>
          <w:p w14:paraId="6DEE1984" w14:textId="4388DF7E" w:rsidR="009F67E9" w:rsidRPr="000B66BC" w:rsidRDefault="007F3838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intézmények csak olyan kitettségeket vehetnek figyelembe, amelyek mindkét alábbi feltételnek megfelelnek: a) az intézménynél elhelyezett betétekkel azonos pénznemben denomináltak; b) átlagos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futamidejük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nem haladja meg jelentősen az intézménynél elhelyezett betétek átlagos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futamidejét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1572123D" w14:textId="74F2C6DA" w:rsidR="007F3838" w:rsidRPr="000B66BC" w:rsidRDefault="009F67E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Az intézményeknek ezeket a kitettségeket attól függetlenül kell feltüntetniük, hogy mentesülnek-e a CRR 429a. cikkének (5) és (6) bekezdése szerinti teljes kitettségi mérték alól.</w:t>
            </w:r>
          </w:p>
        </w:tc>
      </w:tr>
      <w:tr w:rsidR="00086398" w:rsidRPr="00E75BB8" w14:paraId="2FC50208" w14:textId="77777777" w:rsidTr="0008639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2019" w14:textId="77777777" w:rsidR="00086398" w:rsidRPr="000B66BC" w:rsidRDefault="000863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{0390;0140}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D8C3" w14:textId="20C39BF3" w:rsidR="00DD51E7" w:rsidRPr="000B66BC" w:rsidRDefault="00DD51E7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 központi bankkal szembeni kitettségeknek a CRR 429a. cikkének (7) bekezdésében említett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korrigált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tőkeáttételi mutató számításához használt értéke – A tőkeáttételi mutató számításához használt kitettségérték</w:t>
            </w:r>
          </w:p>
          <w:p w14:paraId="0EDC2D5D" w14:textId="0B426B68" w:rsidR="00DD51E7" w:rsidRPr="00BD311B" w:rsidRDefault="00DD51E7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311B">
              <w:rPr>
                <w:rFonts w:ascii="Times New Roman" w:hAnsi="Times New Roman"/>
                <w:sz w:val="24"/>
                <w:szCs w:val="24"/>
              </w:rPr>
              <w:t>Az intézmény saját központi bankjával szembeni azon kitettségei összesített értékének – a központi banknak a CRR 429a. cikke (5) bekezdésének c) pontjában említett időpontot közvetlenül megelőző teljes tartalékolási időszakára vonatkozóan kiszámítandó – napi átlaga, amelyek a CRR 429a. cikke (1) bekezdésének n) pontjával összhangban kizárhatók a kitettségérték számításából.</w:t>
            </w:r>
          </w:p>
        </w:tc>
      </w:tr>
      <w:tr w:rsidR="00086398" w:rsidRPr="00E75BB8" w14:paraId="49595092" w14:textId="77777777" w:rsidTr="0008639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BE0E" w14:textId="77777777" w:rsidR="00086398" w:rsidRPr="000B66BC" w:rsidRDefault="000863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{0400;0140}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54B7" w14:textId="0E1F3C1E" w:rsidR="00DD51E7" w:rsidRPr="000B66BC" w:rsidRDefault="00DD51E7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 tőkeáttételi mutatónak a CRR 429a. cikkének (7) bekezdésében említett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korrigált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tőkeáttételi mutató számításához használt értéke – A tőkeáttételi mutató számításához használt kitettségérték</w:t>
            </w:r>
          </w:p>
          <w:p w14:paraId="7F49B2B2" w14:textId="4B127234" w:rsidR="000A486B" w:rsidRPr="000B66BC" w:rsidRDefault="00DD51E7" w:rsidP="006918E9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intézménynek a CRR 429. cikkének (4) bekezdésében meghatározott teljes kitettségértéke, beleértve a CRR 429. cikke (1) bekezdésének n) pontja szerint kizárt kitettségeket is, a CRR 429a. cikke (5) bekezdésének c) pontjában említett időpontban.</w:t>
            </w:r>
          </w:p>
        </w:tc>
      </w:tr>
      <w:tr w:rsidR="000C01E8" w:rsidRPr="00E75BB8" w14:paraId="2AF78942" w14:textId="77777777" w:rsidTr="000C01E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ECA9" w14:textId="5DFC5643" w:rsidR="000C01E8" w:rsidRPr="000B66BC" w:rsidRDefault="000C01E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{0410;0010}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C592" w14:textId="5E9AE86A" w:rsidR="000C01E8" w:rsidRPr="000B66BC" w:rsidRDefault="00BD311B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Eszközök összesen</w:t>
            </w:r>
          </w:p>
          <w:p w14:paraId="6B941506" w14:textId="67257FB8" w:rsidR="00086398" w:rsidRPr="000B66BC" w:rsidRDefault="000C01E8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ebben a tételben a közzétett pénzügyi kimutatásokban használt hatály szerinti összes eszközt kell feltüntetniük.</w:t>
            </w:r>
          </w:p>
        </w:tc>
      </w:tr>
    </w:tbl>
    <w:p w14:paraId="03B5554A" w14:textId="77777777" w:rsidR="00462408" w:rsidRPr="000B66BC" w:rsidRDefault="00462408" w:rsidP="000B66BC">
      <w:pPr>
        <w:pStyle w:val="BodyText1"/>
        <w:spacing w:after="240"/>
        <w:rPr>
          <w:rFonts w:ascii="Times New Roman" w:hAnsi="Times New Roman"/>
          <w:b/>
          <w:sz w:val="24"/>
          <w:szCs w:val="24"/>
        </w:rPr>
      </w:pPr>
      <w:bookmarkStart w:id="58" w:name="_Toc338669922"/>
      <w:bookmarkStart w:id="59" w:name="_Toc338669923"/>
      <w:bookmarkStart w:id="60" w:name="_Toc338669924"/>
      <w:bookmarkStart w:id="61" w:name="_Toc338669925"/>
      <w:bookmarkStart w:id="62" w:name="_Toc338669926"/>
      <w:bookmarkStart w:id="63" w:name="_Toc338669927"/>
      <w:bookmarkStart w:id="64" w:name="_Toc338669928"/>
      <w:bookmarkEnd w:id="58"/>
      <w:bookmarkEnd w:id="59"/>
      <w:bookmarkEnd w:id="60"/>
      <w:bookmarkEnd w:id="61"/>
      <w:bookmarkEnd w:id="62"/>
      <w:bookmarkEnd w:id="63"/>
      <w:bookmarkEnd w:id="64"/>
    </w:p>
    <w:p w14:paraId="5E95AFC7" w14:textId="71198216" w:rsidR="00217D1F" w:rsidRPr="000B66BC" w:rsidRDefault="005F4574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65" w:name="_Toc338669914"/>
      <w:bookmarkStart w:id="66" w:name="_Toc338669915"/>
      <w:bookmarkStart w:id="67" w:name="_Toc338669918"/>
      <w:bookmarkStart w:id="68" w:name="_Toc322687900"/>
      <w:bookmarkStart w:id="69" w:name="_Toc351048510"/>
      <w:bookmarkStart w:id="70" w:name="_Toc359414289"/>
      <w:bookmarkStart w:id="71" w:name="_Toc423089074"/>
      <w:bookmarkStart w:id="72" w:name="_Toc322533879"/>
      <w:bookmarkStart w:id="73" w:name="_Toc58916213"/>
      <w:bookmarkEnd w:id="57"/>
      <w:bookmarkEnd w:id="65"/>
      <w:bookmarkEnd w:id="66"/>
      <w:bookmarkEnd w:id="67"/>
      <w:r>
        <w:rPr>
          <w:rFonts w:ascii="Times New Roman" w:hAnsi="Times New Roman"/>
          <w:b/>
          <w:sz w:val="24"/>
          <w:szCs w:val="24"/>
        </w:rPr>
        <w:t>5.</w:t>
      </w:r>
      <w:r>
        <w:tab/>
      </w:r>
      <w:r>
        <w:rPr>
          <w:rFonts w:ascii="Times New Roman" w:hAnsi="Times New Roman"/>
          <w:b/>
          <w:sz w:val="24"/>
          <w:szCs w:val="24"/>
        </w:rPr>
        <w:t xml:space="preserve">C 43.00 – </w:t>
      </w: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tőkeáttételi mutató számításához használt kitettségek alternatív bontása (LR4)</w:t>
      </w:r>
      <w:bookmarkEnd w:id="68"/>
      <w:bookmarkEnd w:id="69"/>
      <w:bookmarkEnd w:id="70"/>
      <w:bookmarkEnd w:id="71"/>
      <w:bookmarkEnd w:id="73"/>
    </w:p>
    <w:p w14:paraId="28B96BA9" w14:textId="5AF52E0B" w:rsidR="004E437E" w:rsidRPr="000B66BC" w:rsidRDefault="00500508" w:rsidP="000B66BC">
      <w:pPr>
        <w:pStyle w:val="BodyText1"/>
        <w:spacing w:after="240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</w:t>
      </w:r>
      <w:r>
        <w:tab/>
      </w:r>
      <w:r>
        <w:rPr>
          <w:rFonts w:ascii="Times New Roman" w:hAnsi="Times New Roman"/>
          <w:sz w:val="24"/>
          <w:szCs w:val="24"/>
        </w:rPr>
        <w:t xml:space="preserve">Az intézményeknek a tőkeáttételi mutató számításához használt kitettségértékeket az </w:t>
      </w:r>
      <w:proofErr w:type="spellStart"/>
      <w:r>
        <w:rPr>
          <w:rFonts w:ascii="Times New Roman" w:hAnsi="Times New Roman"/>
          <w:sz w:val="24"/>
          <w:szCs w:val="24"/>
        </w:rPr>
        <w:t>LRCalc</w:t>
      </w:r>
      <w:proofErr w:type="spellEnd"/>
      <w:r>
        <w:rPr>
          <w:rFonts w:ascii="Times New Roman" w:hAnsi="Times New Roman"/>
          <w:sz w:val="24"/>
          <w:szCs w:val="24"/>
        </w:rPr>
        <w:t xml:space="preserve"> táblában feltüntetett mentességek és levonások, azaz – a {0270</w:t>
      </w:r>
      <w:proofErr w:type="gramStart"/>
      <w:r>
        <w:rPr>
          <w:rFonts w:ascii="Times New Roman" w:hAnsi="Times New Roman"/>
          <w:sz w:val="24"/>
          <w:szCs w:val="24"/>
        </w:rPr>
        <w:t>;0010</w:t>
      </w:r>
      <w:proofErr w:type="gramEnd"/>
      <w:r>
        <w:rPr>
          <w:rFonts w:ascii="Times New Roman" w:hAnsi="Times New Roman"/>
          <w:sz w:val="24"/>
          <w:szCs w:val="24"/>
        </w:rPr>
        <w:t xml:space="preserve">} és {0280;0010} mezők kivételével – az e melléklet I. részének 9. pontjában meghatározott jelkonvenciónak megfelelő negatív előjelű tételek alkalmazása után az LR4-ben kell megadniuk. </w:t>
      </w:r>
    </w:p>
    <w:p w14:paraId="69B9194E" w14:textId="636E268C" w:rsidR="00A54449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</w:t>
      </w:r>
      <w:r>
        <w:tab/>
      </w:r>
      <w:r>
        <w:rPr>
          <w:rFonts w:ascii="Times New Roman" w:hAnsi="Times New Roman"/>
          <w:sz w:val="24"/>
          <w:szCs w:val="24"/>
        </w:rPr>
        <w:t>A kettős beszámítás elkerülése érdekében az intézményeknek gondoskodniuk kell a következő egyenlőség teljesüléséről:</w:t>
      </w:r>
    </w:p>
    <w:p w14:paraId="6C63F05C" w14:textId="680D603A" w:rsidR="00F4754B" w:rsidRPr="000B66BC" w:rsidRDefault="00287E34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tab/>
      </w:r>
      <w:proofErr w:type="gramStart"/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LRCalc</w:t>
      </w:r>
      <w:proofErr w:type="spellEnd"/>
      <w:r>
        <w:rPr>
          <w:rFonts w:ascii="Times New Roman" w:hAnsi="Times New Roman"/>
          <w:sz w:val="24"/>
          <w:szCs w:val="24"/>
        </w:rPr>
        <w:t xml:space="preserve"> táblában szereplő {0010; 0010}</w:t>
      </w:r>
      <w:r>
        <w:rPr>
          <w:rFonts w:ascii="Times New Roman" w:hAnsi="Times New Roman"/>
          <w:bCs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{0</w:t>
      </w:r>
      <w:r>
        <w:rPr>
          <w:rFonts w:ascii="Times New Roman" w:hAnsi="Times New Roman"/>
          <w:bCs/>
          <w:sz w:val="24"/>
          <w:szCs w:val="24"/>
        </w:rPr>
        <w:t>267;</w:t>
      </w:r>
      <w:r>
        <w:rPr>
          <w:rFonts w:ascii="Times New Roman" w:hAnsi="Times New Roman"/>
          <w:sz w:val="24"/>
          <w:szCs w:val="24"/>
        </w:rPr>
        <w:t>0010}</w:t>
      </w:r>
      <w:r>
        <w:rPr>
          <w:rFonts w:ascii="Times New Roman" w:hAnsi="Times New Roman"/>
          <w:bCs/>
          <w:sz w:val="24"/>
          <w:szCs w:val="24"/>
        </w:rPr>
        <w:t xml:space="preserve"> sorok összege</w:t>
      </w:r>
      <w:r>
        <w:rPr>
          <w:rFonts w:ascii="Times New Roman" w:hAnsi="Times New Roman"/>
          <w:sz w:val="24"/>
          <w:szCs w:val="24"/>
        </w:rPr>
        <w:t xml:space="preserve"> = [{LR4;0010;0010} + {LR4;0040;0010} + {LR4;0050;0010} + {LR4;0060;0010} + {LR4;0065;0010} + {LR4;0070;0010} + {LR4;0080;0010} + {LR40;080;0020} + {LR4;0090;0010} + {LR4;00090;0020} + {LR4;0140;0010} + {LR4;0140;0020} + {LR4;0180;0010} + {LR4;0180;0020} + {LR4;190;0010} + {LR4;0190;0020} + </w:t>
      </w:r>
      <w:r>
        <w:rPr>
          <w:rFonts w:ascii="Times New Roman" w:hAnsi="Times New Roman"/>
          <w:sz w:val="24"/>
          <w:szCs w:val="24"/>
        </w:rPr>
        <w:lastRenderedPageBreak/>
        <w:t>{LR4;0210;0010} + {LR4;0210;0020} + {LR4;0230;0010} + {LR4;0230;0020} + {LR4;0280;0010} + {LR4;0280;0020} + {LR4;0290;0010} + {LR4;0290;0020}].</w:t>
      </w:r>
      <w:proofErr w:type="gramEnd"/>
    </w:p>
    <w:p w14:paraId="5BDC94CE" w14:textId="5304C6DC" w:rsidR="00675587" w:rsidRPr="000B66BC" w:rsidRDefault="00143C6A" w:rsidP="000B66BC">
      <w:pPr>
        <w:pStyle w:val="BodyText1"/>
        <w:spacing w:after="240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</w:t>
      </w:r>
      <w:r>
        <w:tab/>
      </w:r>
      <w:r>
        <w:rPr>
          <w:rFonts w:ascii="Times New Roman" w:hAnsi="Times New Roman"/>
          <w:sz w:val="24"/>
          <w:szCs w:val="24"/>
        </w:rPr>
        <w:t xml:space="preserve">A tőkeáttételi mutató számításához használt kitettségértékekkel való összhang érdekében kockázattal súlyozott kitettségértékek esetében is a </w:t>
      </w:r>
      <w:proofErr w:type="spellStart"/>
      <w:r>
        <w:rPr>
          <w:rFonts w:ascii="Times New Roman" w:hAnsi="Times New Roman"/>
          <w:sz w:val="24"/>
          <w:szCs w:val="24"/>
        </w:rPr>
        <w:t>teljeskörűen</w:t>
      </w:r>
      <w:proofErr w:type="spellEnd"/>
      <w:r>
        <w:rPr>
          <w:rFonts w:ascii="Times New Roman" w:hAnsi="Times New Roman"/>
          <w:sz w:val="24"/>
          <w:szCs w:val="24"/>
        </w:rPr>
        <w:t xml:space="preserve"> bevezetett fogalmat kell jelenteni.</w:t>
      </w:r>
    </w:p>
    <w:p w14:paraId="794DC095" w14:textId="7D7FAA52" w:rsidR="003B1611" w:rsidRPr="000B66BC" w:rsidRDefault="003B1611" w:rsidP="000B66BC">
      <w:pPr>
        <w:pStyle w:val="BodyText1"/>
        <w:spacing w:after="240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Az intézményeknek a partnert a hitelkockázat-mérséklési (CRM) technikákat és azok helyettesítési hatásait követően számított RWEA vonatkozásában kell jelenteniük. Az intézményeknek a partnert a tőkeáttételi mutató számításához használt kitettségérték vonatkozásában az eredeti partnerrel összhangban kell jelenteniük, azaz figyelmen kívül kell hagyniuk az RWEA-</w:t>
      </w:r>
      <w:proofErr w:type="spellStart"/>
      <w:r>
        <w:rPr>
          <w:rFonts w:ascii="Times New Roman" w:hAnsi="Times New Roman"/>
          <w:sz w:val="24"/>
          <w:szCs w:val="24"/>
        </w:rPr>
        <w:t>ra</w:t>
      </w:r>
      <w:proofErr w:type="spellEnd"/>
      <w:r>
        <w:rPr>
          <w:rFonts w:ascii="Times New Roman" w:hAnsi="Times New Roman"/>
          <w:sz w:val="24"/>
          <w:szCs w:val="24"/>
        </w:rPr>
        <w:t xml:space="preserve"> alkalmazandó hitelkockázat-mérsé</w:t>
      </w:r>
      <w:r w:rsidR="00BD311B">
        <w:rPr>
          <w:rFonts w:ascii="Times New Roman" w:hAnsi="Times New Roman"/>
          <w:sz w:val="24"/>
          <w:szCs w:val="24"/>
        </w:rPr>
        <w:t>klést vagy helyettesítő hatást.</w:t>
      </w:r>
    </w:p>
    <w:tbl>
      <w:tblPr>
        <w:tblW w:w="896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559"/>
        <w:gridCol w:w="7406"/>
      </w:tblGrid>
      <w:tr w:rsidR="002A54FF" w:rsidRPr="00E75BB8" w14:paraId="69CF6F62" w14:textId="77777777" w:rsidTr="000B66BC">
        <w:trPr>
          <w:trHeight w:val="297"/>
        </w:trPr>
        <w:tc>
          <w:tcPr>
            <w:tcW w:w="1559" w:type="dxa"/>
            <w:shd w:val="clear" w:color="auto" w:fill="D9D9D9" w:themeFill="background1" w:themeFillShade="D9"/>
          </w:tcPr>
          <w:p w14:paraId="5F424E32" w14:textId="7777777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Sor és oszlop</w:t>
            </w:r>
          </w:p>
        </w:tc>
        <w:tc>
          <w:tcPr>
            <w:tcW w:w="7406" w:type="dxa"/>
            <w:shd w:val="clear" w:color="auto" w:fill="D9D9D9" w:themeFill="background1" w:themeFillShade="D9"/>
          </w:tcPr>
          <w:p w14:paraId="0DBEBFC4" w14:textId="7777777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Jogszabályi hivatkozások és előírások</w:t>
            </w:r>
          </w:p>
        </w:tc>
      </w:tr>
      <w:tr w:rsidR="002A54FF" w:rsidRPr="00E75BB8" w14:paraId="7949D943" w14:textId="77777777" w:rsidTr="000B66BC">
        <w:trPr>
          <w:trHeight w:val="445"/>
        </w:trPr>
        <w:tc>
          <w:tcPr>
            <w:tcW w:w="1559" w:type="dxa"/>
            <w:shd w:val="clear" w:color="auto" w:fill="FFFFFF"/>
          </w:tcPr>
          <w:p w14:paraId="55F0F0BF" w14:textId="2E63969B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{0010;0010}</w:t>
            </w:r>
          </w:p>
        </w:tc>
        <w:tc>
          <w:tcPr>
            <w:tcW w:w="7406" w:type="dxa"/>
            <w:shd w:val="clear" w:color="auto" w:fill="FFFFFF"/>
          </w:tcPr>
          <w:p w14:paraId="1750A9AE" w14:textId="2B686C42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Mérlegen kívüli tételek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</w:t>
            </w:r>
          </w:p>
          <w:p w14:paraId="158DBAF4" w14:textId="79CDE72A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tőkeáttételi mutató számításához használt kitettségérték az {LRCalc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;0150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;0010}, {LRCalc;0160;0010}, {LRCalc;0170;0010} és {LRCalc;0180;0010} mező összege, kivéve a CRR 429a. cikke (1) bekezdése c) pontjának megfelelően mentesülő vonatkozó csoporton belüli kitettségeket (egyedi alapon).</w:t>
            </w:r>
          </w:p>
        </w:tc>
      </w:tr>
      <w:tr w:rsidR="002A54FF" w:rsidRPr="00E75BB8" w14:paraId="5C714FF5" w14:textId="77777777" w:rsidTr="000B66BC">
        <w:trPr>
          <w:trHeight w:val="1179"/>
        </w:trPr>
        <w:tc>
          <w:tcPr>
            <w:tcW w:w="1559" w:type="dxa"/>
            <w:shd w:val="clear" w:color="auto" w:fill="FFFFFF"/>
          </w:tcPr>
          <w:p w14:paraId="2120C924" w14:textId="781A037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{0010;0020}</w:t>
            </w:r>
          </w:p>
        </w:tc>
        <w:tc>
          <w:tcPr>
            <w:tcW w:w="7406" w:type="dxa"/>
            <w:shd w:val="clear" w:color="auto" w:fill="FFFFFF"/>
          </w:tcPr>
          <w:p w14:paraId="01D12FD7" w14:textId="094E74CB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Mérlegen kívüli tételek – RWEA</w:t>
            </w:r>
          </w:p>
          <w:p w14:paraId="672047D9" w14:textId="24A19AA0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mérlegen kívüli tételek – ide nem értve az SFT-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ket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és a származtatott ügyleteket – kockázattal súlyozott kitettségértéke a sztenderd módszer és az IRB módszer szerint. </w:t>
            </w:r>
            <w:r>
              <w:rPr>
                <w:rFonts w:ascii="Times New Roman" w:hAnsi="Times New Roman"/>
                <w:sz w:val="24"/>
                <w:szCs w:val="24"/>
              </w:rPr>
              <w:t>A sztenderd módszer szerinti kitettségek esetében az intézményeknek a kockázattal súlyozott kitettségértéket a CRR harmadik része II. címének 2. fejezetével összhangban kell meghatározniuk.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Az IRB módszer szerinti kitettségek esetében az intézményeknek a kockázattal súlyozott kitettségértéket a CRR harmadik része II. címének 3. fejezetével összhangban kell meghatározniuk.</w:t>
            </w:r>
          </w:p>
        </w:tc>
      </w:tr>
      <w:tr w:rsidR="002A54FF" w:rsidRPr="00E75BB8" w14:paraId="3A2B982B" w14:textId="77777777" w:rsidTr="000B66BC">
        <w:trPr>
          <w:trHeight w:val="741"/>
        </w:trPr>
        <w:tc>
          <w:tcPr>
            <w:tcW w:w="1559" w:type="dxa"/>
            <w:shd w:val="clear" w:color="auto" w:fill="FFFFFF"/>
          </w:tcPr>
          <w:p w14:paraId="02155B13" w14:textId="2421AAB9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{0020;0010}</w:t>
            </w:r>
          </w:p>
        </w:tc>
        <w:tc>
          <w:tcPr>
            <w:tcW w:w="7406" w:type="dxa"/>
            <w:shd w:val="clear" w:color="auto" w:fill="FFFFFF"/>
          </w:tcPr>
          <w:p w14:paraId="08539F0E" w14:textId="0F183CC8" w:rsidR="00F4754B" w:rsidRPr="000B66BC" w:rsidRDefault="005E7B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ebből: </w:t>
            </w:r>
            <w:r w:rsidR="00902815">
              <w:rPr>
                <w:rFonts w:ascii="Times New Roman" w:hAnsi="Times New Roman"/>
                <w:b/>
                <w:sz w:val="24"/>
                <w:szCs w:val="24"/>
              </w:rPr>
              <w:t>Kereskedelemfinanszírozás</w:t>
            </w:r>
            <w:bookmarkStart w:id="74" w:name="_GoBack"/>
            <w:bookmarkEnd w:id="74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</w:t>
            </w:r>
          </w:p>
          <w:p w14:paraId="645ACACC" w14:textId="77777777" w:rsidR="00F21A85" w:rsidRDefault="00F4754B" w:rsidP="00F21A85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tőkeáttételi mutató számításához használt kitettségérték a kereskedelemfinanszírozáshoz kapcsolódó mérlegen kívüli tételek.</w:t>
            </w:r>
          </w:p>
          <w:p w14:paraId="133382BF" w14:textId="754E9FF1" w:rsidR="002509B1" w:rsidRPr="000B66BC" w:rsidRDefault="00F4754B" w:rsidP="00F21A85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LR4 táblában való adatszolgáltatás céljából a kereskedelemfinanszírozáshoz kapcsolódó mérlegen kívüli tételek olyan megnyitott és igazolt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import-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és exportakkreditívek, amelyek rövid lejáratúak és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öntörlesztőek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, illetve hasonló ügyletek.</w:t>
            </w:r>
          </w:p>
        </w:tc>
      </w:tr>
      <w:tr w:rsidR="002A54FF" w:rsidRPr="00E75BB8" w14:paraId="76EF75CF" w14:textId="77777777" w:rsidTr="000B66BC">
        <w:trPr>
          <w:trHeight w:val="1038"/>
        </w:trPr>
        <w:tc>
          <w:tcPr>
            <w:tcW w:w="1559" w:type="dxa"/>
            <w:shd w:val="clear" w:color="auto" w:fill="FFFFFF"/>
          </w:tcPr>
          <w:p w14:paraId="35797C75" w14:textId="0565FF1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{0020;0020}</w:t>
            </w:r>
          </w:p>
        </w:tc>
        <w:tc>
          <w:tcPr>
            <w:tcW w:w="7406" w:type="dxa"/>
            <w:shd w:val="clear" w:color="auto" w:fill="FFFFFF"/>
          </w:tcPr>
          <w:p w14:paraId="249BC5D0" w14:textId="48587F9F" w:rsidR="002509B1" w:rsidRPr="000B66BC" w:rsidRDefault="005E7B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ebből: Kereskedelemfinanszírozás – RWEA</w:t>
            </w:r>
          </w:p>
          <w:p w14:paraId="6D7F09A8" w14:textId="77777777" w:rsidR="006918E9" w:rsidRDefault="00F4754B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kereskedelemfinanszírozáshoz kapcsolódó mérlegen kívüli tételek – ide nem értve az SFT-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ket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és a származtatott ügyleteket – kockázattal súlyozott.</w:t>
            </w:r>
          </w:p>
          <w:p w14:paraId="38C84AEF" w14:textId="78316124" w:rsidR="002509B1" w:rsidRPr="000B66BC" w:rsidRDefault="00F4754B" w:rsidP="00F21A85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LR4 táblában való adatszolgáltatás céljából a kereskedelemfinanszírozáshoz kapcsolódó mérlegen kívüli tételek olyan megnyitott és igazolt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import-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és exportakkreditívek, amelyek rövid lejáratúak és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öntörlesztőek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, illetve hasonló ügyletek.</w:t>
            </w:r>
          </w:p>
        </w:tc>
      </w:tr>
      <w:tr w:rsidR="002A54FF" w:rsidRPr="00E75BB8" w14:paraId="277256CF" w14:textId="77777777" w:rsidTr="000B66BC">
        <w:trPr>
          <w:trHeight w:val="1030"/>
        </w:trPr>
        <w:tc>
          <w:tcPr>
            <w:tcW w:w="1559" w:type="dxa"/>
            <w:shd w:val="clear" w:color="auto" w:fill="FFFFFF"/>
          </w:tcPr>
          <w:p w14:paraId="5B876EDF" w14:textId="3902F515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{0030;0010}</w:t>
            </w:r>
          </w:p>
        </w:tc>
        <w:tc>
          <w:tcPr>
            <w:tcW w:w="7406" w:type="dxa"/>
            <w:shd w:val="clear" w:color="auto" w:fill="FFFFFF"/>
          </w:tcPr>
          <w:p w14:paraId="48F51CF2" w14:textId="4EB6A65B" w:rsidR="002509B1" w:rsidRPr="000B66BC" w:rsidRDefault="005E7B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ebből: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Hivatalos exporthitel-biztosítási program keretében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</w:t>
            </w:r>
          </w:p>
          <w:p w14:paraId="6B70A020" w14:textId="3C72A663" w:rsidR="001F28E7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tőkeáttételi mutató számításához használt kitettségérték a hivatalos exporthitel-biztosítási program keretében megvalósuló kereskedelemfinanszírozáshoz kapcsolódó mérlegen kívüli tételek.</w:t>
            </w:r>
          </w:p>
          <w:p w14:paraId="71BE2A86" w14:textId="52B3D7F7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LR4 táblában való adatszolgáltatás céljából a hivatalos exporthitel-biztosítási program a kormány vagy más jogalany, például exporthitel-ügynökség által többek között közvetlen hitel/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finanszírozás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refinanszírozás, kamatláb-támogatás (ahol a rögzített kamatláb a hitel teljes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futamidejére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biztosított), segélyfinanszírozás (hitelek és támogatások), exporthitel-biztosítás és garanciák formájában biztosított hivatalos támogatás.</w:t>
            </w:r>
          </w:p>
        </w:tc>
      </w:tr>
      <w:tr w:rsidR="002A54FF" w:rsidRPr="00E75BB8" w14:paraId="46968C9B" w14:textId="77777777" w:rsidTr="000B66BC">
        <w:trPr>
          <w:trHeight w:val="601"/>
        </w:trPr>
        <w:tc>
          <w:tcPr>
            <w:tcW w:w="1559" w:type="dxa"/>
            <w:shd w:val="clear" w:color="auto" w:fill="FFFFFF"/>
          </w:tcPr>
          <w:p w14:paraId="68790E0D" w14:textId="23854C8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{0030;0020}</w:t>
            </w:r>
          </w:p>
        </w:tc>
        <w:tc>
          <w:tcPr>
            <w:tcW w:w="7406" w:type="dxa"/>
            <w:shd w:val="clear" w:color="auto" w:fill="FFFFFF"/>
          </w:tcPr>
          <w:p w14:paraId="071CF42C" w14:textId="4BD5D1B3" w:rsidR="00F4754B" w:rsidRPr="000B66BC" w:rsidRDefault="005E7B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ebből: Hivatalos exporthitel-biztosítási program keretében – RWEA</w:t>
            </w:r>
          </w:p>
          <w:p w14:paraId="0E7BC811" w14:textId="6F1A953F" w:rsidR="001F28E7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hivatalos exporthitel-biztosítási program keretében megvalósuló kereskedelemfinanszírozáshoz kapcsolódó mérlegen kívüli tételek – ide nem értve az SFT-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és a származtatott ügyleteket – kockázattal súlyozott kitettségértéke.</w:t>
            </w:r>
          </w:p>
          <w:p w14:paraId="2D3ADF55" w14:textId="478E84F7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LR4 táblában való adatszolgáltatás céljából a hivatalos exporthitel-biztosítási program a kormány vagy más jogalany, például exporthitel-ügynökség által többek között közvetlen hitel/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finanszírozás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refinanszírozás, kamatláb-támogatás (ahol a rögzített kamatláb a hitel teljes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futamidejére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biztosított), segélyfinanszírozás (hitelek és támogatások), exporthitel-biztosítás és garanciák formájában biztosított hivatalos támogatás.</w:t>
            </w:r>
          </w:p>
        </w:tc>
      </w:tr>
      <w:tr w:rsidR="002A54FF" w:rsidRPr="00E75BB8" w14:paraId="46D6302F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89CF026" w14:textId="3E532BFA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{0040;0010}</w:t>
            </w:r>
          </w:p>
        </w:tc>
        <w:tc>
          <w:tcPr>
            <w:tcW w:w="7406" w:type="dxa"/>
            <w:shd w:val="clear" w:color="auto" w:fill="FFFFFF"/>
          </w:tcPr>
          <w:p w14:paraId="70B328B5" w14:textId="418FD16C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Eltérő termékkategóriák közötti nettósításról szóló megállapodások hatályába tartozó származtatott ügyletek és SFT-k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</w:t>
            </w:r>
          </w:p>
          <w:p w14:paraId="04D3A7BA" w14:textId="2951A72A" w:rsidR="002509B1" w:rsidRPr="000B66BC" w:rsidRDefault="00F4754B" w:rsidP="00F21A85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tőkeáttételi mutató számításához használt kitettségérték a CRR 272. cikkének 25. pontja szerinti eltérő termékkategóriák közötti nettósításról szóló megállapodás hatályába tartozó származtatott ügyletek és SFT-k esetében.</w:t>
            </w:r>
          </w:p>
        </w:tc>
      </w:tr>
      <w:tr w:rsidR="002A54FF" w:rsidRPr="00E75BB8" w14:paraId="71AC64B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2035BF5" w14:textId="02E9D935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{0040;0020}</w:t>
            </w:r>
          </w:p>
        </w:tc>
        <w:tc>
          <w:tcPr>
            <w:tcW w:w="7406" w:type="dxa"/>
            <w:shd w:val="clear" w:color="auto" w:fill="FFFFFF"/>
          </w:tcPr>
          <w:p w14:paraId="6A93DC52" w14:textId="5A4C8705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Eltérő termékkategóriák közötti nettósításról szóló megállapodások hatályába tartozó származtatott ügyletek és SFT-k – RWEA</w:t>
            </w:r>
          </w:p>
          <w:p w14:paraId="2D88BC4B" w14:textId="1DBA453C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CRR 272. cikkének 25. pontja szerinti eltérő termékkategóriák közötti nettósításról szóló megállapodás hatályába tartozó, mérlegen belüli és mérlegen kívüli származtatott ügyletek és SFT-k hitel- és partnerkockázattal szembeni, kockázattal súlyozott kitettségértéke a CRR harmadik részének II. címe szerinti számítás alapján.</w:t>
            </w:r>
          </w:p>
        </w:tc>
      </w:tr>
      <w:tr w:rsidR="002A54FF" w:rsidRPr="00E75BB8" w14:paraId="6FAD68F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DA151D1" w14:textId="1DC2294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{0050;0010}</w:t>
            </w:r>
          </w:p>
        </w:tc>
        <w:tc>
          <w:tcPr>
            <w:tcW w:w="7406" w:type="dxa"/>
            <w:shd w:val="clear" w:color="auto" w:fill="FFFFFF"/>
          </w:tcPr>
          <w:p w14:paraId="37A53F91" w14:textId="1692A468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Eltérő termékkategóriák közötti nettósításról szóló megállapodások hatályába nem tartozó származtatott ügyletek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</w:t>
            </w:r>
          </w:p>
          <w:p w14:paraId="48BC0234" w14:textId="0A290473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tőkeáttételi mutató számításához használt kitettségérték a CRR 272. cikkének 25. pontja szerinti eltérő termékkategóriák közötti nettósításról szóló megállapodás hatályába nem tartozó származtatott ügyletek esetében.</w:t>
            </w:r>
          </w:p>
        </w:tc>
      </w:tr>
      <w:tr w:rsidR="002A54FF" w:rsidRPr="00E75BB8" w14:paraId="109BE50A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6AA1CBE3" w14:textId="7C7D5476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{0050;0020}</w:t>
            </w:r>
          </w:p>
        </w:tc>
        <w:tc>
          <w:tcPr>
            <w:tcW w:w="7406" w:type="dxa"/>
            <w:shd w:val="clear" w:color="auto" w:fill="FFFFFF"/>
          </w:tcPr>
          <w:p w14:paraId="128CF8E8" w14:textId="0277DB7A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Eltérő termékkategóriák közötti nettósításról szóló megállapodások hatályába nem tartozó származtatott ügyletek – RWEA</w:t>
            </w:r>
          </w:p>
          <w:p w14:paraId="328E1A83" w14:textId="431AD295" w:rsidR="002509B1" w:rsidRPr="000B66BC" w:rsidRDefault="00F4754B" w:rsidP="00F21A85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CRR 272. cikkének 25. pontja szerinti eltérő termékkategóriák közötti nettósításról szóló megállapodás hatályába nem tartozó, mérlegen belüli és mérlegen kívüli származtatott ügyletek hitel- és partnerkockázattal szembeni, kockázattal súlyozott kitettségértéke a CRR harmadik részének II. címe szerinti számítás alapján.</w:t>
            </w:r>
          </w:p>
        </w:tc>
      </w:tr>
      <w:tr w:rsidR="002A54FF" w:rsidRPr="00E75BB8" w14:paraId="250886B1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7AE751E" w14:textId="7CC2059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{0060;0010}</w:t>
            </w:r>
          </w:p>
        </w:tc>
        <w:tc>
          <w:tcPr>
            <w:tcW w:w="7406" w:type="dxa"/>
            <w:shd w:val="clear" w:color="auto" w:fill="FFFFFF"/>
          </w:tcPr>
          <w:p w14:paraId="62FDB809" w14:textId="5F25550B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Eltérő termékkategóriák közötti nettósításról szóló megállapodások hatályába nem tartozó SFT-k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</w:t>
            </w:r>
          </w:p>
          <w:p w14:paraId="621A4651" w14:textId="46DFD1F4" w:rsidR="000A486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tőkeáttételi mutató számításához használt kitettségérték a CRR 272. cikkének 25. pontja szerinti eltérő termékkategóriák közötti nettósításról szóló megállapodás hatályába nem tartozó SFT-k esetében.</w:t>
            </w:r>
          </w:p>
        </w:tc>
      </w:tr>
      <w:tr w:rsidR="002A54FF" w:rsidRPr="00E75BB8" w14:paraId="02CE5A4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323F20A" w14:textId="5C57C5D6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{0060;0020}</w:t>
            </w:r>
          </w:p>
        </w:tc>
        <w:tc>
          <w:tcPr>
            <w:tcW w:w="7406" w:type="dxa"/>
            <w:shd w:val="clear" w:color="auto" w:fill="FFFFFF"/>
          </w:tcPr>
          <w:p w14:paraId="25095D40" w14:textId="2E4D9B74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Eltérő termékkategóriák közötti nettósításról szóló megállapodások hatályába nem tartozó SFT-k – RWEA</w:t>
            </w:r>
          </w:p>
          <w:p w14:paraId="0358DACB" w14:textId="66B61E47" w:rsidR="002509B1" w:rsidRPr="000B66BC" w:rsidRDefault="00F4754B" w:rsidP="00F21A85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CRR 272. cikkének 25. pontja szerinti eltérő termékkategóriák közötti nettósításról szóló megállapodás hatályába nem tartozó, mérlegen belüli és mérlegen kívüli SFT-k hitel- és partnerkockázattal szembeni, kockázattal súlyozott kitettségértéke a CRR harmadik részének II. címe szerinti számítás alapján.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A54FF" w:rsidRPr="00E75BB8" w14:paraId="53E747C0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16A99BB" w14:textId="71684C56" w:rsidR="00465521" w:rsidRPr="000B66BC" w:rsidRDefault="0046552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{0065;0010}</w:t>
            </w:r>
          </w:p>
        </w:tc>
        <w:tc>
          <w:tcPr>
            <w:tcW w:w="7406" w:type="dxa"/>
            <w:shd w:val="clear" w:color="auto" w:fill="FFFFFF"/>
          </w:tcPr>
          <w:p w14:paraId="40B65940" w14:textId="26A29B28" w:rsidR="004968DF" w:rsidRPr="000B66BC" w:rsidRDefault="004968DF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hitelderivatívák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kiegészítő kezeléséből adódó kitettségérték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</w:t>
            </w:r>
          </w:p>
          <w:p w14:paraId="1E879EE4" w14:textId="47270A39" w:rsidR="00EC2C14" w:rsidRPr="000B66BC" w:rsidRDefault="000D397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 mező értéke megegyezik az {LRCalc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;0130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;0010} és az {LRCalc;0140;0010} különbségével, kivéve a CRR 429a. cikke (1)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bekezdése c) pontjának megfelelően mentesülő vonatkozó csoporton belüli kitettségeket (egyedi alapon).</w:t>
            </w:r>
          </w:p>
        </w:tc>
      </w:tr>
      <w:tr w:rsidR="002A54FF" w:rsidRPr="00E75BB8" w14:paraId="07289AF9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6AB8700E" w14:textId="3A0BBEE5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{0070;0010}</w:t>
            </w:r>
          </w:p>
        </w:tc>
        <w:tc>
          <w:tcPr>
            <w:tcW w:w="7406" w:type="dxa"/>
            <w:shd w:val="clear" w:color="auto" w:fill="FFFFFF"/>
          </w:tcPr>
          <w:p w14:paraId="330EEA74" w14:textId="3FC00B7E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 kereskedési könyvben szereplő egyéb eszközök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</w:t>
            </w:r>
          </w:p>
          <w:p w14:paraId="1E037EEA" w14:textId="4585B1FF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tőkeáttételi mutató számításához használt kitettségérték az {LRCalc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;0190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;0010} mezőben feltüntetett tételek esetében, a kereskedési könyvben nem szereplő tételek nélkül.</w:t>
            </w:r>
          </w:p>
        </w:tc>
      </w:tr>
      <w:tr w:rsidR="002A54FF" w:rsidRPr="00E75BB8" w14:paraId="5791503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3BCDEC45" w14:textId="088A2CCB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{0070;0020}</w:t>
            </w:r>
          </w:p>
        </w:tc>
        <w:tc>
          <w:tcPr>
            <w:tcW w:w="7406" w:type="dxa"/>
            <w:shd w:val="clear" w:color="auto" w:fill="FFFFFF"/>
          </w:tcPr>
          <w:p w14:paraId="6FF1BCA1" w14:textId="350A5995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 kereskedési könyvben szereplő egyéb eszközök – RWEA</w:t>
            </w:r>
          </w:p>
          <w:p w14:paraId="17C0B94C" w14:textId="5BB38159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CRR harmadik része IV. címének hatályába tartozó tételek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szavatalótőke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-követelménye szorozva 12,5-tel.</w:t>
            </w:r>
          </w:p>
        </w:tc>
      </w:tr>
      <w:tr w:rsidR="002A54FF" w:rsidRPr="00E75BB8" w14:paraId="30AD697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CBED28C" w14:textId="1FF40440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{0080;0010}</w:t>
            </w:r>
          </w:p>
        </w:tc>
        <w:tc>
          <w:tcPr>
            <w:tcW w:w="7406" w:type="dxa"/>
            <w:shd w:val="clear" w:color="auto" w:fill="FFFFFF"/>
          </w:tcPr>
          <w:p w14:paraId="02FC2330" w14:textId="10761471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Fedezett kötvények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SA-kitettségek</w:t>
            </w:r>
          </w:p>
          <w:p w14:paraId="7DABED3A" w14:textId="62C07FD0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tőkeáttételi mutató számításához használt kitettségérték azon eszközök esetében, amelyek a CRR 129. cikke szerinti fedezett kötvények formájában fennálló, sztenderd módszer szerinti kitettségek. </w:t>
            </w:r>
          </w:p>
          <w:p w14:paraId="1426D45B" w14:textId="0DF44122" w:rsidR="00086A8A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56ECC5B8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7B311B6" w14:textId="2F59A0E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{0080;0020}</w:t>
            </w:r>
          </w:p>
        </w:tc>
        <w:tc>
          <w:tcPr>
            <w:tcW w:w="7406" w:type="dxa"/>
            <w:shd w:val="clear" w:color="auto" w:fill="FFFFFF"/>
          </w:tcPr>
          <w:p w14:paraId="7BBB17AE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Fedezett kötvények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IRB-kitettségek</w:t>
            </w:r>
          </w:p>
          <w:p w14:paraId="31EFC20D" w14:textId="6E735E69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tőkeáttételi mutató számításához használt kitettségérték azon eszközök esetében, amelyek a CRR 161. cikke (1) bekezdésének d) pontja szerinti fedezett kötvények formájában fennálló, IRB módszer szerinti kitettségek.</w:t>
            </w:r>
          </w:p>
          <w:p w14:paraId="69149D8B" w14:textId="5AF9D0AA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1CBCAE59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46A1715" w14:textId="2259578F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{0080;0030}</w:t>
            </w:r>
          </w:p>
        </w:tc>
        <w:tc>
          <w:tcPr>
            <w:tcW w:w="7406" w:type="dxa"/>
            <w:shd w:val="clear" w:color="auto" w:fill="FFFFFF"/>
          </w:tcPr>
          <w:p w14:paraId="05046869" w14:textId="5880D72C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Fedezett kötvények – RWEA – SA-kitettségek</w:t>
            </w:r>
          </w:p>
          <w:p w14:paraId="6C4B05A8" w14:textId="3CC6E09A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Azon eszközök kockázattal súlyozott kitettségértéke, amelyek a CRR 129. cikke szerinti fedezett kötvények formájában fennálló, sztenderd módszer szerinti kitettségek.</w:t>
            </w:r>
          </w:p>
          <w:p w14:paraId="44B63283" w14:textId="34A33B6E" w:rsidR="00086A8A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49349EC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D794F3F" w14:textId="2F016AE6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{0080;0040}</w:t>
            </w:r>
          </w:p>
        </w:tc>
        <w:tc>
          <w:tcPr>
            <w:tcW w:w="7406" w:type="dxa"/>
            <w:shd w:val="clear" w:color="auto" w:fill="FFFFFF"/>
          </w:tcPr>
          <w:p w14:paraId="513DAEE1" w14:textId="752BA960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Fedezett kötvények – RWEA – IRB-kitettségek</w:t>
            </w:r>
          </w:p>
          <w:p w14:paraId="466ABC6A" w14:textId="52C506D9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Azon eszközök kockázattal súlyozott kitettségértéke, amelyek a CRR 161. cikke (1) bekezdésének d) pontja szerinti fedezett kötvények formájában fennálló, IRB módszer szerinti kitettségek.</w:t>
            </w:r>
          </w:p>
          <w:p w14:paraId="64310FB6" w14:textId="6BA49164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Az intézményeknek az IRB módszer szerinti nemteljesítő kitettségek nélküli értéket kell feltüntetniük.</w:t>
            </w:r>
          </w:p>
        </w:tc>
      </w:tr>
      <w:tr w:rsidR="002A54FF" w:rsidRPr="00E75BB8" w14:paraId="00C56CBD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2BCBE3F" w14:textId="6D5D74E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{0090;0010}</w:t>
            </w:r>
          </w:p>
        </w:tc>
        <w:tc>
          <w:tcPr>
            <w:tcW w:w="7406" w:type="dxa"/>
            <w:shd w:val="clear" w:color="auto" w:fill="FFFFFF"/>
          </w:tcPr>
          <w:p w14:paraId="7C0C026C" w14:textId="236A8C03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Kormányzatként kezelt kitettségek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SA-kitettségek</w:t>
            </w:r>
          </w:p>
          <w:p w14:paraId="0909B157" w14:textId="2673F018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{0100,0010} – {0130,0010} mezők összege.</w:t>
            </w:r>
          </w:p>
          <w:p w14:paraId="144D9E7A" w14:textId="795F478B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312BA98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30E94DE7" w14:textId="72315A8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{0090;0020}</w:t>
            </w:r>
          </w:p>
        </w:tc>
        <w:tc>
          <w:tcPr>
            <w:tcW w:w="7406" w:type="dxa"/>
            <w:shd w:val="clear" w:color="auto" w:fill="FFFFFF"/>
          </w:tcPr>
          <w:p w14:paraId="015E5616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Kormányzatként kezelt kitettségek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IRB-kitettségek</w:t>
            </w:r>
          </w:p>
          <w:p w14:paraId="361C00EC" w14:textId="191A9CA8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{0100,0020} – {0130,0020} mezők összege.</w:t>
            </w:r>
          </w:p>
          <w:p w14:paraId="4CE96745" w14:textId="2CF889E3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0C1D337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3140D6A" w14:textId="181D4B9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{0090;0030}</w:t>
            </w:r>
          </w:p>
        </w:tc>
        <w:tc>
          <w:tcPr>
            <w:tcW w:w="7406" w:type="dxa"/>
            <w:shd w:val="clear" w:color="auto" w:fill="FFFFFF"/>
          </w:tcPr>
          <w:p w14:paraId="63538621" w14:textId="36E91980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Kormányzatként kezelt kitettségek – RWEA – SA-kitettségek</w:t>
            </w:r>
          </w:p>
          <w:p w14:paraId="2FE3A5A6" w14:textId="0A48A5C7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{0100,0030} – {0130,0030} mezők összege.</w:t>
            </w:r>
          </w:p>
          <w:p w14:paraId="576656CF" w14:textId="7109E0FD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6675B4A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74B53A3" w14:textId="5AEDFC5A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{0090;0040}</w:t>
            </w:r>
          </w:p>
        </w:tc>
        <w:tc>
          <w:tcPr>
            <w:tcW w:w="7406" w:type="dxa"/>
            <w:shd w:val="clear" w:color="auto" w:fill="FFFFFF"/>
          </w:tcPr>
          <w:p w14:paraId="7FD46908" w14:textId="76F6E52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Kormányzatként kezelt kitettségek – RWEA – IRB-kitettségek</w:t>
            </w:r>
          </w:p>
          <w:p w14:paraId="0EE39545" w14:textId="4A51FB51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{0100,0040} – {0130,0040} mezők összege.</w:t>
            </w:r>
          </w:p>
          <w:p w14:paraId="21E4ED70" w14:textId="10D77DF8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7DDC06E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C9F879D" w14:textId="3D24C7C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{0100;0010}</w:t>
            </w:r>
          </w:p>
        </w:tc>
        <w:tc>
          <w:tcPr>
            <w:tcW w:w="7406" w:type="dxa"/>
            <w:shd w:val="clear" w:color="auto" w:fill="FFFFFF"/>
          </w:tcPr>
          <w:p w14:paraId="1F2266EE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Központi kormányzatok és központi bankok –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tőkeáttételi mutató számításához használt kitettségérték – SA-kitettségek</w:t>
            </w:r>
          </w:p>
          <w:p w14:paraId="6613A997" w14:textId="36083EA1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tőkeáttételi mutató számításához használt kitettségérték azon eszközök esetében, amelyek a CRR 114. cikke szerinti, központi kormányzatokkal vagy központi bankokkal szembeni, sztenderd módszer szerinti kitettségek.</w:t>
            </w:r>
          </w:p>
          <w:p w14:paraId="7F55138D" w14:textId="75576E6B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0B4E6569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D0291ED" w14:textId="3AD0608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{0100;0020}</w:t>
            </w:r>
          </w:p>
        </w:tc>
        <w:tc>
          <w:tcPr>
            <w:tcW w:w="7406" w:type="dxa"/>
            <w:shd w:val="clear" w:color="auto" w:fill="FFFFFF"/>
          </w:tcPr>
          <w:p w14:paraId="66A53D96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Központi kormányzatok és központi bankok –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tőkeáttételi mutató számításához használt kitettségérték – IRB-kitettségek</w:t>
            </w:r>
          </w:p>
          <w:p w14:paraId="517FD145" w14:textId="3C9D8E20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tőkeáttételi mutató számításához használt kitettségérték azon eszközök esetében, amelyek a CRR 147. cikke (2) bekezdésének a) pontja szerinti, központi kormányzatokkal vagy központi bankokkal szembeni, sztender</w:t>
            </w:r>
            <w:r w:rsidR="00BD311B">
              <w:rPr>
                <w:rFonts w:ascii="Times New Roman" w:hAnsi="Times New Roman"/>
                <w:bCs/>
                <w:sz w:val="24"/>
                <w:szCs w:val="24"/>
              </w:rPr>
              <w:t>d módszer szerinti kitettségek.</w:t>
            </w:r>
          </w:p>
          <w:p w14:paraId="0885AD1A" w14:textId="0035770A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Az intézményeknek az IRB módszer szerinti nemteljesítő kitettségek nélküli értéket kell feltüntetniük.</w:t>
            </w:r>
          </w:p>
        </w:tc>
      </w:tr>
      <w:tr w:rsidR="002A54FF" w:rsidRPr="00E75BB8" w14:paraId="73380BA6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9953201" w14:textId="4A0778F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{0100;0030}</w:t>
            </w:r>
          </w:p>
        </w:tc>
        <w:tc>
          <w:tcPr>
            <w:tcW w:w="7406" w:type="dxa"/>
            <w:shd w:val="clear" w:color="auto" w:fill="FFFFFF"/>
          </w:tcPr>
          <w:p w14:paraId="26718359" w14:textId="1E245CA7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Központi kormányzatok és központi bankok – RWEA – SA-kitettségek</w:t>
            </w:r>
          </w:p>
          <w:p w14:paraId="1057171E" w14:textId="740337FA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kockázattal súlyozott kitettségérték azon eszközök esetében, amelyek a CRR 114. cikke szerinti, központi kormányzatokkal vagy központi bankokkal szembeni, sztenderd módszer szerinti kitettségek.</w:t>
            </w:r>
          </w:p>
          <w:p w14:paraId="47506B7A" w14:textId="150E5BC3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4C792316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823C176" w14:textId="2320977D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{0100;0040}</w:t>
            </w:r>
          </w:p>
        </w:tc>
        <w:tc>
          <w:tcPr>
            <w:tcW w:w="7406" w:type="dxa"/>
            <w:shd w:val="clear" w:color="auto" w:fill="FFFFFF"/>
          </w:tcPr>
          <w:p w14:paraId="1EC1A3E9" w14:textId="34606682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Központi kormányzatok és központi bankok – RWEA – IRB-kitettségek</w:t>
            </w:r>
          </w:p>
          <w:p w14:paraId="47A75B9C" w14:textId="3A875AB8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kockázattal súlyozott kitettségérték azon eszközök esetében, amelyek a CRR 147. cikke (2) bekezdésének a) pontja szerinti, központi kormányzatokkal vagy központi bankokkal szembeni, IRB módszer szerinti kitettségek.</w:t>
            </w:r>
          </w:p>
          <w:p w14:paraId="58C303E4" w14:textId="75B02A12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7B8E2851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E43D3FD" w14:textId="0F5E5E7C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{0110;0010}</w:t>
            </w:r>
          </w:p>
        </w:tc>
        <w:tc>
          <w:tcPr>
            <w:tcW w:w="7406" w:type="dxa"/>
            <w:shd w:val="clear" w:color="auto" w:fill="FFFFFF"/>
          </w:tcPr>
          <w:p w14:paraId="0A9C6204" w14:textId="024ADD98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Kormányzatként kezelt regionális kormányzatok és helyi hatóságok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SA-kitettségek</w:t>
            </w:r>
          </w:p>
          <w:p w14:paraId="5294E5EC" w14:textId="0D23B6CF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tőkeáttételi mutató számításához használt kitettségérték azon eszközök esetében, amelyek a CRR 115. cikkének (2) és (4) bekezdése szerinti, kormányzatként kezelt regionális kormányzatokkal és helyi hatóságokkal szembeni, sztenderd módszer szerinti kitettségek.</w:t>
            </w:r>
          </w:p>
          <w:p w14:paraId="42456706" w14:textId="2E28EB95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1964D3A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7ADB526" w14:textId="2E034212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{0110;0020}</w:t>
            </w:r>
          </w:p>
        </w:tc>
        <w:tc>
          <w:tcPr>
            <w:tcW w:w="7406" w:type="dxa"/>
            <w:shd w:val="clear" w:color="auto" w:fill="FFFFFF"/>
          </w:tcPr>
          <w:p w14:paraId="7E0B20E2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Kormányzatként kezelt regionális kormányzatok és helyi hatóságok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IRB-kitettségek</w:t>
            </w:r>
          </w:p>
          <w:p w14:paraId="02346C27" w14:textId="72E28F6E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tőkeáttételi mutató számításához használt kitettségérték azon eszközök esetében, amelyek a CRR 147. cikke (3) bekezdésének a) pontja szerinti, regionális kormányzatokkal és helyi hatóságokkal szembeni, IRB módszer szerinti kitettségek.</w:t>
            </w:r>
          </w:p>
          <w:p w14:paraId="3496D48C" w14:textId="78A55785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2038F08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C19855D" w14:textId="4D9B42F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{0110;0030}</w:t>
            </w:r>
          </w:p>
        </w:tc>
        <w:tc>
          <w:tcPr>
            <w:tcW w:w="7406" w:type="dxa"/>
            <w:shd w:val="clear" w:color="auto" w:fill="FFFFFF"/>
          </w:tcPr>
          <w:p w14:paraId="0A1E21BF" w14:textId="5863EAF2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Kormányzatként kezelt regionális kormányzatok és helyi hatóságok – RWEA – SA-kitettségek</w:t>
            </w:r>
          </w:p>
          <w:p w14:paraId="38C283FD" w14:textId="7A1B88C4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 kockázattal súlyozott kitettségérték azon eszközök esetében, amelyek a CRR 115. cikkének (2) és (4) bekezdése szerinti, kormányzatként kezelt regionális kormányzatokkal és helyi hatóságokkal szembeni, sztenderd módszer szerinti kitettségek.</w:t>
            </w:r>
          </w:p>
          <w:p w14:paraId="6D7AEF3D" w14:textId="0D5AC65C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5BE41E6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370E83A" w14:textId="1FE63232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{0110;0040}</w:t>
            </w:r>
          </w:p>
        </w:tc>
        <w:tc>
          <w:tcPr>
            <w:tcW w:w="7406" w:type="dxa"/>
            <w:shd w:val="clear" w:color="auto" w:fill="FFFFFF"/>
          </w:tcPr>
          <w:p w14:paraId="0A1135F8" w14:textId="6E787456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Kormányzatként kezelt regionális kormányzatok és helyi hatóságok – RWEA – IRB-kitettségek</w:t>
            </w:r>
          </w:p>
          <w:p w14:paraId="099D799F" w14:textId="7F8E67AE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kockázattal súlyozott kitettségérték azon eszközök esetében, amelyek a CRR 147. cikke (3) bekezdésének a) pontja szerinti, regionális kormányzatokkal és helyi hatóságokkal szembeni, IRB módszer szerinti kitettségek. </w:t>
            </w:r>
          </w:p>
          <w:p w14:paraId="77DFB307" w14:textId="152C7BA5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4E6380BD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96E85C5" w14:textId="5E9760D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{0120;0010}</w:t>
            </w:r>
          </w:p>
        </w:tc>
        <w:tc>
          <w:tcPr>
            <w:tcW w:w="7406" w:type="dxa"/>
            <w:shd w:val="clear" w:color="auto" w:fill="FFFFFF"/>
          </w:tcPr>
          <w:p w14:paraId="4E16BD03" w14:textId="66901F1D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Kormányzatként kezelt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multilaterális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fejlesztési bankok és nemzetközi szervezetek – A tőkeáttételi mutató számításához használt kitettségérték – SA-kitettségek</w:t>
            </w:r>
          </w:p>
          <w:p w14:paraId="595E0D3B" w14:textId="420681E3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tőkeáttételi mutató számításához használt kitettségérték azon eszközök esetében, amelyek a CRR 117. cikkének (2) bekezdése és 118. cikke szerinti,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multilaterális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bankokkal és nemzetközi szervezetekkel szembeni, sztenderd módszer szerinti kitettségek. </w:t>
            </w:r>
          </w:p>
          <w:p w14:paraId="4013B069" w14:textId="0EB1BFF4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26302257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A4EAF45" w14:textId="12E4FA7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{0120;0020}</w:t>
            </w:r>
          </w:p>
        </w:tc>
        <w:tc>
          <w:tcPr>
            <w:tcW w:w="7406" w:type="dxa"/>
            <w:shd w:val="clear" w:color="auto" w:fill="FFFFFF"/>
          </w:tcPr>
          <w:p w14:paraId="76A1CB53" w14:textId="541DA8FD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Kormányzatként kezelt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multilaterális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fejlesztési bankok és nemzetközi szervezetek – A tőkeáttételi mutató számításához használt kitettségérték – IRB-kitettségek</w:t>
            </w:r>
          </w:p>
          <w:p w14:paraId="3802319A" w14:textId="10E8D85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tőkeáttételi mutató számításához használt kitettségérték azon eszközök esetében, amelyek a CRR 147. cikke (3) bekezdésének b) és c) pontja szerinti,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multilaterális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bankokkal és nemzetközi szervezetekkel szembeni, IRB módszer szerinti kitettségek.</w:t>
            </w:r>
          </w:p>
          <w:p w14:paraId="4070105A" w14:textId="4FC040B2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3B2553E8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FA22EB0" w14:textId="05DF8D9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{0120;0030}</w:t>
            </w:r>
          </w:p>
        </w:tc>
        <w:tc>
          <w:tcPr>
            <w:tcW w:w="7406" w:type="dxa"/>
            <w:shd w:val="clear" w:color="auto" w:fill="FFFFFF"/>
          </w:tcPr>
          <w:p w14:paraId="297278EC" w14:textId="1D7EC442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Kormányzatként kezelt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multilaterális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fejlesztési bankok és nemzetközi szervezetek – RWEA – SA-kitettségek</w:t>
            </w:r>
          </w:p>
          <w:p w14:paraId="37FB9B14" w14:textId="233BD86B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kockázattal súlyozott kitettségérték azon eszközök esetében, amelyek a CRR 117. cikkének (2) bekezdése és 118. cikke szerinti,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multilaterális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bankokkal és nemzetközi szervezetekkel szembeni, sztenderd módszer szerinti kitettségek.</w:t>
            </w:r>
          </w:p>
          <w:p w14:paraId="21D9C9F4" w14:textId="49EA3C70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Az intézményeknek a sztenderd módszer szerinti nemteljesítő kitettségek nélküli értéket kell feltüntetniük.</w:t>
            </w:r>
          </w:p>
        </w:tc>
      </w:tr>
      <w:tr w:rsidR="002A54FF" w:rsidRPr="00E75BB8" w14:paraId="57DE532D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210C2F3" w14:textId="0756556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{1020;0040}</w:t>
            </w:r>
          </w:p>
        </w:tc>
        <w:tc>
          <w:tcPr>
            <w:tcW w:w="7406" w:type="dxa"/>
            <w:shd w:val="clear" w:color="auto" w:fill="FFFFFF"/>
          </w:tcPr>
          <w:p w14:paraId="25AE3663" w14:textId="3A1D7E0A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Kormányzatként kezelt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multilaterális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fejlesztési bankok és nemzetközi szervezetek – RWEA – IRB-kitettségek</w:t>
            </w:r>
          </w:p>
          <w:p w14:paraId="0A7C504F" w14:textId="187907F2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kockázattal súlyozott kitettségérték azon eszközök esetében, amelyek a CRR 147. cikke (3) bekezdésének b) és c) pontja szerinti,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multilaterális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bankokkal és nemzetközi szervezetekkel szembeni, IRB módszer szerinti kitettségek.</w:t>
            </w:r>
          </w:p>
          <w:p w14:paraId="4B60B3CB" w14:textId="76329F3C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231E48A1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729DCCA" w14:textId="1813ABC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{0130;0010}</w:t>
            </w:r>
          </w:p>
        </w:tc>
        <w:tc>
          <w:tcPr>
            <w:tcW w:w="7406" w:type="dxa"/>
            <w:shd w:val="clear" w:color="auto" w:fill="FFFFFF"/>
          </w:tcPr>
          <w:p w14:paraId="03377C61" w14:textId="0F13B636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Kormányzatként kezelt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intézmények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SA-kitettségek</w:t>
            </w:r>
          </w:p>
          <w:p w14:paraId="7D8203A3" w14:textId="02420160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tőkeáttételi mutató számításához használt kitettségérték azon eszközök esetében, amelyek a CRR 116. cikkének (4) bekezdése szerinti,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intézményekkel szembeni, sztenderd módszer szerinti kitettségek.</w:t>
            </w:r>
          </w:p>
          <w:p w14:paraId="4AA47B62" w14:textId="393B657D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3CE3539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BD4FCC9" w14:textId="4A185F0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{0130;0020}</w:t>
            </w:r>
          </w:p>
        </w:tc>
        <w:tc>
          <w:tcPr>
            <w:tcW w:w="7406" w:type="dxa"/>
            <w:shd w:val="clear" w:color="auto" w:fill="FFFFFF"/>
          </w:tcPr>
          <w:p w14:paraId="3B63499B" w14:textId="36B14D4C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Kormányzatként kezelt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intézmények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IRB-kitettségek</w:t>
            </w:r>
          </w:p>
          <w:p w14:paraId="6B0B91A7" w14:textId="4AEF21C5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tőkeáttételi mutató számításához használt kitettségérték azon eszközök esetében, amelyek a CRR 147. cikkének (3) bekezdése szerinti,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intézményekkel szembeni, IRB módszer szerinti kitettségek.</w:t>
            </w:r>
          </w:p>
          <w:p w14:paraId="359554CF" w14:textId="52EF4F24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66BBD64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80B22F1" w14:textId="38F1137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{0130;0030}</w:t>
            </w:r>
          </w:p>
        </w:tc>
        <w:tc>
          <w:tcPr>
            <w:tcW w:w="7406" w:type="dxa"/>
            <w:shd w:val="clear" w:color="auto" w:fill="FFFFFF"/>
          </w:tcPr>
          <w:p w14:paraId="1DD3711A" w14:textId="41BC0A58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Kormányzatként kezelt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intézmények – RWEA – SA-kitettségek</w:t>
            </w:r>
          </w:p>
          <w:p w14:paraId="53A6C1B8" w14:textId="65E5ABE1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kockázattal súlyozott kitettségérték azon eszközök esetében, amelyek a CRR 116. cikkének (4) bekezdése szerinti,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intézményekkel szembeni, sztenderd módszer szerinti kitettségek.</w:t>
            </w:r>
          </w:p>
          <w:p w14:paraId="432B1470" w14:textId="36FFD5BE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6BE8DD3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F17D6C7" w14:textId="60A1BB8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{0130;0040}</w:t>
            </w:r>
          </w:p>
        </w:tc>
        <w:tc>
          <w:tcPr>
            <w:tcW w:w="7406" w:type="dxa"/>
            <w:shd w:val="clear" w:color="auto" w:fill="FFFFFF"/>
          </w:tcPr>
          <w:p w14:paraId="60977598" w14:textId="37A519F1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Kormányzatként kezelt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intézmények – RWEA – IRB-kitettségek</w:t>
            </w:r>
          </w:p>
          <w:p w14:paraId="0EAECD4A" w14:textId="08F6B311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A kockázattal súlyozott kitettségérték azon eszközök esetében, amelyek a CRR 147. cikkének (3) bekezdése szerinti,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intézményekkel szembeni, IRB módszer szerinti kitettségek.</w:t>
            </w:r>
          </w:p>
          <w:p w14:paraId="05B42B2C" w14:textId="7B404A8B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35BDD4D3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F7AB96E" w14:textId="4B2E707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{0140;0010}</w:t>
            </w:r>
          </w:p>
        </w:tc>
        <w:tc>
          <w:tcPr>
            <w:tcW w:w="7406" w:type="dxa"/>
            <w:shd w:val="clear" w:color="auto" w:fill="FFFFFF"/>
          </w:tcPr>
          <w:p w14:paraId="68676BE2" w14:textId="6C78BF9D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Nem kormányzatként kezelt regionális kormányzatokkal,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multilaterális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fejlesztési bankokkal, nemzetközi szervezetekkel és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intézményekkel szembeni kitettségek – A tőkeáttételi mutató számításához használt kitettségérték – SA-kitettségek</w:t>
            </w:r>
          </w:p>
          <w:p w14:paraId="16F7D104" w14:textId="442558D1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{0150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} – {0170;0010} mezők összege.</w:t>
            </w:r>
          </w:p>
          <w:p w14:paraId="56668309" w14:textId="21D6A0F4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2401556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E9A7359" w14:textId="71A72E6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{0140;0020}</w:t>
            </w:r>
          </w:p>
        </w:tc>
        <w:tc>
          <w:tcPr>
            <w:tcW w:w="7406" w:type="dxa"/>
            <w:shd w:val="clear" w:color="auto" w:fill="FFFFFF"/>
          </w:tcPr>
          <w:p w14:paraId="16480F3A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Nem kormányzatként kezelt regionális kormányzatokkal,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multilaterális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fejlesztési bankokkal, nemzetközi szervezetekkel és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intézményekkel szembeni kitettségek – A tőkeáttételi mutató számításához használt kitettségérték – IRB-kitettségek</w:t>
            </w:r>
          </w:p>
          <w:p w14:paraId="01EFE154" w14:textId="37156240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{0150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;0020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} – {0170;0020} mezők összege.</w:t>
            </w:r>
          </w:p>
          <w:p w14:paraId="4BA214B6" w14:textId="386C4F7E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32DCABED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6236D8C3" w14:textId="2D8D1C9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{0140;0030}</w:t>
            </w:r>
          </w:p>
        </w:tc>
        <w:tc>
          <w:tcPr>
            <w:tcW w:w="7406" w:type="dxa"/>
            <w:shd w:val="clear" w:color="auto" w:fill="FFFFFF"/>
          </w:tcPr>
          <w:p w14:paraId="6D26AA72" w14:textId="198DF378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Nem kormányzatként kezelt regionális kormányzatokkal,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multilaterális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fejlesztési bankokkal, nemzetközi szervezetekkel és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intézményekkel szembeni kitettségek – RWEA – SA-kitettségek</w:t>
            </w:r>
          </w:p>
          <w:p w14:paraId="001A76CB" w14:textId="449CD518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{0150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;0030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} – {0170;0030} mezők összege.</w:t>
            </w:r>
          </w:p>
          <w:p w14:paraId="0666DA98" w14:textId="42DCAEA8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19788CF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6BC83A9" w14:textId="067E360C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{0140;0040}</w:t>
            </w:r>
          </w:p>
        </w:tc>
        <w:tc>
          <w:tcPr>
            <w:tcW w:w="7406" w:type="dxa"/>
            <w:shd w:val="clear" w:color="auto" w:fill="FFFFFF"/>
          </w:tcPr>
          <w:p w14:paraId="28502CF8" w14:textId="27254544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Nem kormányzatként kezelt regionális kormányzatokkal,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multilaterális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fejlesztési bankokkal, nemzetközi szervezetekkel és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intézményekkel szembeni kitettségek – RWEA – IRB-kitettségek</w:t>
            </w:r>
          </w:p>
          <w:p w14:paraId="26D9E4F6" w14:textId="3F28B51E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{0150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;0040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} – {0170;0040} mezők összege.</w:t>
            </w:r>
          </w:p>
          <w:p w14:paraId="6B0E2A45" w14:textId="73754F98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7FF2685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0C55306" w14:textId="22F05799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{0150;0010}</w:t>
            </w:r>
          </w:p>
        </w:tc>
        <w:tc>
          <w:tcPr>
            <w:tcW w:w="7406" w:type="dxa"/>
            <w:shd w:val="clear" w:color="auto" w:fill="FFFFFF"/>
          </w:tcPr>
          <w:p w14:paraId="6E882A95" w14:textId="42A5BAAA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Nem kormányzatként kezelt regionális kormányzatok és helyi hatóságok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SA-kitettségek</w:t>
            </w:r>
          </w:p>
          <w:p w14:paraId="5997608A" w14:textId="4001C2D8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 tőkeáttételi mutató számításához használt kitettségérték azon eszközök esetében, amelyek a CRR 115. cikkének (1), (3) és (5) bekezdése szerinti, nem kormányzatként kezelt regionális kormányzatokkal és helyi hatóságokkal szembeni, sztenderd módszer szerinti kitettségek.</w:t>
            </w:r>
          </w:p>
          <w:p w14:paraId="2E409DCC" w14:textId="6CDA3B78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1422BA43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19A75AE" w14:textId="3BC5962F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{0150;0020}</w:t>
            </w:r>
          </w:p>
        </w:tc>
        <w:tc>
          <w:tcPr>
            <w:tcW w:w="7406" w:type="dxa"/>
            <w:shd w:val="clear" w:color="auto" w:fill="FFFFFF"/>
          </w:tcPr>
          <w:p w14:paraId="6DA1492F" w14:textId="77777777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Nem kormányzatként kezelt regionális kormányzatok és helyi hatóságok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IRB-kitettségek</w:t>
            </w:r>
          </w:p>
          <w:p w14:paraId="05330C07" w14:textId="0B2863D5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tőkeáttételi mutató számításához használt kitettségérték azon eszközök esetében, amelyek a CRR 147. cikke (4) bekezdésének a) pontja szerinti, nem kormányzatként kezelt regionális kormányzatokkal és helyi hatóságokkal szembeni, IRB módszer szerinti kitettségek.</w:t>
            </w:r>
          </w:p>
          <w:p w14:paraId="64866D79" w14:textId="278A91F6" w:rsidR="00F4754B" w:rsidRPr="000B66BC" w:rsidDel="00F559E6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intézményeknek az IRB módszer szerinti nemteljesítő kitettségek nélküli értéket kell feltüntetniük. </w:t>
            </w:r>
          </w:p>
        </w:tc>
      </w:tr>
      <w:tr w:rsidR="002A54FF" w:rsidRPr="00E75BB8" w14:paraId="49B34BA3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350671F" w14:textId="6CF3F1D2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{0150;0030}</w:t>
            </w:r>
          </w:p>
        </w:tc>
        <w:tc>
          <w:tcPr>
            <w:tcW w:w="7406" w:type="dxa"/>
            <w:shd w:val="clear" w:color="auto" w:fill="FFFFFF"/>
          </w:tcPr>
          <w:p w14:paraId="0E90CE61" w14:textId="6590FBE6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Nem kormányzatként kezelt regionális kormányzatok és helyi hatóságok – RWEA – SA-kitettségek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C1281BF" w14:textId="0A0E4AF6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kockázattal súlyozott kitettségérték azon eszközök esetében, amelyek a CRR 115. cikkének (1), (3) és (5) bekezdése szerinti, nem kormányzatként kezelt regionális kormányzatokkal és helyi hatóságokkal szembeni, sztenderd módszer szerinti kitettségek.</w:t>
            </w:r>
          </w:p>
          <w:p w14:paraId="594F13B1" w14:textId="615E6282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218100D8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E6979FD" w14:textId="4EA4998C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{0150;0040}</w:t>
            </w:r>
          </w:p>
        </w:tc>
        <w:tc>
          <w:tcPr>
            <w:tcW w:w="7406" w:type="dxa"/>
            <w:shd w:val="clear" w:color="auto" w:fill="FFFFFF"/>
          </w:tcPr>
          <w:p w14:paraId="2F79CD95" w14:textId="1BA3728B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Nem kormányzatként kezelt regionális kormányzatok és helyi hatóságok – RWEA – IRB-kitettségek</w:t>
            </w:r>
          </w:p>
          <w:p w14:paraId="51863919" w14:textId="7CF5F655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kockázattal súlyozott kitettségérték azon eszközök esetében, amelyek a CRR 147. cikke (4) bekezdésének a) pontja szerinti, nem kormányzatként kezelt regionális kormányzatokkal és helyi hatóságokkal szembeni, IRB módszer szerinti kitettségek.</w:t>
            </w:r>
          </w:p>
          <w:p w14:paraId="2CE67E1E" w14:textId="02F8044F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237E8E2D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6D0A1DEE" w14:textId="580C324A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{0160;0010}</w:t>
            </w:r>
          </w:p>
        </w:tc>
        <w:tc>
          <w:tcPr>
            <w:tcW w:w="7406" w:type="dxa"/>
            <w:shd w:val="clear" w:color="auto" w:fill="FFFFFF"/>
          </w:tcPr>
          <w:p w14:paraId="382B2DE5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Nem kormányzatként kezelt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multilaterális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fejlesztési bankok – A tőkeáttételi mutató számításához használt kitettségérték – SA-kitettségek</w:t>
            </w:r>
          </w:p>
          <w:p w14:paraId="07928584" w14:textId="7FC9EDB0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tőkeáttételi mutató számításához használt kitettségérték azon eszközök esetében, amelyek a CRR 117. cikkének (1) és (3) bekezdése szerinti,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multilaterális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bankokkal szembeni, sztenderd módszer szerinti kitettségek. </w:t>
            </w:r>
          </w:p>
          <w:p w14:paraId="01E4041D" w14:textId="00B0727A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Az intézményeknek a sztenderd módszer szerinti nemteljesítő kitettségek nélküli értéket kell feltüntetniük.</w:t>
            </w:r>
          </w:p>
        </w:tc>
      </w:tr>
      <w:tr w:rsidR="002A54FF" w:rsidRPr="00E75BB8" w14:paraId="62B19F9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9210C52" w14:textId="06EBFC79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{0160;0020}</w:t>
            </w:r>
          </w:p>
        </w:tc>
        <w:tc>
          <w:tcPr>
            <w:tcW w:w="7406" w:type="dxa"/>
            <w:shd w:val="clear" w:color="auto" w:fill="FFFFFF"/>
          </w:tcPr>
          <w:p w14:paraId="13E28A92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Nem kormányzatként kezelt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multilaterális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fejlesztési bankok – A tőkeáttételi mutató számításához használt kitettségérték – IRB-kitettségek</w:t>
            </w:r>
          </w:p>
          <w:p w14:paraId="6D2C0352" w14:textId="0C246E57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tőkeáttételi mutató számításához használt kitettségérték azon eszközök esetében, amelyek a CRR 147. cikke (4) bekezdésének c) pontja szerinti, nem kormányzatként kezelt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multilaterális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bankokkal szembeni, IRB módszer szerinti kitettségek.</w:t>
            </w:r>
          </w:p>
          <w:p w14:paraId="74CFCB27" w14:textId="063441C0" w:rsidR="009C4E79" w:rsidRPr="000B66BC" w:rsidDel="009A4B38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3B7489D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3451B08" w14:textId="0717E11A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{0160;0030}</w:t>
            </w:r>
          </w:p>
        </w:tc>
        <w:tc>
          <w:tcPr>
            <w:tcW w:w="7406" w:type="dxa"/>
            <w:shd w:val="clear" w:color="auto" w:fill="FFFFFF"/>
          </w:tcPr>
          <w:p w14:paraId="1D2AE94F" w14:textId="3A23504D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Nem kormányzatként kezelt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multilaterális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fejlesztési bankok – RWEA – SA-kitettségek</w:t>
            </w:r>
          </w:p>
          <w:p w14:paraId="4B127308" w14:textId="6CA9C609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kockázattal súlyozott kitettségérték azon eszközök esetében, amelyek a CRR 117. cikkének (1) és (3) bekezdése szerinti,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multilaterális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bankokkal szembeni, sztenderd módszer szerinti kitettségek.</w:t>
            </w:r>
          </w:p>
          <w:p w14:paraId="6288F6E5" w14:textId="481F4915" w:rsidR="00086A8A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44D6EB6F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0D96829" w14:textId="555FD61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{0160;0040}</w:t>
            </w:r>
          </w:p>
        </w:tc>
        <w:tc>
          <w:tcPr>
            <w:tcW w:w="7406" w:type="dxa"/>
            <w:shd w:val="clear" w:color="auto" w:fill="FFFFFF"/>
          </w:tcPr>
          <w:p w14:paraId="00619AFE" w14:textId="73438BF5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Nem kormányzatként kezelt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multilaterális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fejlesztési bankok – RWEA – IRB-kitettségek</w:t>
            </w:r>
          </w:p>
          <w:p w14:paraId="466ECD88" w14:textId="015D3456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kockázattal súlyozott kitettségérték azon eszközök esetében, amelyek a CRR 147. cikke (4) bekezdésének c) pontja szerinti, nem kormányzatként kezelt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multilaterális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fejlesztési bankokkal szembeni, IRB módszer szerinti kitettségek.</w:t>
            </w:r>
          </w:p>
          <w:p w14:paraId="72DDDF92" w14:textId="6FAD844E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533E38A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412E3DC" w14:textId="71F1E57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{0170;0010}</w:t>
            </w:r>
          </w:p>
        </w:tc>
        <w:tc>
          <w:tcPr>
            <w:tcW w:w="7406" w:type="dxa"/>
            <w:shd w:val="clear" w:color="auto" w:fill="FFFFFF"/>
          </w:tcPr>
          <w:p w14:paraId="63BC1CED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Nem kormányzatként kezelt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intézmények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SA-kitettségek</w:t>
            </w:r>
          </w:p>
          <w:p w14:paraId="3FF6AAF1" w14:textId="6320BCE2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tőkeáttételi mutató számításához használt kitettségérték azon eszközök esetében, amelyek a CRR 116. cikkének (1), (2), (3) és (5) bekezdése szerinti,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intézményekkel szembeni, sztenderd módszer szerinti kitettségek.</w:t>
            </w:r>
          </w:p>
          <w:p w14:paraId="7DF5A169" w14:textId="79FB274E" w:rsidR="000A486B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3A5C3310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510FE52" w14:textId="0733B660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{0170;0020}</w:t>
            </w:r>
          </w:p>
        </w:tc>
        <w:tc>
          <w:tcPr>
            <w:tcW w:w="7406" w:type="dxa"/>
            <w:shd w:val="clear" w:color="auto" w:fill="FFFFFF"/>
          </w:tcPr>
          <w:p w14:paraId="426AE44C" w14:textId="331FC92F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Nem kormányzatként kezelt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intézmények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IRB-kitettségek</w:t>
            </w:r>
          </w:p>
          <w:p w14:paraId="19C4FD72" w14:textId="6575CEA3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tőkeáttételi mutató számításához használt kitettségérték azon eszközök esetében, amelyek a CRR 147. cikke (4) bekezdésének b) pontja szerinti, nem kormányzatként kezelt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intézményekkel szembeni, IRB módszer szerinti kitettségek.</w:t>
            </w:r>
          </w:p>
          <w:p w14:paraId="21D9C4B6" w14:textId="738536C0" w:rsidR="009C4E79" w:rsidRPr="000B66BC" w:rsidDel="00973F19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1BE427F7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E1FC872" w14:textId="1CF85BB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{0170;0030}</w:t>
            </w:r>
          </w:p>
        </w:tc>
        <w:tc>
          <w:tcPr>
            <w:tcW w:w="7406" w:type="dxa"/>
            <w:shd w:val="clear" w:color="auto" w:fill="FFFFFF"/>
          </w:tcPr>
          <w:p w14:paraId="2459C33D" w14:textId="7EE34236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Nem kormányzatként kezelt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intézmények – RWEA – SA-kitettségek</w:t>
            </w:r>
          </w:p>
          <w:p w14:paraId="7ED0D977" w14:textId="58926766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kockázattal súlyozott kitettségérték azon eszközök esetében, amelyek a CRR 116. cikkének (1), (2), (3) és (5) bekezdése szerinti,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intézményekkel szembeni, sztenderd módszer szerinti kitettségek. </w:t>
            </w:r>
          </w:p>
          <w:p w14:paraId="2E4EB0DF" w14:textId="03959371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6C878C4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ADDF71D" w14:textId="4FD509A0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{0170;0040}</w:t>
            </w:r>
          </w:p>
        </w:tc>
        <w:tc>
          <w:tcPr>
            <w:tcW w:w="7406" w:type="dxa"/>
            <w:shd w:val="clear" w:color="auto" w:fill="FFFFFF"/>
          </w:tcPr>
          <w:p w14:paraId="505DD8D8" w14:textId="3ADF1093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Nem kormányzatként kezelt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intézmények – RWEA – IRB-kitettségek</w:t>
            </w:r>
          </w:p>
          <w:p w14:paraId="3B167735" w14:textId="1C46124C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kockázattal súlyozott kitettségérték azon eszközök esetében, amelyek a CRR 147. cikke (4) bekezdésének b) pontja szerinti, nem kormányzatként kezelt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intézményekkel szembeni, IRB módszer szerinti kitettségek. </w:t>
            </w:r>
          </w:p>
          <w:p w14:paraId="786F9A83" w14:textId="4738A295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4C6FA863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71E316D" w14:textId="22F0A69D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{0180;0010}</w:t>
            </w:r>
          </w:p>
        </w:tc>
        <w:tc>
          <w:tcPr>
            <w:tcW w:w="7406" w:type="dxa"/>
            <w:shd w:val="clear" w:color="auto" w:fill="FFFFFF"/>
          </w:tcPr>
          <w:p w14:paraId="4C5AF924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Intézmények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SA-kitettségek</w:t>
            </w:r>
          </w:p>
          <w:p w14:paraId="285DE0DE" w14:textId="62C21813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tőkeáttételi mutató számításához használt kitettségérték azon eszközök esetében, amelyek a CRR 119–121. cikke szerinti, intézményekkel szembeni, sztenderd módszer szerinti kitettségek.</w:t>
            </w:r>
          </w:p>
          <w:p w14:paraId="718668CE" w14:textId="4B228AF6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7F4516F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29BBA0D" w14:textId="3387B1D2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{0180;0020}</w:t>
            </w:r>
          </w:p>
        </w:tc>
        <w:tc>
          <w:tcPr>
            <w:tcW w:w="7406" w:type="dxa"/>
            <w:shd w:val="clear" w:color="auto" w:fill="FFFFFF"/>
          </w:tcPr>
          <w:p w14:paraId="5B3D67A0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Intézmények –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tőkeáttételi mutató számításához használt kitettségérték – IRB-kitettségek</w:t>
            </w:r>
          </w:p>
          <w:p w14:paraId="50027CF2" w14:textId="0739D517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tőkeáttételi mutató számításához használt kitettségérték azon eszközök esetében, amelyek a CRR 147. cikke (2) bekezdésének b) pontja szerinti, intézményekkel szembeni, IRB módszer szerinti kitettségek, és nem a CRR 161. cikke (1) bekezdésének d) pontja szerinti fedezett kötvények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formájában fennálló kitettségek, és nem tartoznak a CRR 147. cikke (4) bekezdése a)–c) pontjának hatályába.</w:t>
            </w:r>
          </w:p>
          <w:p w14:paraId="74D3DFFE" w14:textId="50B07F0A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63DBCD4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8901B11" w14:textId="0DF0567F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{0180;0030}</w:t>
            </w:r>
          </w:p>
        </w:tc>
        <w:tc>
          <w:tcPr>
            <w:tcW w:w="7406" w:type="dxa"/>
            <w:shd w:val="clear" w:color="auto" w:fill="FFFFFF"/>
          </w:tcPr>
          <w:p w14:paraId="6B6B1A57" w14:textId="58330F91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Intézmények – RWEA – SA-kitettségek</w:t>
            </w:r>
          </w:p>
          <w:p w14:paraId="7CE29C3B" w14:textId="1E067881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kockázattal súlyozott kitettségérték azon eszközök esetében, amelyek a CRR 119–121. cikke szerinti, intézményekkel szembeni, sztenderd módszer szerinti kitettségek.</w:t>
            </w:r>
          </w:p>
          <w:p w14:paraId="6FA68F7E" w14:textId="7949A67B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1EFD30DA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25E39D1" w14:textId="03E4A4D2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{0180;0040}</w:t>
            </w:r>
          </w:p>
        </w:tc>
        <w:tc>
          <w:tcPr>
            <w:tcW w:w="7406" w:type="dxa"/>
            <w:shd w:val="clear" w:color="auto" w:fill="FFFFFF"/>
          </w:tcPr>
          <w:p w14:paraId="73DCBC6C" w14:textId="7593C5D5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Intézmények – RWEA – IRB-kitettségek</w:t>
            </w:r>
          </w:p>
          <w:p w14:paraId="5E814575" w14:textId="1984B0AD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kockázattal súlyozott kitettségérték azon eszközök esetében, amelyek a CRR 147. cikke (2) bekezdésének b) pontja szerinti, intézményekkel szembeni, IRB módszer szerinti kitettségek, és nem a CRR 161. cikke (1) bekezdésének d) pontja szerinti fedezett kötvények formájában fennálló kitettségek, és nem tartoznak a CRR 147. cikke (4) bekezdése a)–c) pontjának hatályába.</w:t>
            </w:r>
          </w:p>
          <w:p w14:paraId="1830B0D9" w14:textId="127A9738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3B7F5DF8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247E1A0" w14:textId="091D4A6A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{0190;0010}</w:t>
            </w:r>
          </w:p>
        </w:tc>
        <w:tc>
          <w:tcPr>
            <w:tcW w:w="7406" w:type="dxa"/>
            <w:shd w:val="clear" w:color="auto" w:fill="FFFFFF"/>
          </w:tcPr>
          <w:p w14:paraId="1DB57456" w14:textId="040805EE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Ingatlan-jelzálogjoggal fedezett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SA-kitettségek</w:t>
            </w:r>
          </w:p>
          <w:p w14:paraId="17D67F5E" w14:textId="42D832FC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tőkeáttételi mutató számításához használt kitettségérték azon eszközök esetében, amelyek a CRR 124. cikke szerinti, ingatlan-jelzálogjoggal fedezett, sztenderd módszer szerinti kitettségek.</w:t>
            </w:r>
          </w:p>
          <w:p w14:paraId="4640B57D" w14:textId="7B28B7DF" w:rsidR="000A486B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56FBD00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044B99B" w14:textId="7BA570D9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{0190;0020}</w:t>
            </w:r>
          </w:p>
        </w:tc>
        <w:tc>
          <w:tcPr>
            <w:tcW w:w="7406" w:type="dxa"/>
            <w:shd w:val="clear" w:color="auto" w:fill="FFFFFF"/>
          </w:tcPr>
          <w:p w14:paraId="65802FBC" w14:textId="6422ED68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Ingatlan-jelzálogjoggal fedezett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IRB-kitettségek</w:t>
            </w:r>
          </w:p>
          <w:p w14:paraId="763AB99D" w14:textId="2AFA9150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tőkeáttételi mutató számításához használt kitettségérték azon eszközök esetében, amelyek a CRR 147. cikke (2) bekezdésének c) pontja szerinti, vállalkozásokkal szembeni, IRB módszer szerinti kitettségek, vagy a CRR 147. cikke (2) bekezdésének d) pontja szerinti, lakossággal szembeni kitettségek, ha ezek a kitettségek a CRR 199. cikke (1) bekezdésének a) pontja szerinti ingatlan-jelzálogjoggal fedezettek.</w:t>
            </w:r>
          </w:p>
          <w:p w14:paraId="1A4EAAD1" w14:textId="69A57E6E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502C4EF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5681D38" w14:textId="06E026C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{0190;0030}</w:t>
            </w:r>
          </w:p>
        </w:tc>
        <w:tc>
          <w:tcPr>
            <w:tcW w:w="7406" w:type="dxa"/>
            <w:shd w:val="clear" w:color="auto" w:fill="FFFFFF"/>
          </w:tcPr>
          <w:p w14:paraId="660D9FEE" w14:textId="0CF03009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Ingatlan-jelzálogjoggal fedezett – RWEA – SA-kitettségek</w:t>
            </w:r>
          </w:p>
          <w:p w14:paraId="7FD54199" w14:textId="756F7639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kockázattal súlyozott kitettségérték azon eszközök esetében, amelyek a CRR 124. cikke szerinti, ingatlan-jelzálogjoggal fedezett, sztenderd módszer szerinti kitettségek.</w:t>
            </w:r>
          </w:p>
          <w:p w14:paraId="19AB0004" w14:textId="5017684F" w:rsidR="00086A8A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523C1CD0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EDDB4A4" w14:textId="1F5C8592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{0190;0040}</w:t>
            </w:r>
          </w:p>
        </w:tc>
        <w:tc>
          <w:tcPr>
            <w:tcW w:w="7406" w:type="dxa"/>
            <w:shd w:val="clear" w:color="auto" w:fill="FFFFFF"/>
          </w:tcPr>
          <w:p w14:paraId="2A67D4CA" w14:textId="4683836A" w:rsidR="00F4754B" w:rsidRPr="000B66BC" w:rsidRDefault="00F4754B" w:rsidP="000B66BC">
            <w:pPr>
              <w:pStyle w:val="BodyText1"/>
              <w:tabs>
                <w:tab w:val="left" w:pos="6382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Ingatlan-jelzálogjoggal fedezett – RWEA – IRB-kitettségek</w:t>
            </w:r>
            <w:r>
              <w:tab/>
            </w:r>
          </w:p>
          <w:p w14:paraId="7F2995F6" w14:textId="2D09856D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kockázattal súlyozott kitettségérték azon eszközök esetében, amelyek a CRR 147. cikke (2) bekezdésének c) pontja szerinti, vállalkozásokkal szembeni, IRB módszer szerinti kitettségek, vagy a CRR 147. cikke (2) bekezdésének d) pontja szerinti, lakossággal szembeni kitettségek, ha ezek a kitettségek a CRR 199. cikke (1) bekezdésének a) pontja szerinti ingatlan-jelzálogjoggal fedezettek.</w:t>
            </w:r>
          </w:p>
          <w:p w14:paraId="7586DF94" w14:textId="6150818F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79F6725D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672A2EB4" w14:textId="70F516D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{0200;0010}</w:t>
            </w:r>
          </w:p>
        </w:tc>
        <w:tc>
          <w:tcPr>
            <w:tcW w:w="7406" w:type="dxa"/>
            <w:shd w:val="clear" w:color="auto" w:fill="FFFFFF"/>
          </w:tcPr>
          <w:p w14:paraId="584E92BF" w14:textId="77777777" w:rsidR="00F4754B" w:rsidRPr="000B66BC" w:rsidRDefault="00920DD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ebből: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Lakóingatlan-jelzálogjoggal fedezett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SA-kitettségek</w:t>
            </w:r>
          </w:p>
          <w:p w14:paraId="6D68CB80" w14:textId="6887386B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tőkeáttételi mutató számításához használt kitettségérték azon eszközök esetében, amelyek a CRR 125. cikke szerinti, teljes mértékben lakóingatlan-jelzálogjoggal fedezett, sztenderd módszer szerinti kitettségek.</w:t>
            </w:r>
          </w:p>
          <w:p w14:paraId="76AD85E4" w14:textId="268C492C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29B94991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E8E4168" w14:textId="098FD08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{0200;0020}</w:t>
            </w:r>
          </w:p>
        </w:tc>
        <w:tc>
          <w:tcPr>
            <w:tcW w:w="7406" w:type="dxa"/>
            <w:shd w:val="clear" w:color="auto" w:fill="FFFFFF"/>
          </w:tcPr>
          <w:p w14:paraId="32703B14" w14:textId="77777777" w:rsidR="00F4754B" w:rsidRPr="000B66BC" w:rsidRDefault="00920DD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ebből: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Lakóingatlan-jelzálogjoggal fedezett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IRB-kitettségek</w:t>
            </w:r>
          </w:p>
          <w:p w14:paraId="225F5A50" w14:textId="6EDFF0D4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tőkeáttételi mutató számításához használt kitettségérték azon eszközök esetében, amelyek a CRR 147. cikke (2) bekezdésének c) pontja szerinti, vállalkozásokkal szembeni, IRB módszer szerinti kitettségek, vagy a CRR 147. cikke (2) bekezdésének d) pontja szerinti, lakossággal szembeni kitettségek, ha ezek a kitettségek a CRR 199. cikke (1) bekezdésének a) pontja szerinti lakóingatlan-jelzálogjoggal fedezettek.</w:t>
            </w:r>
          </w:p>
          <w:p w14:paraId="3F187E7D" w14:textId="2026D8AC" w:rsidR="004B064A" w:rsidRPr="000B66BC" w:rsidDel="003A59D6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14374F6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4481671" w14:textId="4931896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{0200;0030}</w:t>
            </w:r>
          </w:p>
        </w:tc>
        <w:tc>
          <w:tcPr>
            <w:tcW w:w="7406" w:type="dxa"/>
            <w:shd w:val="clear" w:color="auto" w:fill="FFFFFF"/>
          </w:tcPr>
          <w:p w14:paraId="1C91D3EE" w14:textId="0C703C50" w:rsidR="00F4754B" w:rsidRPr="000B66BC" w:rsidRDefault="00920DD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ebből: Lakóingatlan-jelzálogjoggal fedezett – RWEA – SA-kitettségek</w:t>
            </w:r>
          </w:p>
          <w:p w14:paraId="2432C156" w14:textId="0D530871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kockázattal súlyozott kitettségérték azon eszközök esetében,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amelyeka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CRR 125. cikke szerinti, teljes mértékben lakóingatlan-jelzálogjoggal fedezett, sztenderd módszer szerinti kitettségek.</w:t>
            </w:r>
          </w:p>
          <w:p w14:paraId="26D9FFCE" w14:textId="4577953E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Az intézményeknek a sztenderd módszer szerinti nemteljesítő kitettségek nélküli értéket kell feltüntetniük.</w:t>
            </w:r>
          </w:p>
        </w:tc>
      </w:tr>
      <w:tr w:rsidR="002A54FF" w:rsidRPr="00E75BB8" w14:paraId="0D3A4E36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8ED62BB" w14:textId="034112B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{0200;0040}</w:t>
            </w:r>
          </w:p>
        </w:tc>
        <w:tc>
          <w:tcPr>
            <w:tcW w:w="7406" w:type="dxa"/>
            <w:shd w:val="clear" w:color="auto" w:fill="FFFFFF"/>
          </w:tcPr>
          <w:p w14:paraId="35F16AA3" w14:textId="7277D856" w:rsidR="00F4754B" w:rsidRPr="000B66BC" w:rsidRDefault="00920DD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ebből: Lakóingatlan-jelzálogjoggal fedezett – RWEA – IRB-kitettségek</w:t>
            </w:r>
          </w:p>
          <w:p w14:paraId="17020383" w14:textId="17A53C39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kockázattal súlyozott kitettségérték azon eszközök esetében, amelyek a CRR 147. cikke (2) bekezdésének c) pontja szerinti, vállalkozásokkal szembeni, IRB módszer szerinti kitettségek, vagy a CRR 147. cikke (2) bekezdésének d) pontja szerinti, lakossággal szembeni kitettségek, ha ezek a kitettségek a CRR 199. cikke (1) bekezdésének a) pontja szerinti lakóingatlan-jelzálogjoggal fedezettek.</w:t>
            </w:r>
          </w:p>
          <w:p w14:paraId="434D72CF" w14:textId="69DE627D" w:rsidR="004250C0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18D713C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0D72D62" w14:textId="3E23070F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{0210;0010}</w:t>
            </w:r>
          </w:p>
        </w:tc>
        <w:tc>
          <w:tcPr>
            <w:tcW w:w="7406" w:type="dxa"/>
            <w:shd w:val="clear" w:color="auto" w:fill="FFFFFF"/>
          </w:tcPr>
          <w:p w14:paraId="29F4D22F" w14:textId="0AFB67CF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Lakossággal szembeni kitettségek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SA-kitettségek</w:t>
            </w:r>
          </w:p>
          <w:p w14:paraId="1C50F3CF" w14:textId="3904223C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tőkeáttételi mutató számításához használt kitettségérték azon eszközök esetében, amelyek a CRR 123. cikke szerinti, lakossággal szembeni, sztenderd módszer szerinti kitettségek.</w:t>
            </w:r>
          </w:p>
          <w:p w14:paraId="467BDCEC" w14:textId="6EA2353B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29E5C489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E1E0B5E" w14:textId="70EE57D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{0210;0020}</w:t>
            </w:r>
          </w:p>
        </w:tc>
        <w:tc>
          <w:tcPr>
            <w:tcW w:w="7406" w:type="dxa"/>
            <w:shd w:val="clear" w:color="auto" w:fill="FFFFFF"/>
          </w:tcPr>
          <w:p w14:paraId="31A6BB5D" w14:textId="22D5A816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Lakossággal szembeni kitettségek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IRB-kitettségek</w:t>
            </w:r>
          </w:p>
          <w:p w14:paraId="2F48B2D6" w14:textId="34AA5863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tőkeáttételi mutató számításához használt kitettségérték azon eszközök esetében, amelyek a CRR 147. cikke (2) bekezdésének d) pontja szerinti, lakossággal szembeni, IRB módszer szerinti kitettségek, ha ezek a kitettségek nem fedezettek a CRR 199. cikke (1) bekezdésének a) pontja szerinti ingatlan-jelzálogjoggal.</w:t>
            </w:r>
          </w:p>
          <w:p w14:paraId="3E24EEB1" w14:textId="56A3B7C1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2494CE48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6EB17324" w14:textId="4693281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{0210;0030}</w:t>
            </w:r>
          </w:p>
        </w:tc>
        <w:tc>
          <w:tcPr>
            <w:tcW w:w="7406" w:type="dxa"/>
            <w:shd w:val="clear" w:color="auto" w:fill="FFFFFF"/>
          </w:tcPr>
          <w:p w14:paraId="289B0ED6" w14:textId="3F634A78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Lakossággal szembeni kitettségek – RWEA – SA-kitettségek</w:t>
            </w:r>
          </w:p>
          <w:p w14:paraId="078B0D1B" w14:textId="61CD5542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kockázattal súlyozott kitettségérték azon eszközök esetében, amelyek a CRR 123. cikke szerinti, lakossággal szembeni, sztenderd módszer szerinti kitettségek.</w:t>
            </w:r>
          </w:p>
          <w:p w14:paraId="32C0AC0A" w14:textId="1D4C9F45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076433D7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BBA610A" w14:textId="7E09D9E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{0210;0040}</w:t>
            </w:r>
          </w:p>
        </w:tc>
        <w:tc>
          <w:tcPr>
            <w:tcW w:w="7406" w:type="dxa"/>
            <w:shd w:val="clear" w:color="auto" w:fill="FFFFFF"/>
          </w:tcPr>
          <w:p w14:paraId="3829C860" w14:textId="1B4CBE35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Lakossággal szembeni kitettségek – RWEA – IRB-kitettségek</w:t>
            </w:r>
          </w:p>
          <w:p w14:paraId="270C61EF" w14:textId="1F86C8D3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kockázattal súlyozott kitettségérték azon eszközök esetében, amelyek a CRR 147. cikke (2) bekezdésének d) pontja szerinti, lakossággal szembeni,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IRB módszer szerinti kitettségek, ha ezek a kitettségek nem fedezettek a CRR 199. cikke (1) bekezdésének a) pontja szerinti ingatlan-jelzálogjoggal.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46460615" w14:textId="10D30752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0AAA69A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A257B46" w14:textId="42862C0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{0220;0010}</w:t>
            </w:r>
          </w:p>
        </w:tc>
        <w:tc>
          <w:tcPr>
            <w:tcW w:w="7406" w:type="dxa"/>
            <w:shd w:val="clear" w:color="auto" w:fill="FFFFFF"/>
          </w:tcPr>
          <w:p w14:paraId="7AF700CC" w14:textId="77777777" w:rsidR="00F4754B" w:rsidRPr="000B66BC" w:rsidRDefault="00920DD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ebből: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Lakossági (kkv)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SA-kitettségek</w:t>
            </w:r>
          </w:p>
          <w:p w14:paraId="30054418" w14:textId="0ACC7EE7" w:rsidR="00BB5324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tőkeáttételi mutató számításához használt kitettségérték azon eszközök esetében, amelyek a CRR 123. cikke szerinti, kis- és középvállalkozásokkal szembeni lakossági, sztenderd módszer szerinti kitettségek.</w:t>
            </w:r>
          </w:p>
          <w:p w14:paraId="55120FDB" w14:textId="4D9F9464" w:rsidR="004B653A" w:rsidRPr="000B66BC" w:rsidRDefault="004B653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 mező alkalmazásában az intézményeknek a „kis- és középvállalkozás” a CRR 501. cikke (2) bekezdésének b) pontjában meghatározott fogalmát kell használniuk.</w:t>
            </w:r>
          </w:p>
          <w:p w14:paraId="4231C6F4" w14:textId="7E0CACE5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7C0D9518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6A37ABD" w14:textId="2C88404B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{0220;0020}</w:t>
            </w:r>
          </w:p>
        </w:tc>
        <w:tc>
          <w:tcPr>
            <w:tcW w:w="7406" w:type="dxa"/>
            <w:shd w:val="clear" w:color="auto" w:fill="FFFFFF"/>
          </w:tcPr>
          <w:p w14:paraId="08A88D6A" w14:textId="77777777" w:rsidR="00F4754B" w:rsidRPr="000B66BC" w:rsidRDefault="00920DD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ebből: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Lakossági (kkv)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IRB-kitettségek</w:t>
            </w:r>
          </w:p>
          <w:p w14:paraId="781E0C73" w14:textId="2963C04E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tőkeáttételi mutató számításához használt kitettségérték azon eszközök esetében, amelyek a CRR 147. cikke (2) bekezdésének d) pontja szerinti, lakossággal szembeni, IRB módszer szerinti kitettségek, ha ezek a kitettségek kis- és középvállalkozásokkal szembeni kitettségek, és nem fedezettek a CRR 199. cikke (1) bekezdésének a) pontja szerinti ingatlan-jelzálogjoggal.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33D07FA1" w14:textId="2ECC7D0E" w:rsidR="004B653A" w:rsidRPr="000B66BC" w:rsidRDefault="004B653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 mező alkalmazásában az intézményeknek a „kis- és középvállalkozás” a CRR 501. cikke (2) bekezdésének b) pontjában meghatározott fogalmát kell használniuk.</w:t>
            </w:r>
          </w:p>
          <w:p w14:paraId="04884D64" w14:textId="75E640A6" w:rsidR="002509B1" w:rsidRPr="000B66BC" w:rsidDel="00EC6E42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7A8F06D1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301DBA86" w14:textId="0C22B55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{0220;0030}</w:t>
            </w:r>
          </w:p>
        </w:tc>
        <w:tc>
          <w:tcPr>
            <w:tcW w:w="7406" w:type="dxa"/>
            <w:shd w:val="clear" w:color="auto" w:fill="FFFFFF"/>
          </w:tcPr>
          <w:p w14:paraId="54B8F22A" w14:textId="1D4B13D9" w:rsidR="002509B1" w:rsidRPr="000B66BC" w:rsidRDefault="00920DD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ebből: Lakossági (kkv) – RWEA – SA-kitettségek</w:t>
            </w:r>
          </w:p>
          <w:p w14:paraId="6A3FD743" w14:textId="644522E7" w:rsidR="00BB5324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kockázattal súlyozott kitettségérték azon eszközök esetében, amelyek a CRR 123. cikke szerinti, kis- és középvállalkozásokkal szembeni lakossági, sztenderd módszer szerinti kitettségek.</w:t>
            </w:r>
          </w:p>
          <w:p w14:paraId="550AD4D7" w14:textId="58216A19" w:rsidR="00086A8A" w:rsidRPr="000B66BC" w:rsidRDefault="004B653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 mező alkalmazásában az intézményeknek a „kis- és középvállalkozás” a CRR 501. cikke (2) bekezdésének b) pontjában meghatározott fogalmát kell használniuk.</w:t>
            </w:r>
          </w:p>
          <w:p w14:paraId="1B6B32F8" w14:textId="14F01D19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0291C49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C057F01" w14:textId="210C1BD0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{0220;0040}</w:t>
            </w:r>
          </w:p>
        </w:tc>
        <w:tc>
          <w:tcPr>
            <w:tcW w:w="7406" w:type="dxa"/>
            <w:shd w:val="clear" w:color="auto" w:fill="FFFFFF"/>
          </w:tcPr>
          <w:p w14:paraId="59E62599" w14:textId="6893B06F" w:rsidR="00F4754B" w:rsidRPr="000B66BC" w:rsidRDefault="00920DD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ebből: Lakossági (kkv) – RWEA – IRB-kitettségek</w:t>
            </w:r>
          </w:p>
          <w:p w14:paraId="4092922E" w14:textId="5A98FDA8" w:rsidR="00BB5324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kockázattal súlyozott kitettségérték azon eszközök esetében, amelyek a CRR 147. cikke (2) bekezdésének d) pontja szerinti, lakossággal szembeni, IRB módszer szerinti kitettségek, ha ezek a kitettségek kis- és középvállalkozásokkal szembeni kitettségek, és nem fedezettek a CRR 199. cikke (1) bekezdésének a) pontja szerinti ingatlan-jelzálogjoggal.</w:t>
            </w:r>
          </w:p>
          <w:p w14:paraId="51FEC3D4" w14:textId="740F3816" w:rsidR="004B653A" w:rsidRPr="000B66BC" w:rsidRDefault="004B653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 mező alkalmazásában az intézményeknek a „kis- és középvállalkozás” a CRR 501. cikke (2) bekezdésének b) pontjában meghatározott fogalmát kell használniuk.</w:t>
            </w:r>
          </w:p>
          <w:p w14:paraId="15449195" w14:textId="06E7A313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22E0911F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D2EB46F" w14:textId="6C0287C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{0230;0010}</w:t>
            </w:r>
          </w:p>
        </w:tc>
        <w:tc>
          <w:tcPr>
            <w:tcW w:w="7406" w:type="dxa"/>
            <w:shd w:val="clear" w:color="auto" w:fill="FFFFFF"/>
          </w:tcPr>
          <w:p w14:paraId="73CCE449" w14:textId="775C5A74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Vállalkozásokkal szembeni kitettségek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SA-kitettségek</w:t>
            </w:r>
          </w:p>
          <w:p w14:paraId="4918C822" w14:textId="3B8F07B4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{0240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és {0250;0010} mező összege.</w:t>
            </w:r>
          </w:p>
          <w:p w14:paraId="0E0CFA07" w14:textId="6CB7CDAF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12DD0BFF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C2C1D0B" w14:textId="454CE52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{0230;0020}</w:t>
            </w:r>
          </w:p>
        </w:tc>
        <w:tc>
          <w:tcPr>
            <w:tcW w:w="7406" w:type="dxa"/>
            <w:shd w:val="clear" w:color="auto" w:fill="FFFFFF"/>
          </w:tcPr>
          <w:p w14:paraId="6362ED1C" w14:textId="48ECB6BB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Vállalkozásokkal szembeni kitettségek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IRB-kitettségek</w:t>
            </w:r>
          </w:p>
          <w:p w14:paraId="3219ACC2" w14:textId="4FF4B098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{0240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;0020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és {0250;0020} mező összege.</w:t>
            </w:r>
          </w:p>
          <w:p w14:paraId="4E2F97BD" w14:textId="057F742F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1AA657C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522036A" w14:textId="1BC453BF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{0230;0030}</w:t>
            </w:r>
          </w:p>
        </w:tc>
        <w:tc>
          <w:tcPr>
            <w:tcW w:w="7406" w:type="dxa"/>
            <w:shd w:val="clear" w:color="auto" w:fill="FFFFFF"/>
          </w:tcPr>
          <w:p w14:paraId="44E9C1D0" w14:textId="47E5782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Vállalkozásokkal szembeni kitettségek – RWEA – SA-kitettségek</w:t>
            </w:r>
          </w:p>
          <w:p w14:paraId="327E6857" w14:textId="7197BBC3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{0240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;0030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és {0250;0030} mező összege.</w:t>
            </w:r>
          </w:p>
          <w:p w14:paraId="730ED24A" w14:textId="291AC1EA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0C1B471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A82EAC6" w14:textId="7CFA6BC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{0230;0040}</w:t>
            </w:r>
          </w:p>
        </w:tc>
        <w:tc>
          <w:tcPr>
            <w:tcW w:w="7406" w:type="dxa"/>
            <w:shd w:val="clear" w:color="auto" w:fill="FFFFFF"/>
          </w:tcPr>
          <w:p w14:paraId="0B759A94" w14:textId="0A1DE6FC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Vállalkozásokkal szembeni kitettségek – RWEA – IRB-kitettségek</w:t>
            </w:r>
          </w:p>
          <w:p w14:paraId="1D494120" w14:textId="6A9832C6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{0240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;0040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és {0250;0040} mező összege.</w:t>
            </w:r>
          </w:p>
          <w:p w14:paraId="1F4A9AA4" w14:textId="53069870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5D9FF2D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D822794" w14:textId="69E077E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{0240;0010}</w:t>
            </w:r>
          </w:p>
        </w:tc>
        <w:tc>
          <w:tcPr>
            <w:tcW w:w="7406" w:type="dxa"/>
            <w:shd w:val="clear" w:color="auto" w:fill="FFFFFF"/>
          </w:tcPr>
          <w:p w14:paraId="6E90DECA" w14:textId="3F12F294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Pénzügyi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SA-kitettségek</w:t>
            </w:r>
          </w:p>
          <w:p w14:paraId="7CAB4F9A" w14:textId="3AFB92C6" w:rsidR="008A5C87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 tőkeáttételi mutató számításához használt kitettségérték azon eszközök esetében, amelyek a CRR 122. cikke szerinti, pénzügyi vállalkozásokkal szembeni, sztenderd módszer szerinti kitettségek.</w:t>
            </w:r>
          </w:p>
          <w:p w14:paraId="48ACEE9F" w14:textId="723AAD4E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Az LR4 táblában való adatszolgáltatás céljából a pénzügyi vállalkozás a {0180;0010} mezőben említett intézményektől eltérő olyan szabályozott vagy nem szabályozott vállalkozást jelent, amelynek fő tevékenysége tulajdoni részesedések megszerzése vagy a 2013/36/EU irányelv I. mellékletében felsorolt tevékenységek közül egy vagy több folytatása, valamint a CRR 4. cikke (1) bekezdésének 27. pontja szerinti, a {0180;0010} mezőben említett inté</w:t>
            </w:r>
            <w:r w:rsidR="00BD311B">
              <w:rPr>
                <w:rFonts w:ascii="Times New Roman" w:hAnsi="Times New Roman"/>
                <w:bCs/>
                <w:sz w:val="24"/>
                <w:szCs w:val="24"/>
              </w:rPr>
              <w:t>zményektől eltérő vállalkozást.</w:t>
            </w:r>
            <w:proofErr w:type="gramEnd"/>
          </w:p>
          <w:p w14:paraId="34C751F5" w14:textId="603A8953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3897B4FD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C338C26" w14:textId="03E777A5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{0240;0020}</w:t>
            </w:r>
          </w:p>
        </w:tc>
        <w:tc>
          <w:tcPr>
            <w:tcW w:w="7406" w:type="dxa"/>
            <w:shd w:val="clear" w:color="auto" w:fill="FFFFFF"/>
          </w:tcPr>
          <w:p w14:paraId="4094858A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Pénzügyi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IRB-kitettségek</w:t>
            </w:r>
          </w:p>
          <w:p w14:paraId="058EB000" w14:textId="40B3155C" w:rsidR="008A5C87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tőkeáttételi mutató számításához használt kitettségérték azon eszközök esetében, amelyek a CRR 147. cikke (2) bekezdésének c) pontja szerinti, pénzügyi vállalkozásokkal szembeni, IRB módszer szerinti kitettségek, ha ezek a kitettségek nem fedezettek a CRR 199. cikke (1) bekezdésének a) pontja szerinti ingatlan-jelzálogjoggal.</w:t>
            </w:r>
          </w:p>
          <w:p w14:paraId="07B8C8CE" w14:textId="744B3DCC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Az LR4 táblában való adatszolgáltatás céljából a pénzügyi vállalkozás a {0180;0010} mezőben említett intézményektől eltérő olyan szabályozott vagy nem szabályozott vállalkozást jelent, amelynek fő tevékenysége tulajdoni részesedések megszerzése vagy a 2013/36/EU irányelv I. mellékletében felsorolt tevékenységek közül egy vagy több folytatása, valamint a CRR 4. cikke (1) bekezdésének 27. pontja szerinti, a {0180;0010} mezőben említett intézményektől eltérő vállalkozást.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51655C6D" w14:textId="31474CF4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7E381EE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F071D43" w14:textId="5D1456F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{0240;0030}</w:t>
            </w:r>
          </w:p>
        </w:tc>
        <w:tc>
          <w:tcPr>
            <w:tcW w:w="7406" w:type="dxa"/>
            <w:shd w:val="clear" w:color="auto" w:fill="FFFFFF"/>
          </w:tcPr>
          <w:p w14:paraId="3EFA5487" w14:textId="705A4662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Pénzügyi – RWEA – SA-kitettségek</w:t>
            </w:r>
          </w:p>
          <w:p w14:paraId="08FF6980" w14:textId="17600103" w:rsidR="008A5C87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kockázattal súlyozott kitettségérték azon eszközök esetében, amelyek a CRR 122. cikke szerinti, pénzügyi vállalkozásokkal szembeni, sztenderd módszer szerinti kitettségek.</w:t>
            </w:r>
          </w:p>
          <w:p w14:paraId="4DE325F6" w14:textId="45BD44A6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Az LR4 táblában való adatszolgáltatás céljából a pénzügyi vállalkozás a {0180;0010} mezőben említett intézményektől eltérő olyan szabályozott vagy nem szabályozott vállalkozást jelent, amelynek fő tevékenysége tulajdoni részesedések megszerzése vagy a 2013/36/EU irányelv I. mellékletében felsorolt tevékenységek közül egy vagy több folytatása, valamint a CRR 4. cikke (1) bekezdésének 27. pontja szerinti, a {0180;0010} mezőben említett intézményektől eltérő vállalkozást.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6B38D45F" w14:textId="591397CC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Az intézményeknek a sztenderd módszer szerinti nemteljesítő kitettségek nélküli értéket kell feltüntetniük.</w:t>
            </w:r>
          </w:p>
        </w:tc>
      </w:tr>
      <w:tr w:rsidR="002A54FF" w:rsidRPr="00E75BB8" w14:paraId="7E13A8B7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A07187A" w14:textId="59A5E646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{0240;0040}</w:t>
            </w:r>
          </w:p>
        </w:tc>
        <w:tc>
          <w:tcPr>
            <w:tcW w:w="7406" w:type="dxa"/>
            <w:shd w:val="clear" w:color="auto" w:fill="FFFFFF"/>
          </w:tcPr>
          <w:p w14:paraId="0D42EAF2" w14:textId="4C7FF3CE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Pénzügyi – RWEA – IRB-kitettségek</w:t>
            </w:r>
          </w:p>
          <w:p w14:paraId="2E63CDE0" w14:textId="5FB3406E" w:rsidR="008A5C87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kockázattal súlyozott kitettségérték azon eszközök esetében, amelyek a CRR 147. cikke (2) bekezdésének c) pontja szerinti, pénzügyi vállalkozásokkal szembeni, IRB módszer szerinti kitettségek, ha ezek a kitettségek nem fedezettek a CRR 199. cikke (1) bekezdésének a) pontja szerinti ingatlan-jelzálogjoggal.</w:t>
            </w:r>
          </w:p>
          <w:p w14:paraId="717CB3D1" w14:textId="7ABB9533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Az LR4 táblában való adatszolgáltatás céljából a pénzügyi vállalkozás a {0180;0010} mezőben említett intézményektől eltérő olyan szabályozott vagy nem szabályozott vállalkozást jelent, amelynek fő tevékenysége tulajdoni részesedések megszerzése vagy a 2013/36/EU irányelv I. mellékletében felsorolt tevékenységek közül egy vagy több folytatása, valamint a CRR 4. cikke (1) bekezdésének 27. pontja szerinti, a {0180;0010} mezőben említett intézményektől eltérő vállalkozást.</w:t>
            </w:r>
            <w:proofErr w:type="gramEnd"/>
          </w:p>
          <w:p w14:paraId="46CE9414" w14:textId="0957AC2F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1D9775D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33C726F" w14:textId="47DF85C9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{0250;0010}</w:t>
            </w:r>
          </w:p>
        </w:tc>
        <w:tc>
          <w:tcPr>
            <w:tcW w:w="7406" w:type="dxa"/>
            <w:shd w:val="clear" w:color="auto" w:fill="FFFFFF"/>
          </w:tcPr>
          <w:p w14:paraId="50FEF333" w14:textId="081F5C0C" w:rsidR="00F4754B" w:rsidRPr="000B66BC" w:rsidRDefault="00CD1DA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Nem pénzügyi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SA-kitettségek</w:t>
            </w:r>
          </w:p>
          <w:p w14:paraId="79750DB3" w14:textId="037534DC" w:rsidR="00FA71D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tőkeáttételi mutató számításához használt kitettségérték azon eszközök esetében, amelyek a CRR 122. cikke szerinti, nem pénzügyi vállalkozásokkal szembeni, sztenderd módszer szerinti kitettségek.</w:t>
            </w:r>
          </w:p>
          <w:p w14:paraId="1A9B7F32" w14:textId="42798EB9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{0260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;0010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és {0270;0010} mező összege.</w:t>
            </w:r>
          </w:p>
          <w:p w14:paraId="69CDF75C" w14:textId="4C652EE4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47291240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6917946" w14:textId="5C76670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{0250;0020}</w:t>
            </w:r>
          </w:p>
        </w:tc>
        <w:tc>
          <w:tcPr>
            <w:tcW w:w="7406" w:type="dxa"/>
            <w:shd w:val="clear" w:color="auto" w:fill="FFFFFF"/>
          </w:tcPr>
          <w:p w14:paraId="25E6520A" w14:textId="3CB20ED1" w:rsidR="00F4754B" w:rsidRPr="000B66BC" w:rsidRDefault="00CD1DA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Nem pénzügyi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IRB-kitettségek</w:t>
            </w:r>
          </w:p>
          <w:p w14:paraId="1615C090" w14:textId="75F7E6C4" w:rsidR="00BE6AC4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tőkeáttételi mutató számításához használt kitettségérték azon eszközök esetében, amelyek a CRR 147. cikke (2) bekezdésének c) pontja szerinti, nem pénzügyi vállalkozásokkal szembeni, IRB módszer szerinti kitettségek, ha ezek a kitettségek nem fedezettek a CRR 199. cikke (1) bekezdésének a) pontja szerinti ingatlan-jelzálogjoggal.</w:t>
            </w:r>
          </w:p>
          <w:p w14:paraId="5B891D71" w14:textId="425CD8A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{0260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;0020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és {0270;0020} mező összege.</w:t>
            </w:r>
          </w:p>
          <w:p w14:paraId="4A94BD25" w14:textId="7EF0446C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1569EBB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DAE0AFA" w14:textId="313B4AD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{0250;0030}</w:t>
            </w:r>
          </w:p>
        </w:tc>
        <w:tc>
          <w:tcPr>
            <w:tcW w:w="7406" w:type="dxa"/>
            <w:shd w:val="clear" w:color="auto" w:fill="FFFFFF"/>
          </w:tcPr>
          <w:p w14:paraId="68E7D79C" w14:textId="33D6CD05" w:rsidR="00F4754B" w:rsidRPr="000B66BC" w:rsidRDefault="00CD1DA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Nem pénzügyi – RWEA – SA-kitettségek</w:t>
            </w:r>
          </w:p>
          <w:p w14:paraId="49E48609" w14:textId="627DE78E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A kockázattal súlyozott kitettségérték azon eszközök esetében, amelyek a CRR 122. cikke szerinti, nem pénzügyi vállalkozásokkal szembeni, sztenderd módszer szerinti kitettségek.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11F55E3D" w14:textId="2D4C4F8A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{0260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;0030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és {0270;0030} mező összege.</w:t>
            </w:r>
          </w:p>
          <w:p w14:paraId="153E6308" w14:textId="63943BB8" w:rsidR="002509B1" w:rsidRPr="000B66BC" w:rsidDel="00504CFF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727F0C0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B83D193" w14:textId="5070868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{0250;0040}</w:t>
            </w:r>
          </w:p>
        </w:tc>
        <w:tc>
          <w:tcPr>
            <w:tcW w:w="7406" w:type="dxa"/>
            <w:shd w:val="clear" w:color="auto" w:fill="FFFFFF"/>
          </w:tcPr>
          <w:p w14:paraId="2B0BB9F0" w14:textId="041EA5D1" w:rsidR="00F4754B" w:rsidRPr="000B66BC" w:rsidRDefault="00CD1DA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Nem pénzügyi – RWEA – IRB-kitettségek</w:t>
            </w:r>
          </w:p>
          <w:p w14:paraId="4DD9CC03" w14:textId="48C3F2D6" w:rsidR="00FA71D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kockázattal súlyozott kitettségérték azon eszközök esetében, amelyek a CRR 147. cikke (2) bekezdésének c) pontja szerinti, nem pénzügyi vállalkozásokkal szembeni, IRB módszer szerinti kitettségek, ha ezek a kitettségek nem fedezettek a CRR 199. cikke (1) bekezdésének a) pontja szerinti ingatlan-jelzálogjoggal.</w:t>
            </w:r>
          </w:p>
          <w:p w14:paraId="072F6C8B" w14:textId="7E5B0C7D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{0260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;0040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és {0270;0040} mező összege.</w:t>
            </w:r>
          </w:p>
          <w:p w14:paraId="2B36DB12" w14:textId="48954611" w:rsidR="002509B1" w:rsidRPr="000B66BC" w:rsidDel="00504CFF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49E58870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EFCE46D" w14:textId="44349019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{0260;0010}</w:t>
            </w:r>
          </w:p>
        </w:tc>
        <w:tc>
          <w:tcPr>
            <w:tcW w:w="7406" w:type="dxa"/>
            <w:shd w:val="clear" w:color="auto" w:fill="FFFFFF"/>
          </w:tcPr>
          <w:p w14:paraId="16D3DD87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Kkv-kitettségek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SA-kitettségek</w:t>
            </w:r>
          </w:p>
          <w:p w14:paraId="1237A324" w14:textId="05FB0CAD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tőkeáttételi mutató számításához használt kitettségérték azon eszközök esetében, amelyek a CRR 122. cikke szerinti, kis- és középvállalkozások formájában működő vállalkozásokkal szembeni, sztenderd módszer szerinti kitettségek. </w:t>
            </w:r>
          </w:p>
          <w:p w14:paraId="5E29251B" w14:textId="483A3107" w:rsidR="00086A8A" w:rsidRPr="000B66BC" w:rsidRDefault="004F39F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 mező alkalmazásában az intézményeknek a „kis- és középvállalkozás” a CRR 501. cikke (2) bekezdésének b) pontjában meghatározott fogalmát kell használniuk.</w:t>
            </w:r>
          </w:p>
          <w:p w14:paraId="5FAEA464" w14:textId="7B77BBC5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13131DF5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5B0110D" w14:textId="74C0B69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{0260;0020}</w:t>
            </w:r>
          </w:p>
        </w:tc>
        <w:tc>
          <w:tcPr>
            <w:tcW w:w="7406" w:type="dxa"/>
            <w:shd w:val="clear" w:color="auto" w:fill="FFFFFF"/>
          </w:tcPr>
          <w:p w14:paraId="4E8AC377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Kkv-kitettségek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IRB-kitettségek</w:t>
            </w:r>
          </w:p>
          <w:p w14:paraId="16526905" w14:textId="3B6B79CA" w:rsidR="00FA71D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tőkeáttételi mutató számításához használt kitettségérték azon eszközök esetében, amelyek a CRR 147. cikke (2) bekezdésének c) pontja szerinti, vállalkozásokkal szembeni, IRB módszer szerinti kitettségek, ha ezek a kitettségek kis- és középvállalkozásokkal szembeni kitettségek, és nem fedezettek a CRR 199. cikke (1) bekezdésének a) pontja szerinti ingatlan-jelzálogjoggal.</w:t>
            </w:r>
          </w:p>
          <w:p w14:paraId="729394D8" w14:textId="74E87EFA" w:rsidR="002509B1" w:rsidRPr="000B66BC" w:rsidRDefault="004F39F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 mező alkalmazásában az intézményeknek a „kis- és középvállalkozás” a CRR 501. cikke (2) bekezdésének b) pontjában meghatározott fogalmát kell használniuk.</w:t>
            </w:r>
          </w:p>
          <w:p w14:paraId="542463BD" w14:textId="165C2619" w:rsidR="009C4E79" w:rsidRPr="000B66BC" w:rsidDel="00504CFF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Az intézményeknek az IRB módszer szerinti nemteljesítő kitettségek nélküli értéket kell feltüntetniük.</w:t>
            </w:r>
          </w:p>
        </w:tc>
      </w:tr>
      <w:tr w:rsidR="002A54FF" w:rsidRPr="00E75BB8" w14:paraId="50044CA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F7100BE" w14:textId="2ACB4AD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{0260;0030}</w:t>
            </w:r>
          </w:p>
        </w:tc>
        <w:tc>
          <w:tcPr>
            <w:tcW w:w="7406" w:type="dxa"/>
            <w:shd w:val="clear" w:color="auto" w:fill="FFFFFF"/>
          </w:tcPr>
          <w:p w14:paraId="0D365078" w14:textId="540263EE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Kkv-kitettségek – RWEA – SA-kitettségek</w:t>
            </w:r>
          </w:p>
          <w:p w14:paraId="47967B81" w14:textId="66A7A88F" w:rsidR="00FA71D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kockázattal súlyozott kitettségérték azon eszközök esetében, amelyek a CRR 122. cikke szerinti, kis- és középvállalkozások formájában működő vállalkozásokkal szembeni, sztenderd módszer szerinti kitettségek.</w:t>
            </w:r>
          </w:p>
          <w:p w14:paraId="4E35047C" w14:textId="447EFD69" w:rsidR="00086A8A" w:rsidRPr="000B66BC" w:rsidRDefault="004F39F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 mező alkalmazásában az intézményeknek a „kis- és középvállalkozás” a CRR 501. cikke (2) bekezdésének b) pontjában meghatározott fogalmát kell használniuk.</w:t>
            </w:r>
          </w:p>
          <w:p w14:paraId="2B25463D" w14:textId="56CC7FBB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3DB0057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FFE83BB" w14:textId="4650F9FB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{0260;0040}</w:t>
            </w:r>
          </w:p>
        </w:tc>
        <w:tc>
          <w:tcPr>
            <w:tcW w:w="7406" w:type="dxa"/>
            <w:shd w:val="clear" w:color="auto" w:fill="FFFFFF"/>
          </w:tcPr>
          <w:p w14:paraId="72107293" w14:textId="2B92F95D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Kkv-kitettségek – RWEA – IRB-kitettségek</w:t>
            </w:r>
          </w:p>
          <w:p w14:paraId="61D071ED" w14:textId="7E4D19EC" w:rsidR="00FA71D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kockázattal súlyozott kitettségérték azon eszközök esetében, amelyek a CRR 147. cikke (2) bekezdésének c) pontja szerinti, vállalkozásokkal szembeni, IRB módszer szerinti kitettségek, ha ezek a kitettségek kis- és középvállalkozásokkal szembeni kitettségek, és nem fedezettek a CRR 199. cikke (1) bekezdésének a) pontja szerinti ingatlan-jelzálogjoggal.</w:t>
            </w:r>
          </w:p>
          <w:p w14:paraId="14AF8756" w14:textId="6A7B57D1" w:rsidR="004F39F5" w:rsidRPr="000B66BC" w:rsidRDefault="004F39F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 mező alkalmazásában az intézményeknek a „kis- és középvállalkozás” a CRR 501. cikke (2) bekezdésének b) pontjában meghatározott fogalmát kell használniuk.</w:t>
            </w:r>
          </w:p>
          <w:p w14:paraId="0EF08F24" w14:textId="18E4DC92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447B232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4CF42BC" w14:textId="0762963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{0270;0010}</w:t>
            </w:r>
          </w:p>
        </w:tc>
        <w:tc>
          <w:tcPr>
            <w:tcW w:w="7406" w:type="dxa"/>
            <w:shd w:val="clear" w:color="auto" w:fill="FFFFFF"/>
          </w:tcPr>
          <w:p w14:paraId="368904F3" w14:textId="1EEE993E" w:rsidR="002509B1" w:rsidRPr="000B66BC" w:rsidRDefault="00BE6AC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Nem kkv-kitettségek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SA-kitettségek</w:t>
            </w:r>
          </w:p>
          <w:p w14:paraId="41FBC40B" w14:textId="4279AEF3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tőkeáttételi mutató számításához használt kitettségérték azon eszközök esetében, amelyek a CRR 122. cikke szerinti, vállalkozásokkal szembeni kitettségek, és nem szerepelnek a {0230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;0040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és a {0250;0040} mezőben.</w:t>
            </w:r>
          </w:p>
          <w:p w14:paraId="01FC3B49" w14:textId="5139686F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7B64328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3017660" w14:textId="3B06C10A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{0270;0020}</w:t>
            </w:r>
          </w:p>
        </w:tc>
        <w:tc>
          <w:tcPr>
            <w:tcW w:w="7406" w:type="dxa"/>
            <w:shd w:val="clear" w:color="auto" w:fill="FFFFFF"/>
          </w:tcPr>
          <w:p w14:paraId="2A27297A" w14:textId="77777777" w:rsidR="00F4754B" w:rsidRPr="000B66BC" w:rsidRDefault="00BE6AC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Nem kkv-kitettségek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IRB-kitettségek</w:t>
            </w:r>
          </w:p>
          <w:p w14:paraId="585E711E" w14:textId="1495F63C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tőkeáttételi mutató számításához használt kitettségérték azon eszközök esetében, amelyek a CRR 147. cikke (2) bekezdésének c) pontja szerinti, vállalkozásokkal szembeni, IRB módszer szerinti kitettségek, ha ezek a kitettségek nem fedezettek a CRR 199. cikke (1) bekezdésének a) pontja szerinti ingatlan-jelzálogjoggal, és nem szerepelnek a {0230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;0040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} és a {0250;0040} mezőben.</w:t>
            </w:r>
          </w:p>
          <w:p w14:paraId="714190FD" w14:textId="58141E55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Az intézményeknek az IRB módszer szerinti nemteljesítő kitettségek nélküli értéket kell feltüntetniük.</w:t>
            </w:r>
          </w:p>
        </w:tc>
      </w:tr>
      <w:tr w:rsidR="002A54FF" w:rsidRPr="00E75BB8" w14:paraId="44BE393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DF3E96B" w14:textId="78C7DD3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{0270;0030}</w:t>
            </w:r>
          </w:p>
        </w:tc>
        <w:tc>
          <w:tcPr>
            <w:tcW w:w="7406" w:type="dxa"/>
            <w:shd w:val="clear" w:color="auto" w:fill="FFFFFF"/>
          </w:tcPr>
          <w:p w14:paraId="214E8F81" w14:textId="267DF9F2" w:rsidR="00F4754B" w:rsidRPr="000B66BC" w:rsidRDefault="00BE6AC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Nem kkv-kitettségek – RWEA – SA-kitettségek</w:t>
            </w:r>
          </w:p>
          <w:p w14:paraId="10BEA73F" w14:textId="16DC881C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kockázattal súlyozott kitettségérték azon eszközök esetében, amelyek a CRR 122. cikke szerinti, vállalkozásokkal szembeni, sztenderd módszer szerinti kitettségek, és nem szerepelnek a {0230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;0040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} és a {0250;0040} mezőben.</w:t>
            </w:r>
          </w:p>
          <w:p w14:paraId="3BF86EC4" w14:textId="255E5CDC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4284B6D9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0A67914" w14:textId="4063927D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{0270;0040}</w:t>
            </w:r>
          </w:p>
        </w:tc>
        <w:tc>
          <w:tcPr>
            <w:tcW w:w="7406" w:type="dxa"/>
            <w:shd w:val="clear" w:color="auto" w:fill="FFFFFF"/>
          </w:tcPr>
          <w:p w14:paraId="4D405A64" w14:textId="301D30BA" w:rsidR="002509B1" w:rsidRPr="000B66BC" w:rsidRDefault="00BE6AC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Nem kkv-kitettségek – RWEA – IRB-kitettségek</w:t>
            </w:r>
          </w:p>
          <w:p w14:paraId="66C72176" w14:textId="6AE30A03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kockázattal súlyozott kitettségérték azon eszközök esetében, amelyek a CRR 147. cikke (2) bekezdésének c) pontja szerinti, vállalkozásokkal szembeni, IRB módszer szerinti kitettségek, ha ezek a kitettségek nem fedezettek a CRR 199. cikke (1) bekezdésének a) pontja szerinti ingatlan-jelzálogjoggal, és nem szerepelnek a {0230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;0040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} és a {0250;0040} mezőben.</w:t>
            </w:r>
          </w:p>
          <w:p w14:paraId="56E24BD9" w14:textId="23040902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4078E02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8678416" w14:textId="11F0757A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{0280;0010}</w:t>
            </w:r>
          </w:p>
        </w:tc>
        <w:tc>
          <w:tcPr>
            <w:tcW w:w="7406" w:type="dxa"/>
            <w:shd w:val="clear" w:color="auto" w:fill="FFFFFF"/>
          </w:tcPr>
          <w:p w14:paraId="3643375B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Nemteljesítő kitettségek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SA-kitettségek</w:t>
            </w:r>
          </w:p>
          <w:p w14:paraId="19F3FE8B" w14:textId="181846DB" w:rsidR="002509B1" w:rsidRPr="000B66BC" w:rsidRDefault="00FC508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tőkeáttételi mutató számításához használt kitettségértéket kell jelenteniük azon eszközök esetében, amelyek nemteljesítő, sztenderd módszer szerinti kitettségek, és ezért a CRR 127. cikkének hatályába esnek.</w:t>
            </w:r>
          </w:p>
        </w:tc>
      </w:tr>
      <w:tr w:rsidR="002A54FF" w:rsidRPr="00E75BB8" w14:paraId="6208DB18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83D1BB3" w14:textId="6E8DA48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{0280;0020}</w:t>
            </w:r>
          </w:p>
        </w:tc>
        <w:tc>
          <w:tcPr>
            <w:tcW w:w="7406" w:type="dxa"/>
            <w:shd w:val="clear" w:color="auto" w:fill="FFFFFF"/>
          </w:tcPr>
          <w:p w14:paraId="5B5C9DCF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Nemteljesítő kitettségek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IRB-kitettségek</w:t>
            </w:r>
          </w:p>
          <w:p w14:paraId="35C502CA" w14:textId="3230D6A0" w:rsidR="002509B1" w:rsidRPr="000B66BC" w:rsidRDefault="00FC508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tőkeáttételi mutató számításához használt kitettségértéket kell jelenteniük a CRR 147. cikkének (2) bekezdése szerinti kitettségi osztályokba sorolt azon eszközök esetében, amelyeknél bekövetkezett a CRR 178. cikke szerinti nemteljesítés.</w:t>
            </w:r>
          </w:p>
        </w:tc>
      </w:tr>
      <w:tr w:rsidR="002A54FF" w:rsidRPr="00E75BB8" w14:paraId="3AD252C0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8CA0E26" w14:textId="78C5E6F9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{0280;0030}</w:t>
            </w:r>
          </w:p>
        </w:tc>
        <w:tc>
          <w:tcPr>
            <w:tcW w:w="7406" w:type="dxa"/>
            <w:shd w:val="clear" w:color="auto" w:fill="FFFFFF"/>
          </w:tcPr>
          <w:p w14:paraId="327CD6C9" w14:textId="16A698EF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Nemteljesítő kitettségek – RWEA – SA-kitettségek</w:t>
            </w:r>
          </w:p>
          <w:p w14:paraId="4ECD736F" w14:textId="623DFAA3" w:rsidR="002509B1" w:rsidRPr="000B66BC" w:rsidRDefault="00FC508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kockázattal súlyozott kitettségértéket kell jelenteniük azon eszközök esetében, amelyek nemteljesítő kitettségek, és ezért a CRR 127. cikkének hatályába esnek.</w:t>
            </w:r>
          </w:p>
        </w:tc>
      </w:tr>
      <w:tr w:rsidR="002A54FF" w:rsidRPr="00E75BB8" w14:paraId="1E9BD77A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31BD5908" w14:textId="24179E5F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{0280;0040}</w:t>
            </w:r>
          </w:p>
        </w:tc>
        <w:tc>
          <w:tcPr>
            <w:tcW w:w="7406" w:type="dxa"/>
            <w:shd w:val="clear" w:color="auto" w:fill="FFFFFF"/>
          </w:tcPr>
          <w:p w14:paraId="480D541C" w14:textId="39237169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Nemteljesítő kitettségek – RWEA – IRB-kitettségek</w:t>
            </w:r>
          </w:p>
          <w:p w14:paraId="5EF9576D" w14:textId="62CAC8F8" w:rsidR="002509B1" w:rsidRPr="000B66BC" w:rsidRDefault="00FC508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intézményeknek a kockázattal súlyozott kitettségértéket kell jelenteniük a CRR 147. cikkének (2) bekezdése szerinti kitettségi osztályokba sorolt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azon eszközök esetében, amelyeknél bekövetkezett a CRR 178. cikke szerinti nemteljesítés.</w:t>
            </w:r>
          </w:p>
        </w:tc>
      </w:tr>
      <w:tr w:rsidR="002A54FF" w:rsidRPr="00E75BB8" w14:paraId="3AEBEAE6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BA625DB" w14:textId="374E40D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{0290;0010}</w:t>
            </w:r>
          </w:p>
          <w:p w14:paraId="100727CA" w14:textId="7777777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6" w:type="dxa"/>
            <w:shd w:val="clear" w:color="auto" w:fill="FFFFFF"/>
          </w:tcPr>
          <w:p w14:paraId="7D8E3311" w14:textId="44E51481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Egyéb kitettségek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SA-kitettségek</w:t>
            </w:r>
          </w:p>
          <w:p w14:paraId="59E2187D" w14:textId="188CC7CF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tőkeáttételi mutató számításához használt kitettségérték a CRR 112. cikkének k), m), n), o), p) és q) pontja szerinti kitettségi osztályokba sorolt eszközök esetében. </w:t>
            </w:r>
          </w:p>
          <w:p w14:paraId="243415E4" w14:textId="37DF6412" w:rsidR="002509B1" w:rsidRPr="000B66BC" w:rsidRDefault="0048267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intézményeknek e helyen a szavatoló tőkéből levont, de itt más osztályba nem besorolható eszközöket (például immateriális javakat) kell feltüntetniük, még akkor is, ha az effajta besorolás nem szükséges a {*; </w:t>
            </w:r>
            <w:r w:rsidR="00902815">
              <w:rPr>
                <w:rFonts w:ascii="Times New Roman" w:hAnsi="Times New Roman"/>
                <w:bCs/>
                <w:sz w:val="24"/>
                <w:szCs w:val="24"/>
              </w:rPr>
              <w:t>0030} és {*; 0040</w:t>
            </w:r>
            <w:proofErr w:type="gramStart"/>
            <w:r w:rsidR="00902815">
              <w:rPr>
                <w:rFonts w:ascii="Times New Roman" w:hAnsi="Times New Roman"/>
                <w:bCs/>
                <w:sz w:val="24"/>
                <w:szCs w:val="24"/>
              </w:rPr>
              <w:t>}oszlopokban</w:t>
            </w:r>
            <w:proofErr w:type="gramEnd"/>
            <w:r w:rsidR="0090281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7B7E64BF" w14:textId="27D9DDDB" w:rsidR="00086A8A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72E20088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79F489C" w14:textId="033B0F9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{0290;0020}</w:t>
            </w:r>
          </w:p>
        </w:tc>
        <w:tc>
          <w:tcPr>
            <w:tcW w:w="7406" w:type="dxa"/>
            <w:shd w:val="clear" w:color="auto" w:fill="FFFFFF"/>
          </w:tcPr>
          <w:p w14:paraId="04B12DFD" w14:textId="7640F749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Egyéb kitettségek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IRB kitettségek</w:t>
            </w:r>
          </w:p>
          <w:p w14:paraId="509BE205" w14:textId="6C20DAC5" w:rsidR="00482670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tőkeáttételi mutató számításához használt kitettségérték a CRR 147. cikke (2) bekezdésének e), f) és g) pontja szerinti kitettségi osztályokba sorolt eszközök esetében.</w:t>
            </w:r>
          </w:p>
          <w:p w14:paraId="71F126DD" w14:textId="4375AAF5" w:rsidR="00BB388D" w:rsidRPr="000B66BC" w:rsidRDefault="0048267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e helyen a szavatoló tőkéből levont, de itt más osztályba nem besorolható eszközöket (például immateriális javakat) kell feltüntetniük, még akkor is, ha az effajta besorolás nem szükséges a {*; 0030} és {*; 0040} oszlopokban.</w:t>
            </w:r>
          </w:p>
          <w:p w14:paraId="2C772C0F" w14:textId="142C485B" w:rsidR="002509B1" w:rsidRPr="000B66BC" w:rsidRDefault="00BB388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6B7AB21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633B4D60" w14:textId="1DECF162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{0290;0030}</w:t>
            </w:r>
          </w:p>
        </w:tc>
        <w:tc>
          <w:tcPr>
            <w:tcW w:w="7406" w:type="dxa"/>
            <w:shd w:val="clear" w:color="auto" w:fill="FFFFFF"/>
          </w:tcPr>
          <w:p w14:paraId="75145255" w14:textId="3F615415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Egyéb kitettségek – RWEA – SA-kitettségek</w:t>
            </w:r>
          </w:p>
          <w:p w14:paraId="61F5D6CA" w14:textId="01E08C40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kockázattal súlyozott kitettségérték a CRR 112. cikkének k), m), n), o), p) és q) pontja szerinti kitettségi osztályokba sorolt eszközök esetében.</w:t>
            </w:r>
          </w:p>
          <w:p w14:paraId="1A7DE9B0" w14:textId="1E7127C7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7C5A4860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D10170B" w14:textId="0353A1DD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{0290;0040}</w:t>
            </w:r>
          </w:p>
        </w:tc>
        <w:tc>
          <w:tcPr>
            <w:tcW w:w="7406" w:type="dxa"/>
            <w:shd w:val="clear" w:color="auto" w:fill="FFFFFF"/>
          </w:tcPr>
          <w:p w14:paraId="4D50DB6F" w14:textId="4232608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Egyéb kitettségek – RWEA – IRB-kitettségek</w:t>
            </w:r>
          </w:p>
          <w:p w14:paraId="047D3368" w14:textId="760FBD6E" w:rsidR="00BB388D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 kockázattal súlyozott kitettségérték a CRR 147. cikke (2) bekezdésének e), f) és g) pontja szerinti kitettségi osztályokba sorolt eszközök esetében.</w:t>
            </w:r>
          </w:p>
          <w:p w14:paraId="2891CC60" w14:textId="54E32862" w:rsidR="002509B1" w:rsidRPr="000B66BC" w:rsidRDefault="00BB388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1F3D2776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E979259" w14:textId="01C67E6D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{0300;0010}</w:t>
            </w:r>
          </w:p>
        </w:tc>
        <w:tc>
          <w:tcPr>
            <w:tcW w:w="7406" w:type="dxa"/>
            <w:shd w:val="clear" w:color="auto" w:fill="FFFFFF"/>
          </w:tcPr>
          <w:p w14:paraId="3D18A2F9" w14:textId="29912885" w:rsidR="002509B1" w:rsidRPr="000B66BC" w:rsidRDefault="005A052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ebből: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Értékpapírosítási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kitettségek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SA-kitettségek</w:t>
            </w:r>
          </w:p>
          <w:p w14:paraId="7530F6A8" w14:textId="40CC45E4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tőkeáttételi mutató számításához használt kitettségérték azon eszközök esetében, amelyek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értékpapírosítással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szembeni, sztenderd módszer szerinti kitettségek, és a CRR 112. cikke m) pontjának hatályába esnek.</w:t>
            </w:r>
          </w:p>
          <w:p w14:paraId="2DE0AC42" w14:textId="77A211EB" w:rsidR="009C4E79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54158C66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81F9849" w14:textId="6C8F2355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{0300;0020}</w:t>
            </w:r>
          </w:p>
        </w:tc>
        <w:tc>
          <w:tcPr>
            <w:tcW w:w="7406" w:type="dxa"/>
            <w:shd w:val="clear" w:color="auto" w:fill="FFFFFF"/>
          </w:tcPr>
          <w:p w14:paraId="12C4E302" w14:textId="1F965943" w:rsidR="002509B1" w:rsidRPr="000B66BC" w:rsidRDefault="005A052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ebből: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Értékpapírosítási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kitettségek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IRB-kitettségek</w:t>
            </w:r>
          </w:p>
          <w:p w14:paraId="52AFEF6A" w14:textId="65EB209A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tőkeáttételi mutató számításához használt kitettségérték azon eszközök esetében, amelyek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értékpapírosítással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szembeni, IRB módszer szerinti kitettségek, és a CRR 147. cikke 2) pontjának hatályába esnek.</w:t>
            </w:r>
          </w:p>
          <w:p w14:paraId="5A4CEC64" w14:textId="084E95CE" w:rsidR="002509B1" w:rsidRPr="000B66BC" w:rsidDel="00B9734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2D8DCA0F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9B7F740" w14:textId="00300309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{0300;0030}</w:t>
            </w:r>
          </w:p>
        </w:tc>
        <w:tc>
          <w:tcPr>
            <w:tcW w:w="7406" w:type="dxa"/>
            <w:shd w:val="clear" w:color="auto" w:fill="FFFFFF"/>
          </w:tcPr>
          <w:p w14:paraId="0195360F" w14:textId="4CF13008" w:rsidR="00F4754B" w:rsidRPr="000B66BC" w:rsidRDefault="005A052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ebből: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Értékpapírosítási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kitettségek – RWEA – SA-kitettségek</w:t>
            </w:r>
          </w:p>
          <w:p w14:paraId="583F2964" w14:textId="49D5BBDA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kockázattal súlyozott kitettségérték azon eszközök esetében, amelyek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értékpapírosítással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szembeni, sztenderd módszer szerinti kitettségek, és a CRR 112. cikke m) pontjának hatályába esnek. </w:t>
            </w:r>
          </w:p>
          <w:p w14:paraId="34AEB620" w14:textId="279486FE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4AF9EC67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338D7286" w14:textId="4155BC0C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{0300;0040}</w:t>
            </w:r>
          </w:p>
        </w:tc>
        <w:tc>
          <w:tcPr>
            <w:tcW w:w="7406" w:type="dxa"/>
            <w:shd w:val="clear" w:color="auto" w:fill="FFFFFF"/>
          </w:tcPr>
          <w:p w14:paraId="546F46AF" w14:textId="111BE038" w:rsidR="00F4754B" w:rsidRPr="000B66BC" w:rsidRDefault="005A052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ebből: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Értékpapírosítási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kitettségek – RWEA – IRB-kitettségek</w:t>
            </w:r>
          </w:p>
          <w:p w14:paraId="745FCC52" w14:textId="080B8E3A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kockázattal súlyozott kitettségérték azon eszközök esetében, amelyek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értékpapírosítással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szembeni, IRB módszer szerinti kitettségek, és a CRR 147. cikke 2) pontjának hatályába esnek. </w:t>
            </w:r>
          </w:p>
          <w:p w14:paraId="6DCC2024" w14:textId="3E5BF347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19980126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0EF17D6" w14:textId="2BA7366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{0310;0010}</w:t>
            </w:r>
          </w:p>
        </w:tc>
        <w:tc>
          <w:tcPr>
            <w:tcW w:w="7406" w:type="dxa"/>
            <w:shd w:val="clear" w:color="auto" w:fill="FFFFFF"/>
          </w:tcPr>
          <w:p w14:paraId="1F726694" w14:textId="75DDDC08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Kereskedelemfinanszírozás (tájékoztató adat)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SA-kitettségek</w:t>
            </w:r>
          </w:p>
          <w:p w14:paraId="40329EE0" w14:textId="6890CB13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tőkeáttételi mutató számításához használt kitettségérték az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import-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és exporthitelek vagy hasonló ügyletek révén áruk vagy szolgáltatások exportőrének vagy importőrének nyújtott hitelezéshez kapcsolódó mérlegtételek esetében.</w:t>
            </w:r>
          </w:p>
          <w:p w14:paraId="07887909" w14:textId="376C2A24" w:rsidR="00086A8A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7849841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770CF17" w14:textId="209AA225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{0310;0020}</w:t>
            </w:r>
          </w:p>
        </w:tc>
        <w:tc>
          <w:tcPr>
            <w:tcW w:w="7406" w:type="dxa"/>
            <w:shd w:val="clear" w:color="auto" w:fill="FFFFFF"/>
          </w:tcPr>
          <w:p w14:paraId="3DC59FB7" w14:textId="38AD74CC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Kereskedelemfinanszírozás (tájékoztató adat)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IRB-kitettségek</w:t>
            </w:r>
          </w:p>
          <w:p w14:paraId="0A442979" w14:textId="3B301CAB" w:rsidR="00BE6AC4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tőkeáttételi mutató számításához használt kitettségérték az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import-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és exporthitelek vagy hasonló ügyletek révén áruk vagy szolgáltatások exportőrének vagy importőrének nyújtott hitelezéshez kapcsolódó mérlegtételek esetében.</w:t>
            </w:r>
          </w:p>
          <w:p w14:paraId="009892EF" w14:textId="4CD440BB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0944BE23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375E033C" w14:textId="2994690F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{0310;0030}</w:t>
            </w:r>
          </w:p>
        </w:tc>
        <w:tc>
          <w:tcPr>
            <w:tcW w:w="7406" w:type="dxa"/>
            <w:shd w:val="clear" w:color="auto" w:fill="FFFFFF"/>
          </w:tcPr>
          <w:p w14:paraId="2CAEEABE" w14:textId="362B2A0C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Kereskedelemfinanszírozás (tájékoztató adat) – RWEA – SA-kitettségek</w:t>
            </w:r>
          </w:p>
          <w:p w14:paraId="08DFF23E" w14:textId="3FC89434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kockázattal súlyozott kitettségérték az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import-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és exporthitelek vagy hasonló ügyletek révén áruk vagy szolgáltatások exportőrének vagy importőrének nyújtott hitelezéshez kapcsolódó mérlegtételek esetében.</w:t>
            </w:r>
          </w:p>
          <w:p w14:paraId="1392FEC6" w14:textId="0CEA5EB1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2EAEC41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D3EEDC7" w14:textId="50ACD0A0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{0310;0040}</w:t>
            </w:r>
          </w:p>
        </w:tc>
        <w:tc>
          <w:tcPr>
            <w:tcW w:w="7406" w:type="dxa"/>
            <w:shd w:val="clear" w:color="auto" w:fill="FFFFFF"/>
          </w:tcPr>
          <w:p w14:paraId="6234B372" w14:textId="0FE9A0F4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Kereskedelemfinanszírozás (tájékoztató adat) – RWEA – IRB-kitettségek</w:t>
            </w:r>
          </w:p>
          <w:p w14:paraId="7C41D05F" w14:textId="163F70F0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 kockázattal súlyozott kitettségérték az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import-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és exporthitelek vagy hasonló ügyletek révén áruk vagy szolgáltatások exportőrének vagy importőrének nyújtott hitelezéshez kapcsolódó mérlegtételek esetében.</w:t>
            </w:r>
          </w:p>
          <w:p w14:paraId="69D1BF8F" w14:textId="1ADC695A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0F47267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1A66D59" w14:textId="16BAA6D6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{0320;0010}</w:t>
            </w:r>
          </w:p>
        </w:tc>
        <w:tc>
          <w:tcPr>
            <w:tcW w:w="7406" w:type="dxa"/>
            <w:shd w:val="clear" w:color="auto" w:fill="FFFFFF"/>
          </w:tcPr>
          <w:p w14:paraId="68BD9684" w14:textId="77777777" w:rsidR="00F4754B" w:rsidRPr="000B66BC" w:rsidRDefault="005A052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ebből: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Hivatalos exporthitel-biztosítási program keretében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SA-kitettségek</w:t>
            </w:r>
          </w:p>
          <w:p w14:paraId="77C2AA79" w14:textId="008650ED" w:rsidR="00FC5086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tőkeáttételi mutató számításához használt kitettségérték a hivatalos exporthitel-biztosítási program keretében megvalósuló kereskedelemfinanszírozáshoz kapcsolódó mérlegtételek esetében.</w:t>
            </w:r>
          </w:p>
          <w:p w14:paraId="724169CB" w14:textId="4B72375C" w:rsidR="00F4754B" w:rsidRPr="000B66BC" w:rsidRDefault="00C90B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LR4 táblában való adatszolgáltatás céljából a hivatalos exporthitel-biztosítási program a kormány vagy más jogalany, például exporthitel-ügynökség által többek között közvetlen hitel/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finanszírozás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refinanszírozás, kamatláb-támogatás (ahol a rögzített kamatláb a hitel teljes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futamidejére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biztosított), segélyfinanszírozás (hitelek és támogatások), exporthitel-biztosítás és garanciák formájában biztosított hivatalos támogatás. </w:t>
            </w:r>
          </w:p>
          <w:p w14:paraId="6749A4E0" w14:textId="3BDB38AA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324D0C1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379BEEE3" w14:textId="251ACAEF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{0320;0020}</w:t>
            </w:r>
          </w:p>
        </w:tc>
        <w:tc>
          <w:tcPr>
            <w:tcW w:w="7406" w:type="dxa"/>
            <w:shd w:val="clear" w:color="auto" w:fill="FFFFFF"/>
          </w:tcPr>
          <w:p w14:paraId="487C59EC" w14:textId="64199DCF" w:rsidR="002509B1" w:rsidRPr="000B66BC" w:rsidRDefault="005A052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ebből: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Hivatalos exporthitel-biztosítási program keretében –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tőkeáttételi mutató számításához használt kitettségérték – IRB-kitettségek</w:t>
            </w:r>
          </w:p>
          <w:p w14:paraId="28C477A6" w14:textId="45C80184" w:rsidR="00FC5086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tőkeáttételi mutató számításához használt kitettségérték a hivatalos exporthitel-biztosítási program keretében megvalósuló kereskedelemfinanszírozáshoz kapcsolódó mérlegtételek esetében.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453591E6" w14:textId="24EEED56" w:rsidR="009C4E79" w:rsidRPr="000B66BC" w:rsidRDefault="00C90B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LR4 táblában való adatszolgáltatás céljából a hivatalos exporthitel-biztosítási program a kormány vagy más jogalany, például exporthitel-ügynökség által többek között közvetlen hitel/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finanszírozás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refinanszírozás, kamatláb-támogatás (ahol a rögzített kamatláb a hitel teljes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futamidejére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biztosított), segélyfinanszírozás (hitelek és támogatások), exporthitel-biztosítás és garanciák formájában biztosított hivatalos támogatás.</w:t>
            </w:r>
          </w:p>
          <w:p w14:paraId="121B09A0" w14:textId="7D13C18C" w:rsidR="002509B1" w:rsidRPr="000B66BC" w:rsidDel="00600AB1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  <w:tr w:rsidR="002A54FF" w:rsidRPr="00E75BB8" w14:paraId="5958CABD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0D523A5" w14:textId="2D5719F5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{0320;0030}</w:t>
            </w:r>
          </w:p>
        </w:tc>
        <w:tc>
          <w:tcPr>
            <w:tcW w:w="7406" w:type="dxa"/>
            <w:shd w:val="clear" w:color="auto" w:fill="FFFFFF"/>
          </w:tcPr>
          <w:p w14:paraId="1BC55C9E" w14:textId="018B97B0" w:rsidR="00F4754B" w:rsidRPr="000B66BC" w:rsidRDefault="005A052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ebből: Hivatalos exporthitel-biztosítási program keretében – RWEA – SA-kitettségek</w:t>
            </w:r>
          </w:p>
          <w:p w14:paraId="5BDA0B92" w14:textId="79F518BC" w:rsidR="005E0E4A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kockázattal súlyozott kitettségérték a hivatalos exporthitel-biztosítási program keretében megvalósuló kereskedelemfinanszírozáshoz kapcsolódó mérlegtételek esetében.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04A05DE3" w14:textId="09DF700B" w:rsidR="00F4754B" w:rsidRPr="000B66BC" w:rsidRDefault="00C90B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LR4 táblában való adatszolgáltatás céljából a hivatalos exporthitel-biztosítási program a kormány vagy más jogalany, például exporthitel-ügynökség által többek között közvetlen hitel/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finanszírozás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refinanszírozás, kamatláb-támogatás (ahol a rögzített kamatláb a hitel teljes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futamidejére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biztosított), segélyfinanszírozás (hitelek és támogatások), exporthitel-biztosítás és garanciák formájában biztosított hivatalos támogatás. </w:t>
            </w:r>
          </w:p>
          <w:p w14:paraId="4F35ADC9" w14:textId="4AC2CE52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intézményeknek a sztenderd módszer szerinti nemteljesítő kitettségek nélküli értéket kell feltüntetniük.</w:t>
            </w:r>
          </w:p>
        </w:tc>
      </w:tr>
      <w:tr w:rsidR="002A54FF" w:rsidRPr="00E75BB8" w14:paraId="50DFFA63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3E66A2E1" w14:textId="52C5C76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{0320;0040}</w:t>
            </w:r>
          </w:p>
        </w:tc>
        <w:tc>
          <w:tcPr>
            <w:tcW w:w="7406" w:type="dxa"/>
            <w:shd w:val="clear" w:color="auto" w:fill="FFFFFF"/>
          </w:tcPr>
          <w:p w14:paraId="02837300" w14:textId="087FB5C1" w:rsidR="00F4754B" w:rsidRPr="000B66BC" w:rsidRDefault="005A052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ebből: Hivatalos exporthitel-biztosítási program keretében – RWEA – IRB-kitettségek</w:t>
            </w:r>
          </w:p>
          <w:p w14:paraId="7E51B295" w14:textId="2E71FA87" w:rsidR="005E0E4A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kockázattal súlyozott kitettségérték a hivatalos exporthitel-biztosítási program keretében megvalósuló kereskedelemfinanszírozáshoz kapcsolódó mérlegtételek esetében.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22173B42" w14:textId="1EB56629" w:rsidR="009C4E79" w:rsidRPr="000B66BC" w:rsidRDefault="00C90B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LR4 táblában való adatszolgáltatás céljából a hivatalos exporthitel-biztosítási program a kormány vagy más jogalany, például exporthitel-ügynökség által többek között közvetlen hitel/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finanszírozás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refinanszírozás, kamatláb-támogatás (ahol a rögzített kamatláb a hitel teljes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futamidejére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biztosított), segélyfinanszírozás (hitelek és támogatások),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exporthitel-biztosítás és garanciák formájában biztosított hivata</w:t>
            </w:r>
            <w:r w:rsidR="00BD311B">
              <w:rPr>
                <w:rFonts w:ascii="Times New Roman" w:hAnsi="Times New Roman"/>
                <w:sz w:val="24"/>
                <w:szCs w:val="24"/>
              </w:rPr>
              <w:t>los támogatás.</w:t>
            </w:r>
          </w:p>
          <w:p w14:paraId="16D3A7FB" w14:textId="65A4E59B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az IRB módszer szerinti nemteljesítő kitettségek nélküli értéket kell feltüntetniük.</w:t>
            </w:r>
          </w:p>
        </w:tc>
      </w:tr>
    </w:tbl>
    <w:p w14:paraId="6F5938BB" w14:textId="71A3874E" w:rsidR="004C0459" w:rsidRPr="000B66BC" w:rsidRDefault="004C0459" w:rsidP="000B66BC">
      <w:pPr>
        <w:pStyle w:val="BodyText1"/>
        <w:spacing w:after="240"/>
        <w:ind w:left="720"/>
        <w:rPr>
          <w:rFonts w:ascii="Times New Roman" w:hAnsi="Times New Roman"/>
          <w:b/>
          <w:sz w:val="24"/>
          <w:szCs w:val="24"/>
        </w:rPr>
      </w:pPr>
      <w:bookmarkStart w:id="75" w:name="_Toc351048511"/>
      <w:bookmarkStart w:id="76" w:name="_Toc359414290"/>
      <w:bookmarkStart w:id="77" w:name="_Toc423089075"/>
      <w:bookmarkEnd w:id="72"/>
    </w:p>
    <w:p w14:paraId="3B957644" w14:textId="7AA08C09" w:rsidR="00217D1F" w:rsidRPr="000B66BC" w:rsidRDefault="005F4574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78" w:name="_Toc58916214"/>
      <w:r>
        <w:rPr>
          <w:rFonts w:ascii="Times New Roman" w:hAnsi="Times New Roman"/>
          <w:b/>
          <w:sz w:val="24"/>
          <w:szCs w:val="24"/>
        </w:rPr>
        <w:t>6.</w:t>
      </w:r>
      <w:r>
        <w:tab/>
      </w:r>
      <w:r>
        <w:rPr>
          <w:rFonts w:ascii="Times New Roman" w:hAnsi="Times New Roman"/>
          <w:b/>
          <w:sz w:val="24"/>
          <w:szCs w:val="24"/>
        </w:rPr>
        <w:t xml:space="preserve">C 44.00 – Általános </w:t>
      </w:r>
      <w:proofErr w:type="gramStart"/>
      <w:r>
        <w:rPr>
          <w:rFonts w:ascii="Times New Roman" w:hAnsi="Times New Roman"/>
          <w:b/>
          <w:sz w:val="24"/>
          <w:szCs w:val="24"/>
        </w:rPr>
        <w:t>információk</w:t>
      </w:r>
      <w:bookmarkEnd w:id="75"/>
      <w:bookmarkEnd w:id="76"/>
      <w:proofErr w:type="gramEnd"/>
      <w:r>
        <w:rPr>
          <w:rFonts w:ascii="Times New Roman" w:hAnsi="Times New Roman"/>
          <w:b/>
          <w:sz w:val="24"/>
          <w:szCs w:val="24"/>
        </w:rPr>
        <w:t xml:space="preserve"> (LR5)</w:t>
      </w:r>
      <w:bookmarkEnd w:id="77"/>
      <w:bookmarkEnd w:id="78"/>
    </w:p>
    <w:p w14:paraId="0762DA75" w14:textId="1CF4EE9B" w:rsidR="00F4754B" w:rsidRPr="000B66BC" w:rsidRDefault="00143C6A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</w:t>
      </w:r>
      <w:r>
        <w:tab/>
      </w:r>
      <w:r>
        <w:rPr>
          <w:rFonts w:ascii="Times New Roman" w:hAnsi="Times New Roman"/>
          <w:sz w:val="24"/>
          <w:szCs w:val="24"/>
        </w:rPr>
        <w:t xml:space="preserve">Itt az intézmény tevékenységeinek kategorizálása és az intézmény által választott szabályozói lehetőségek feltüntetése céljából további </w:t>
      </w:r>
      <w:proofErr w:type="gramStart"/>
      <w:r>
        <w:rPr>
          <w:rFonts w:ascii="Times New Roman" w:hAnsi="Times New Roman"/>
          <w:sz w:val="24"/>
          <w:szCs w:val="24"/>
        </w:rPr>
        <w:t>információkat</w:t>
      </w:r>
      <w:proofErr w:type="gramEnd"/>
      <w:r>
        <w:rPr>
          <w:rFonts w:ascii="Times New Roman" w:hAnsi="Times New Roman"/>
          <w:sz w:val="24"/>
          <w:szCs w:val="24"/>
        </w:rPr>
        <w:t xml:space="preserve"> kell megadni.</w:t>
      </w:r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7308"/>
      </w:tblGrid>
      <w:tr w:rsidR="00F4754B" w:rsidRPr="00E75BB8" w14:paraId="01020A4D" w14:textId="77777777" w:rsidTr="000B66BC">
        <w:tc>
          <w:tcPr>
            <w:tcW w:w="1730" w:type="dxa"/>
            <w:shd w:val="clear" w:color="auto" w:fill="D9D9D9" w:themeFill="background1" w:themeFillShade="D9"/>
          </w:tcPr>
          <w:p w14:paraId="609E7AEC" w14:textId="7777777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Sor </w:t>
            </w:r>
          </w:p>
          <w:p w14:paraId="3ADE932A" w14:textId="7777777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és oszlop</w:t>
            </w:r>
          </w:p>
        </w:tc>
        <w:tc>
          <w:tcPr>
            <w:tcW w:w="7308" w:type="dxa"/>
            <w:shd w:val="clear" w:color="auto" w:fill="D9D9D9" w:themeFill="background1" w:themeFillShade="D9"/>
          </w:tcPr>
          <w:p w14:paraId="07C08D86" w14:textId="7777777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Útmutató</w:t>
            </w:r>
          </w:p>
        </w:tc>
      </w:tr>
      <w:tr w:rsidR="00F4754B" w:rsidRPr="00E75BB8" w14:paraId="55A6FD39" w14:textId="77777777" w:rsidTr="000B66BC">
        <w:tc>
          <w:tcPr>
            <w:tcW w:w="1730" w:type="dxa"/>
          </w:tcPr>
          <w:p w14:paraId="4651DD6D" w14:textId="2C8898E2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{0010;0010}</w:t>
            </w:r>
          </w:p>
        </w:tc>
        <w:tc>
          <w:tcPr>
            <w:tcW w:w="7308" w:type="dxa"/>
          </w:tcPr>
          <w:p w14:paraId="4DA873F1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Az intézmény társasági formája</w:t>
            </w:r>
          </w:p>
          <w:p w14:paraId="64CCC795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intézménynek társasági formáját az alább megadott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kategóriákba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kell sorolnia:</w:t>
            </w:r>
          </w:p>
          <w:p w14:paraId="1F1192E5" w14:textId="77777777" w:rsidR="00F4754B" w:rsidRPr="000B66BC" w:rsidRDefault="0050050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>
              <w:tab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Részvénytársaság;</w:t>
            </w:r>
          </w:p>
          <w:p w14:paraId="003D2706" w14:textId="77777777" w:rsidR="00F4754B" w:rsidRPr="000B66BC" w:rsidRDefault="0050050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>
              <w:tab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Kölcsönös/szövetkezet;</w:t>
            </w:r>
          </w:p>
          <w:p w14:paraId="6192BE9A" w14:textId="31FF6E20" w:rsidR="00BE6AC4" w:rsidRPr="000B66BC" w:rsidRDefault="0050050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>
              <w:tab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Egyéb nem részvénytársaság jellegű társaság.</w:t>
            </w:r>
          </w:p>
        </w:tc>
      </w:tr>
      <w:tr w:rsidR="00F4754B" w:rsidRPr="00E75BB8" w14:paraId="0E805489" w14:textId="77777777" w:rsidTr="000B66BC">
        <w:tc>
          <w:tcPr>
            <w:tcW w:w="1730" w:type="dxa"/>
          </w:tcPr>
          <w:p w14:paraId="024D6767" w14:textId="451206B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{0020;0010}</w:t>
            </w:r>
          </w:p>
        </w:tc>
        <w:tc>
          <w:tcPr>
            <w:tcW w:w="7308" w:type="dxa"/>
          </w:tcPr>
          <w:p w14:paraId="6E8478E9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Származtatott ügyletek kezelése</w:t>
            </w:r>
          </w:p>
          <w:p w14:paraId="32814C5E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intézménynek a származtatott ügyletek szabályozói kezelését az alább megadott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kategóriákba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kell sorolnia:</w:t>
            </w:r>
          </w:p>
          <w:p w14:paraId="255B888B" w14:textId="77777777" w:rsidR="00B04A5F" w:rsidRPr="000B66BC" w:rsidRDefault="00B04A5F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A partnerkockázat sztenderd módszere (SA-CCR);</w:t>
            </w:r>
          </w:p>
          <w:p w14:paraId="43920088" w14:textId="080D2445" w:rsidR="00B04A5F" w:rsidRPr="000B66BC" w:rsidRDefault="00B04A5F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A partnerkockázat egyszerűsített sztenderd módszere;</w:t>
            </w:r>
          </w:p>
          <w:p w14:paraId="7A9DB046" w14:textId="7690E86C" w:rsidR="00BE6AC4" w:rsidRPr="000B66BC" w:rsidRDefault="0050050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>
              <w:tab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Az eredeti kitettség szerinti módszer.</w:t>
            </w:r>
          </w:p>
        </w:tc>
      </w:tr>
      <w:tr w:rsidR="00F4754B" w:rsidRPr="00E75BB8" w14:paraId="0E0C8448" w14:textId="77777777" w:rsidTr="000B66BC">
        <w:tc>
          <w:tcPr>
            <w:tcW w:w="1730" w:type="dxa"/>
          </w:tcPr>
          <w:p w14:paraId="6C37BCD8" w14:textId="7BBC71D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{0040;0010}</w:t>
            </w:r>
          </w:p>
        </w:tc>
        <w:tc>
          <w:tcPr>
            <w:tcW w:w="7308" w:type="dxa"/>
          </w:tcPr>
          <w:p w14:paraId="3154A9B3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Az intézmény típusa</w:t>
            </w:r>
          </w:p>
          <w:p w14:paraId="2C15E916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Az intézménynek típusát az alább megadott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kategóriákba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kell sorolnia:</w:t>
            </w:r>
          </w:p>
          <w:p w14:paraId="5F9BB21A" w14:textId="77777777" w:rsidR="00F4754B" w:rsidRPr="000B66BC" w:rsidRDefault="0050050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>
              <w:tab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Univerzális banki tevékenység (lakossági/kereskedelmi és befektetési banki tevékenység);</w:t>
            </w:r>
          </w:p>
          <w:p w14:paraId="730C89BA" w14:textId="77777777" w:rsidR="00F4754B" w:rsidRPr="000B66BC" w:rsidRDefault="0050050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>
              <w:tab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Lakossági/kereskedelmi banki tevékenység;</w:t>
            </w:r>
          </w:p>
          <w:p w14:paraId="430C8F32" w14:textId="77777777" w:rsidR="00F4754B" w:rsidRPr="000B66BC" w:rsidRDefault="0050050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>
              <w:tab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Befektetési banki tevékenység;</w:t>
            </w:r>
          </w:p>
          <w:p w14:paraId="53DE36EC" w14:textId="5929A7F1" w:rsidR="00875832" w:rsidRPr="000B66BC" w:rsidRDefault="0050050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–</w:t>
            </w:r>
            <w:r>
              <w:tab/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Speciális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hitelező;</w:t>
            </w:r>
          </w:p>
          <w:p w14:paraId="5E1BA609" w14:textId="30316771" w:rsidR="005D66B3" w:rsidRPr="000B66BC" w:rsidRDefault="0054684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fejlesztési hitelintézet;</w:t>
            </w:r>
          </w:p>
          <w:p w14:paraId="55C552F6" w14:textId="725A2101" w:rsidR="00BE6AC4" w:rsidRPr="000B66BC" w:rsidRDefault="00875832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>
              <w:tab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Egyéb üzleti modell.</w:t>
            </w:r>
          </w:p>
        </w:tc>
      </w:tr>
      <w:tr w:rsidR="006316AD" w:rsidRPr="00E75BB8" w14:paraId="46E27CC1" w14:textId="77777777" w:rsidTr="000B66BC">
        <w:tc>
          <w:tcPr>
            <w:tcW w:w="1730" w:type="dxa"/>
          </w:tcPr>
          <w:p w14:paraId="113B7AA0" w14:textId="48CFB31B" w:rsidR="006316AD" w:rsidRPr="000B66BC" w:rsidRDefault="006316AD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{0070;0010}</w:t>
            </w:r>
          </w:p>
        </w:tc>
        <w:tc>
          <w:tcPr>
            <w:tcW w:w="7308" w:type="dxa"/>
          </w:tcPr>
          <w:p w14:paraId="31DC1601" w14:textId="77777777" w:rsidR="006316AD" w:rsidRPr="000B66BC" w:rsidRDefault="006316A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fejlesztési hitelintézetként kezelt szervezeti egységgel rendelkező intézmény</w:t>
            </w:r>
          </w:p>
          <w:p w14:paraId="6D39363C" w14:textId="06B12418" w:rsidR="006316AD" w:rsidRPr="000B66BC" w:rsidRDefault="006316A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Azoknak az intézményeknek, amelyek nem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fejlesztési hitelintézetek, jelezniük kell, hogy rendelkeznek-e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fejlesztési hitelintézetként kezelt szervezeti egységgel.</w:t>
            </w:r>
          </w:p>
        </w:tc>
      </w:tr>
      <w:tr w:rsidR="003A13D1" w:rsidRPr="00E75BB8" w14:paraId="2CDC3E13" w14:textId="77777777" w:rsidTr="000B66BC">
        <w:tc>
          <w:tcPr>
            <w:tcW w:w="1730" w:type="dxa"/>
          </w:tcPr>
          <w:p w14:paraId="79D8D3BF" w14:textId="5989EBFA" w:rsidR="003A13D1" w:rsidRPr="000B66BC" w:rsidRDefault="003A13D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{0080;0010},</w:t>
            </w:r>
          </w:p>
          <w:p w14:paraId="0E404C36" w14:textId="3C546BDB" w:rsidR="003A13D1" w:rsidRPr="000B66BC" w:rsidRDefault="003A13D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{0090;0010},</w:t>
            </w:r>
          </w:p>
          <w:p w14:paraId="53B876FA" w14:textId="06E5D9AE" w:rsidR="003A13D1" w:rsidRPr="000B66BC" w:rsidRDefault="003A13D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{0100;0010}</w:t>
            </w:r>
          </w:p>
        </w:tc>
        <w:tc>
          <w:tcPr>
            <w:tcW w:w="7308" w:type="dxa"/>
          </w:tcPr>
          <w:p w14:paraId="66B939F9" w14:textId="6DF6B901" w:rsidR="003A13D1" w:rsidRPr="000B66BC" w:rsidRDefault="003A13D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fejlesztési hitelintézetnek/egységnek a CRR 429a. cikke (2) bekezdésének d) pontjával összhangban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garanciát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nyújtó szervezet: Központi kormányzat, regionális kormányzat, helyi hatóság</w:t>
            </w:r>
          </w:p>
          <w:p w14:paraId="5D4C6A0E" w14:textId="404D2BB3" w:rsidR="00092325" w:rsidRPr="000B66BC" w:rsidRDefault="0009232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fejlesztési hitelintézetnek minősülő vagy ilyenként kezelt egységgel rendelkező intézményeknek be kell számolniuk arról, hogy központi kormányzat, regionális kormányzat vagy helyi hatóság nyújt-e számukra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garanciát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93FBA55" w14:textId="6B923AA1" w:rsidR="003B054D" w:rsidRPr="000B66BC" w:rsidRDefault="0009232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fedezetnyújtó alkalmazandó típusának (típusainak) megfelelő sorban „IGAZ”-t, egyéb esetben pedig „HAMIS”-t kell feltüntetniük.</w:t>
            </w:r>
          </w:p>
        </w:tc>
      </w:tr>
      <w:tr w:rsidR="00872B4A" w:rsidRPr="00E75BB8" w14:paraId="7B661A02" w14:textId="77777777" w:rsidTr="000B66BC">
        <w:tc>
          <w:tcPr>
            <w:tcW w:w="1730" w:type="dxa"/>
          </w:tcPr>
          <w:p w14:paraId="184627A9" w14:textId="01E80B34" w:rsidR="00872B4A" w:rsidRPr="000B66BC" w:rsidRDefault="008551A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{0080;0010}</w:t>
            </w:r>
          </w:p>
        </w:tc>
        <w:tc>
          <w:tcPr>
            <w:tcW w:w="7308" w:type="dxa"/>
          </w:tcPr>
          <w:p w14:paraId="763F7485" w14:textId="7D0968A1" w:rsidR="00B04A5F" w:rsidRPr="000B66BC" w:rsidRDefault="00B132D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fejlesztési hitelintézetek/egységek számára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garanciát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nyújtó központi kormányzat</w:t>
            </w:r>
          </w:p>
        </w:tc>
      </w:tr>
      <w:tr w:rsidR="00B132DC" w:rsidRPr="00E75BB8" w14:paraId="355B1E3D" w14:textId="77777777" w:rsidTr="000B66BC">
        <w:tc>
          <w:tcPr>
            <w:tcW w:w="1730" w:type="dxa"/>
          </w:tcPr>
          <w:p w14:paraId="1700BD22" w14:textId="1957DAF2" w:rsidR="00B132DC" w:rsidRPr="000B66BC" w:rsidRDefault="003A13D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{0090;0010}</w:t>
            </w:r>
          </w:p>
        </w:tc>
        <w:tc>
          <w:tcPr>
            <w:tcW w:w="7308" w:type="dxa"/>
          </w:tcPr>
          <w:p w14:paraId="12648551" w14:textId="723AC193" w:rsidR="00B132DC" w:rsidRPr="000B66BC" w:rsidRDefault="000A5B0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fejlesztési hitelintézetek/egységek számára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garanciát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nyújtó regionális kormányzat</w:t>
            </w:r>
          </w:p>
        </w:tc>
      </w:tr>
      <w:tr w:rsidR="00B132DC" w:rsidRPr="00E75BB8" w14:paraId="261210F5" w14:textId="77777777" w:rsidTr="000B66BC">
        <w:tc>
          <w:tcPr>
            <w:tcW w:w="1730" w:type="dxa"/>
          </w:tcPr>
          <w:p w14:paraId="03A3CB47" w14:textId="5C79DC97" w:rsidR="00B132DC" w:rsidRPr="000B66BC" w:rsidRDefault="003A13D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{0100;0010}</w:t>
            </w:r>
          </w:p>
        </w:tc>
        <w:tc>
          <w:tcPr>
            <w:tcW w:w="7308" w:type="dxa"/>
          </w:tcPr>
          <w:p w14:paraId="3DBA105A" w14:textId="07763F33" w:rsidR="00B132DC" w:rsidRPr="000B66BC" w:rsidRDefault="004D70D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fejlesztési hitelintézetek/egységek számára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garanciát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nyújtó helyi hatóság</w:t>
            </w:r>
          </w:p>
        </w:tc>
      </w:tr>
      <w:tr w:rsidR="003B054D" w:rsidRPr="00E75BB8" w14:paraId="34258127" w14:textId="77777777" w:rsidTr="000B66BC">
        <w:tc>
          <w:tcPr>
            <w:tcW w:w="1730" w:type="dxa"/>
          </w:tcPr>
          <w:p w14:paraId="35F9E1F6" w14:textId="4B3A5235" w:rsidR="003B054D" w:rsidRPr="000B66BC" w:rsidRDefault="00F966CA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{0110;0010};</w:t>
            </w:r>
          </w:p>
          <w:p w14:paraId="4E5E6B84" w14:textId="41699235" w:rsidR="00F966CA" w:rsidRPr="000B66BC" w:rsidRDefault="00F966CA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{0120;0010};</w:t>
            </w:r>
          </w:p>
          <w:p w14:paraId="174F75EE" w14:textId="42C2EAF1" w:rsidR="00F966CA" w:rsidRPr="000B66BC" w:rsidRDefault="00F966CA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{0130;0010}</w:t>
            </w:r>
          </w:p>
        </w:tc>
        <w:tc>
          <w:tcPr>
            <w:tcW w:w="7308" w:type="dxa"/>
          </w:tcPr>
          <w:p w14:paraId="5E6BF02B" w14:textId="58A39281" w:rsidR="003B054D" w:rsidRPr="000B66BC" w:rsidRDefault="003B054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 CRR 429a. cikke (2) bekezdésének d) pontja szerinti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garancia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típusa</w:t>
            </w:r>
          </w:p>
          <w:p w14:paraId="6AD424FF" w14:textId="63E03310" w:rsidR="003B054D" w:rsidRPr="000B66BC" w:rsidRDefault="003B054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Azoknak az intézményeknek, amelyek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fejlesztési hitelintézetek vagy rendelkeznek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közszektorbeli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fejlesztési hitelintézetként kezelt egységgel, jelenteniük kell a kapott védelem típusát.</w:t>
            </w:r>
          </w:p>
          <w:p w14:paraId="70381FB6" w14:textId="2B13E154" w:rsidR="003B054D" w:rsidRPr="000B66BC" w:rsidRDefault="003B054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Az intézményeknek a védelem alkalmazandó típusának (típusainak) megfelelő sorban „IGAZ”-t, egyéb esetben pedig „HAMIS”-t kell feltüntetniük.</w:t>
            </w:r>
          </w:p>
        </w:tc>
      </w:tr>
      <w:tr w:rsidR="004D70D0" w:rsidRPr="00E75BB8" w14:paraId="049655D5" w14:textId="77777777" w:rsidTr="000B66BC">
        <w:tc>
          <w:tcPr>
            <w:tcW w:w="1730" w:type="dxa"/>
          </w:tcPr>
          <w:p w14:paraId="1DD88EB6" w14:textId="02D4AA7C" w:rsidR="004D70D0" w:rsidRPr="000B66BC" w:rsidRDefault="00F966CA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{0110;0010}</w:t>
            </w:r>
          </w:p>
        </w:tc>
        <w:tc>
          <w:tcPr>
            <w:tcW w:w="7308" w:type="dxa"/>
          </w:tcPr>
          <w:p w14:paraId="29D5A7E2" w14:textId="34B8184D" w:rsidR="004D70D0" w:rsidRPr="000B66BC" w:rsidRDefault="004D70D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 hitelintézetek életképességének védelmére vonatkozó kötelezettség</w:t>
            </w:r>
          </w:p>
        </w:tc>
      </w:tr>
      <w:tr w:rsidR="004D70D0" w:rsidRPr="00E75BB8" w14:paraId="4796D2E1" w14:textId="77777777" w:rsidTr="000B66BC">
        <w:tc>
          <w:tcPr>
            <w:tcW w:w="1730" w:type="dxa"/>
          </w:tcPr>
          <w:p w14:paraId="16677FDC" w14:textId="37E0FCCD" w:rsidR="004D70D0" w:rsidRPr="000B66BC" w:rsidRDefault="00F966CA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{0120;0010}</w:t>
            </w:r>
          </w:p>
        </w:tc>
        <w:tc>
          <w:tcPr>
            <w:tcW w:w="7308" w:type="dxa"/>
          </w:tcPr>
          <w:p w14:paraId="01E19ED4" w14:textId="2C530F26" w:rsidR="00F966CA" w:rsidRPr="000B66BC" w:rsidRDefault="004D70D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 hitelintézetek szavatolótőke-követelményeire,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finanszírozási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követelményeire vagy nyújtott kedvezményes kölcsöneire vonatkozó közvetlen garancia</w:t>
            </w:r>
          </w:p>
        </w:tc>
      </w:tr>
      <w:tr w:rsidR="004D70D0" w:rsidRPr="00E75BB8" w14:paraId="5FD34A30" w14:textId="77777777" w:rsidTr="000B66BC">
        <w:tc>
          <w:tcPr>
            <w:tcW w:w="1730" w:type="dxa"/>
          </w:tcPr>
          <w:p w14:paraId="0024CD7F" w14:textId="224F79CB" w:rsidR="004D70D0" w:rsidRPr="000B66BC" w:rsidRDefault="00F966CA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{0130;0010}</w:t>
            </w:r>
          </w:p>
        </w:tc>
        <w:tc>
          <w:tcPr>
            <w:tcW w:w="7308" w:type="dxa"/>
          </w:tcPr>
          <w:p w14:paraId="6809ECEE" w14:textId="15891213" w:rsidR="002C169A" w:rsidRPr="000B66BC" w:rsidRDefault="004D70D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 hitelintézetek szavatolótőke-követelményeire,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finanszírozási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követelményeire vagy nyújtott kedvezményes kölcsöneire vonatkozó közvetett garancia</w:t>
            </w:r>
          </w:p>
        </w:tc>
      </w:tr>
    </w:tbl>
    <w:p w14:paraId="47D20A93" w14:textId="77777777" w:rsidR="00565261" w:rsidRPr="000B66BC" w:rsidRDefault="00565261" w:rsidP="000B66BC">
      <w:pPr>
        <w:pStyle w:val="BodyText1"/>
        <w:spacing w:after="240"/>
        <w:ind w:left="567"/>
        <w:rPr>
          <w:rFonts w:ascii="Times New Roman" w:hAnsi="Times New Roman"/>
          <w:sz w:val="24"/>
          <w:szCs w:val="24"/>
        </w:rPr>
      </w:pPr>
    </w:p>
    <w:p w14:paraId="0E59FFDF" w14:textId="35DCDD76" w:rsidR="00700DB7" w:rsidRPr="000B66BC" w:rsidRDefault="005F4574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79" w:name="_Toc58916215"/>
      <w:r>
        <w:rPr>
          <w:rFonts w:ascii="Times New Roman" w:hAnsi="Times New Roman"/>
          <w:b/>
          <w:sz w:val="24"/>
          <w:szCs w:val="24"/>
        </w:rPr>
        <w:t>7.</w:t>
      </w:r>
      <w:r>
        <w:tab/>
      </w:r>
      <w:r>
        <w:rPr>
          <w:rFonts w:ascii="Times New Roman" w:hAnsi="Times New Roman"/>
          <w:b/>
          <w:sz w:val="24"/>
          <w:szCs w:val="24"/>
        </w:rPr>
        <w:t xml:space="preserve">C 48.00 </w:t>
      </w: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tőkeáttételi mutató </w:t>
      </w:r>
      <w:proofErr w:type="spellStart"/>
      <w:r>
        <w:rPr>
          <w:rFonts w:ascii="Times New Roman" w:hAnsi="Times New Roman"/>
          <w:b/>
          <w:sz w:val="24"/>
          <w:szCs w:val="24"/>
        </w:rPr>
        <w:t>volatilitása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(LR6)</w:t>
      </w:r>
      <w:bookmarkEnd w:id="79"/>
    </w:p>
    <w:p w14:paraId="4D3787F1" w14:textId="2C3256EB" w:rsidR="00700DB7" w:rsidRPr="000B66BC" w:rsidRDefault="00143C6A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</w:t>
      </w:r>
      <w:r>
        <w:tab/>
      </w:r>
      <w:r>
        <w:rPr>
          <w:rFonts w:ascii="Times New Roman" w:hAnsi="Times New Roman"/>
          <w:sz w:val="24"/>
          <w:szCs w:val="24"/>
        </w:rPr>
        <w:t xml:space="preserve">Az </w:t>
      </w:r>
      <w:proofErr w:type="gramStart"/>
      <w:r>
        <w:rPr>
          <w:rFonts w:ascii="Times New Roman" w:hAnsi="Times New Roman"/>
          <w:sz w:val="24"/>
          <w:szCs w:val="24"/>
        </w:rPr>
        <w:t>információk</w:t>
      </w:r>
      <w:proofErr w:type="gramEnd"/>
      <w:r>
        <w:rPr>
          <w:rFonts w:ascii="Times New Roman" w:hAnsi="Times New Roman"/>
          <w:sz w:val="24"/>
          <w:szCs w:val="24"/>
        </w:rPr>
        <w:t xml:space="preserve"> gyűjtése a tőkeáttételi mutató </w:t>
      </w:r>
      <w:proofErr w:type="spellStart"/>
      <w:r>
        <w:rPr>
          <w:rFonts w:ascii="Times New Roman" w:hAnsi="Times New Roman"/>
          <w:sz w:val="24"/>
          <w:szCs w:val="24"/>
        </w:rPr>
        <w:t>volatilitásának</w:t>
      </w:r>
      <w:proofErr w:type="spellEnd"/>
      <w:r>
        <w:rPr>
          <w:rFonts w:ascii="Times New Roman" w:hAnsi="Times New Roman"/>
          <w:sz w:val="24"/>
          <w:szCs w:val="24"/>
        </w:rPr>
        <w:t xml:space="preserve"> nyomon követése céljából történik. Az </w:t>
      </w:r>
      <w:proofErr w:type="gramStart"/>
      <w:r>
        <w:rPr>
          <w:rFonts w:ascii="Times New Roman" w:hAnsi="Times New Roman"/>
          <w:sz w:val="24"/>
          <w:szCs w:val="24"/>
        </w:rPr>
        <w:t>információt</w:t>
      </w:r>
      <w:proofErr w:type="gramEnd"/>
      <w:r>
        <w:rPr>
          <w:rFonts w:ascii="Times New Roman" w:hAnsi="Times New Roman"/>
          <w:sz w:val="24"/>
          <w:szCs w:val="24"/>
        </w:rPr>
        <w:t xml:space="preserve"> csak a nagy intézményeknek kell jelenteniük. </w:t>
      </w:r>
    </w:p>
    <w:p w14:paraId="16B16093" w14:textId="5ABFB2E9" w:rsidR="000472E7" w:rsidRPr="000B66BC" w:rsidRDefault="005F4574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80" w:name="_Toc58916216"/>
      <w:r>
        <w:rPr>
          <w:rFonts w:ascii="Times New Roman" w:hAnsi="Times New Roman"/>
          <w:b/>
          <w:sz w:val="24"/>
          <w:szCs w:val="24"/>
        </w:rPr>
        <w:t>8.</w:t>
      </w:r>
      <w:r>
        <w:tab/>
      </w:r>
      <w:r>
        <w:rPr>
          <w:rFonts w:ascii="Times New Roman" w:hAnsi="Times New Roman"/>
          <w:b/>
          <w:sz w:val="24"/>
          <w:szCs w:val="24"/>
        </w:rPr>
        <w:t xml:space="preserve">C 48.01 </w:t>
      </w: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tőkeáttételi mutató </w:t>
      </w:r>
      <w:proofErr w:type="spellStart"/>
      <w:r>
        <w:rPr>
          <w:rFonts w:ascii="Times New Roman" w:hAnsi="Times New Roman"/>
          <w:b/>
          <w:sz w:val="24"/>
          <w:szCs w:val="24"/>
        </w:rPr>
        <w:t>volatilitása</w:t>
      </w:r>
      <w:proofErr w:type="spellEnd"/>
      <w:r>
        <w:rPr>
          <w:rFonts w:ascii="Times New Roman" w:hAnsi="Times New Roman"/>
          <w:b/>
          <w:sz w:val="24"/>
          <w:szCs w:val="24"/>
        </w:rPr>
        <w:t>: Az adatszolgáltatási időszak számtani átlaga</w:t>
      </w:r>
      <w:bookmarkEnd w:id="80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7420"/>
      </w:tblGrid>
      <w:tr w:rsidR="001D7541" w:rsidRPr="00E75BB8" w14:paraId="0A7DE439" w14:textId="77777777" w:rsidTr="000B66BC">
        <w:trPr>
          <w:trHeight w:val="30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83A63B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Sor </w:t>
            </w:r>
          </w:p>
          <w:p w14:paraId="188CF35D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és oszlop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60E6A9" w14:textId="77777777" w:rsidR="001D7541" w:rsidRPr="000B66BC" w:rsidRDefault="0069738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Útmutató</w:t>
            </w:r>
          </w:p>
        </w:tc>
      </w:tr>
      <w:tr w:rsidR="001D7541" w:rsidRPr="00E75BB8" w14:paraId="7E8A2B67" w14:textId="77777777" w:rsidTr="000B66BC">
        <w:trPr>
          <w:trHeight w:val="30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17E1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{0010;0010}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5DCEA" w14:textId="77777777" w:rsidR="001D7541" w:rsidRPr="000B66BC" w:rsidRDefault="001D754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Az adatszolgáltatási időszak számtani átlaga – SFT-k kitettségértéke</w:t>
            </w:r>
          </w:p>
          <w:p w14:paraId="27CD001D" w14:textId="4B020038" w:rsidR="001D7541" w:rsidRPr="000B66BC" w:rsidRDefault="005E0E4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Az intézményeknek az értékpapír-finanszírozási ügyletek adatszolgáltatási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negyedévbeli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napi kitettségértékeinek számtani átlagát kell jelenteniük, csökkentve azt a C47.00 tábla 0010. és 0050. sorában meghatározott, ügyfél által elszámolt, központi szerződő féllel szembeni, 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mentesített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kereskedési kitettségek értékével.</w:t>
            </w:r>
          </w:p>
        </w:tc>
      </w:tr>
      <w:tr w:rsidR="001D7541" w:rsidRPr="00E75BB8" w14:paraId="4C36FCA0" w14:textId="77777777" w:rsidTr="000B66BC">
        <w:trPr>
          <w:trHeight w:val="30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0A94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{0010;0020}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827F" w14:textId="77777777" w:rsidR="001D7541" w:rsidRPr="000B66BC" w:rsidRDefault="001D754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Az adatszolgáltatási időszak számtani átlaga – Eladásként elszámolt SFT-k miatti kiigazítás </w:t>
            </w:r>
          </w:p>
          <w:p w14:paraId="53B119C8" w14:textId="5C8C9F92" w:rsidR="001D7541" w:rsidRPr="000B66BC" w:rsidRDefault="005E0E4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 intézményeknek az eladásként elszámolt értékpapír-finanszírozási ügyletekhez kapcsolódó, a C47.00 tábla 0230. sorában meghatározott kiigazítások adatszolgáltatási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negyedévbeli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napi értékeinek számtani átlagát kell jelenteniük.</w:t>
            </w:r>
          </w:p>
        </w:tc>
      </w:tr>
    </w:tbl>
    <w:p w14:paraId="74866056" w14:textId="69DED7CA" w:rsidR="000472E7" w:rsidRPr="000B66BC" w:rsidRDefault="000472E7" w:rsidP="000B66BC">
      <w:pPr>
        <w:pStyle w:val="BodyText1"/>
        <w:spacing w:after="240"/>
        <w:ind w:left="567"/>
        <w:rPr>
          <w:rFonts w:ascii="Times New Roman" w:hAnsi="Times New Roman"/>
          <w:sz w:val="24"/>
          <w:szCs w:val="24"/>
        </w:rPr>
      </w:pPr>
    </w:p>
    <w:p w14:paraId="622AB7C1" w14:textId="0B8B7A60" w:rsidR="001D7541" w:rsidRPr="000B66BC" w:rsidRDefault="005F4574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81" w:name="_Toc58916217"/>
      <w:r>
        <w:rPr>
          <w:rFonts w:ascii="Times New Roman" w:hAnsi="Times New Roman"/>
          <w:b/>
          <w:sz w:val="24"/>
          <w:szCs w:val="24"/>
        </w:rPr>
        <w:t>9.</w:t>
      </w:r>
      <w:r>
        <w:tab/>
      </w:r>
      <w:r>
        <w:rPr>
          <w:rFonts w:ascii="Times New Roman" w:hAnsi="Times New Roman"/>
          <w:b/>
          <w:sz w:val="24"/>
          <w:szCs w:val="24"/>
        </w:rPr>
        <w:t xml:space="preserve">C 48.02 </w:t>
      </w: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tőkeáttételi mutató </w:t>
      </w:r>
      <w:proofErr w:type="spellStart"/>
      <w:r>
        <w:rPr>
          <w:rFonts w:ascii="Times New Roman" w:hAnsi="Times New Roman"/>
          <w:b/>
          <w:sz w:val="24"/>
          <w:szCs w:val="24"/>
        </w:rPr>
        <w:t>volatilitása</w:t>
      </w:r>
      <w:proofErr w:type="spellEnd"/>
      <w:r>
        <w:rPr>
          <w:rFonts w:ascii="Times New Roman" w:hAnsi="Times New Roman"/>
          <w:b/>
          <w:sz w:val="24"/>
          <w:szCs w:val="24"/>
        </w:rPr>
        <w:t>: Az adatszolgáltatási időszak napi értékei</w:t>
      </w:r>
      <w:bookmarkEnd w:id="81"/>
    </w:p>
    <w:p w14:paraId="1BD85257" w14:textId="38D419A9" w:rsidR="001D7541" w:rsidRPr="000B66BC" w:rsidRDefault="00FA475C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</w:t>
      </w:r>
      <w:r>
        <w:tab/>
      </w:r>
      <w:r>
        <w:rPr>
          <w:rFonts w:ascii="Times New Roman" w:hAnsi="Times New Roman"/>
          <w:sz w:val="24"/>
          <w:szCs w:val="24"/>
        </w:rPr>
        <w:t xml:space="preserve">A negyedévre vonatkozó napi értékeket kell jelenteni. </w:t>
      </w:r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7420"/>
      </w:tblGrid>
      <w:tr w:rsidR="001D7541" w:rsidRPr="00E75BB8" w14:paraId="2AC7E931" w14:textId="77777777" w:rsidTr="000B66BC">
        <w:trPr>
          <w:trHeight w:val="30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6FA717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Sor </w:t>
            </w:r>
          </w:p>
          <w:p w14:paraId="4A69CF68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és oszlop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46AF82" w14:textId="77777777" w:rsidR="001D7541" w:rsidRPr="000B66BC" w:rsidRDefault="0069738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Útmutató</w:t>
            </w:r>
          </w:p>
        </w:tc>
      </w:tr>
      <w:tr w:rsidR="001D7541" w:rsidRPr="00E75BB8" w14:paraId="07392E1F" w14:textId="77777777" w:rsidTr="000B66BC">
        <w:trPr>
          <w:trHeight w:val="30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C3E8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{0010;0010}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BEFA" w14:textId="7EF262DA" w:rsidR="001D7541" w:rsidRPr="000B66BC" w:rsidRDefault="001D754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Az adatszolgáltatási időszak vonatkozási időpontja</w:t>
            </w:r>
          </w:p>
          <w:p w14:paraId="11691437" w14:textId="6CB0BDCD" w:rsidR="001D7541" w:rsidRPr="000B66BC" w:rsidRDefault="005E0E4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Az intézményeknek azt az időpontot kell megadniuk, amelyre a jelentett napi érték vonatkozik. Az adatszolgáltatási negyedév minden napját jelenteni kell.</w:t>
            </w:r>
          </w:p>
        </w:tc>
      </w:tr>
      <w:tr w:rsidR="001D7541" w:rsidRPr="00E75BB8" w14:paraId="1251FDD1" w14:textId="77777777" w:rsidTr="000B66BC">
        <w:trPr>
          <w:trHeight w:val="30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FEDA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lastRenderedPageBreak/>
              <w:t>{0010;0020}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D5C0" w14:textId="77777777" w:rsidR="001D7541" w:rsidRPr="000B66BC" w:rsidRDefault="001D754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Értékpapír-finanszírozási ügyletek kitettségértéke</w:t>
            </w:r>
          </w:p>
          <w:p w14:paraId="56D707C5" w14:textId="5C4FBC5B" w:rsidR="001D7541" w:rsidRPr="000B66BC" w:rsidRDefault="005E0E4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Az intézményeknek az értékpapír-finanszírozási ügyletek adatszolgáltatási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negyedévbeli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napi kitettségértékeit kell jelenteniük, csökkentve azt a C47.00 tábla 0010. és 0050. sorában meghatározott, ügyfél által elszámolt, központi szerződő féllel szembeni, 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mentesített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kereskedési kitettségek értékével.</w:t>
            </w:r>
          </w:p>
        </w:tc>
      </w:tr>
      <w:tr w:rsidR="001D7541" w:rsidRPr="00E75BB8" w14:paraId="324DD469" w14:textId="77777777" w:rsidTr="000B66BC">
        <w:trPr>
          <w:trHeight w:val="30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E7F5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{0010;0030}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98237" w14:textId="77777777" w:rsidR="001D7541" w:rsidRPr="000B66BC" w:rsidRDefault="00640D9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Eladásként elszámolt SFT-k miatti kiigazítás</w:t>
            </w:r>
          </w:p>
          <w:p w14:paraId="757C080D" w14:textId="4E51B80D" w:rsidR="00926849" w:rsidRPr="000B66BC" w:rsidRDefault="005E0E4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 intézményeknek az eladásként elszámolt értékpapír-finanszírozási ügyletekhez kapcsolódó, a C 47.00 tábla 0230. sorában meghatározott kiigazítások adatszolgáltatási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negyedévbeli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napi értékeit kell jelenteniük.</w:t>
            </w:r>
          </w:p>
        </w:tc>
      </w:tr>
    </w:tbl>
    <w:p w14:paraId="49B21AC1" w14:textId="77777777" w:rsidR="0009615C" w:rsidRPr="000B66BC" w:rsidRDefault="0009615C" w:rsidP="000B66BC">
      <w:pPr>
        <w:pStyle w:val="BodyText1"/>
        <w:spacing w:after="240"/>
        <w:rPr>
          <w:rFonts w:ascii="Times New Roman" w:hAnsi="Times New Roman"/>
          <w:sz w:val="24"/>
          <w:szCs w:val="24"/>
        </w:rPr>
      </w:pPr>
    </w:p>
    <w:sectPr w:rsidR="0009615C" w:rsidRPr="000B66BC" w:rsidSect="005315D3">
      <w:footerReference w:type="default" r:id="rId16"/>
      <w:headerReference w:type="first" r:id="rId17"/>
      <w:footerReference w:type="first" r:id="rId18"/>
      <w:pgSz w:w="11906" w:h="16838" w:code="9"/>
      <w:pgMar w:top="1522" w:right="1418" w:bottom="1560" w:left="1418" w:header="851" w:footer="141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310B4" w14:textId="77777777" w:rsidR="00FE5A5C" w:rsidRDefault="00FE5A5C">
      <w:r>
        <w:separator/>
      </w:r>
    </w:p>
  </w:endnote>
  <w:endnote w:type="continuationSeparator" w:id="0">
    <w:p w14:paraId="395B2676" w14:textId="77777777" w:rsidR="00FE5A5C" w:rsidRDefault="00FE5A5C">
      <w:r>
        <w:continuationSeparator/>
      </w:r>
    </w:p>
  </w:endnote>
  <w:endnote w:type="continuationNotice" w:id="1">
    <w:p w14:paraId="27C11573" w14:textId="77777777" w:rsidR="00FE5A5C" w:rsidRDefault="00FE5A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93910" w14:textId="77777777" w:rsidR="00902815" w:rsidRDefault="009028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C160F" w14:textId="2B225E98" w:rsidR="005D4764" w:rsidRPr="00A772B4" w:rsidRDefault="005D4764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</w:p>
  <w:p w14:paraId="2D971917" w14:textId="77777777" w:rsidR="005D4764" w:rsidRDefault="005D47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3053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77655A" w14:textId="36D2D4FC" w:rsidR="005D4764" w:rsidRDefault="005D476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2815">
          <w:rPr>
            <w:noProof/>
          </w:rPr>
          <w:t>1</w:t>
        </w:r>
        <w:r>
          <w:fldChar w:fldCharType="end"/>
        </w:r>
      </w:p>
    </w:sdtContent>
  </w:sdt>
  <w:p w14:paraId="3D7804EA" w14:textId="77777777" w:rsidR="005D4764" w:rsidRDefault="005D476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0"/>
      </w:rPr>
      <w:id w:val="17201704"/>
      <w:docPartObj>
        <w:docPartGallery w:val="Page Numbers (Bottom of Page)"/>
        <w:docPartUnique/>
      </w:docPartObj>
    </w:sdtPr>
    <w:sdtContent>
      <w:p w14:paraId="3FFD22B5" w14:textId="45568EDE" w:rsidR="005D4764" w:rsidRPr="009A78F0" w:rsidRDefault="005D4764" w:rsidP="009A78F0">
        <w:pPr>
          <w:pStyle w:val="Footer"/>
          <w:spacing w:line="240" w:lineRule="auto"/>
          <w:jc w:val="center"/>
          <w:rPr>
            <w:rFonts w:ascii="Times New Roman" w:hAnsi="Times New Roman"/>
            <w:sz w:val="20"/>
          </w:rPr>
        </w:pPr>
        <w:r>
          <w:rPr>
            <w:rFonts w:ascii="Times New Roman" w:hAnsi="Times New Roman"/>
            <w:sz w:val="20"/>
          </w:rPr>
          <w:fldChar w:fldCharType="begin"/>
        </w:r>
        <w:r>
          <w:rPr>
            <w:rFonts w:ascii="Times New Roman" w:hAnsi="Times New Roman"/>
            <w:sz w:val="20"/>
          </w:rPr>
          <w:instrText xml:space="preserve"> PAGE   \* MERGEFORMAT </w:instrText>
        </w:r>
        <w:r>
          <w:rPr>
            <w:rFonts w:ascii="Times New Roman" w:hAnsi="Times New Roman"/>
            <w:sz w:val="20"/>
          </w:rPr>
          <w:fldChar w:fldCharType="separate"/>
        </w:r>
        <w:r w:rsidR="00902815">
          <w:rPr>
            <w:rFonts w:ascii="Times New Roman" w:hAnsi="Times New Roman"/>
            <w:noProof/>
            <w:sz w:val="20"/>
          </w:rPr>
          <w:t>21</w:t>
        </w:r>
        <w:r>
          <w:rPr>
            <w:rFonts w:ascii="Times New Roman" w:hAnsi="Times New Roman"/>
            <w:sz w:val="20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Content>
      <w:p w14:paraId="58D08035" w14:textId="77777777" w:rsidR="005D4764" w:rsidRDefault="005D476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44</w:t>
        </w:r>
        <w:r>
          <w:fldChar w:fldCharType="end"/>
        </w:r>
      </w:p>
    </w:sdtContent>
  </w:sdt>
  <w:p w14:paraId="51D344E0" w14:textId="77777777" w:rsidR="005D4764" w:rsidRDefault="005D47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4F341" w14:textId="77777777" w:rsidR="00FE5A5C" w:rsidRPr="004D223F" w:rsidRDefault="00FE5A5C" w:rsidP="00C7701D">
      <w:r>
        <w:continuationSeparator/>
      </w:r>
    </w:p>
  </w:footnote>
  <w:footnote w:type="continuationSeparator" w:id="0">
    <w:p w14:paraId="32029FC3" w14:textId="77777777" w:rsidR="00FE5A5C" w:rsidRDefault="00FE5A5C">
      <w:r>
        <w:continuationSeparator/>
      </w:r>
    </w:p>
  </w:footnote>
  <w:footnote w:type="continuationNotice" w:id="1">
    <w:p w14:paraId="0C25CA8B" w14:textId="77777777" w:rsidR="00FE5A5C" w:rsidRDefault="00FE5A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3D6E5" w14:textId="77777777" w:rsidR="00902815" w:rsidRDefault="009028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88571" w14:textId="77777777" w:rsidR="00902815" w:rsidRDefault="0090281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9DEB0" w14:textId="77777777" w:rsidR="00902815" w:rsidRDefault="0090281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B18FA" w14:textId="77777777" w:rsidR="005D4764" w:rsidRDefault="005D4764">
    <w:pPr>
      <w:pStyle w:val="Header"/>
      <w:tabs>
        <w:tab w:val="clear" w:pos="8306"/>
        <w:tab w:val="right" w:pos="9072"/>
      </w:tabs>
      <w:jc w:val="right"/>
      <w:rPr>
        <w:noProof/>
      </w:rPr>
    </w:pPr>
    <w:r>
      <w:rPr>
        <w:noProof/>
        <w:lang w:val="en-GB" w:eastAsia="en-GB"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724668FC" wp14:editId="123690D9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F08C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14:paraId="530A286E" w14:textId="77777777" w:rsidR="005D4764" w:rsidRDefault="005D4764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5653A"/>
    <w:multiLevelType w:val="hybridMultilevel"/>
    <w:tmpl w:val="4C420076"/>
    <w:lvl w:ilvl="0" w:tplc="F50C75D0">
      <w:start w:val="1"/>
      <w:numFmt w:val="lowerRoman"/>
      <w:lvlText w:val="(%1)"/>
      <w:lvlJc w:val="left"/>
      <w:pPr>
        <w:ind w:left="1080" w:hanging="72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4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6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9" w15:restartNumberingAfterBreak="0">
    <w:nsid w:val="1F1B7365"/>
    <w:multiLevelType w:val="hybridMultilevel"/>
    <w:tmpl w:val="60F28E9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1" w15:restartNumberingAfterBreak="0">
    <w:nsid w:val="25C4782E"/>
    <w:multiLevelType w:val="hybridMultilevel"/>
    <w:tmpl w:val="E9340D3E"/>
    <w:lvl w:ilvl="0" w:tplc="69B0F6B4">
      <w:start w:val="1"/>
      <w:numFmt w:val="decimal"/>
      <w:lvlText w:val="%1."/>
      <w:lvlJc w:val="left"/>
      <w:pPr>
        <w:ind w:left="107" w:hanging="432"/>
      </w:pPr>
      <w:rPr>
        <w:rFonts w:ascii="Times New Roman" w:eastAsia="Cambria" w:hAnsi="Times New Roman" w:cs="Times New Roman" w:hint="default"/>
        <w:w w:val="99"/>
        <w:sz w:val="24"/>
        <w:szCs w:val="24"/>
        <w:lang w:val="en-US" w:eastAsia="en-US" w:bidi="en-US"/>
      </w:rPr>
    </w:lvl>
    <w:lvl w:ilvl="1" w:tplc="769CDF62">
      <w:numFmt w:val="bullet"/>
      <w:lvlText w:val="•"/>
      <w:lvlJc w:val="left"/>
      <w:pPr>
        <w:ind w:left="1032" w:hanging="432"/>
      </w:pPr>
      <w:rPr>
        <w:lang w:val="en-US" w:eastAsia="en-US" w:bidi="en-US"/>
      </w:rPr>
    </w:lvl>
    <w:lvl w:ilvl="2" w:tplc="6D28036C">
      <w:numFmt w:val="bullet"/>
      <w:lvlText w:val="•"/>
      <w:lvlJc w:val="left"/>
      <w:pPr>
        <w:ind w:left="1965" w:hanging="432"/>
      </w:pPr>
      <w:rPr>
        <w:lang w:val="en-US" w:eastAsia="en-US" w:bidi="en-US"/>
      </w:rPr>
    </w:lvl>
    <w:lvl w:ilvl="3" w:tplc="A2FC0E62">
      <w:numFmt w:val="bullet"/>
      <w:lvlText w:val="•"/>
      <w:lvlJc w:val="left"/>
      <w:pPr>
        <w:ind w:left="2897" w:hanging="432"/>
      </w:pPr>
      <w:rPr>
        <w:lang w:val="en-US" w:eastAsia="en-US" w:bidi="en-US"/>
      </w:rPr>
    </w:lvl>
    <w:lvl w:ilvl="4" w:tplc="421C7C0E">
      <w:numFmt w:val="bullet"/>
      <w:lvlText w:val="•"/>
      <w:lvlJc w:val="left"/>
      <w:pPr>
        <w:ind w:left="3830" w:hanging="432"/>
      </w:pPr>
      <w:rPr>
        <w:lang w:val="en-US" w:eastAsia="en-US" w:bidi="en-US"/>
      </w:rPr>
    </w:lvl>
    <w:lvl w:ilvl="5" w:tplc="9D64ABBC">
      <w:numFmt w:val="bullet"/>
      <w:lvlText w:val="•"/>
      <w:lvlJc w:val="left"/>
      <w:pPr>
        <w:ind w:left="4762" w:hanging="432"/>
      </w:pPr>
      <w:rPr>
        <w:lang w:val="en-US" w:eastAsia="en-US" w:bidi="en-US"/>
      </w:rPr>
    </w:lvl>
    <w:lvl w:ilvl="6" w:tplc="E174AD06">
      <w:numFmt w:val="bullet"/>
      <w:lvlText w:val="•"/>
      <w:lvlJc w:val="left"/>
      <w:pPr>
        <w:ind w:left="5695" w:hanging="432"/>
      </w:pPr>
      <w:rPr>
        <w:lang w:val="en-US" w:eastAsia="en-US" w:bidi="en-US"/>
      </w:rPr>
    </w:lvl>
    <w:lvl w:ilvl="7" w:tplc="6A526752">
      <w:numFmt w:val="bullet"/>
      <w:lvlText w:val="•"/>
      <w:lvlJc w:val="left"/>
      <w:pPr>
        <w:ind w:left="6627" w:hanging="432"/>
      </w:pPr>
      <w:rPr>
        <w:lang w:val="en-US" w:eastAsia="en-US" w:bidi="en-US"/>
      </w:rPr>
    </w:lvl>
    <w:lvl w:ilvl="8" w:tplc="203ACF58">
      <w:numFmt w:val="bullet"/>
      <w:lvlText w:val="•"/>
      <w:lvlJc w:val="left"/>
      <w:pPr>
        <w:ind w:left="7560" w:hanging="432"/>
      </w:pPr>
      <w:rPr>
        <w:lang w:val="en-US" w:eastAsia="en-US" w:bidi="en-US"/>
      </w:rPr>
    </w:lvl>
  </w:abstractNum>
  <w:abstractNum w:abstractNumId="12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566497"/>
    <w:multiLevelType w:val="hybridMultilevel"/>
    <w:tmpl w:val="8A1E4BD4"/>
    <w:lvl w:ilvl="0" w:tplc="0809001B">
      <w:start w:val="1"/>
      <w:numFmt w:val="lowerRoman"/>
      <w:lvlText w:val="%1."/>
      <w:lvlJc w:val="right"/>
      <w:pPr>
        <w:ind w:left="827" w:hanging="360"/>
      </w:pPr>
    </w:lvl>
    <w:lvl w:ilvl="1" w:tplc="08090019">
      <w:start w:val="1"/>
      <w:numFmt w:val="lowerLetter"/>
      <w:lvlText w:val="%2."/>
      <w:lvlJc w:val="left"/>
      <w:pPr>
        <w:ind w:left="1547" w:hanging="360"/>
      </w:pPr>
    </w:lvl>
    <w:lvl w:ilvl="2" w:tplc="0809001B">
      <w:start w:val="1"/>
      <w:numFmt w:val="lowerRoman"/>
      <w:lvlText w:val="%3."/>
      <w:lvlJc w:val="right"/>
      <w:pPr>
        <w:ind w:left="2267" w:hanging="180"/>
      </w:pPr>
    </w:lvl>
    <w:lvl w:ilvl="3" w:tplc="0809000F">
      <w:start w:val="1"/>
      <w:numFmt w:val="decimal"/>
      <w:lvlText w:val="%4."/>
      <w:lvlJc w:val="left"/>
      <w:pPr>
        <w:ind w:left="2987" w:hanging="360"/>
      </w:pPr>
    </w:lvl>
    <w:lvl w:ilvl="4" w:tplc="08090019">
      <w:start w:val="1"/>
      <w:numFmt w:val="lowerLetter"/>
      <w:lvlText w:val="%5."/>
      <w:lvlJc w:val="left"/>
      <w:pPr>
        <w:ind w:left="3707" w:hanging="360"/>
      </w:pPr>
    </w:lvl>
    <w:lvl w:ilvl="5" w:tplc="0809001B">
      <w:start w:val="1"/>
      <w:numFmt w:val="lowerRoman"/>
      <w:lvlText w:val="%6."/>
      <w:lvlJc w:val="right"/>
      <w:pPr>
        <w:ind w:left="4427" w:hanging="180"/>
      </w:pPr>
    </w:lvl>
    <w:lvl w:ilvl="6" w:tplc="0809000F">
      <w:start w:val="1"/>
      <w:numFmt w:val="decimal"/>
      <w:lvlText w:val="%7."/>
      <w:lvlJc w:val="left"/>
      <w:pPr>
        <w:ind w:left="5147" w:hanging="360"/>
      </w:pPr>
    </w:lvl>
    <w:lvl w:ilvl="7" w:tplc="08090019">
      <w:start w:val="1"/>
      <w:numFmt w:val="lowerLetter"/>
      <w:lvlText w:val="%8."/>
      <w:lvlJc w:val="left"/>
      <w:pPr>
        <w:ind w:left="5867" w:hanging="360"/>
      </w:pPr>
    </w:lvl>
    <w:lvl w:ilvl="8" w:tplc="0809001B">
      <w:start w:val="1"/>
      <w:numFmt w:val="lowerRoman"/>
      <w:lvlText w:val="%9."/>
      <w:lvlJc w:val="right"/>
      <w:pPr>
        <w:ind w:left="6587" w:hanging="180"/>
      </w:pPr>
    </w:lvl>
  </w:abstractNum>
  <w:abstractNum w:abstractNumId="15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1E79A8"/>
    <w:multiLevelType w:val="multilevel"/>
    <w:tmpl w:val="DE889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33057CB8"/>
    <w:multiLevelType w:val="hybridMultilevel"/>
    <w:tmpl w:val="2698E4A4"/>
    <w:lvl w:ilvl="0" w:tplc="8FD0AD34">
      <w:start w:val="1"/>
      <w:numFmt w:val="decimal"/>
      <w:pStyle w:val="InstructionsText2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42032807"/>
    <w:multiLevelType w:val="hybridMultilevel"/>
    <w:tmpl w:val="9F3423B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23" w15:restartNumberingAfterBreak="0">
    <w:nsid w:val="452C66B8"/>
    <w:multiLevelType w:val="hybridMultilevel"/>
    <w:tmpl w:val="D1347366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8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227369"/>
    <w:multiLevelType w:val="hybridMultilevel"/>
    <w:tmpl w:val="88A482EC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054905"/>
    <w:multiLevelType w:val="hybridMultilevel"/>
    <w:tmpl w:val="33709D28"/>
    <w:lvl w:ilvl="0" w:tplc="DBFAA0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8804A2"/>
    <w:multiLevelType w:val="hybridMultilevel"/>
    <w:tmpl w:val="E424B660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3330B4A"/>
    <w:multiLevelType w:val="hybridMultilevel"/>
    <w:tmpl w:val="4C420076"/>
    <w:lvl w:ilvl="0" w:tplc="F50C75D0">
      <w:start w:val="1"/>
      <w:numFmt w:val="lowerRoman"/>
      <w:lvlText w:val="(%1)"/>
      <w:lvlJc w:val="left"/>
      <w:pPr>
        <w:ind w:left="1080" w:hanging="72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00117E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8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40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45" w15:restartNumberingAfterBreak="0">
    <w:nsid w:val="6A237D39"/>
    <w:multiLevelType w:val="hybridMultilevel"/>
    <w:tmpl w:val="517C8AE6"/>
    <w:lvl w:ilvl="0" w:tplc="3A5C5BF2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D76F86"/>
    <w:multiLevelType w:val="hybridMultilevel"/>
    <w:tmpl w:val="7CDEB7F8"/>
    <w:lvl w:ilvl="0" w:tplc="2510378A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0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52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53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FE66477"/>
    <w:multiLevelType w:val="hybridMultilevel"/>
    <w:tmpl w:val="000A00F6"/>
    <w:lvl w:ilvl="0" w:tplc="D7EC01F8">
      <w:start w:val="1"/>
      <w:numFmt w:val="lowerRoman"/>
      <w:lvlText w:val="(%1)"/>
      <w:lvlJc w:val="left"/>
      <w:pPr>
        <w:ind w:left="1080" w:hanging="72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2"/>
  </w:num>
  <w:num w:numId="4">
    <w:abstractNumId w:val="8"/>
  </w:num>
  <w:num w:numId="5">
    <w:abstractNumId w:val="3"/>
  </w:num>
  <w:num w:numId="6">
    <w:abstractNumId w:val="51"/>
  </w:num>
  <w:num w:numId="7">
    <w:abstractNumId w:val="1"/>
  </w:num>
  <w:num w:numId="8">
    <w:abstractNumId w:val="36"/>
  </w:num>
  <w:num w:numId="9">
    <w:abstractNumId w:val="50"/>
  </w:num>
  <w:num w:numId="10">
    <w:abstractNumId w:val="24"/>
  </w:num>
  <w:num w:numId="11">
    <w:abstractNumId w:val="43"/>
  </w:num>
  <w:num w:numId="12">
    <w:abstractNumId w:val="20"/>
  </w:num>
  <w:num w:numId="13">
    <w:abstractNumId w:val="49"/>
  </w:num>
  <w:num w:numId="14">
    <w:abstractNumId w:val="7"/>
  </w:num>
  <w:num w:numId="15">
    <w:abstractNumId w:val="38"/>
  </w:num>
  <w:num w:numId="16">
    <w:abstractNumId w:val="19"/>
  </w:num>
  <w:num w:numId="17">
    <w:abstractNumId w:val="29"/>
  </w:num>
  <w:num w:numId="18">
    <w:abstractNumId w:val="15"/>
  </w:num>
  <w:num w:numId="19">
    <w:abstractNumId w:val="41"/>
  </w:num>
  <w:num w:numId="20">
    <w:abstractNumId w:val="35"/>
  </w:num>
  <w:num w:numId="21">
    <w:abstractNumId w:val="17"/>
  </w:num>
  <w:num w:numId="22">
    <w:abstractNumId w:val="28"/>
  </w:num>
  <w:num w:numId="23">
    <w:abstractNumId w:val="44"/>
  </w:num>
  <w:num w:numId="24">
    <w:abstractNumId w:val="5"/>
  </w:num>
  <w:num w:numId="25">
    <w:abstractNumId w:val="32"/>
  </w:num>
  <w:num w:numId="26">
    <w:abstractNumId w:val="16"/>
  </w:num>
  <w:num w:numId="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2"/>
  </w:num>
  <w:num w:numId="33">
    <w:abstractNumId w:val="18"/>
  </w:num>
  <w:num w:numId="34">
    <w:abstractNumId w:val="37"/>
  </w:num>
  <w:num w:numId="35">
    <w:abstractNumId w:val="9"/>
  </w:num>
  <w:num w:numId="3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23"/>
  </w:num>
  <w:num w:numId="40">
    <w:abstractNumId w:val="21"/>
  </w:num>
  <w:num w:numId="41">
    <w:abstractNumId w:val="30"/>
  </w:num>
  <w:num w:numId="42">
    <w:abstractNumId w:val="31"/>
  </w:num>
  <w:num w:numId="43">
    <w:abstractNumId w:val="39"/>
  </w:num>
  <w:num w:numId="44">
    <w:abstractNumId w:val="52"/>
  </w:num>
  <w:num w:numId="45">
    <w:abstractNumId w:val="42"/>
  </w:num>
  <w:num w:numId="46">
    <w:abstractNumId w:val="26"/>
  </w:num>
  <w:num w:numId="47">
    <w:abstractNumId w:val="40"/>
  </w:num>
  <w:num w:numId="48">
    <w:abstractNumId w:val="53"/>
  </w:num>
  <w:num w:numId="49">
    <w:abstractNumId w:val="13"/>
  </w:num>
  <w:num w:numId="50">
    <w:abstractNumId w:val="27"/>
  </w:num>
  <w:num w:numId="51">
    <w:abstractNumId w:val="48"/>
  </w:num>
  <w:num w:numId="52">
    <w:abstractNumId w:val="46"/>
  </w:num>
  <w:num w:numId="53">
    <w:abstractNumId w:val="25"/>
  </w:num>
  <w:num w:numId="54">
    <w:abstractNumId w:val="12"/>
  </w:num>
  <w:num w:numId="55">
    <w:abstractNumId w:val="4"/>
  </w:num>
  <w:num w:numId="56">
    <w:abstractNumId w:val="34"/>
  </w:num>
  <w:num w:numId="57">
    <w:abstractNumId w:val="6"/>
  </w:num>
  <w:num w:numId="58">
    <w:abstractNumId w:val="1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IE" w:vendorID="64" w:dllVersion="131078" w:nlCheck="1" w:checkStyle="1"/>
  <w:activeWritingStyle w:appName="MSWord" w:lang="fr-BE" w:vendorID="64" w:dllVersion="131078" w:nlCheck="1" w:checkStyle="0"/>
  <w:proofState w:spelling="clean" w:grammar="clean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6B9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0563"/>
    <w:rsid w:val="00011618"/>
    <w:rsid w:val="0001167D"/>
    <w:rsid w:val="00011688"/>
    <w:rsid w:val="00011BC9"/>
    <w:rsid w:val="00011E14"/>
    <w:rsid w:val="00012574"/>
    <w:rsid w:val="0001312C"/>
    <w:rsid w:val="0001525B"/>
    <w:rsid w:val="00015C89"/>
    <w:rsid w:val="000163CB"/>
    <w:rsid w:val="000164A2"/>
    <w:rsid w:val="00016AFB"/>
    <w:rsid w:val="00017C5E"/>
    <w:rsid w:val="00020486"/>
    <w:rsid w:val="00022D49"/>
    <w:rsid w:val="000236FF"/>
    <w:rsid w:val="00024D91"/>
    <w:rsid w:val="00026A1A"/>
    <w:rsid w:val="00030988"/>
    <w:rsid w:val="00030A95"/>
    <w:rsid w:val="00030CFF"/>
    <w:rsid w:val="00031FAA"/>
    <w:rsid w:val="00032D3D"/>
    <w:rsid w:val="00032DC0"/>
    <w:rsid w:val="0003735D"/>
    <w:rsid w:val="00037947"/>
    <w:rsid w:val="000448DD"/>
    <w:rsid w:val="00046DCF"/>
    <w:rsid w:val="000472E7"/>
    <w:rsid w:val="0004746E"/>
    <w:rsid w:val="00047A5F"/>
    <w:rsid w:val="000515A8"/>
    <w:rsid w:val="00053DFD"/>
    <w:rsid w:val="000544EF"/>
    <w:rsid w:val="000567CE"/>
    <w:rsid w:val="00057794"/>
    <w:rsid w:val="00057ECF"/>
    <w:rsid w:val="00057FDE"/>
    <w:rsid w:val="00060AEF"/>
    <w:rsid w:val="00060D86"/>
    <w:rsid w:val="00061569"/>
    <w:rsid w:val="00061696"/>
    <w:rsid w:val="00061FBE"/>
    <w:rsid w:val="0006345F"/>
    <w:rsid w:val="00064698"/>
    <w:rsid w:val="00070797"/>
    <w:rsid w:val="000708BE"/>
    <w:rsid w:val="0007247B"/>
    <w:rsid w:val="00072F44"/>
    <w:rsid w:val="0007350B"/>
    <w:rsid w:val="00075B1D"/>
    <w:rsid w:val="0007729E"/>
    <w:rsid w:val="00080B5B"/>
    <w:rsid w:val="00081D1E"/>
    <w:rsid w:val="00082D23"/>
    <w:rsid w:val="00082FFF"/>
    <w:rsid w:val="00083934"/>
    <w:rsid w:val="0008603A"/>
    <w:rsid w:val="00086398"/>
    <w:rsid w:val="00086418"/>
    <w:rsid w:val="000864F6"/>
    <w:rsid w:val="00086A8A"/>
    <w:rsid w:val="00087C56"/>
    <w:rsid w:val="00090312"/>
    <w:rsid w:val="00092325"/>
    <w:rsid w:val="00092348"/>
    <w:rsid w:val="000956D3"/>
    <w:rsid w:val="0009615C"/>
    <w:rsid w:val="000965C1"/>
    <w:rsid w:val="000971AD"/>
    <w:rsid w:val="000A14BE"/>
    <w:rsid w:val="000A1DC4"/>
    <w:rsid w:val="000A2489"/>
    <w:rsid w:val="000A32B5"/>
    <w:rsid w:val="000A359B"/>
    <w:rsid w:val="000A4658"/>
    <w:rsid w:val="000A486B"/>
    <w:rsid w:val="000A599E"/>
    <w:rsid w:val="000A5B0A"/>
    <w:rsid w:val="000A6437"/>
    <w:rsid w:val="000A6584"/>
    <w:rsid w:val="000A715B"/>
    <w:rsid w:val="000A7286"/>
    <w:rsid w:val="000A7330"/>
    <w:rsid w:val="000A78A1"/>
    <w:rsid w:val="000A7B45"/>
    <w:rsid w:val="000B0D11"/>
    <w:rsid w:val="000B108D"/>
    <w:rsid w:val="000B1619"/>
    <w:rsid w:val="000B2DD8"/>
    <w:rsid w:val="000B3EAC"/>
    <w:rsid w:val="000B46C7"/>
    <w:rsid w:val="000B4762"/>
    <w:rsid w:val="000B5580"/>
    <w:rsid w:val="000B5761"/>
    <w:rsid w:val="000B66BC"/>
    <w:rsid w:val="000B74A7"/>
    <w:rsid w:val="000B7D01"/>
    <w:rsid w:val="000C01E8"/>
    <w:rsid w:val="000C04BB"/>
    <w:rsid w:val="000C0B89"/>
    <w:rsid w:val="000C0D0F"/>
    <w:rsid w:val="000C216B"/>
    <w:rsid w:val="000C3F11"/>
    <w:rsid w:val="000C5068"/>
    <w:rsid w:val="000C6AAC"/>
    <w:rsid w:val="000D0106"/>
    <w:rsid w:val="000D1636"/>
    <w:rsid w:val="000D1827"/>
    <w:rsid w:val="000D1E6C"/>
    <w:rsid w:val="000D3973"/>
    <w:rsid w:val="000D44A0"/>
    <w:rsid w:val="000D5823"/>
    <w:rsid w:val="000D5FF7"/>
    <w:rsid w:val="000D6138"/>
    <w:rsid w:val="000D64CA"/>
    <w:rsid w:val="000D6823"/>
    <w:rsid w:val="000D6D58"/>
    <w:rsid w:val="000D77FB"/>
    <w:rsid w:val="000E083F"/>
    <w:rsid w:val="000E2D94"/>
    <w:rsid w:val="000E4713"/>
    <w:rsid w:val="000E4A3F"/>
    <w:rsid w:val="000E4B8D"/>
    <w:rsid w:val="000E5AAE"/>
    <w:rsid w:val="000E62A7"/>
    <w:rsid w:val="000E6617"/>
    <w:rsid w:val="000E6BF5"/>
    <w:rsid w:val="000E715A"/>
    <w:rsid w:val="000E7468"/>
    <w:rsid w:val="000F1F74"/>
    <w:rsid w:val="000F26EF"/>
    <w:rsid w:val="000F4A4A"/>
    <w:rsid w:val="000F4B74"/>
    <w:rsid w:val="000F5958"/>
    <w:rsid w:val="000F5F49"/>
    <w:rsid w:val="000F74E8"/>
    <w:rsid w:val="000F7613"/>
    <w:rsid w:val="00100493"/>
    <w:rsid w:val="001005A7"/>
    <w:rsid w:val="00103902"/>
    <w:rsid w:val="00103B23"/>
    <w:rsid w:val="00110007"/>
    <w:rsid w:val="00110BC7"/>
    <w:rsid w:val="0011104F"/>
    <w:rsid w:val="00111F80"/>
    <w:rsid w:val="001120BB"/>
    <w:rsid w:val="001133CE"/>
    <w:rsid w:val="00114345"/>
    <w:rsid w:val="0011649C"/>
    <w:rsid w:val="00117248"/>
    <w:rsid w:val="00117791"/>
    <w:rsid w:val="001227AD"/>
    <w:rsid w:val="00123F45"/>
    <w:rsid w:val="00124715"/>
    <w:rsid w:val="00125BAF"/>
    <w:rsid w:val="00125CA1"/>
    <w:rsid w:val="00127AC7"/>
    <w:rsid w:val="001305CF"/>
    <w:rsid w:val="00130DD7"/>
    <w:rsid w:val="00130EEF"/>
    <w:rsid w:val="00131057"/>
    <w:rsid w:val="00131C70"/>
    <w:rsid w:val="00132069"/>
    <w:rsid w:val="00132855"/>
    <w:rsid w:val="00132A0E"/>
    <w:rsid w:val="00132FD2"/>
    <w:rsid w:val="00133533"/>
    <w:rsid w:val="00134551"/>
    <w:rsid w:val="00136A9C"/>
    <w:rsid w:val="00136C36"/>
    <w:rsid w:val="00136DF0"/>
    <w:rsid w:val="001376F7"/>
    <w:rsid w:val="001407E1"/>
    <w:rsid w:val="00141CCF"/>
    <w:rsid w:val="00141FF2"/>
    <w:rsid w:val="0014246F"/>
    <w:rsid w:val="00142881"/>
    <w:rsid w:val="00142ED4"/>
    <w:rsid w:val="00143338"/>
    <w:rsid w:val="00143A3F"/>
    <w:rsid w:val="00143C6A"/>
    <w:rsid w:val="0014449A"/>
    <w:rsid w:val="00145BAD"/>
    <w:rsid w:val="00146CA4"/>
    <w:rsid w:val="001475A2"/>
    <w:rsid w:val="00151462"/>
    <w:rsid w:val="00151D33"/>
    <w:rsid w:val="0015208B"/>
    <w:rsid w:val="001526B8"/>
    <w:rsid w:val="0015292D"/>
    <w:rsid w:val="00153F16"/>
    <w:rsid w:val="00154FCE"/>
    <w:rsid w:val="001572C1"/>
    <w:rsid w:val="0016100A"/>
    <w:rsid w:val="001612FD"/>
    <w:rsid w:val="001622F5"/>
    <w:rsid w:val="00162ABC"/>
    <w:rsid w:val="00164A3E"/>
    <w:rsid w:val="00164A9A"/>
    <w:rsid w:val="0016680C"/>
    <w:rsid w:val="00166A6F"/>
    <w:rsid w:val="00166C41"/>
    <w:rsid w:val="00167041"/>
    <w:rsid w:val="00167C21"/>
    <w:rsid w:val="00171C3F"/>
    <w:rsid w:val="00171C76"/>
    <w:rsid w:val="001720F3"/>
    <w:rsid w:val="001721BF"/>
    <w:rsid w:val="0017297A"/>
    <w:rsid w:val="00173FAA"/>
    <w:rsid w:val="00174252"/>
    <w:rsid w:val="001753D7"/>
    <w:rsid w:val="0017558C"/>
    <w:rsid w:val="00175A51"/>
    <w:rsid w:val="00180521"/>
    <w:rsid w:val="001807E9"/>
    <w:rsid w:val="001807ED"/>
    <w:rsid w:val="00180FB9"/>
    <w:rsid w:val="00181A8D"/>
    <w:rsid w:val="001849BA"/>
    <w:rsid w:val="00184D76"/>
    <w:rsid w:val="00185539"/>
    <w:rsid w:val="001857D7"/>
    <w:rsid w:val="001865CF"/>
    <w:rsid w:val="00186774"/>
    <w:rsid w:val="0018771D"/>
    <w:rsid w:val="00187E4B"/>
    <w:rsid w:val="00187ECA"/>
    <w:rsid w:val="001905AF"/>
    <w:rsid w:val="00191467"/>
    <w:rsid w:val="001914C6"/>
    <w:rsid w:val="00193425"/>
    <w:rsid w:val="001934AC"/>
    <w:rsid w:val="00193A99"/>
    <w:rsid w:val="001943A2"/>
    <w:rsid w:val="00195426"/>
    <w:rsid w:val="00197F19"/>
    <w:rsid w:val="001A012D"/>
    <w:rsid w:val="001A2ABA"/>
    <w:rsid w:val="001A46E4"/>
    <w:rsid w:val="001A7665"/>
    <w:rsid w:val="001A78C1"/>
    <w:rsid w:val="001B1458"/>
    <w:rsid w:val="001B2410"/>
    <w:rsid w:val="001B2D84"/>
    <w:rsid w:val="001B34D0"/>
    <w:rsid w:val="001B3BF0"/>
    <w:rsid w:val="001B7535"/>
    <w:rsid w:val="001C123F"/>
    <w:rsid w:val="001C2254"/>
    <w:rsid w:val="001C2537"/>
    <w:rsid w:val="001C27BF"/>
    <w:rsid w:val="001C50A4"/>
    <w:rsid w:val="001C5613"/>
    <w:rsid w:val="001C597D"/>
    <w:rsid w:val="001C791E"/>
    <w:rsid w:val="001D0DCE"/>
    <w:rsid w:val="001D1678"/>
    <w:rsid w:val="001D1AE1"/>
    <w:rsid w:val="001D36C8"/>
    <w:rsid w:val="001D386D"/>
    <w:rsid w:val="001D39F5"/>
    <w:rsid w:val="001D4A4A"/>
    <w:rsid w:val="001D4EC2"/>
    <w:rsid w:val="001D5CFB"/>
    <w:rsid w:val="001D629F"/>
    <w:rsid w:val="001D6F2F"/>
    <w:rsid w:val="001D7541"/>
    <w:rsid w:val="001D7778"/>
    <w:rsid w:val="001E19C2"/>
    <w:rsid w:val="001E1E08"/>
    <w:rsid w:val="001E4710"/>
    <w:rsid w:val="001E4BA5"/>
    <w:rsid w:val="001E58D0"/>
    <w:rsid w:val="001E5A9A"/>
    <w:rsid w:val="001E5F9C"/>
    <w:rsid w:val="001E7ADE"/>
    <w:rsid w:val="001F0676"/>
    <w:rsid w:val="001F0ECD"/>
    <w:rsid w:val="001F28C3"/>
    <w:rsid w:val="001F28E7"/>
    <w:rsid w:val="001F3810"/>
    <w:rsid w:val="001F3E84"/>
    <w:rsid w:val="001F4281"/>
    <w:rsid w:val="001F6203"/>
    <w:rsid w:val="001F6CD5"/>
    <w:rsid w:val="001F7C68"/>
    <w:rsid w:val="001F7D7C"/>
    <w:rsid w:val="00201339"/>
    <w:rsid w:val="0020137F"/>
    <w:rsid w:val="00201643"/>
    <w:rsid w:val="00201AC3"/>
    <w:rsid w:val="002023F9"/>
    <w:rsid w:val="0020297E"/>
    <w:rsid w:val="002042A7"/>
    <w:rsid w:val="00204A81"/>
    <w:rsid w:val="00205B21"/>
    <w:rsid w:val="00206A85"/>
    <w:rsid w:val="00207482"/>
    <w:rsid w:val="00207901"/>
    <w:rsid w:val="002143BB"/>
    <w:rsid w:val="00214915"/>
    <w:rsid w:val="002149E4"/>
    <w:rsid w:val="00214D62"/>
    <w:rsid w:val="002161E2"/>
    <w:rsid w:val="002162B5"/>
    <w:rsid w:val="002172CC"/>
    <w:rsid w:val="00217B44"/>
    <w:rsid w:val="00217D1F"/>
    <w:rsid w:val="00220AA0"/>
    <w:rsid w:val="00222753"/>
    <w:rsid w:val="0022283C"/>
    <w:rsid w:val="0022597B"/>
    <w:rsid w:val="002262E5"/>
    <w:rsid w:val="002304E0"/>
    <w:rsid w:val="00231EBE"/>
    <w:rsid w:val="002323A0"/>
    <w:rsid w:val="00233A74"/>
    <w:rsid w:val="00235FBA"/>
    <w:rsid w:val="00237588"/>
    <w:rsid w:val="0023791C"/>
    <w:rsid w:val="00237DD1"/>
    <w:rsid w:val="0024092A"/>
    <w:rsid w:val="00240BF0"/>
    <w:rsid w:val="0024218B"/>
    <w:rsid w:val="00242493"/>
    <w:rsid w:val="00242D31"/>
    <w:rsid w:val="00243937"/>
    <w:rsid w:val="0024434F"/>
    <w:rsid w:val="00244966"/>
    <w:rsid w:val="0024511B"/>
    <w:rsid w:val="00245B16"/>
    <w:rsid w:val="00245CB1"/>
    <w:rsid w:val="00245EE3"/>
    <w:rsid w:val="002461BA"/>
    <w:rsid w:val="00247954"/>
    <w:rsid w:val="002509B1"/>
    <w:rsid w:val="00252F75"/>
    <w:rsid w:val="00253D80"/>
    <w:rsid w:val="00254983"/>
    <w:rsid w:val="00255202"/>
    <w:rsid w:val="002573FC"/>
    <w:rsid w:val="00260D4F"/>
    <w:rsid w:val="0026270F"/>
    <w:rsid w:val="0026336E"/>
    <w:rsid w:val="00264409"/>
    <w:rsid w:val="002662F0"/>
    <w:rsid w:val="002706B3"/>
    <w:rsid w:val="00270DBA"/>
    <w:rsid w:val="002710BE"/>
    <w:rsid w:val="00272017"/>
    <w:rsid w:val="00272210"/>
    <w:rsid w:val="00272715"/>
    <w:rsid w:val="0027305C"/>
    <w:rsid w:val="0027308B"/>
    <w:rsid w:val="002736E3"/>
    <w:rsid w:val="00275254"/>
    <w:rsid w:val="00275423"/>
    <w:rsid w:val="00275435"/>
    <w:rsid w:val="0027548E"/>
    <w:rsid w:val="00276DB0"/>
    <w:rsid w:val="00281660"/>
    <w:rsid w:val="0028217E"/>
    <w:rsid w:val="00286279"/>
    <w:rsid w:val="00287297"/>
    <w:rsid w:val="00287E34"/>
    <w:rsid w:val="002909B6"/>
    <w:rsid w:val="00291B93"/>
    <w:rsid w:val="002925F0"/>
    <w:rsid w:val="00292FC3"/>
    <w:rsid w:val="0029415C"/>
    <w:rsid w:val="002946C4"/>
    <w:rsid w:val="00294990"/>
    <w:rsid w:val="00295D7B"/>
    <w:rsid w:val="00297715"/>
    <w:rsid w:val="00297BC1"/>
    <w:rsid w:val="002A07A2"/>
    <w:rsid w:val="002A2841"/>
    <w:rsid w:val="002A28A2"/>
    <w:rsid w:val="002A29B1"/>
    <w:rsid w:val="002A536D"/>
    <w:rsid w:val="002A54FF"/>
    <w:rsid w:val="002A6ADE"/>
    <w:rsid w:val="002A6B55"/>
    <w:rsid w:val="002B009A"/>
    <w:rsid w:val="002B071B"/>
    <w:rsid w:val="002B0879"/>
    <w:rsid w:val="002B0936"/>
    <w:rsid w:val="002B0A4B"/>
    <w:rsid w:val="002B0AAC"/>
    <w:rsid w:val="002B34A4"/>
    <w:rsid w:val="002B3BEC"/>
    <w:rsid w:val="002B3FF4"/>
    <w:rsid w:val="002B70BC"/>
    <w:rsid w:val="002B7189"/>
    <w:rsid w:val="002B74C8"/>
    <w:rsid w:val="002C07EA"/>
    <w:rsid w:val="002C169A"/>
    <w:rsid w:val="002C1F24"/>
    <w:rsid w:val="002C4B54"/>
    <w:rsid w:val="002C5729"/>
    <w:rsid w:val="002C5782"/>
    <w:rsid w:val="002C5EF2"/>
    <w:rsid w:val="002C6238"/>
    <w:rsid w:val="002C6479"/>
    <w:rsid w:val="002C6D46"/>
    <w:rsid w:val="002C72C2"/>
    <w:rsid w:val="002D0276"/>
    <w:rsid w:val="002D1CE8"/>
    <w:rsid w:val="002D2944"/>
    <w:rsid w:val="002D3764"/>
    <w:rsid w:val="002D378E"/>
    <w:rsid w:val="002E1083"/>
    <w:rsid w:val="002E3728"/>
    <w:rsid w:val="002E3ED1"/>
    <w:rsid w:val="002E3FD6"/>
    <w:rsid w:val="002E6BDF"/>
    <w:rsid w:val="002E6BEF"/>
    <w:rsid w:val="002E721E"/>
    <w:rsid w:val="002F2179"/>
    <w:rsid w:val="002F3BA4"/>
    <w:rsid w:val="00300AA7"/>
    <w:rsid w:val="00300E22"/>
    <w:rsid w:val="0030136E"/>
    <w:rsid w:val="00301469"/>
    <w:rsid w:val="00301BEE"/>
    <w:rsid w:val="003027FE"/>
    <w:rsid w:val="00302FB6"/>
    <w:rsid w:val="003032DF"/>
    <w:rsid w:val="0030524E"/>
    <w:rsid w:val="0030642D"/>
    <w:rsid w:val="00307B4B"/>
    <w:rsid w:val="003113EE"/>
    <w:rsid w:val="00314716"/>
    <w:rsid w:val="00315160"/>
    <w:rsid w:val="00316050"/>
    <w:rsid w:val="003167BD"/>
    <w:rsid w:val="00316905"/>
    <w:rsid w:val="00317861"/>
    <w:rsid w:val="00317BCB"/>
    <w:rsid w:val="00321B6C"/>
    <w:rsid w:val="00321D7D"/>
    <w:rsid w:val="003231FC"/>
    <w:rsid w:val="0032369D"/>
    <w:rsid w:val="003236C2"/>
    <w:rsid w:val="00324840"/>
    <w:rsid w:val="00324993"/>
    <w:rsid w:val="003260D7"/>
    <w:rsid w:val="003264FC"/>
    <w:rsid w:val="0032786A"/>
    <w:rsid w:val="003310AE"/>
    <w:rsid w:val="003335A9"/>
    <w:rsid w:val="00334535"/>
    <w:rsid w:val="0033504B"/>
    <w:rsid w:val="003353A9"/>
    <w:rsid w:val="003355CE"/>
    <w:rsid w:val="003358B6"/>
    <w:rsid w:val="0033642B"/>
    <w:rsid w:val="003371AF"/>
    <w:rsid w:val="003405E7"/>
    <w:rsid w:val="00340711"/>
    <w:rsid w:val="003411F8"/>
    <w:rsid w:val="00341560"/>
    <w:rsid w:val="003418AD"/>
    <w:rsid w:val="0034348F"/>
    <w:rsid w:val="00344611"/>
    <w:rsid w:val="00345499"/>
    <w:rsid w:val="003475AF"/>
    <w:rsid w:val="00350419"/>
    <w:rsid w:val="00350D74"/>
    <w:rsid w:val="00352D4B"/>
    <w:rsid w:val="00354188"/>
    <w:rsid w:val="003546F2"/>
    <w:rsid w:val="0036007F"/>
    <w:rsid w:val="00360553"/>
    <w:rsid w:val="00360A3D"/>
    <w:rsid w:val="00361101"/>
    <w:rsid w:val="00364DD5"/>
    <w:rsid w:val="0037059A"/>
    <w:rsid w:val="003706AB"/>
    <w:rsid w:val="00371745"/>
    <w:rsid w:val="003718C7"/>
    <w:rsid w:val="003723CD"/>
    <w:rsid w:val="003732F8"/>
    <w:rsid w:val="00373CFA"/>
    <w:rsid w:val="003758DF"/>
    <w:rsid w:val="00376911"/>
    <w:rsid w:val="0037735D"/>
    <w:rsid w:val="00381146"/>
    <w:rsid w:val="00381582"/>
    <w:rsid w:val="00384B0B"/>
    <w:rsid w:val="00384D30"/>
    <w:rsid w:val="00385061"/>
    <w:rsid w:val="003869D4"/>
    <w:rsid w:val="00386CDA"/>
    <w:rsid w:val="00387DC5"/>
    <w:rsid w:val="00390B64"/>
    <w:rsid w:val="00390B7F"/>
    <w:rsid w:val="00391EF9"/>
    <w:rsid w:val="00392036"/>
    <w:rsid w:val="003937EE"/>
    <w:rsid w:val="00393D7A"/>
    <w:rsid w:val="00394D11"/>
    <w:rsid w:val="00395FEB"/>
    <w:rsid w:val="00397B00"/>
    <w:rsid w:val="003A13D1"/>
    <w:rsid w:val="003A3804"/>
    <w:rsid w:val="003A5995"/>
    <w:rsid w:val="003A5B2A"/>
    <w:rsid w:val="003A5EB5"/>
    <w:rsid w:val="003A6DAC"/>
    <w:rsid w:val="003B054D"/>
    <w:rsid w:val="003B0870"/>
    <w:rsid w:val="003B08DC"/>
    <w:rsid w:val="003B0909"/>
    <w:rsid w:val="003B09C0"/>
    <w:rsid w:val="003B1279"/>
    <w:rsid w:val="003B1611"/>
    <w:rsid w:val="003B23B9"/>
    <w:rsid w:val="003B2DDA"/>
    <w:rsid w:val="003B2E88"/>
    <w:rsid w:val="003B3015"/>
    <w:rsid w:val="003B3824"/>
    <w:rsid w:val="003B4192"/>
    <w:rsid w:val="003B472A"/>
    <w:rsid w:val="003B555D"/>
    <w:rsid w:val="003B5CD9"/>
    <w:rsid w:val="003B61F5"/>
    <w:rsid w:val="003B79B4"/>
    <w:rsid w:val="003B7BEC"/>
    <w:rsid w:val="003C4CC8"/>
    <w:rsid w:val="003C544C"/>
    <w:rsid w:val="003C6064"/>
    <w:rsid w:val="003C66FA"/>
    <w:rsid w:val="003C6829"/>
    <w:rsid w:val="003C7123"/>
    <w:rsid w:val="003C7E9B"/>
    <w:rsid w:val="003D04AD"/>
    <w:rsid w:val="003D0536"/>
    <w:rsid w:val="003D118F"/>
    <w:rsid w:val="003D2141"/>
    <w:rsid w:val="003D433B"/>
    <w:rsid w:val="003D7A5E"/>
    <w:rsid w:val="003E12AE"/>
    <w:rsid w:val="003E1D33"/>
    <w:rsid w:val="003E1E0E"/>
    <w:rsid w:val="003E23B1"/>
    <w:rsid w:val="003E3C45"/>
    <w:rsid w:val="003E4DEE"/>
    <w:rsid w:val="003E4F6D"/>
    <w:rsid w:val="003E56A4"/>
    <w:rsid w:val="003E624B"/>
    <w:rsid w:val="003E62FE"/>
    <w:rsid w:val="003F1BF6"/>
    <w:rsid w:val="003F37CB"/>
    <w:rsid w:val="003F51BD"/>
    <w:rsid w:val="003F598C"/>
    <w:rsid w:val="003F5D42"/>
    <w:rsid w:val="003F6C06"/>
    <w:rsid w:val="003F7811"/>
    <w:rsid w:val="0040194F"/>
    <w:rsid w:val="00401A21"/>
    <w:rsid w:val="00403798"/>
    <w:rsid w:val="00404AA3"/>
    <w:rsid w:val="004050A1"/>
    <w:rsid w:val="004052F0"/>
    <w:rsid w:val="004055B3"/>
    <w:rsid w:val="00406605"/>
    <w:rsid w:val="00407426"/>
    <w:rsid w:val="00407A0F"/>
    <w:rsid w:val="00410E47"/>
    <w:rsid w:val="00413A7F"/>
    <w:rsid w:val="004148B2"/>
    <w:rsid w:val="00414EB6"/>
    <w:rsid w:val="00415D69"/>
    <w:rsid w:val="0041676D"/>
    <w:rsid w:val="00417210"/>
    <w:rsid w:val="004178C8"/>
    <w:rsid w:val="00421540"/>
    <w:rsid w:val="004220C8"/>
    <w:rsid w:val="004229C1"/>
    <w:rsid w:val="00422C76"/>
    <w:rsid w:val="00423769"/>
    <w:rsid w:val="0042419F"/>
    <w:rsid w:val="00424A0A"/>
    <w:rsid w:val="00424BB8"/>
    <w:rsid w:val="00424F61"/>
    <w:rsid w:val="004250C0"/>
    <w:rsid w:val="00426A00"/>
    <w:rsid w:val="00430CAC"/>
    <w:rsid w:val="00433529"/>
    <w:rsid w:val="00433E1A"/>
    <w:rsid w:val="00434439"/>
    <w:rsid w:val="00436233"/>
    <w:rsid w:val="004379F7"/>
    <w:rsid w:val="00437E78"/>
    <w:rsid w:val="00440847"/>
    <w:rsid w:val="004446C2"/>
    <w:rsid w:val="004466D5"/>
    <w:rsid w:val="0044777F"/>
    <w:rsid w:val="00447EB1"/>
    <w:rsid w:val="00451BA1"/>
    <w:rsid w:val="00452A27"/>
    <w:rsid w:val="0045378E"/>
    <w:rsid w:val="00453BD6"/>
    <w:rsid w:val="0045405A"/>
    <w:rsid w:val="00455A2F"/>
    <w:rsid w:val="004573B6"/>
    <w:rsid w:val="00460502"/>
    <w:rsid w:val="004612B9"/>
    <w:rsid w:val="004618EC"/>
    <w:rsid w:val="00462168"/>
    <w:rsid w:val="0046231D"/>
    <w:rsid w:val="00462408"/>
    <w:rsid w:val="00463240"/>
    <w:rsid w:val="0046362B"/>
    <w:rsid w:val="004645D1"/>
    <w:rsid w:val="00465521"/>
    <w:rsid w:val="00467C7D"/>
    <w:rsid w:val="00467F98"/>
    <w:rsid w:val="00470082"/>
    <w:rsid w:val="00470C9E"/>
    <w:rsid w:val="00471639"/>
    <w:rsid w:val="004719F6"/>
    <w:rsid w:val="00472209"/>
    <w:rsid w:val="00472EC7"/>
    <w:rsid w:val="00473173"/>
    <w:rsid w:val="00474B43"/>
    <w:rsid w:val="00476B94"/>
    <w:rsid w:val="00477D43"/>
    <w:rsid w:val="004804A2"/>
    <w:rsid w:val="00481854"/>
    <w:rsid w:val="004818ED"/>
    <w:rsid w:val="00482670"/>
    <w:rsid w:val="00483334"/>
    <w:rsid w:val="004835BD"/>
    <w:rsid w:val="00484555"/>
    <w:rsid w:val="0048526F"/>
    <w:rsid w:val="00485706"/>
    <w:rsid w:val="00486D4C"/>
    <w:rsid w:val="0049025A"/>
    <w:rsid w:val="00491D9A"/>
    <w:rsid w:val="00492435"/>
    <w:rsid w:val="004924B2"/>
    <w:rsid w:val="0049459B"/>
    <w:rsid w:val="00494A67"/>
    <w:rsid w:val="0049578C"/>
    <w:rsid w:val="004968DF"/>
    <w:rsid w:val="004A107B"/>
    <w:rsid w:val="004A15F0"/>
    <w:rsid w:val="004A18A4"/>
    <w:rsid w:val="004A1A27"/>
    <w:rsid w:val="004A296A"/>
    <w:rsid w:val="004A3009"/>
    <w:rsid w:val="004A347E"/>
    <w:rsid w:val="004A4633"/>
    <w:rsid w:val="004A4C19"/>
    <w:rsid w:val="004A4C67"/>
    <w:rsid w:val="004A5220"/>
    <w:rsid w:val="004A61B4"/>
    <w:rsid w:val="004A623C"/>
    <w:rsid w:val="004B064A"/>
    <w:rsid w:val="004B1ADF"/>
    <w:rsid w:val="004B331D"/>
    <w:rsid w:val="004B44F1"/>
    <w:rsid w:val="004B5877"/>
    <w:rsid w:val="004B653A"/>
    <w:rsid w:val="004B6D3B"/>
    <w:rsid w:val="004B7616"/>
    <w:rsid w:val="004C0459"/>
    <w:rsid w:val="004C2916"/>
    <w:rsid w:val="004C2CFB"/>
    <w:rsid w:val="004C3157"/>
    <w:rsid w:val="004C3560"/>
    <w:rsid w:val="004C531C"/>
    <w:rsid w:val="004C56D9"/>
    <w:rsid w:val="004C587B"/>
    <w:rsid w:val="004C6361"/>
    <w:rsid w:val="004D12DC"/>
    <w:rsid w:val="004D14B5"/>
    <w:rsid w:val="004D223F"/>
    <w:rsid w:val="004D2325"/>
    <w:rsid w:val="004D36F1"/>
    <w:rsid w:val="004D47F0"/>
    <w:rsid w:val="004D53AC"/>
    <w:rsid w:val="004D70D0"/>
    <w:rsid w:val="004D7C73"/>
    <w:rsid w:val="004D7FD7"/>
    <w:rsid w:val="004E0132"/>
    <w:rsid w:val="004E043C"/>
    <w:rsid w:val="004E0DC5"/>
    <w:rsid w:val="004E100C"/>
    <w:rsid w:val="004E1CC0"/>
    <w:rsid w:val="004E204E"/>
    <w:rsid w:val="004E26E2"/>
    <w:rsid w:val="004E36C4"/>
    <w:rsid w:val="004E437E"/>
    <w:rsid w:val="004E59DD"/>
    <w:rsid w:val="004F0060"/>
    <w:rsid w:val="004F038C"/>
    <w:rsid w:val="004F0B0E"/>
    <w:rsid w:val="004F0BFB"/>
    <w:rsid w:val="004F0C5D"/>
    <w:rsid w:val="004F39F5"/>
    <w:rsid w:val="004F4212"/>
    <w:rsid w:val="004F4B70"/>
    <w:rsid w:val="004F782C"/>
    <w:rsid w:val="00500508"/>
    <w:rsid w:val="00505096"/>
    <w:rsid w:val="00505AEE"/>
    <w:rsid w:val="00505D21"/>
    <w:rsid w:val="0050602F"/>
    <w:rsid w:val="005063DE"/>
    <w:rsid w:val="00506444"/>
    <w:rsid w:val="00506596"/>
    <w:rsid w:val="00507878"/>
    <w:rsid w:val="00510FE5"/>
    <w:rsid w:val="00512342"/>
    <w:rsid w:val="00512B5A"/>
    <w:rsid w:val="00513244"/>
    <w:rsid w:val="00514EAE"/>
    <w:rsid w:val="005170CA"/>
    <w:rsid w:val="00520804"/>
    <w:rsid w:val="00520E26"/>
    <w:rsid w:val="00521326"/>
    <w:rsid w:val="005230DE"/>
    <w:rsid w:val="00523570"/>
    <w:rsid w:val="005254CB"/>
    <w:rsid w:val="00526EBD"/>
    <w:rsid w:val="0053018F"/>
    <w:rsid w:val="00530472"/>
    <w:rsid w:val="00530B7F"/>
    <w:rsid w:val="005315D3"/>
    <w:rsid w:val="00531A77"/>
    <w:rsid w:val="00532B92"/>
    <w:rsid w:val="0053335C"/>
    <w:rsid w:val="005334AA"/>
    <w:rsid w:val="00534FED"/>
    <w:rsid w:val="005357EF"/>
    <w:rsid w:val="005403C7"/>
    <w:rsid w:val="00540765"/>
    <w:rsid w:val="00541DA7"/>
    <w:rsid w:val="00542529"/>
    <w:rsid w:val="00542741"/>
    <w:rsid w:val="005441C9"/>
    <w:rsid w:val="00544664"/>
    <w:rsid w:val="00546848"/>
    <w:rsid w:val="00546D9F"/>
    <w:rsid w:val="00550D82"/>
    <w:rsid w:val="00553B13"/>
    <w:rsid w:val="00554069"/>
    <w:rsid w:val="0055482B"/>
    <w:rsid w:val="005550ED"/>
    <w:rsid w:val="005555FD"/>
    <w:rsid w:val="005556DC"/>
    <w:rsid w:val="00555B13"/>
    <w:rsid w:val="00556C46"/>
    <w:rsid w:val="00557776"/>
    <w:rsid w:val="00562EE5"/>
    <w:rsid w:val="005637C9"/>
    <w:rsid w:val="00563970"/>
    <w:rsid w:val="00564147"/>
    <w:rsid w:val="00564469"/>
    <w:rsid w:val="0056452F"/>
    <w:rsid w:val="00565261"/>
    <w:rsid w:val="005677F5"/>
    <w:rsid w:val="005706FB"/>
    <w:rsid w:val="00572698"/>
    <w:rsid w:val="00573517"/>
    <w:rsid w:val="0057423E"/>
    <w:rsid w:val="00574827"/>
    <w:rsid w:val="00575A17"/>
    <w:rsid w:val="0057624C"/>
    <w:rsid w:val="0057643F"/>
    <w:rsid w:val="00576B1D"/>
    <w:rsid w:val="00577108"/>
    <w:rsid w:val="00580256"/>
    <w:rsid w:val="005810D1"/>
    <w:rsid w:val="0058174D"/>
    <w:rsid w:val="0058289F"/>
    <w:rsid w:val="00583DD0"/>
    <w:rsid w:val="00590FFA"/>
    <w:rsid w:val="00592197"/>
    <w:rsid w:val="00594532"/>
    <w:rsid w:val="0059457E"/>
    <w:rsid w:val="00594D94"/>
    <w:rsid w:val="005954BF"/>
    <w:rsid w:val="005959BF"/>
    <w:rsid w:val="00595A81"/>
    <w:rsid w:val="005962EA"/>
    <w:rsid w:val="005A052D"/>
    <w:rsid w:val="005A0FE7"/>
    <w:rsid w:val="005A1569"/>
    <w:rsid w:val="005A1732"/>
    <w:rsid w:val="005A1D6D"/>
    <w:rsid w:val="005A23B9"/>
    <w:rsid w:val="005A28BE"/>
    <w:rsid w:val="005A5B50"/>
    <w:rsid w:val="005B1C10"/>
    <w:rsid w:val="005B26E3"/>
    <w:rsid w:val="005B7B00"/>
    <w:rsid w:val="005C09F7"/>
    <w:rsid w:val="005C1136"/>
    <w:rsid w:val="005C3639"/>
    <w:rsid w:val="005C3647"/>
    <w:rsid w:val="005C5A30"/>
    <w:rsid w:val="005C5DE5"/>
    <w:rsid w:val="005C5E78"/>
    <w:rsid w:val="005C624B"/>
    <w:rsid w:val="005C69DE"/>
    <w:rsid w:val="005C6F27"/>
    <w:rsid w:val="005D0068"/>
    <w:rsid w:val="005D0BA3"/>
    <w:rsid w:val="005D0D88"/>
    <w:rsid w:val="005D1F91"/>
    <w:rsid w:val="005D4764"/>
    <w:rsid w:val="005D5E9E"/>
    <w:rsid w:val="005D66B3"/>
    <w:rsid w:val="005D7EDA"/>
    <w:rsid w:val="005E0567"/>
    <w:rsid w:val="005E0E4A"/>
    <w:rsid w:val="005E11D1"/>
    <w:rsid w:val="005E14DF"/>
    <w:rsid w:val="005E1C85"/>
    <w:rsid w:val="005E2F5D"/>
    <w:rsid w:val="005E3C4A"/>
    <w:rsid w:val="005E3DFA"/>
    <w:rsid w:val="005E3E56"/>
    <w:rsid w:val="005E4C56"/>
    <w:rsid w:val="005E5BB9"/>
    <w:rsid w:val="005E615B"/>
    <w:rsid w:val="005E73EB"/>
    <w:rsid w:val="005E7B71"/>
    <w:rsid w:val="005F2987"/>
    <w:rsid w:val="005F3AC8"/>
    <w:rsid w:val="005F4574"/>
    <w:rsid w:val="005F45A9"/>
    <w:rsid w:val="005F5504"/>
    <w:rsid w:val="005F557E"/>
    <w:rsid w:val="005F6E30"/>
    <w:rsid w:val="005F704F"/>
    <w:rsid w:val="006033AB"/>
    <w:rsid w:val="00603579"/>
    <w:rsid w:val="00603F44"/>
    <w:rsid w:val="00603F66"/>
    <w:rsid w:val="00605108"/>
    <w:rsid w:val="0060741B"/>
    <w:rsid w:val="0060766D"/>
    <w:rsid w:val="00607A1B"/>
    <w:rsid w:val="0061104D"/>
    <w:rsid w:val="0061109E"/>
    <w:rsid w:val="0061403A"/>
    <w:rsid w:val="006162F0"/>
    <w:rsid w:val="0061658B"/>
    <w:rsid w:val="006171B4"/>
    <w:rsid w:val="0062069D"/>
    <w:rsid w:val="00621B0F"/>
    <w:rsid w:val="00623E45"/>
    <w:rsid w:val="0062501E"/>
    <w:rsid w:val="00625DC4"/>
    <w:rsid w:val="0062777A"/>
    <w:rsid w:val="00627E07"/>
    <w:rsid w:val="0063109A"/>
    <w:rsid w:val="006316AD"/>
    <w:rsid w:val="0063223E"/>
    <w:rsid w:val="00633D3F"/>
    <w:rsid w:val="00634086"/>
    <w:rsid w:val="00634337"/>
    <w:rsid w:val="00636093"/>
    <w:rsid w:val="00637945"/>
    <w:rsid w:val="0064027F"/>
    <w:rsid w:val="00640D9C"/>
    <w:rsid w:val="00641C67"/>
    <w:rsid w:val="00642285"/>
    <w:rsid w:val="006423CC"/>
    <w:rsid w:val="0064368C"/>
    <w:rsid w:val="00643B49"/>
    <w:rsid w:val="006463CA"/>
    <w:rsid w:val="006470A6"/>
    <w:rsid w:val="00650723"/>
    <w:rsid w:val="00651CD1"/>
    <w:rsid w:val="00652361"/>
    <w:rsid w:val="006537BB"/>
    <w:rsid w:val="00655C0D"/>
    <w:rsid w:val="00655EC7"/>
    <w:rsid w:val="00656442"/>
    <w:rsid w:val="00657F8D"/>
    <w:rsid w:val="006604D8"/>
    <w:rsid w:val="00661667"/>
    <w:rsid w:val="006622A7"/>
    <w:rsid w:val="0066353E"/>
    <w:rsid w:val="00663F8B"/>
    <w:rsid w:val="00663F9A"/>
    <w:rsid w:val="00664684"/>
    <w:rsid w:val="006646F1"/>
    <w:rsid w:val="00665AE3"/>
    <w:rsid w:val="00665BBB"/>
    <w:rsid w:val="0067137A"/>
    <w:rsid w:val="00672131"/>
    <w:rsid w:val="00673A97"/>
    <w:rsid w:val="00675587"/>
    <w:rsid w:val="00675B54"/>
    <w:rsid w:val="00676352"/>
    <w:rsid w:val="00676811"/>
    <w:rsid w:val="00677250"/>
    <w:rsid w:val="0068073E"/>
    <w:rsid w:val="0068104A"/>
    <w:rsid w:val="006825D8"/>
    <w:rsid w:val="00682A11"/>
    <w:rsid w:val="00684733"/>
    <w:rsid w:val="00684A92"/>
    <w:rsid w:val="00687851"/>
    <w:rsid w:val="006914A2"/>
    <w:rsid w:val="006918E9"/>
    <w:rsid w:val="00691A5C"/>
    <w:rsid w:val="00691DAA"/>
    <w:rsid w:val="0069203D"/>
    <w:rsid w:val="00694498"/>
    <w:rsid w:val="006944D1"/>
    <w:rsid w:val="00694982"/>
    <w:rsid w:val="00697252"/>
    <w:rsid w:val="00697380"/>
    <w:rsid w:val="006A0010"/>
    <w:rsid w:val="006A0DFB"/>
    <w:rsid w:val="006A2D2A"/>
    <w:rsid w:val="006A32F5"/>
    <w:rsid w:val="006A3C49"/>
    <w:rsid w:val="006A4045"/>
    <w:rsid w:val="006A4991"/>
    <w:rsid w:val="006A4EA8"/>
    <w:rsid w:val="006A5A49"/>
    <w:rsid w:val="006A5CC4"/>
    <w:rsid w:val="006A5E20"/>
    <w:rsid w:val="006A70F4"/>
    <w:rsid w:val="006A79D4"/>
    <w:rsid w:val="006B0848"/>
    <w:rsid w:val="006B0C51"/>
    <w:rsid w:val="006B3B83"/>
    <w:rsid w:val="006B3F16"/>
    <w:rsid w:val="006B5730"/>
    <w:rsid w:val="006B5E42"/>
    <w:rsid w:val="006B5EBA"/>
    <w:rsid w:val="006B71C3"/>
    <w:rsid w:val="006B78F4"/>
    <w:rsid w:val="006C011A"/>
    <w:rsid w:val="006C030C"/>
    <w:rsid w:val="006C0659"/>
    <w:rsid w:val="006C07C1"/>
    <w:rsid w:val="006C0C0A"/>
    <w:rsid w:val="006C1A7F"/>
    <w:rsid w:val="006C3615"/>
    <w:rsid w:val="006C40B3"/>
    <w:rsid w:val="006C69BD"/>
    <w:rsid w:val="006C7AC2"/>
    <w:rsid w:val="006D1BFE"/>
    <w:rsid w:val="006D1C09"/>
    <w:rsid w:val="006D3F98"/>
    <w:rsid w:val="006D5CF9"/>
    <w:rsid w:val="006D6827"/>
    <w:rsid w:val="006D7886"/>
    <w:rsid w:val="006D78A0"/>
    <w:rsid w:val="006D7B47"/>
    <w:rsid w:val="006E0322"/>
    <w:rsid w:val="006E1E69"/>
    <w:rsid w:val="006E259E"/>
    <w:rsid w:val="006E26BD"/>
    <w:rsid w:val="006E2997"/>
    <w:rsid w:val="006E3FAB"/>
    <w:rsid w:val="006E4EE7"/>
    <w:rsid w:val="006E4F4E"/>
    <w:rsid w:val="006E5CAA"/>
    <w:rsid w:val="006E657C"/>
    <w:rsid w:val="006E721B"/>
    <w:rsid w:val="006E7944"/>
    <w:rsid w:val="006F0266"/>
    <w:rsid w:val="006F112E"/>
    <w:rsid w:val="006F3775"/>
    <w:rsid w:val="006F4457"/>
    <w:rsid w:val="006F44FE"/>
    <w:rsid w:val="006F46E7"/>
    <w:rsid w:val="006F4788"/>
    <w:rsid w:val="006F4938"/>
    <w:rsid w:val="006F588E"/>
    <w:rsid w:val="006F5E81"/>
    <w:rsid w:val="006F5F1F"/>
    <w:rsid w:val="006F63EA"/>
    <w:rsid w:val="006F6CC7"/>
    <w:rsid w:val="006F6EA7"/>
    <w:rsid w:val="006F7AAD"/>
    <w:rsid w:val="006F7D8B"/>
    <w:rsid w:val="00700DA6"/>
    <w:rsid w:val="00700DB7"/>
    <w:rsid w:val="00701CFD"/>
    <w:rsid w:val="007020BF"/>
    <w:rsid w:val="007022DC"/>
    <w:rsid w:val="00702510"/>
    <w:rsid w:val="0070279B"/>
    <w:rsid w:val="00703CC2"/>
    <w:rsid w:val="00703D5A"/>
    <w:rsid w:val="0070569C"/>
    <w:rsid w:val="007057EB"/>
    <w:rsid w:val="0070583C"/>
    <w:rsid w:val="00706750"/>
    <w:rsid w:val="007100CC"/>
    <w:rsid w:val="00711173"/>
    <w:rsid w:val="00711488"/>
    <w:rsid w:val="00711599"/>
    <w:rsid w:val="007129B2"/>
    <w:rsid w:val="00712ECA"/>
    <w:rsid w:val="007134F6"/>
    <w:rsid w:val="00713ABC"/>
    <w:rsid w:val="00714306"/>
    <w:rsid w:val="00714E9C"/>
    <w:rsid w:val="007157C8"/>
    <w:rsid w:val="007161DB"/>
    <w:rsid w:val="00716F26"/>
    <w:rsid w:val="00717454"/>
    <w:rsid w:val="007200D9"/>
    <w:rsid w:val="00720503"/>
    <w:rsid w:val="00720943"/>
    <w:rsid w:val="00721D6C"/>
    <w:rsid w:val="00723994"/>
    <w:rsid w:val="00725978"/>
    <w:rsid w:val="007260A0"/>
    <w:rsid w:val="00727D79"/>
    <w:rsid w:val="00727F02"/>
    <w:rsid w:val="007307B3"/>
    <w:rsid w:val="00731216"/>
    <w:rsid w:val="0073197F"/>
    <w:rsid w:val="00731C96"/>
    <w:rsid w:val="00732A34"/>
    <w:rsid w:val="00732A8A"/>
    <w:rsid w:val="00732FC0"/>
    <w:rsid w:val="0073358A"/>
    <w:rsid w:val="007348B9"/>
    <w:rsid w:val="00735D76"/>
    <w:rsid w:val="00736CA8"/>
    <w:rsid w:val="00743C1E"/>
    <w:rsid w:val="00743C77"/>
    <w:rsid w:val="0074473F"/>
    <w:rsid w:val="007449D7"/>
    <w:rsid w:val="00746D86"/>
    <w:rsid w:val="00750606"/>
    <w:rsid w:val="00750C66"/>
    <w:rsid w:val="00751355"/>
    <w:rsid w:val="00751DEF"/>
    <w:rsid w:val="00754246"/>
    <w:rsid w:val="00754943"/>
    <w:rsid w:val="00754D85"/>
    <w:rsid w:val="00754E86"/>
    <w:rsid w:val="0075510E"/>
    <w:rsid w:val="007573D4"/>
    <w:rsid w:val="007611CF"/>
    <w:rsid w:val="007625FE"/>
    <w:rsid w:val="00762C69"/>
    <w:rsid w:val="00764219"/>
    <w:rsid w:val="00765E8F"/>
    <w:rsid w:val="00766E97"/>
    <w:rsid w:val="007673B7"/>
    <w:rsid w:val="00767FB7"/>
    <w:rsid w:val="0077078C"/>
    <w:rsid w:val="00770AF5"/>
    <w:rsid w:val="0077269C"/>
    <w:rsid w:val="00772B95"/>
    <w:rsid w:val="007737A3"/>
    <w:rsid w:val="00773BB8"/>
    <w:rsid w:val="007748A3"/>
    <w:rsid w:val="007749D9"/>
    <w:rsid w:val="0077517E"/>
    <w:rsid w:val="0077565E"/>
    <w:rsid w:val="00775A75"/>
    <w:rsid w:val="00776491"/>
    <w:rsid w:val="007765A0"/>
    <w:rsid w:val="00776650"/>
    <w:rsid w:val="007772F8"/>
    <w:rsid w:val="0077762D"/>
    <w:rsid w:val="00777EDA"/>
    <w:rsid w:val="00780634"/>
    <w:rsid w:val="0078115E"/>
    <w:rsid w:val="0078134B"/>
    <w:rsid w:val="007817BA"/>
    <w:rsid w:val="00781E1E"/>
    <w:rsid w:val="00782B6B"/>
    <w:rsid w:val="007833AC"/>
    <w:rsid w:val="00783CC3"/>
    <w:rsid w:val="007840A3"/>
    <w:rsid w:val="00785F3B"/>
    <w:rsid w:val="00790554"/>
    <w:rsid w:val="0079137A"/>
    <w:rsid w:val="00791A7B"/>
    <w:rsid w:val="00791FF9"/>
    <w:rsid w:val="007934F7"/>
    <w:rsid w:val="00793EE3"/>
    <w:rsid w:val="0079404A"/>
    <w:rsid w:val="00794935"/>
    <w:rsid w:val="007952BA"/>
    <w:rsid w:val="007A001B"/>
    <w:rsid w:val="007A0B0D"/>
    <w:rsid w:val="007A0E3A"/>
    <w:rsid w:val="007A1271"/>
    <w:rsid w:val="007A4D96"/>
    <w:rsid w:val="007A5EF2"/>
    <w:rsid w:val="007B0654"/>
    <w:rsid w:val="007B37F0"/>
    <w:rsid w:val="007B65AA"/>
    <w:rsid w:val="007B7393"/>
    <w:rsid w:val="007B7914"/>
    <w:rsid w:val="007C0838"/>
    <w:rsid w:val="007C09C7"/>
    <w:rsid w:val="007C178B"/>
    <w:rsid w:val="007C27EF"/>
    <w:rsid w:val="007C2D57"/>
    <w:rsid w:val="007C3DF7"/>
    <w:rsid w:val="007C68B3"/>
    <w:rsid w:val="007C74A8"/>
    <w:rsid w:val="007D227C"/>
    <w:rsid w:val="007D264E"/>
    <w:rsid w:val="007D2D5E"/>
    <w:rsid w:val="007D4A1E"/>
    <w:rsid w:val="007D4B43"/>
    <w:rsid w:val="007D5470"/>
    <w:rsid w:val="007D6824"/>
    <w:rsid w:val="007E15B2"/>
    <w:rsid w:val="007E1F46"/>
    <w:rsid w:val="007E2989"/>
    <w:rsid w:val="007E2A41"/>
    <w:rsid w:val="007E3631"/>
    <w:rsid w:val="007E52B2"/>
    <w:rsid w:val="007E64C7"/>
    <w:rsid w:val="007E65E8"/>
    <w:rsid w:val="007F3838"/>
    <w:rsid w:val="007F3CC5"/>
    <w:rsid w:val="007F4863"/>
    <w:rsid w:val="007F4D50"/>
    <w:rsid w:val="007F58C1"/>
    <w:rsid w:val="007F5C5C"/>
    <w:rsid w:val="007F617B"/>
    <w:rsid w:val="007F737A"/>
    <w:rsid w:val="007F789D"/>
    <w:rsid w:val="007F78A7"/>
    <w:rsid w:val="007F7E5F"/>
    <w:rsid w:val="00800FD8"/>
    <w:rsid w:val="00801179"/>
    <w:rsid w:val="008011A3"/>
    <w:rsid w:val="00803EDD"/>
    <w:rsid w:val="008043B3"/>
    <w:rsid w:val="00804D98"/>
    <w:rsid w:val="00805D12"/>
    <w:rsid w:val="00805DD8"/>
    <w:rsid w:val="00806216"/>
    <w:rsid w:val="00806A26"/>
    <w:rsid w:val="00810EDB"/>
    <w:rsid w:val="00811D20"/>
    <w:rsid w:val="0081485B"/>
    <w:rsid w:val="008153CE"/>
    <w:rsid w:val="00817D32"/>
    <w:rsid w:val="0082289C"/>
    <w:rsid w:val="00822B8F"/>
    <w:rsid w:val="00823913"/>
    <w:rsid w:val="0082401E"/>
    <w:rsid w:val="0082480F"/>
    <w:rsid w:val="008252BC"/>
    <w:rsid w:val="00825312"/>
    <w:rsid w:val="00825376"/>
    <w:rsid w:val="0082585A"/>
    <w:rsid w:val="00826E34"/>
    <w:rsid w:val="00826FA0"/>
    <w:rsid w:val="008272B2"/>
    <w:rsid w:val="00830E69"/>
    <w:rsid w:val="0083234B"/>
    <w:rsid w:val="008345C8"/>
    <w:rsid w:val="0083515B"/>
    <w:rsid w:val="00835E98"/>
    <w:rsid w:val="00836521"/>
    <w:rsid w:val="0083687A"/>
    <w:rsid w:val="00836A89"/>
    <w:rsid w:val="00837EA8"/>
    <w:rsid w:val="00837F1A"/>
    <w:rsid w:val="0084062C"/>
    <w:rsid w:val="00840B52"/>
    <w:rsid w:val="00840C29"/>
    <w:rsid w:val="008416A0"/>
    <w:rsid w:val="00842AA5"/>
    <w:rsid w:val="008434F0"/>
    <w:rsid w:val="00843C83"/>
    <w:rsid w:val="00843D9B"/>
    <w:rsid w:val="00844A35"/>
    <w:rsid w:val="0084699F"/>
    <w:rsid w:val="00846CCB"/>
    <w:rsid w:val="0084728D"/>
    <w:rsid w:val="00847EDD"/>
    <w:rsid w:val="00850E5E"/>
    <w:rsid w:val="0085372E"/>
    <w:rsid w:val="00854D51"/>
    <w:rsid w:val="008551A7"/>
    <w:rsid w:val="008552F5"/>
    <w:rsid w:val="00855566"/>
    <w:rsid w:val="0085686D"/>
    <w:rsid w:val="00856EFC"/>
    <w:rsid w:val="00857EEA"/>
    <w:rsid w:val="00860608"/>
    <w:rsid w:val="00860FBF"/>
    <w:rsid w:val="008619C3"/>
    <w:rsid w:val="00861FEC"/>
    <w:rsid w:val="00862A5A"/>
    <w:rsid w:val="00863FA6"/>
    <w:rsid w:val="008646BB"/>
    <w:rsid w:val="0086471C"/>
    <w:rsid w:val="00864866"/>
    <w:rsid w:val="00865326"/>
    <w:rsid w:val="00865F2E"/>
    <w:rsid w:val="008717E3"/>
    <w:rsid w:val="008725D5"/>
    <w:rsid w:val="00872B4A"/>
    <w:rsid w:val="00873845"/>
    <w:rsid w:val="0087430D"/>
    <w:rsid w:val="00875832"/>
    <w:rsid w:val="008765F7"/>
    <w:rsid w:val="00877186"/>
    <w:rsid w:val="00877421"/>
    <w:rsid w:val="00881AE2"/>
    <w:rsid w:val="00882BCA"/>
    <w:rsid w:val="008838D5"/>
    <w:rsid w:val="00883C1E"/>
    <w:rsid w:val="00884D28"/>
    <w:rsid w:val="00884E41"/>
    <w:rsid w:val="00886704"/>
    <w:rsid w:val="00886AC4"/>
    <w:rsid w:val="00891072"/>
    <w:rsid w:val="00891776"/>
    <w:rsid w:val="00891B6F"/>
    <w:rsid w:val="008934A4"/>
    <w:rsid w:val="008934D6"/>
    <w:rsid w:val="008936E9"/>
    <w:rsid w:val="00893B15"/>
    <w:rsid w:val="00894C36"/>
    <w:rsid w:val="00897B7D"/>
    <w:rsid w:val="008A01A8"/>
    <w:rsid w:val="008A0524"/>
    <w:rsid w:val="008A36F8"/>
    <w:rsid w:val="008A5C87"/>
    <w:rsid w:val="008A6888"/>
    <w:rsid w:val="008B0457"/>
    <w:rsid w:val="008B096D"/>
    <w:rsid w:val="008B2084"/>
    <w:rsid w:val="008B3855"/>
    <w:rsid w:val="008B4710"/>
    <w:rsid w:val="008B509E"/>
    <w:rsid w:val="008B54AB"/>
    <w:rsid w:val="008B54D5"/>
    <w:rsid w:val="008B570C"/>
    <w:rsid w:val="008C04F9"/>
    <w:rsid w:val="008C2320"/>
    <w:rsid w:val="008C24B6"/>
    <w:rsid w:val="008C451E"/>
    <w:rsid w:val="008C4E32"/>
    <w:rsid w:val="008C5950"/>
    <w:rsid w:val="008C5D3D"/>
    <w:rsid w:val="008C7B98"/>
    <w:rsid w:val="008D076A"/>
    <w:rsid w:val="008D23C0"/>
    <w:rsid w:val="008D5977"/>
    <w:rsid w:val="008D70E9"/>
    <w:rsid w:val="008E0A50"/>
    <w:rsid w:val="008E1038"/>
    <w:rsid w:val="008E21B3"/>
    <w:rsid w:val="008E267D"/>
    <w:rsid w:val="008E3B69"/>
    <w:rsid w:val="008E57C0"/>
    <w:rsid w:val="008E5B2E"/>
    <w:rsid w:val="008E5E14"/>
    <w:rsid w:val="008E5E99"/>
    <w:rsid w:val="008E5EFD"/>
    <w:rsid w:val="008E6E25"/>
    <w:rsid w:val="008E7068"/>
    <w:rsid w:val="008F0D15"/>
    <w:rsid w:val="008F3C25"/>
    <w:rsid w:val="008F3E64"/>
    <w:rsid w:val="008F431B"/>
    <w:rsid w:val="008F4A14"/>
    <w:rsid w:val="008F5AFD"/>
    <w:rsid w:val="008F6658"/>
    <w:rsid w:val="008F7723"/>
    <w:rsid w:val="008F79EC"/>
    <w:rsid w:val="00901759"/>
    <w:rsid w:val="00902815"/>
    <w:rsid w:val="00902868"/>
    <w:rsid w:val="00902B05"/>
    <w:rsid w:val="009031A0"/>
    <w:rsid w:val="0090331B"/>
    <w:rsid w:val="0090360B"/>
    <w:rsid w:val="00904AD1"/>
    <w:rsid w:val="009063C7"/>
    <w:rsid w:val="00910D99"/>
    <w:rsid w:val="009112BB"/>
    <w:rsid w:val="00913141"/>
    <w:rsid w:val="009140DC"/>
    <w:rsid w:val="0091485A"/>
    <w:rsid w:val="00916C6C"/>
    <w:rsid w:val="009201F5"/>
    <w:rsid w:val="00920B86"/>
    <w:rsid w:val="00920DD9"/>
    <w:rsid w:val="0092237F"/>
    <w:rsid w:val="00922F82"/>
    <w:rsid w:val="009235D8"/>
    <w:rsid w:val="00924955"/>
    <w:rsid w:val="00924DD1"/>
    <w:rsid w:val="0092607B"/>
    <w:rsid w:val="009264ED"/>
    <w:rsid w:val="00926849"/>
    <w:rsid w:val="009310D6"/>
    <w:rsid w:val="00932AE8"/>
    <w:rsid w:val="00932CC4"/>
    <w:rsid w:val="009339D1"/>
    <w:rsid w:val="00936AEC"/>
    <w:rsid w:val="009370D9"/>
    <w:rsid w:val="00937155"/>
    <w:rsid w:val="00937EE2"/>
    <w:rsid w:val="00941862"/>
    <w:rsid w:val="009433A7"/>
    <w:rsid w:val="009436BE"/>
    <w:rsid w:val="00943D4A"/>
    <w:rsid w:val="00943EEE"/>
    <w:rsid w:val="009449FE"/>
    <w:rsid w:val="00944D36"/>
    <w:rsid w:val="00945030"/>
    <w:rsid w:val="00946138"/>
    <w:rsid w:val="00946540"/>
    <w:rsid w:val="009479A1"/>
    <w:rsid w:val="0095041F"/>
    <w:rsid w:val="00950BE9"/>
    <w:rsid w:val="0095144F"/>
    <w:rsid w:val="00951CDE"/>
    <w:rsid w:val="00952538"/>
    <w:rsid w:val="009544FF"/>
    <w:rsid w:val="00954A86"/>
    <w:rsid w:val="00955105"/>
    <w:rsid w:val="009564BF"/>
    <w:rsid w:val="009573B2"/>
    <w:rsid w:val="009622D7"/>
    <w:rsid w:val="00962812"/>
    <w:rsid w:val="00962BDA"/>
    <w:rsid w:val="00965236"/>
    <w:rsid w:val="009657F4"/>
    <w:rsid w:val="009663E2"/>
    <w:rsid w:val="00966AFA"/>
    <w:rsid w:val="00967213"/>
    <w:rsid w:val="00970990"/>
    <w:rsid w:val="00970A0D"/>
    <w:rsid w:val="0097168A"/>
    <w:rsid w:val="0097367A"/>
    <w:rsid w:val="00974BCC"/>
    <w:rsid w:val="009751DA"/>
    <w:rsid w:val="00975FC6"/>
    <w:rsid w:val="00976466"/>
    <w:rsid w:val="00976643"/>
    <w:rsid w:val="009832C9"/>
    <w:rsid w:val="009837F5"/>
    <w:rsid w:val="00984DE4"/>
    <w:rsid w:val="009850CF"/>
    <w:rsid w:val="00985356"/>
    <w:rsid w:val="0098545C"/>
    <w:rsid w:val="009865E6"/>
    <w:rsid w:val="0099040F"/>
    <w:rsid w:val="00991498"/>
    <w:rsid w:val="00993549"/>
    <w:rsid w:val="0099406F"/>
    <w:rsid w:val="00994DCE"/>
    <w:rsid w:val="009958C0"/>
    <w:rsid w:val="00995F8D"/>
    <w:rsid w:val="009A1D61"/>
    <w:rsid w:val="009A298D"/>
    <w:rsid w:val="009A32AB"/>
    <w:rsid w:val="009A3377"/>
    <w:rsid w:val="009A78F0"/>
    <w:rsid w:val="009B2324"/>
    <w:rsid w:val="009B296B"/>
    <w:rsid w:val="009B57DC"/>
    <w:rsid w:val="009B66E6"/>
    <w:rsid w:val="009B69A0"/>
    <w:rsid w:val="009B6F6B"/>
    <w:rsid w:val="009B7D2C"/>
    <w:rsid w:val="009C086F"/>
    <w:rsid w:val="009C2536"/>
    <w:rsid w:val="009C4705"/>
    <w:rsid w:val="009C4D9B"/>
    <w:rsid w:val="009C4E79"/>
    <w:rsid w:val="009C513C"/>
    <w:rsid w:val="009C6B06"/>
    <w:rsid w:val="009C7FE7"/>
    <w:rsid w:val="009D0C2D"/>
    <w:rsid w:val="009D1E48"/>
    <w:rsid w:val="009D46F6"/>
    <w:rsid w:val="009D4E52"/>
    <w:rsid w:val="009D5E42"/>
    <w:rsid w:val="009D7791"/>
    <w:rsid w:val="009E0542"/>
    <w:rsid w:val="009E077F"/>
    <w:rsid w:val="009E1365"/>
    <w:rsid w:val="009E28D4"/>
    <w:rsid w:val="009E3A9F"/>
    <w:rsid w:val="009E6F32"/>
    <w:rsid w:val="009E74C1"/>
    <w:rsid w:val="009E7F70"/>
    <w:rsid w:val="009F3379"/>
    <w:rsid w:val="009F40E2"/>
    <w:rsid w:val="009F54CD"/>
    <w:rsid w:val="009F64CC"/>
    <w:rsid w:val="009F67E9"/>
    <w:rsid w:val="009F6A59"/>
    <w:rsid w:val="00A007CB"/>
    <w:rsid w:val="00A04558"/>
    <w:rsid w:val="00A05126"/>
    <w:rsid w:val="00A057A8"/>
    <w:rsid w:val="00A05B9C"/>
    <w:rsid w:val="00A0709E"/>
    <w:rsid w:val="00A11F42"/>
    <w:rsid w:val="00A12EA5"/>
    <w:rsid w:val="00A13791"/>
    <w:rsid w:val="00A13F81"/>
    <w:rsid w:val="00A141DB"/>
    <w:rsid w:val="00A14836"/>
    <w:rsid w:val="00A14C6C"/>
    <w:rsid w:val="00A14F42"/>
    <w:rsid w:val="00A15D28"/>
    <w:rsid w:val="00A16F39"/>
    <w:rsid w:val="00A17302"/>
    <w:rsid w:val="00A177F0"/>
    <w:rsid w:val="00A20586"/>
    <w:rsid w:val="00A210F0"/>
    <w:rsid w:val="00A2267A"/>
    <w:rsid w:val="00A235A7"/>
    <w:rsid w:val="00A23AD5"/>
    <w:rsid w:val="00A2529A"/>
    <w:rsid w:val="00A270ED"/>
    <w:rsid w:val="00A273DC"/>
    <w:rsid w:val="00A276D6"/>
    <w:rsid w:val="00A3054F"/>
    <w:rsid w:val="00A30899"/>
    <w:rsid w:val="00A32213"/>
    <w:rsid w:val="00A332EF"/>
    <w:rsid w:val="00A334A3"/>
    <w:rsid w:val="00A340C7"/>
    <w:rsid w:val="00A352C2"/>
    <w:rsid w:val="00A35F23"/>
    <w:rsid w:val="00A3608A"/>
    <w:rsid w:val="00A36A43"/>
    <w:rsid w:val="00A36AD7"/>
    <w:rsid w:val="00A40786"/>
    <w:rsid w:val="00A42B1A"/>
    <w:rsid w:val="00A442D0"/>
    <w:rsid w:val="00A446E2"/>
    <w:rsid w:val="00A450A6"/>
    <w:rsid w:val="00A45762"/>
    <w:rsid w:val="00A45B87"/>
    <w:rsid w:val="00A46D40"/>
    <w:rsid w:val="00A46F6B"/>
    <w:rsid w:val="00A47578"/>
    <w:rsid w:val="00A478D1"/>
    <w:rsid w:val="00A5038E"/>
    <w:rsid w:val="00A50489"/>
    <w:rsid w:val="00A514CD"/>
    <w:rsid w:val="00A51BD1"/>
    <w:rsid w:val="00A5222F"/>
    <w:rsid w:val="00A5254F"/>
    <w:rsid w:val="00A52AE9"/>
    <w:rsid w:val="00A5375E"/>
    <w:rsid w:val="00A538C3"/>
    <w:rsid w:val="00A5392D"/>
    <w:rsid w:val="00A54449"/>
    <w:rsid w:val="00A54499"/>
    <w:rsid w:val="00A5467D"/>
    <w:rsid w:val="00A55C01"/>
    <w:rsid w:val="00A57D1B"/>
    <w:rsid w:val="00A60C43"/>
    <w:rsid w:val="00A60C77"/>
    <w:rsid w:val="00A6148A"/>
    <w:rsid w:val="00A615BA"/>
    <w:rsid w:val="00A62293"/>
    <w:rsid w:val="00A64697"/>
    <w:rsid w:val="00A6512A"/>
    <w:rsid w:val="00A663D7"/>
    <w:rsid w:val="00A6673B"/>
    <w:rsid w:val="00A66B6F"/>
    <w:rsid w:val="00A67C2D"/>
    <w:rsid w:val="00A70014"/>
    <w:rsid w:val="00A7136D"/>
    <w:rsid w:val="00A743BD"/>
    <w:rsid w:val="00A753F2"/>
    <w:rsid w:val="00A7572B"/>
    <w:rsid w:val="00A759BF"/>
    <w:rsid w:val="00A77381"/>
    <w:rsid w:val="00A77A1A"/>
    <w:rsid w:val="00A80007"/>
    <w:rsid w:val="00A81A47"/>
    <w:rsid w:val="00A8295E"/>
    <w:rsid w:val="00A83AF9"/>
    <w:rsid w:val="00A84D67"/>
    <w:rsid w:val="00A8587C"/>
    <w:rsid w:val="00A85E7C"/>
    <w:rsid w:val="00A860E1"/>
    <w:rsid w:val="00A867EB"/>
    <w:rsid w:val="00A86BA8"/>
    <w:rsid w:val="00A87263"/>
    <w:rsid w:val="00A901E0"/>
    <w:rsid w:val="00A918C7"/>
    <w:rsid w:val="00A930B0"/>
    <w:rsid w:val="00A95282"/>
    <w:rsid w:val="00A963A5"/>
    <w:rsid w:val="00A97A21"/>
    <w:rsid w:val="00AA005C"/>
    <w:rsid w:val="00AA0445"/>
    <w:rsid w:val="00AA2D36"/>
    <w:rsid w:val="00AA395E"/>
    <w:rsid w:val="00AA4004"/>
    <w:rsid w:val="00AA40B0"/>
    <w:rsid w:val="00AA44E1"/>
    <w:rsid w:val="00AA473C"/>
    <w:rsid w:val="00AA4BCF"/>
    <w:rsid w:val="00AA6293"/>
    <w:rsid w:val="00AA64ED"/>
    <w:rsid w:val="00AA6D35"/>
    <w:rsid w:val="00AA709C"/>
    <w:rsid w:val="00AA7A07"/>
    <w:rsid w:val="00AB1695"/>
    <w:rsid w:val="00AB1B33"/>
    <w:rsid w:val="00AB1EC7"/>
    <w:rsid w:val="00AB28E5"/>
    <w:rsid w:val="00AB2BDD"/>
    <w:rsid w:val="00AB4BC0"/>
    <w:rsid w:val="00AB5052"/>
    <w:rsid w:val="00AB52F3"/>
    <w:rsid w:val="00AB69EE"/>
    <w:rsid w:val="00AC1954"/>
    <w:rsid w:val="00AC2CA3"/>
    <w:rsid w:val="00AC3257"/>
    <w:rsid w:val="00AC406C"/>
    <w:rsid w:val="00AC4CDD"/>
    <w:rsid w:val="00AC500E"/>
    <w:rsid w:val="00AC7D2C"/>
    <w:rsid w:val="00AD0941"/>
    <w:rsid w:val="00AD1CB9"/>
    <w:rsid w:val="00AD319D"/>
    <w:rsid w:val="00AD3649"/>
    <w:rsid w:val="00AD5AB0"/>
    <w:rsid w:val="00AD6150"/>
    <w:rsid w:val="00AD77C1"/>
    <w:rsid w:val="00AE10DE"/>
    <w:rsid w:val="00AE2798"/>
    <w:rsid w:val="00AE3214"/>
    <w:rsid w:val="00AE3377"/>
    <w:rsid w:val="00AE3A4A"/>
    <w:rsid w:val="00AE3BD5"/>
    <w:rsid w:val="00AE424D"/>
    <w:rsid w:val="00AE4A88"/>
    <w:rsid w:val="00AE70B4"/>
    <w:rsid w:val="00AF0071"/>
    <w:rsid w:val="00AF007D"/>
    <w:rsid w:val="00AF11F1"/>
    <w:rsid w:val="00AF6C6D"/>
    <w:rsid w:val="00AF70A5"/>
    <w:rsid w:val="00AF7A0B"/>
    <w:rsid w:val="00B0001B"/>
    <w:rsid w:val="00B011A0"/>
    <w:rsid w:val="00B02080"/>
    <w:rsid w:val="00B02419"/>
    <w:rsid w:val="00B030B3"/>
    <w:rsid w:val="00B04987"/>
    <w:rsid w:val="00B04A5F"/>
    <w:rsid w:val="00B0685A"/>
    <w:rsid w:val="00B07342"/>
    <w:rsid w:val="00B07D82"/>
    <w:rsid w:val="00B07F02"/>
    <w:rsid w:val="00B10107"/>
    <w:rsid w:val="00B10AFE"/>
    <w:rsid w:val="00B11C43"/>
    <w:rsid w:val="00B132DC"/>
    <w:rsid w:val="00B13B66"/>
    <w:rsid w:val="00B14A33"/>
    <w:rsid w:val="00B14E1C"/>
    <w:rsid w:val="00B16CF0"/>
    <w:rsid w:val="00B224F2"/>
    <w:rsid w:val="00B25881"/>
    <w:rsid w:val="00B266E8"/>
    <w:rsid w:val="00B3014E"/>
    <w:rsid w:val="00B318A9"/>
    <w:rsid w:val="00B328C3"/>
    <w:rsid w:val="00B329C6"/>
    <w:rsid w:val="00B33C3B"/>
    <w:rsid w:val="00B33D65"/>
    <w:rsid w:val="00B34328"/>
    <w:rsid w:val="00B343F4"/>
    <w:rsid w:val="00B3549C"/>
    <w:rsid w:val="00B35D9E"/>
    <w:rsid w:val="00B36FA6"/>
    <w:rsid w:val="00B416F0"/>
    <w:rsid w:val="00B41FD3"/>
    <w:rsid w:val="00B42046"/>
    <w:rsid w:val="00B43466"/>
    <w:rsid w:val="00B451A5"/>
    <w:rsid w:val="00B45EE1"/>
    <w:rsid w:val="00B46733"/>
    <w:rsid w:val="00B54E92"/>
    <w:rsid w:val="00B572B5"/>
    <w:rsid w:val="00B60297"/>
    <w:rsid w:val="00B60E64"/>
    <w:rsid w:val="00B617F9"/>
    <w:rsid w:val="00B63250"/>
    <w:rsid w:val="00B64C27"/>
    <w:rsid w:val="00B66A92"/>
    <w:rsid w:val="00B66BD0"/>
    <w:rsid w:val="00B67376"/>
    <w:rsid w:val="00B70EBF"/>
    <w:rsid w:val="00B72700"/>
    <w:rsid w:val="00B73746"/>
    <w:rsid w:val="00B749EA"/>
    <w:rsid w:val="00B7631C"/>
    <w:rsid w:val="00B76BB7"/>
    <w:rsid w:val="00B80059"/>
    <w:rsid w:val="00B80594"/>
    <w:rsid w:val="00B80609"/>
    <w:rsid w:val="00B80B7C"/>
    <w:rsid w:val="00B82D1A"/>
    <w:rsid w:val="00B83F3F"/>
    <w:rsid w:val="00B8400B"/>
    <w:rsid w:val="00B8416D"/>
    <w:rsid w:val="00B84DC3"/>
    <w:rsid w:val="00B85438"/>
    <w:rsid w:val="00B86FAE"/>
    <w:rsid w:val="00B90346"/>
    <w:rsid w:val="00B90C20"/>
    <w:rsid w:val="00B90CB5"/>
    <w:rsid w:val="00B9185D"/>
    <w:rsid w:val="00B92777"/>
    <w:rsid w:val="00B92BB0"/>
    <w:rsid w:val="00B93D0F"/>
    <w:rsid w:val="00B95087"/>
    <w:rsid w:val="00B9736E"/>
    <w:rsid w:val="00BA0C4C"/>
    <w:rsid w:val="00BA35F8"/>
    <w:rsid w:val="00BA422E"/>
    <w:rsid w:val="00BA46B1"/>
    <w:rsid w:val="00BA4907"/>
    <w:rsid w:val="00BA59EB"/>
    <w:rsid w:val="00BA5B5B"/>
    <w:rsid w:val="00BA69D3"/>
    <w:rsid w:val="00BB0B64"/>
    <w:rsid w:val="00BB1A8F"/>
    <w:rsid w:val="00BB26C9"/>
    <w:rsid w:val="00BB31BD"/>
    <w:rsid w:val="00BB388D"/>
    <w:rsid w:val="00BB3F0F"/>
    <w:rsid w:val="00BB3FA1"/>
    <w:rsid w:val="00BB4B8A"/>
    <w:rsid w:val="00BB4F8E"/>
    <w:rsid w:val="00BB5324"/>
    <w:rsid w:val="00BB55DC"/>
    <w:rsid w:val="00BB5E84"/>
    <w:rsid w:val="00BB71B3"/>
    <w:rsid w:val="00BB7DB0"/>
    <w:rsid w:val="00BC107F"/>
    <w:rsid w:val="00BC1513"/>
    <w:rsid w:val="00BC1EDC"/>
    <w:rsid w:val="00BC2711"/>
    <w:rsid w:val="00BC33FD"/>
    <w:rsid w:val="00BC3DCA"/>
    <w:rsid w:val="00BC49E8"/>
    <w:rsid w:val="00BC4A62"/>
    <w:rsid w:val="00BC5BAA"/>
    <w:rsid w:val="00BD1584"/>
    <w:rsid w:val="00BD1CFF"/>
    <w:rsid w:val="00BD24F1"/>
    <w:rsid w:val="00BD311B"/>
    <w:rsid w:val="00BD3534"/>
    <w:rsid w:val="00BD608A"/>
    <w:rsid w:val="00BD793A"/>
    <w:rsid w:val="00BD7A36"/>
    <w:rsid w:val="00BE473C"/>
    <w:rsid w:val="00BE4B9E"/>
    <w:rsid w:val="00BE6AC4"/>
    <w:rsid w:val="00BE6E00"/>
    <w:rsid w:val="00BF0C32"/>
    <w:rsid w:val="00BF230D"/>
    <w:rsid w:val="00BF2CB9"/>
    <w:rsid w:val="00BF30BD"/>
    <w:rsid w:val="00BF36E0"/>
    <w:rsid w:val="00BF3FBC"/>
    <w:rsid w:val="00BF58A3"/>
    <w:rsid w:val="00BF5AE5"/>
    <w:rsid w:val="00BF6F73"/>
    <w:rsid w:val="00C00AF2"/>
    <w:rsid w:val="00C03080"/>
    <w:rsid w:val="00C0429A"/>
    <w:rsid w:val="00C048A0"/>
    <w:rsid w:val="00C04A4C"/>
    <w:rsid w:val="00C04E9D"/>
    <w:rsid w:val="00C0500B"/>
    <w:rsid w:val="00C06D24"/>
    <w:rsid w:val="00C07802"/>
    <w:rsid w:val="00C07EA0"/>
    <w:rsid w:val="00C100AC"/>
    <w:rsid w:val="00C106CB"/>
    <w:rsid w:val="00C1091E"/>
    <w:rsid w:val="00C12B9B"/>
    <w:rsid w:val="00C12F0F"/>
    <w:rsid w:val="00C131E4"/>
    <w:rsid w:val="00C13FE9"/>
    <w:rsid w:val="00C14323"/>
    <w:rsid w:val="00C150A9"/>
    <w:rsid w:val="00C151ED"/>
    <w:rsid w:val="00C156F7"/>
    <w:rsid w:val="00C1708E"/>
    <w:rsid w:val="00C170A1"/>
    <w:rsid w:val="00C17BEA"/>
    <w:rsid w:val="00C2008B"/>
    <w:rsid w:val="00C2142A"/>
    <w:rsid w:val="00C21642"/>
    <w:rsid w:val="00C21DB4"/>
    <w:rsid w:val="00C223C7"/>
    <w:rsid w:val="00C22792"/>
    <w:rsid w:val="00C23186"/>
    <w:rsid w:val="00C23B6D"/>
    <w:rsid w:val="00C23CB8"/>
    <w:rsid w:val="00C23F6D"/>
    <w:rsid w:val="00C24459"/>
    <w:rsid w:val="00C263AA"/>
    <w:rsid w:val="00C30164"/>
    <w:rsid w:val="00C30968"/>
    <w:rsid w:val="00C3241C"/>
    <w:rsid w:val="00C33245"/>
    <w:rsid w:val="00C3388C"/>
    <w:rsid w:val="00C3404B"/>
    <w:rsid w:val="00C34DB3"/>
    <w:rsid w:val="00C3587A"/>
    <w:rsid w:val="00C368B6"/>
    <w:rsid w:val="00C368E3"/>
    <w:rsid w:val="00C36AC0"/>
    <w:rsid w:val="00C40004"/>
    <w:rsid w:val="00C41835"/>
    <w:rsid w:val="00C432E8"/>
    <w:rsid w:val="00C43568"/>
    <w:rsid w:val="00C44497"/>
    <w:rsid w:val="00C446D8"/>
    <w:rsid w:val="00C46DA4"/>
    <w:rsid w:val="00C51086"/>
    <w:rsid w:val="00C51C1B"/>
    <w:rsid w:val="00C53D72"/>
    <w:rsid w:val="00C54069"/>
    <w:rsid w:val="00C57A31"/>
    <w:rsid w:val="00C60D60"/>
    <w:rsid w:val="00C613F3"/>
    <w:rsid w:val="00C61779"/>
    <w:rsid w:val="00C620FD"/>
    <w:rsid w:val="00C622B3"/>
    <w:rsid w:val="00C62E9A"/>
    <w:rsid w:val="00C644A4"/>
    <w:rsid w:val="00C700A2"/>
    <w:rsid w:val="00C702BB"/>
    <w:rsid w:val="00C71C58"/>
    <w:rsid w:val="00C7202A"/>
    <w:rsid w:val="00C72591"/>
    <w:rsid w:val="00C72632"/>
    <w:rsid w:val="00C7343B"/>
    <w:rsid w:val="00C73AE8"/>
    <w:rsid w:val="00C73CFF"/>
    <w:rsid w:val="00C743F2"/>
    <w:rsid w:val="00C75F43"/>
    <w:rsid w:val="00C7701D"/>
    <w:rsid w:val="00C80164"/>
    <w:rsid w:val="00C8023D"/>
    <w:rsid w:val="00C80D86"/>
    <w:rsid w:val="00C81710"/>
    <w:rsid w:val="00C817CB"/>
    <w:rsid w:val="00C847AC"/>
    <w:rsid w:val="00C8493C"/>
    <w:rsid w:val="00C85958"/>
    <w:rsid w:val="00C86D33"/>
    <w:rsid w:val="00C9026A"/>
    <w:rsid w:val="00C9062C"/>
    <w:rsid w:val="00C9084A"/>
    <w:rsid w:val="00C90B14"/>
    <w:rsid w:val="00C92CF4"/>
    <w:rsid w:val="00C93876"/>
    <w:rsid w:val="00C94ABE"/>
    <w:rsid w:val="00C94DC2"/>
    <w:rsid w:val="00C950C3"/>
    <w:rsid w:val="00C95D0B"/>
    <w:rsid w:val="00C970CE"/>
    <w:rsid w:val="00C97698"/>
    <w:rsid w:val="00CA0F6B"/>
    <w:rsid w:val="00CA1693"/>
    <w:rsid w:val="00CA219F"/>
    <w:rsid w:val="00CA3196"/>
    <w:rsid w:val="00CA3F4F"/>
    <w:rsid w:val="00CA50C7"/>
    <w:rsid w:val="00CA5142"/>
    <w:rsid w:val="00CA5546"/>
    <w:rsid w:val="00CA58B0"/>
    <w:rsid w:val="00CA6A32"/>
    <w:rsid w:val="00CA6BB3"/>
    <w:rsid w:val="00CB0249"/>
    <w:rsid w:val="00CB1B74"/>
    <w:rsid w:val="00CB2F77"/>
    <w:rsid w:val="00CB32B5"/>
    <w:rsid w:val="00CB35C1"/>
    <w:rsid w:val="00CB45C5"/>
    <w:rsid w:val="00CB48CC"/>
    <w:rsid w:val="00CB48F7"/>
    <w:rsid w:val="00CB670E"/>
    <w:rsid w:val="00CB7D2F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904"/>
    <w:rsid w:val="00CD1DA1"/>
    <w:rsid w:val="00CD3444"/>
    <w:rsid w:val="00CD3873"/>
    <w:rsid w:val="00CD3BDC"/>
    <w:rsid w:val="00CD3CAD"/>
    <w:rsid w:val="00CD6982"/>
    <w:rsid w:val="00CD7C54"/>
    <w:rsid w:val="00CE0003"/>
    <w:rsid w:val="00CE2E03"/>
    <w:rsid w:val="00CE32D9"/>
    <w:rsid w:val="00CE3FB5"/>
    <w:rsid w:val="00CE4259"/>
    <w:rsid w:val="00CE4421"/>
    <w:rsid w:val="00CE448E"/>
    <w:rsid w:val="00CE4DFD"/>
    <w:rsid w:val="00CE5508"/>
    <w:rsid w:val="00CE594E"/>
    <w:rsid w:val="00CF29D2"/>
    <w:rsid w:val="00CF2C30"/>
    <w:rsid w:val="00CF306A"/>
    <w:rsid w:val="00CF31A7"/>
    <w:rsid w:val="00CF3C75"/>
    <w:rsid w:val="00CF46B2"/>
    <w:rsid w:val="00CF4BD1"/>
    <w:rsid w:val="00CF66B5"/>
    <w:rsid w:val="00D00B5A"/>
    <w:rsid w:val="00D01084"/>
    <w:rsid w:val="00D01712"/>
    <w:rsid w:val="00D0274E"/>
    <w:rsid w:val="00D03534"/>
    <w:rsid w:val="00D0594D"/>
    <w:rsid w:val="00D06296"/>
    <w:rsid w:val="00D06A7C"/>
    <w:rsid w:val="00D06CB2"/>
    <w:rsid w:val="00D07F77"/>
    <w:rsid w:val="00D121CF"/>
    <w:rsid w:val="00D126C3"/>
    <w:rsid w:val="00D12AB6"/>
    <w:rsid w:val="00D12AD3"/>
    <w:rsid w:val="00D12DAF"/>
    <w:rsid w:val="00D1314A"/>
    <w:rsid w:val="00D1379B"/>
    <w:rsid w:val="00D15CF3"/>
    <w:rsid w:val="00D162AB"/>
    <w:rsid w:val="00D1728E"/>
    <w:rsid w:val="00D2098D"/>
    <w:rsid w:val="00D218E5"/>
    <w:rsid w:val="00D22033"/>
    <w:rsid w:val="00D2248D"/>
    <w:rsid w:val="00D22A7D"/>
    <w:rsid w:val="00D22E11"/>
    <w:rsid w:val="00D23044"/>
    <w:rsid w:val="00D23658"/>
    <w:rsid w:val="00D23B3B"/>
    <w:rsid w:val="00D25150"/>
    <w:rsid w:val="00D25252"/>
    <w:rsid w:val="00D25AB2"/>
    <w:rsid w:val="00D26C77"/>
    <w:rsid w:val="00D27261"/>
    <w:rsid w:val="00D27375"/>
    <w:rsid w:val="00D32471"/>
    <w:rsid w:val="00D34DD6"/>
    <w:rsid w:val="00D34E3B"/>
    <w:rsid w:val="00D35851"/>
    <w:rsid w:val="00D36C61"/>
    <w:rsid w:val="00D37876"/>
    <w:rsid w:val="00D37F32"/>
    <w:rsid w:val="00D40E57"/>
    <w:rsid w:val="00D41D29"/>
    <w:rsid w:val="00D439DF"/>
    <w:rsid w:val="00D43C67"/>
    <w:rsid w:val="00D453EB"/>
    <w:rsid w:val="00D45B27"/>
    <w:rsid w:val="00D4622E"/>
    <w:rsid w:val="00D46D80"/>
    <w:rsid w:val="00D471EF"/>
    <w:rsid w:val="00D50683"/>
    <w:rsid w:val="00D509F4"/>
    <w:rsid w:val="00D50BF9"/>
    <w:rsid w:val="00D52702"/>
    <w:rsid w:val="00D527FA"/>
    <w:rsid w:val="00D53A53"/>
    <w:rsid w:val="00D55DF4"/>
    <w:rsid w:val="00D5649D"/>
    <w:rsid w:val="00D603D3"/>
    <w:rsid w:val="00D6096D"/>
    <w:rsid w:val="00D60F06"/>
    <w:rsid w:val="00D61481"/>
    <w:rsid w:val="00D6268C"/>
    <w:rsid w:val="00D63B0D"/>
    <w:rsid w:val="00D64669"/>
    <w:rsid w:val="00D648F5"/>
    <w:rsid w:val="00D6607E"/>
    <w:rsid w:val="00D66716"/>
    <w:rsid w:val="00D66A5D"/>
    <w:rsid w:val="00D700FC"/>
    <w:rsid w:val="00D70263"/>
    <w:rsid w:val="00D744FF"/>
    <w:rsid w:val="00D755C5"/>
    <w:rsid w:val="00D76974"/>
    <w:rsid w:val="00D81003"/>
    <w:rsid w:val="00D810C3"/>
    <w:rsid w:val="00D82BE4"/>
    <w:rsid w:val="00D84468"/>
    <w:rsid w:val="00D8468F"/>
    <w:rsid w:val="00D84B96"/>
    <w:rsid w:val="00D85101"/>
    <w:rsid w:val="00D85B72"/>
    <w:rsid w:val="00D86445"/>
    <w:rsid w:val="00D86A52"/>
    <w:rsid w:val="00D86A70"/>
    <w:rsid w:val="00D878CB"/>
    <w:rsid w:val="00D87F26"/>
    <w:rsid w:val="00D905E0"/>
    <w:rsid w:val="00D91BC3"/>
    <w:rsid w:val="00D9327B"/>
    <w:rsid w:val="00D94D86"/>
    <w:rsid w:val="00D95693"/>
    <w:rsid w:val="00D96E24"/>
    <w:rsid w:val="00D97C06"/>
    <w:rsid w:val="00DA1771"/>
    <w:rsid w:val="00DA248E"/>
    <w:rsid w:val="00DA2D19"/>
    <w:rsid w:val="00DA32B4"/>
    <w:rsid w:val="00DA38BF"/>
    <w:rsid w:val="00DA48CE"/>
    <w:rsid w:val="00DA5C34"/>
    <w:rsid w:val="00DB01EC"/>
    <w:rsid w:val="00DB033A"/>
    <w:rsid w:val="00DB2944"/>
    <w:rsid w:val="00DB2CC7"/>
    <w:rsid w:val="00DB38A5"/>
    <w:rsid w:val="00DB42CE"/>
    <w:rsid w:val="00DB61A5"/>
    <w:rsid w:val="00DB7DDB"/>
    <w:rsid w:val="00DC1AFB"/>
    <w:rsid w:val="00DC235A"/>
    <w:rsid w:val="00DC2C28"/>
    <w:rsid w:val="00DC3476"/>
    <w:rsid w:val="00DC423C"/>
    <w:rsid w:val="00DC493F"/>
    <w:rsid w:val="00DC5C08"/>
    <w:rsid w:val="00DD0923"/>
    <w:rsid w:val="00DD0B71"/>
    <w:rsid w:val="00DD0B97"/>
    <w:rsid w:val="00DD20E4"/>
    <w:rsid w:val="00DD51E7"/>
    <w:rsid w:val="00DD6D69"/>
    <w:rsid w:val="00DE0D29"/>
    <w:rsid w:val="00DE0F90"/>
    <w:rsid w:val="00DE1455"/>
    <w:rsid w:val="00DE182E"/>
    <w:rsid w:val="00DE1AED"/>
    <w:rsid w:val="00DE1B03"/>
    <w:rsid w:val="00DE1CC9"/>
    <w:rsid w:val="00DE1EB5"/>
    <w:rsid w:val="00DE2482"/>
    <w:rsid w:val="00DE2D37"/>
    <w:rsid w:val="00DE3017"/>
    <w:rsid w:val="00DE3A39"/>
    <w:rsid w:val="00DE3B51"/>
    <w:rsid w:val="00DE4426"/>
    <w:rsid w:val="00DE522A"/>
    <w:rsid w:val="00DE586C"/>
    <w:rsid w:val="00DE604F"/>
    <w:rsid w:val="00DE60C3"/>
    <w:rsid w:val="00DE64B2"/>
    <w:rsid w:val="00DE7355"/>
    <w:rsid w:val="00DE7D0C"/>
    <w:rsid w:val="00DF04F7"/>
    <w:rsid w:val="00DF0DF3"/>
    <w:rsid w:val="00DF20D1"/>
    <w:rsid w:val="00DF379D"/>
    <w:rsid w:val="00DF53AC"/>
    <w:rsid w:val="00DF58DD"/>
    <w:rsid w:val="00DF5A86"/>
    <w:rsid w:val="00DF6990"/>
    <w:rsid w:val="00DF7649"/>
    <w:rsid w:val="00DF7A39"/>
    <w:rsid w:val="00E016A2"/>
    <w:rsid w:val="00E01821"/>
    <w:rsid w:val="00E0206C"/>
    <w:rsid w:val="00E03538"/>
    <w:rsid w:val="00E03C20"/>
    <w:rsid w:val="00E0409F"/>
    <w:rsid w:val="00E04821"/>
    <w:rsid w:val="00E052C6"/>
    <w:rsid w:val="00E068F8"/>
    <w:rsid w:val="00E1045E"/>
    <w:rsid w:val="00E10A87"/>
    <w:rsid w:val="00E1344C"/>
    <w:rsid w:val="00E153DB"/>
    <w:rsid w:val="00E1595A"/>
    <w:rsid w:val="00E16C9F"/>
    <w:rsid w:val="00E176E7"/>
    <w:rsid w:val="00E17E52"/>
    <w:rsid w:val="00E20CD8"/>
    <w:rsid w:val="00E227A1"/>
    <w:rsid w:val="00E22856"/>
    <w:rsid w:val="00E234C7"/>
    <w:rsid w:val="00E24137"/>
    <w:rsid w:val="00E24E43"/>
    <w:rsid w:val="00E30095"/>
    <w:rsid w:val="00E30607"/>
    <w:rsid w:val="00E319F5"/>
    <w:rsid w:val="00E31D0D"/>
    <w:rsid w:val="00E32E4A"/>
    <w:rsid w:val="00E335A2"/>
    <w:rsid w:val="00E3420D"/>
    <w:rsid w:val="00E34F87"/>
    <w:rsid w:val="00E364AC"/>
    <w:rsid w:val="00E36559"/>
    <w:rsid w:val="00E36E71"/>
    <w:rsid w:val="00E40713"/>
    <w:rsid w:val="00E40D66"/>
    <w:rsid w:val="00E40E0D"/>
    <w:rsid w:val="00E41CDC"/>
    <w:rsid w:val="00E43085"/>
    <w:rsid w:val="00E441A8"/>
    <w:rsid w:val="00E44ED7"/>
    <w:rsid w:val="00E45650"/>
    <w:rsid w:val="00E46E7D"/>
    <w:rsid w:val="00E47748"/>
    <w:rsid w:val="00E51573"/>
    <w:rsid w:val="00E5168C"/>
    <w:rsid w:val="00E5248C"/>
    <w:rsid w:val="00E524FC"/>
    <w:rsid w:val="00E53044"/>
    <w:rsid w:val="00E53091"/>
    <w:rsid w:val="00E536FF"/>
    <w:rsid w:val="00E5591F"/>
    <w:rsid w:val="00E56D4B"/>
    <w:rsid w:val="00E611A7"/>
    <w:rsid w:val="00E61562"/>
    <w:rsid w:val="00E62134"/>
    <w:rsid w:val="00E62451"/>
    <w:rsid w:val="00E631B4"/>
    <w:rsid w:val="00E63D63"/>
    <w:rsid w:val="00E65541"/>
    <w:rsid w:val="00E665C9"/>
    <w:rsid w:val="00E66F02"/>
    <w:rsid w:val="00E677C7"/>
    <w:rsid w:val="00E71E2E"/>
    <w:rsid w:val="00E74AE9"/>
    <w:rsid w:val="00E75BB8"/>
    <w:rsid w:val="00E761A1"/>
    <w:rsid w:val="00E77839"/>
    <w:rsid w:val="00E77D62"/>
    <w:rsid w:val="00E80DEB"/>
    <w:rsid w:val="00E818E9"/>
    <w:rsid w:val="00E8206D"/>
    <w:rsid w:val="00E82218"/>
    <w:rsid w:val="00E830AC"/>
    <w:rsid w:val="00E84813"/>
    <w:rsid w:val="00E849C2"/>
    <w:rsid w:val="00E860EA"/>
    <w:rsid w:val="00E86315"/>
    <w:rsid w:val="00E86340"/>
    <w:rsid w:val="00E90379"/>
    <w:rsid w:val="00E909E2"/>
    <w:rsid w:val="00E9143E"/>
    <w:rsid w:val="00E91440"/>
    <w:rsid w:val="00E91D94"/>
    <w:rsid w:val="00E92E3E"/>
    <w:rsid w:val="00E93854"/>
    <w:rsid w:val="00E940DF"/>
    <w:rsid w:val="00E94154"/>
    <w:rsid w:val="00EA2EE1"/>
    <w:rsid w:val="00EA339B"/>
    <w:rsid w:val="00EA3F3F"/>
    <w:rsid w:val="00EA3F88"/>
    <w:rsid w:val="00EA630C"/>
    <w:rsid w:val="00EA6568"/>
    <w:rsid w:val="00EB0C28"/>
    <w:rsid w:val="00EB5ECF"/>
    <w:rsid w:val="00EB6A20"/>
    <w:rsid w:val="00EB7F64"/>
    <w:rsid w:val="00EC030F"/>
    <w:rsid w:val="00EC1B93"/>
    <w:rsid w:val="00EC2827"/>
    <w:rsid w:val="00EC2C14"/>
    <w:rsid w:val="00EC3422"/>
    <w:rsid w:val="00EC3FCB"/>
    <w:rsid w:val="00EC45E9"/>
    <w:rsid w:val="00EC4CF2"/>
    <w:rsid w:val="00EC4D93"/>
    <w:rsid w:val="00EC4E6F"/>
    <w:rsid w:val="00EC6544"/>
    <w:rsid w:val="00EC6F1E"/>
    <w:rsid w:val="00ED009A"/>
    <w:rsid w:val="00ED09F6"/>
    <w:rsid w:val="00ED1434"/>
    <w:rsid w:val="00ED1F3E"/>
    <w:rsid w:val="00ED6D08"/>
    <w:rsid w:val="00ED6FE2"/>
    <w:rsid w:val="00ED7412"/>
    <w:rsid w:val="00ED7455"/>
    <w:rsid w:val="00ED76D2"/>
    <w:rsid w:val="00EE00B8"/>
    <w:rsid w:val="00EE2696"/>
    <w:rsid w:val="00EE5B34"/>
    <w:rsid w:val="00EE6CA0"/>
    <w:rsid w:val="00EE76BD"/>
    <w:rsid w:val="00EE771E"/>
    <w:rsid w:val="00EF2098"/>
    <w:rsid w:val="00EF31F8"/>
    <w:rsid w:val="00EF662C"/>
    <w:rsid w:val="00EF6BC2"/>
    <w:rsid w:val="00EF77D7"/>
    <w:rsid w:val="00EF7B4B"/>
    <w:rsid w:val="00F033FF"/>
    <w:rsid w:val="00F054BF"/>
    <w:rsid w:val="00F05E14"/>
    <w:rsid w:val="00F063BE"/>
    <w:rsid w:val="00F06923"/>
    <w:rsid w:val="00F06DE0"/>
    <w:rsid w:val="00F0756A"/>
    <w:rsid w:val="00F101E3"/>
    <w:rsid w:val="00F10F54"/>
    <w:rsid w:val="00F124B4"/>
    <w:rsid w:val="00F13DB0"/>
    <w:rsid w:val="00F1460A"/>
    <w:rsid w:val="00F148E9"/>
    <w:rsid w:val="00F1797F"/>
    <w:rsid w:val="00F20010"/>
    <w:rsid w:val="00F21015"/>
    <w:rsid w:val="00F21A85"/>
    <w:rsid w:val="00F231BC"/>
    <w:rsid w:val="00F232E7"/>
    <w:rsid w:val="00F2347A"/>
    <w:rsid w:val="00F23C45"/>
    <w:rsid w:val="00F2424E"/>
    <w:rsid w:val="00F25D8A"/>
    <w:rsid w:val="00F26F4A"/>
    <w:rsid w:val="00F27448"/>
    <w:rsid w:val="00F30F33"/>
    <w:rsid w:val="00F31806"/>
    <w:rsid w:val="00F32DD2"/>
    <w:rsid w:val="00F33C09"/>
    <w:rsid w:val="00F350C0"/>
    <w:rsid w:val="00F356A6"/>
    <w:rsid w:val="00F35FA2"/>
    <w:rsid w:val="00F360A2"/>
    <w:rsid w:val="00F36D5B"/>
    <w:rsid w:val="00F37CE3"/>
    <w:rsid w:val="00F37DEF"/>
    <w:rsid w:val="00F413E1"/>
    <w:rsid w:val="00F43BE7"/>
    <w:rsid w:val="00F45CD9"/>
    <w:rsid w:val="00F46A1B"/>
    <w:rsid w:val="00F4754B"/>
    <w:rsid w:val="00F477BE"/>
    <w:rsid w:val="00F50AD6"/>
    <w:rsid w:val="00F522ED"/>
    <w:rsid w:val="00F56B61"/>
    <w:rsid w:val="00F573EA"/>
    <w:rsid w:val="00F57807"/>
    <w:rsid w:val="00F624B0"/>
    <w:rsid w:val="00F62568"/>
    <w:rsid w:val="00F62ED1"/>
    <w:rsid w:val="00F64530"/>
    <w:rsid w:val="00F671B2"/>
    <w:rsid w:val="00F67941"/>
    <w:rsid w:val="00F67A47"/>
    <w:rsid w:val="00F67B96"/>
    <w:rsid w:val="00F70A83"/>
    <w:rsid w:val="00F70E9A"/>
    <w:rsid w:val="00F71081"/>
    <w:rsid w:val="00F71479"/>
    <w:rsid w:val="00F71FE6"/>
    <w:rsid w:val="00F7244B"/>
    <w:rsid w:val="00F75CB4"/>
    <w:rsid w:val="00F76339"/>
    <w:rsid w:val="00F77BCC"/>
    <w:rsid w:val="00F77F20"/>
    <w:rsid w:val="00F8212C"/>
    <w:rsid w:val="00F82681"/>
    <w:rsid w:val="00F82D6D"/>
    <w:rsid w:val="00F83EAF"/>
    <w:rsid w:val="00F86377"/>
    <w:rsid w:val="00F86BA8"/>
    <w:rsid w:val="00F873CC"/>
    <w:rsid w:val="00F878FF"/>
    <w:rsid w:val="00F90BC8"/>
    <w:rsid w:val="00F91CE8"/>
    <w:rsid w:val="00F922EC"/>
    <w:rsid w:val="00F93012"/>
    <w:rsid w:val="00F95821"/>
    <w:rsid w:val="00F966CA"/>
    <w:rsid w:val="00FA0C1C"/>
    <w:rsid w:val="00FA1055"/>
    <w:rsid w:val="00FA1A9C"/>
    <w:rsid w:val="00FA1C7B"/>
    <w:rsid w:val="00FA2451"/>
    <w:rsid w:val="00FA2520"/>
    <w:rsid w:val="00FA475C"/>
    <w:rsid w:val="00FA578F"/>
    <w:rsid w:val="00FA71DB"/>
    <w:rsid w:val="00FB04A6"/>
    <w:rsid w:val="00FB0537"/>
    <w:rsid w:val="00FB0896"/>
    <w:rsid w:val="00FB26DB"/>
    <w:rsid w:val="00FB2738"/>
    <w:rsid w:val="00FB3007"/>
    <w:rsid w:val="00FB31D6"/>
    <w:rsid w:val="00FB436C"/>
    <w:rsid w:val="00FB43CF"/>
    <w:rsid w:val="00FB45D7"/>
    <w:rsid w:val="00FB5801"/>
    <w:rsid w:val="00FC0528"/>
    <w:rsid w:val="00FC0600"/>
    <w:rsid w:val="00FC11C1"/>
    <w:rsid w:val="00FC2664"/>
    <w:rsid w:val="00FC2E96"/>
    <w:rsid w:val="00FC35B5"/>
    <w:rsid w:val="00FC43EA"/>
    <w:rsid w:val="00FC5086"/>
    <w:rsid w:val="00FC5FB0"/>
    <w:rsid w:val="00FC6D06"/>
    <w:rsid w:val="00FC7AB0"/>
    <w:rsid w:val="00FD0E5B"/>
    <w:rsid w:val="00FD16FC"/>
    <w:rsid w:val="00FD1C7A"/>
    <w:rsid w:val="00FD2C06"/>
    <w:rsid w:val="00FD350F"/>
    <w:rsid w:val="00FD430C"/>
    <w:rsid w:val="00FD4F10"/>
    <w:rsid w:val="00FD551E"/>
    <w:rsid w:val="00FD5C02"/>
    <w:rsid w:val="00FD6667"/>
    <w:rsid w:val="00FD7AB0"/>
    <w:rsid w:val="00FE002E"/>
    <w:rsid w:val="00FE04FF"/>
    <w:rsid w:val="00FE0FF1"/>
    <w:rsid w:val="00FE3696"/>
    <w:rsid w:val="00FE3A1B"/>
    <w:rsid w:val="00FE476F"/>
    <w:rsid w:val="00FE4F22"/>
    <w:rsid w:val="00FE5A45"/>
    <w:rsid w:val="00FE5A5C"/>
    <w:rsid w:val="00FE69A6"/>
    <w:rsid w:val="00FE78CD"/>
    <w:rsid w:val="00FF01D7"/>
    <w:rsid w:val="00FF0397"/>
    <w:rsid w:val="00FF0D9E"/>
    <w:rsid w:val="00FF2091"/>
    <w:rsid w:val="00FF27C2"/>
    <w:rsid w:val="00FF306D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4:docId w14:val="36CC07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 w:val="0"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hu-HU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numPr>
        <w:numId w:val="21"/>
      </w:numPr>
      <w:spacing w:after="24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hu-HU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hu-HU" w:eastAsia="en-US"/>
    </w:rPr>
  </w:style>
  <w:style w:type="paragraph" w:customStyle="1" w:styleId="numberedparagraph">
    <w:name w:val="numbered paragraph"/>
    <w:basedOn w:val="Normal"/>
    <w:qFormat/>
    <w:rsid w:val="00C46DA4"/>
    <w:pPr>
      <w:numPr>
        <w:numId w:val="41"/>
      </w:numPr>
      <w:spacing w:before="240" w:after="120" w:line="276" w:lineRule="auto"/>
      <w:jc w:val="both"/>
    </w:pPr>
    <w:rPr>
      <w:rFonts w:asciiTheme="minorHAnsi" w:eastAsiaTheme="minorEastAsia" w:hAnsiTheme="minorHAnsi" w:cstheme="minorBidi"/>
      <w:color w:val="auto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8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8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7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61E69-9ED7-4A80-8C7F-0701698982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E5262C-F943-435C-A58A-7C3159D068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4B3973-814A-4DE4-88DB-3DEA00022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73</Pages>
  <Words>18319</Words>
  <Characters>135935</Characters>
  <Application>Microsoft Office Word</Application>
  <DocSecurity>0</DocSecurity>
  <Lines>3020</Lines>
  <Paragraphs>1455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152799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2020-09-30T07:28:00Z</dcterms:created>
  <dcterms:modified xsi:type="dcterms:W3CDTF">2020-12-15T09:49:00Z</dcterms:modified>
</cp:coreProperties>
</file>