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XVII. MELLÉKLET</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ÚTMUTATÓ A MEGTERHELT ESZKÖZÖKRE VONATKOZÓ ADATSZOLGÁLTATÁSHOZ</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Tartalomjegyzék</w:t>
      </w:r>
    </w:p>
    <w:p w:rsidR="00941FAE" w:rsidRDefault="00941FAE" w:rsidP="00941FAE">
      <w:pPr>
        <w:pStyle w:val="TOC2"/>
        <w:rPr>
          <w:rFonts w:asciiTheme="minorHAnsi" w:eastAsiaTheme="minorEastAsia" w:hAnsiTheme="minorHAnsi" w:cstheme="minorBidi"/>
          <w:b w:val="0"/>
          <w:smallCaps w:val="0"/>
          <w:sz w:val="22"/>
        </w:rPr>
      </w:pPr>
      <w:r>
        <w:rPr>
          <w:rFonts w:ascii="Times New Roman" w:hAnsi="Times New Roman"/>
          <w:sz w:val="24"/>
        </w:rPr>
        <w:fldChar w:fldCharType="begin"/>
      </w:r>
      <w:r>
        <w:rPr>
          <w:rFonts w:ascii="Times New Roman" w:hAnsi="Times New Roman"/>
          <w:sz w:val="24"/>
          <w:szCs w:val="24"/>
        </w:rPr>
        <w:instrText xml:space="preserve"> TOC \o "1-3" </w:instrText>
      </w:r>
      <w:bookmarkStart w:id="1" w:name="_GoBack"/>
      <w:bookmarkEnd w:id="1"/>
      <w:r>
        <w:rPr>
          <w:rFonts w:ascii="Times New Roman" w:hAnsi="Times New Roman"/>
          <w:sz w:val="24"/>
          <w:szCs w:val="24"/>
        </w:rPr>
        <w:instrText xml:space="preserve">\h \z \u </w:instrText>
      </w:r>
      <w:r>
        <w:rPr>
          <w:rFonts w:ascii="Times New Roman" w:hAnsi="Times New Roman"/>
          <w:sz w:val="24"/>
        </w:rPr>
        <w:fldChar w:fldCharType="separate"/>
      </w:r>
      <w:hyperlink w:anchor="_Toc52461203" w:history="1">
        <w:r>
          <w:rPr>
            <w:rStyle w:val="Hyperlink"/>
            <w:rFonts w:ascii="Times New Roman" w:hAnsi="Times New Roman"/>
          </w:rPr>
          <w:t>GENERAL INSTRUCTIONS</w:t>
        </w:r>
        <w:r>
          <w:tab/>
        </w:r>
        <w:r>
          <w:rPr>
            <w:webHidden/>
          </w:rPr>
          <w:fldChar w:fldCharType="begin"/>
        </w:r>
        <w:r>
          <w:rPr>
            <w:webHidden/>
          </w:rPr>
          <w:instrText xml:space="preserve"> PAGEREF _Toc52461203 \h </w:instrText>
        </w:r>
        <w:r>
          <w:rPr>
            <w:webHidden/>
          </w:rPr>
        </w:r>
        <w:r>
          <w:rPr>
            <w:webHidden/>
          </w:rPr>
          <w:fldChar w:fldCharType="separate"/>
        </w:r>
        <w:r w:rsidR="00AB38CE">
          <w:rPr>
            <w:webHidden/>
          </w:rPr>
          <w:t>2</w:t>
        </w:r>
        <w:r>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04" w:history="1">
        <w:r w:rsidR="005150E8">
          <w:rPr>
            <w:rStyle w:val="Hyperlink"/>
            <w:rFonts w:ascii="Times New Roman" w:hAnsi="Times New Roman"/>
          </w:rPr>
          <w:t>1. Structure and conventions</w:t>
        </w:r>
        <w:r w:rsidR="005150E8">
          <w:tab/>
        </w:r>
        <w:r w:rsidR="005150E8">
          <w:rPr>
            <w:webHidden/>
          </w:rPr>
          <w:fldChar w:fldCharType="begin"/>
        </w:r>
        <w:r w:rsidR="005150E8">
          <w:rPr>
            <w:webHidden/>
          </w:rPr>
          <w:instrText xml:space="preserve"> PAGEREF _Toc52461204 \h </w:instrText>
        </w:r>
        <w:r w:rsidR="005150E8">
          <w:rPr>
            <w:webHidden/>
          </w:rPr>
        </w:r>
        <w:r w:rsidR="005150E8">
          <w:rPr>
            <w:webHidden/>
          </w:rPr>
          <w:fldChar w:fldCharType="separate"/>
        </w:r>
        <w:r w:rsidR="00AB38CE">
          <w:rPr>
            <w:webHidden/>
          </w:rPr>
          <w:t>2</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05" w:history="1">
        <w:r w:rsidR="005150E8">
          <w:rPr>
            <w:rStyle w:val="Hyperlink"/>
            <w:rFonts w:ascii="Times New Roman" w:hAnsi="Times New Roman"/>
          </w:rPr>
          <w:t>1.1.</w:t>
        </w:r>
        <w:r w:rsidR="005150E8">
          <w:tab/>
        </w:r>
        <w:r w:rsidR="005150E8">
          <w:rPr>
            <w:rStyle w:val="Hyperlink"/>
            <w:rFonts w:ascii="Times New Roman" w:hAnsi="Times New Roman"/>
          </w:rPr>
          <w:t>Structure</w:t>
        </w:r>
        <w:r w:rsidR="005150E8">
          <w:tab/>
        </w:r>
        <w:r w:rsidR="005150E8">
          <w:rPr>
            <w:webHidden/>
          </w:rPr>
          <w:fldChar w:fldCharType="begin"/>
        </w:r>
        <w:r w:rsidR="005150E8">
          <w:rPr>
            <w:webHidden/>
          </w:rPr>
          <w:instrText xml:space="preserve"> PAGEREF _Toc52461205 \h </w:instrText>
        </w:r>
        <w:r w:rsidR="005150E8">
          <w:rPr>
            <w:webHidden/>
          </w:rPr>
        </w:r>
        <w:r w:rsidR="005150E8">
          <w:rPr>
            <w:webHidden/>
          </w:rPr>
          <w:fldChar w:fldCharType="separate"/>
        </w:r>
        <w:r w:rsidR="00AB38CE">
          <w:rPr>
            <w:webHidden/>
          </w:rPr>
          <w:t>2</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06" w:history="1">
        <w:r w:rsidR="005150E8">
          <w:rPr>
            <w:rStyle w:val="Hyperlink"/>
            <w:rFonts w:ascii="Times New Roman" w:hAnsi="Times New Roman"/>
          </w:rPr>
          <w:t>1.2.</w:t>
        </w:r>
        <w:r w:rsidR="005150E8">
          <w:tab/>
        </w:r>
        <w:r w:rsidR="005150E8">
          <w:rPr>
            <w:rStyle w:val="Hyperlink"/>
            <w:rFonts w:ascii="Times New Roman" w:hAnsi="Times New Roman"/>
          </w:rPr>
          <w:t>Accounting standard</w:t>
        </w:r>
        <w:r w:rsidR="005150E8">
          <w:tab/>
        </w:r>
        <w:r w:rsidR="005150E8">
          <w:rPr>
            <w:webHidden/>
          </w:rPr>
          <w:fldChar w:fldCharType="begin"/>
        </w:r>
        <w:r w:rsidR="005150E8">
          <w:rPr>
            <w:webHidden/>
          </w:rPr>
          <w:instrText xml:space="preserve"> PAGEREF _Toc52461206 \h </w:instrText>
        </w:r>
        <w:r w:rsidR="005150E8">
          <w:rPr>
            <w:webHidden/>
          </w:rPr>
        </w:r>
        <w:r w:rsidR="005150E8">
          <w:rPr>
            <w:webHidden/>
          </w:rPr>
          <w:fldChar w:fldCharType="separate"/>
        </w:r>
        <w:r w:rsidR="00AB38CE">
          <w:rPr>
            <w:webHidden/>
          </w:rPr>
          <w:t>2</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07" w:history="1">
        <w:r w:rsidR="005150E8">
          <w:rPr>
            <w:rStyle w:val="Hyperlink"/>
            <w:rFonts w:ascii="Times New Roman" w:hAnsi="Times New Roman"/>
          </w:rPr>
          <w:t>1.3.</w:t>
        </w:r>
        <w:r w:rsidR="005150E8">
          <w:tab/>
        </w:r>
        <w:r w:rsidR="005150E8">
          <w:rPr>
            <w:rStyle w:val="Hyperlink"/>
            <w:rFonts w:ascii="Times New Roman" w:hAnsi="Times New Roman"/>
          </w:rPr>
          <w:t>Numbering convention</w:t>
        </w:r>
        <w:r w:rsidR="005150E8">
          <w:tab/>
        </w:r>
        <w:r w:rsidR="005150E8">
          <w:rPr>
            <w:webHidden/>
          </w:rPr>
          <w:fldChar w:fldCharType="begin"/>
        </w:r>
        <w:r w:rsidR="005150E8">
          <w:rPr>
            <w:webHidden/>
          </w:rPr>
          <w:instrText xml:space="preserve"> PAGEREF _Toc52461207 \h </w:instrText>
        </w:r>
        <w:r w:rsidR="005150E8">
          <w:rPr>
            <w:webHidden/>
          </w:rPr>
        </w:r>
        <w:r w:rsidR="005150E8">
          <w:rPr>
            <w:webHidden/>
          </w:rPr>
          <w:fldChar w:fldCharType="separate"/>
        </w:r>
        <w:r w:rsidR="00AB38CE">
          <w:rPr>
            <w:webHidden/>
          </w:rPr>
          <w:t>2</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08" w:history="1">
        <w:r w:rsidR="005150E8">
          <w:rPr>
            <w:rStyle w:val="Hyperlink"/>
            <w:rFonts w:ascii="Times New Roman" w:hAnsi="Times New Roman"/>
          </w:rPr>
          <w:t>1.4.</w:t>
        </w:r>
        <w:r w:rsidR="005150E8">
          <w:tab/>
        </w:r>
        <w:r w:rsidR="005150E8">
          <w:rPr>
            <w:rStyle w:val="Hyperlink"/>
            <w:rFonts w:ascii="Times New Roman" w:hAnsi="Times New Roman"/>
          </w:rPr>
          <w:t>Sign convention</w:t>
        </w:r>
        <w:r w:rsidR="005150E8">
          <w:tab/>
        </w:r>
        <w:r w:rsidR="005150E8">
          <w:rPr>
            <w:webHidden/>
          </w:rPr>
          <w:fldChar w:fldCharType="begin"/>
        </w:r>
        <w:r w:rsidR="005150E8">
          <w:rPr>
            <w:webHidden/>
          </w:rPr>
          <w:instrText xml:space="preserve"> PAGEREF _Toc52461208 \h </w:instrText>
        </w:r>
        <w:r w:rsidR="005150E8">
          <w:rPr>
            <w:webHidden/>
          </w:rPr>
        </w:r>
        <w:r w:rsidR="005150E8">
          <w:rPr>
            <w:webHidden/>
          </w:rPr>
          <w:fldChar w:fldCharType="separate"/>
        </w:r>
        <w:r w:rsidR="00AB38CE">
          <w:rPr>
            <w:webHidden/>
          </w:rPr>
          <w:t>3</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09" w:history="1">
        <w:r w:rsidR="005150E8">
          <w:rPr>
            <w:rStyle w:val="Hyperlink"/>
            <w:rFonts w:ascii="Times New Roman" w:hAnsi="Times New Roman"/>
          </w:rPr>
          <w:t>1.5.</w:t>
        </w:r>
        <w:r w:rsidR="005150E8">
          <w:tab/>
        </w:r>
        <w:r w:rsidR="005150E8">
          <w:rPr>
            <w:rStyle w:val="Hyperlink"/>
            <w:rFonts w:ascii="Times New Roman" w:hAnsi="Times New Roman"/>
          </w:rPr>
          <w:t>Level of application</w:t>
        </w:r>
        <w:r w:rsidR="005150E8">
          <w:tab/>
        </w:r>
        <w:r w:rsidR="005150E8">
          <w:rPr>
            <w:webHidden/>
          </w:rPr>
          <w:fldChar w:fldCharType="begin"/>
        </w:r>
        <w:r w:rsidR="005150E8">
          <w:rPr>
            <w:webHidden/>
          </w:rPr>
          <w:instrText xml:space="preserve"> PAGEREF _Toc52461209 \h </w:instrText>
        </w:r>
        <w:r w:rsidR="005150E8">
          <w:rPr>
            <w:webHidden/>
          </w:rPr>
        </w:r>
        <w:r w:rsidR="005150E8">
          <w:rPr>
            <w:webHidden/>
          </w:rPr>
          <w:fldChar w:fldCharType="separate"/>
        </w:r>
        <w:r w:rsidR="00AB38CE">
          <w:rPr>
            <w:webHidden/>
          </w:rPr>
          <w:t>3</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10" w:history="1">
        <w:r w:rsidR="005150E8">
          <w:rPr>
            <w:rStyle w:val="Hyperlink"/>
            <w:rFonts w:ascii="Times New Roman" w:hAnsi="Times New Roman"/>
          </w:rPr>
          <w:t>1.6.</w:t>
        </w:r>
        <w:r w:rsidR="005150E8">
          <w:tab/>
        </w:r>
        <w:r w:rsidR="005150E8">
          <w:rPr>
            <w:rStyle w:val="Hyperlink"/>
            <w:rFonts w:ascii="Times New Roman" w:hAnsi="Times New Roman"/>
          </w:rPr>
          <w:t>Proportionality</w:t>
        </w:r>
        <w:r w:rsidR="005150E8">
          <w:tab/>
        </w:r>
        <w:r w:rsidR="005150E8">
          <w:rPr>
            <w:webHidden/>
          </w:rPr>
          <w:fldChar w:fldCharType="begin"/>
        </w:r>
        <w:r w:rsidR="005150E8">
          <w:rPr>
            <w:webHidden/>
          </w:rPr>
          <w:instrText xml:space="preserve"> PAGEREF _Toc52461210 \h </w:instrText>
        </w:r>
        <w:r w:rsidR="005150E8">
          <w:rPr>
            <w:webHidden/>
          </w:rPr>
        </w:r>
        <w:r w:rsidR="005150E8">
          <w:rPr>
            <w:webHidden/>
          </w:rPr>
          <w:fldChar w:fldCharType="separate"/>
        </w:r>
        <w:r w:rsidR="00AB38CE">
          <w:rPr>
            <w:webHidden/>
          </w:rPr>
          <w:t>3</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11" w:history="1">
        <w:r w:rsidR="005150E8">
          <w:rPr>
            <w:rStyle w:val="Hyperlink"/>
            <w:rFonts w:ascii="Times New Roman" w:hAnsi="Times New Roman"/>
          </w:rPr>
          <w:t>1.7.</w:t>
        </w:r>
        <w:r w:rsidR="005150E8">
          <w:tab/>
        </w:r>
        <w:r w:rsidR="005150E8">
          <w:rPr>
            <w:rStyle w:val="Hyperlink"/>
            <w:rFonts w:ascii="Times New Roman" w:hAnsi="Times New Roman"/>
          </w:rPr>
          <w:t>Definition of encumbrance</w:t>
        </w:r>
        <w:r w:rsidR="005150E8">
          <w:tab/>
        </w:r>
        <w:r w:rsidR="005150E8">
          <w:rPr>
            <w:webHidden/>
          </w:rPr>
          <w:fldChar w:fldCharType="begin"/>
        </w:r>
        <w:r w:rsidR="005150E8">
          <w:rPr>
            <w:webHidden/>
          </w:rPr>
          <w:instrText xml:space="preserve"> PAGEREF _Toc52461211 \h </w:instrText>
        </w:r>
        <w:r w:rsidR="005150E8">
          <w:rPr>
            <w:webHidden/>
          </w:rPr>
        </w:r>
        <w:r w:rsidR="005150E8">
          <w:rPr>
            <w:webHidden/>
          </w:rPr>
          <w:fldChar w:fldCharType="separate"/>
        </w:r>
        <w:r w:rsidR="00AB38CE">
          <w:rPr>
            <w:webHidden/>
          </w:rPr>
          <w:t>3</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12" w:history="1">
        <w:r w:rsidR="005150E8">
          <w:rPr>
            <w:rStyle w:val="Hyperlink"/>
            <w:rFonts w:ascii="Times New Roman" w:hAnsi="Times New Roman"/>
          </w:rPr>
          <w:t>TEMPLATE-RELATED INSTRUCTIONS</w:t>
        </w:r>
        <w:r w:rsidR="005150E8">
          <w:tab/>
        </w:r>
        <w:r w:rsidR="005150E8">
          <w:rPr>
            <w:webHidden/>
          </w:rPr>
          <w:fldChar w:fldCharType="begin"/>
        </w:r>
        <w:r w:rsidR="005150E8">
          <w:rPr>
            <w:webHidden/>
          </w:rPr>
          <w:instrText xml:space="preserve"> PAGEREF _Toc52461212 \h </w:instrText>
        </w:r>
        <w:r w:rsidR="005150E8">
          <w:rPr>
            <w:webHidden/>
          </w:rPr>
        </w:r>
        <w:r w:rsidR="005150E8">
          <w:rPr>
            <w:webHidden/>
          </w:rPr>
          <w:fldChar w:fldCharType="separate"/>
        </w:r>
        <w:r w:rsidR="00AB38CE">
          <w:rPr>
            <w:webHidden/>
          </w:rPr>
          <w:t>4</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13" w:history="1">
        <w:r w:rsidR="005150E8">
          <w:rPr>
            <w:rStyle w:val="Hyperlink"/>
            <w:rFonts w:ascii="Times New Roman" w:hAnsi="Times New Roman"/>
          </w:rPr>
          <w:t>2.</w:t>
        </w:r>
        <w:r w:rsidR="005150E8">
          <w:tab/>
        </w:r>
        <w:r w:rsidR="005150E8">
          <w:rPr>
            <w:rStyle w:val="Hyperlink"/>
            <w:rFonts w:ascii="Times New Roman" w:hAnsi="Times New Roman"/>
          </w:rPr>
          <w:t>Part A: Encumbrance overview</w:t>
        </w:r>
        <w:r w:rsidR="005150E8">
          <w:tab/>
        </w:r>
        <w:r w:rsidR="005150E8">
          <w:rPr>
            <w:webHidden/>
          </w:rPr>
          <w:fldChar w:fldCharType="begin"/>
        </w:r>
        <w:r w:rsidR="005150E8">
          <w:rPr>
            <w:webHidden/>
          </w:rPr>
          <w:instrText xml:space="preserve"> PAGEREF _Toc52461213 \h </w:instrText>
        </w:r>
        <w:r w:rsidR="005150E8">
          <w:rPr>
            <w:webHidden/>
          </w:rPr>
        </w:r>
        <w:r w:rsidR="005150E8">
          <w:rPr>
            <w:webHidden/>
          </w:rPr>
          <w:fldChar w:fldCharType="separate"/>
        </w:r>
        <w:r w:rsidR="00AB38CE">
          <w:rPr>
            <w:webHidden/>
          </w:rPr>
          <w:t>4</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14" w:history="1">
        <w:r w:rsidR="005150E8">
          <w:rPr>
            <w:rStyle w:val="Hyperlink"/>
            <w:rFonts w:ascii="Times New Roman" w:hAnsi="Times New Roman"/>
          </w:rPr>
          <w:t>2.1.</w:t>
        </w:r>
        <w:r w:rsidR="005150E8">
          <w:tab/>
        </w:r>
        <w:r w:rsidR="005150E8">
          <w:rPr>
            <w:rStyle w:val="Hyperlink"/>
            <w:rFonts w:ascii="Times New Roman" w:hAnsi="Times New Roman"/>
          </w:rPr>
          <w:t>Template AE-ASS. Assets of the reporting institution</w:t>
        </w:r>
        <w:r w:rsidR="005150E8">
          <w:tab/>
        </w:r>
        <w:r w:rsidR="005150E8">
          <w:rPr>
            <w:webHidden/>
          </w:rPr>
          <w:fldChar w:fldCharType="begin"/>
        </w:r>
        <w:r w:rsidR="005150E8">
          <w:rPr>
            <w:webHidden/>
          </w:rPr>
          <w:instrText xml:space="preserve"> PAGEREF _Toc52461214 \h </w:instrText>
        </w:r>
        <w:r w:rsidR="005150E8">
          <w:rPr>
            <w:webHidden/>
          </w:rPr>
        </w:r>
        <w:r w:rsidR="005150E8">
          <w:rPr>
            <w:webHidden/>
          </w:rPr>
          <w:fldChar w:fldCharType="separate"/>
        </w:r>
        <w:r w:rsidR="00AB38CE">
          <w:rPr>
            <w:webHidden/>
          </w:rPr>
          <w:t>4</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15" w:history="1">
        <w:r w:rsidR="005150E8">
          <w:rPr>
            <w:rStyle w:val="Hyperlink"/>
            <w:rFonts w:ascii="Times New Roman" w:hAnsi="Times New Roman"/>
          </w:rPr>
          <w:t>2.1.1.</w:t>
        </w:r>
        <w:r w:rsidR="005150E8">
          <w:tab/>
        </w:r>
        <w:r w:rsidR="005150E8">
          <w:rPr>
            <w:rStyle w:val="Hyperlink"/>
            <w:rFonts w:ascii="Times New Roman" w:hAnsi="Times New Roman"/>
          </w:rPr>
          <w:t>General remarks</w:t>
        </w:r>
        <w:r w:rsidR="005150E8">
          <w:tab/>
        </w:r>
        <w:r w:rsidR="005150E8">
          <w:rPr>
            <w:webHidden/>
          </w:rPr>
          <w:fldChar w:fldCharType="begin"/>
        </w:r>
        <w:r w:rsidR="005150E8">
          <w:rPr>
            <w:webHidden/>
          </w:rPr>
          <w:instrText xml:space="preserve"> PAGEREF _Toc52461215 \h </w:instrText>
        </w:r>
        <w:r w:rsidR="005150E8">
          <w:rPr>
            <w:webHidden/>
          </w:rPr>
        </w:r>
        <w:r w:rsidR="005150E8">
          <w:rPr>
            <w:webHidden/>
          </w:rPr>
          <w:fldChar w:fldCharType="separate"/>
        </w:r>
        <w:r w:rsidR="00AB38CE">
          <w:rPr>
            <w:webHidden/>
          </w:rPr>
          <w:t>4</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16" w:history="1">
        <w:r w:rsidR="005150E8">
          <w:rPr>
            <w:rStyle w:val="Hyperlink"/>
            <w:rFonts w:ascii="Times New Roman" w:hAnsi="Times New Roman"/>
          </w:rPr>
          <w:t>2.1.2.</w:t>
        </w:r>
        <w:r w:rsidR="005150E8">
          <w:tab/>
        </w:r>
        <w:r w:rsidR="005150E8">
          <w:rPr>
            <w:rStyle w:val="Hyperlink"/>
            <w:rFonts w:ascii="Times New Roman" w:hAnsi="Times New Roman"/>
          </w:rPr>
          <w:t>Instructions concerning specific rows</w:t>
        </w:r>
        <w:r w:rsidR="005150E8">
          <w:tab/>
        </w:r>
        <w:r w:rsidR="005150E8">
          <w:rPr>
            <w:webHidden/>
          </w:rPr>
          <w:fldChar w:fldCharType="begin"/>
        </w:r>
        <w:r w:rsidR="005150E8">
          <w:rPr>
            <w:webHidden/>
          </w:rPr>
          <w:instrText xml:space="preserve"> PAGEREF _Toc52461216 \h </w:instrText>
        </w:r>
        <w:r w:rsidR="005150E8">
          <w:rPr>
            <w:webHidden/>
          </w:rPr>
        </w:r>
        <w:r w:rsidR="005150E8">
          <w:rPr>
            <w:webHidden/>
          </w:rPr>
          <w:fldChar w:fldCharType="separate"/>
        </w:r>
        <w:r w:rsidR="00AB38CE">
          <w:rPr>
            <w:webHidden/>
          </w:rPr>
          <w:t>7</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17" w:history="1">
        <w:r w:rsidR="005150E8">
          <w:rPr>
            <w:rStyle w:val="Hyperlink"/>
            <w:rFonts w:ascii="Times New Roman" w:hAnsi="Times New Roman"/>
          </w:rPr>
          <w:t>2.1.3.</w:t>
        </w:r>
        <w:r w:rsidR="005150E8">
          <w:tab/>
        </w:r>
        <w:r w:rsidR="005150E8">
          <w:rPr>
            <w:rStyle w:val="Hyperlink"/>
            <w:rFonts w:ascii="Times New Roman" w:hAnsi="Times New Roman"/>
          </w:rPr>
          <w:t>Instructions concerning specific columns</w:t>
        </w:r>
        <w:r w:rsidR="005150E8">
          <w:tab/>
        </w:r>
        <w:r w:rsidR="005150E8">
          <w:rPr>
            <w:webHidden/>
          </w:rPr>
          <w:fldChar w:fldCharType="begin"/>
        </w:r>
        <w:r w:rsidR="005150E8">
          <w:rPr>
            <w:webHidden/>
          </w:rPr>
          <w:instrText xml:space="preserve"> PAGEREF _Toc52461217 \h </w:instrText>
        </w:r>
        <w:r w:rsidR="005150E8">
          <w:rPr>
            <w:webHidden/>
          </w:rPr>
        </w:r>
        <w:r w:rsidR="005150E8">
          <w:rPr>
            <w:webHidden/>
          </w:rPr>
          <w:fldChar w:fldCharType="separate"/>
        </w:r>
        <w:r w:rsidR="00AB38CE">
          <w:rPr>
            <w:webHidden/>
          </w:rPr>
          <w:t>9</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18" w:history="1">
        <w:r w:rsidR="005150E8">
          <w:rPr>
            <w:rStyle w:val="Hyperlink"/>
            <w:rFonts w:ascii="Times New Roman" w:hAnsi="Times New Roman"/>
          </w:rPr>
          <w:t>2.2.</w:t>
        </w:r>
        <w:r w:rsidR="005150E8">
          <w:tab/>
        </w:r>
        <w:r w:rsidR="005150E8">
          <w:rPr>
            <w:rStyle w:val="Hyperlink"/>
            <w:rFonts w:ascii="Times New Roman" w:hAnsi="Times New Roman"/>
          </w:rPr>
          <w:t>Template: AE-COL. Collateral received by the reporting institution</w:t>
        </w:r>
        <w:r w:rsidR="005150E8">
          <w:tab/>
        </w:r>
        <w:r w:rsidR="005150E8">
          <w:rPr>
            <w:webHidden/>
          </w:rPr>
          <w:fldChar w:fldCharType="begin"/>
        </w:r>
        <w:r w:rsidR="005150E8">
          <w:rPr>
            <w:webHidden/>
          </w:rPr>
          <w:instrText xml:space="preserve"> PAGEREF _Toc52461218 \h </w:instrText>
        </w:r>
        <w:r w:rsidR="005150E8">
          <w:rPr>
            <w:webHidden/>
          </w:rPr>
        </w:r>
        <w:r w:rsidR="005150E8">
          <w:rPr>
            <w:webHidden/>
          </w:rPr>
          <w:fldChar w:fldCharType="separate"/>
        </w:r>
        <w:r w:rsidR="00AB38CE">
          <w:rPr>
            <w:webHidden/>
          </w:rPr>
          <w:t>12</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19" w:history="1">
        <w:r w:rsidR="005150E8">
          <w:rPr>
            <w:rStyle w:val="Hyperlink"/>
            <w:rFonts w:ascii="Times New Roman" w:hAnsi="Times New Roman"/>
          </w:rPr>
          <w:t>2.2.1.</w:t>
        </w:r>
        <w:r w:rsidR="005150E8">
          <w:tab/>
        </w:r>
        <w:r w:rsidR="005150E8">
          <w:rPr>
            <w:rStyle w:val="Hyperlink"/>
            <w:rFonts w:ascii="Times New Roman" w:hAnsi="Times New Roman"/>
          </w:rPr>
          <w:t>General remarks</w:t>
        </w:r>
        <w:r w:rsidR="005150E8">
          <w:tab/>
        </w:r>
        <w:r w:rsidR="005150E8">
          <w:rPr>
            <w:webHidden/>
          </w:rPr>
          <w:fldChar w:fldCharType="begin"/>
        </w:r>
        <w:r w:rsidR="005150E8">
          <w:rPr>
            <w:webHidden/>
          </w:rPr>
          <w:instrText xml:space="preserve"> PAGEREF _Toc52461219 \h </w:instrText>
        </w:r>
        <w:r w:rsidR="005150E8">
          <w:rPr>
            <w:webHidden/>
          </w:rPr>
        </w:r>
        <w:r w:rsidR="005150E8">
          <w:rPr>
            <w:webHidden/>
          </w:rPr>
          <w:fldChar w:fldCharType="separate"/>
        </w:r>
        <w:r w:rsidR="00AB38CE">
          <w:rPr>
            <w:webHidden/>
          </w:rPr>
          <w:t>12</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20" w:history="1">
        <w:r w:rsidR="005150E8">
          <w:rPr>
            <w:rStyle w:val="Hyperlink"/>
            <w:rFonts w:ascii="Times New Roman" w:hAnsi="Times New Roman"/>
          </w:rPr>
          <w:t>2.2.2.</w:t>
        </w:r>
        <w:r w:rsidR="005150E8">
          <w:tab/>
        </w:r>
        <w:r w:rsidR="005150E8">
          <w:rPr>
            <w:rStyle w:val="Hyperlink"/>
            <w:rFonts w:ascii="Times New Roman" w:hAnsi="Times New Roman"/>
          </w:rPr>
          <w:t>Instructions concerning specific rows</w:t>
        </w:r>
        <w:r w:rsidR="005150E8">
          <w:tab/>
        </w:r>
        <w:r w:rsidR="005150E8">
          <w:rPr>
            <w:webHidden/>
          </w:rPr>
          <w:fldChar w:fldCharType="begin"/>
        </w:r>
        <w:r w:rsidR="005150E8">
          <w:rPr>
            <w:webHidden/>
          </w:rPr>
          <w:instrText xml:space="preserve"> PAGEREF _Toc52461220 \h </w:instrText>
        </w:r>
        <w:r w:rsidR="005150E8">
          <w:rPr>
            <w:webHidden/>
          </w:rPr>
        </w:r>
        <w:r w:rsidR="005150E8">
          <w:rPr>
            <w:webHidden/>
          </w:rPr>
          <w:fldChar w:fldCharType="separate"/>
        </w:r>
        <w:r w:rsidR="00AB38CE">
          <w:rPr>
            <w:webHidden/>
          </w:rPr>
          <w:t>12</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21" w:history="1">
        <w:r w:rsidR="005150E8">
          <w:rPr>
            <w:rStyle w:val="Hyperlink"/>
            <w:rFonts w:ascii="Times New Roman" w:hAnsi="Times New Roman"/>
          </w:rPr>
          <w:t>2.2.3.</w:t>
        </w:r>
        <w:r w:rsidR="005150E8">
          <w:tab/>
        </w:r>
        <w:r w:rsidR="005150E8">
          <w:rPr>
            <w:rStyle w:val="Hyperlink"/>
            <w:rFonts w:ascii="Times New Roman" w:hAnsi="Times New Roman"/>
          </w:rPr>
          <w:t>Instructions concerning specific columns</w:t>
        </w:r>
        <w:r w:rsidR="005150E8">
          <w:tab/>
        </w:r>
        <w:r w:rsidR="005150E8">
          <w:rPr>
            <w:webHidden/>
          </w:rPr>
          <w:fldChar w:fldCharType="begin"/>
        </w:r>
        <w:r w:rsidR="005150E8">
          <w:rPr>
            <w:webHidden/>
          </w:rPr>
          <w:instrText xml:space="preserve"> PAGEREF _Toc52461221 \h </w:instrText>
        </w:r>
        <w:r w:rsidR="005150E8">
          <w:rPr>
            <w:webHidden/>
          </w:rPr>
        </w:r>
        <w:r w:rsidR="005150E8">
          <w:rPr>
            <w:webHidden/>
          </w:rPr>
          <w:fldChar w:fldCharType="separate"/>
        </w:r>
        <w:r w:rsidR="00AB38CE">
          <w:rPr>
            <w:webHidden/>
          </w:rPr>
          <w:t>15</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22" w:history="1">
        <w:r w:rsidR="005150E8">
          <w:rPr>
            <w:rStyle w:val="Hyperlink"/>
            <w:rFonts w:ascii="Times New Roman" w:hAnsi="Times New Roman"/>
          </w:rPr>
          <w:t>2.3.</w:t>
        </w:r>
        <w:r w:rsidR="005150E8">
          <w:tab/>
        </w:r>
        <w:r w:rsidR="005150E8">
          <w:rPr>
            <w:rStyle w:val="Hyperlink"/>
            <w:rFonts w:ascii="Times New Roman" w:hAnsi="Times New Roman"/>
          </w:rPr>
          <w:t>Template: AE-NPL. Own covered bonds and securitisations issued and not yet pledged</w:t>
        </w:r>
        <w:r w:rsidR="005150E8">
          <w:tab/>
        </w:r>
        <w:r w:rsidR="005150E8">
          <w:rPr>
            <w:webHidden/>
          </w:rPr>
          <w:fldChar w:fldCharType="begin"/>
        </w:r>
        <w:r w:rsidR="005150E8">
          <w:rPr>
            <w:webHidden/>
          </w:rPr>
          <w:instrText xml:space="preserve"> PAGEREF _Toc52461222 \h </w:instrText>
        </w:r>
        <w:r w:rsidR="005150E8">
          <w:rPr>
            <w:webHidden/>
          </w:rPr>
        </w:r>
        <w:r w:rsidR="005150E8">
          <w:rPr>
            <w:webHidden/>
          </w:rPr>
          <w:fldChar w:fldCharType="separate"/>
        </w:r>
        <w:r w:rsidR="00AB38CE">
          <w:rPr>
            <w:webHidden/>
          </w:rPr>
          <w:t>17</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23" w:history="1">
        <w:r w:rsidR="005150E8">
          <w:rPr>
            <w:rStyle w:val="Hyperlink"/>
            <w:rFonts w:ascii="Times New Roman" w:hAnsi="Times New Roman"/>
          </w:rPr>
          <w:t>2.3.1.</w:t>
        </w:r>
        <w:r w:rsidR="005150E8">
          <w:tab/>
        </w:r>
        <w:r w:rsidR="005150E8">
          <w:rPr>
            <w:rStyle w:val="Hyperlink"/>
            <w:rFonts w:ascii="Times New Roman" w:hAnsi="Times New Roman"/>
          </w:rPr>
          <w:t>General remarks</w:t>
        </w:r>
        <w:r w:rsidR="005150E8">
          <w:tab/>
        </w:r>
        <w:r w:rsidR="005150E8">
          <w:rPr>
            <w:webHidden/>
          </w:rPr>
          <w:fldChar w:fldCharType="begin"/>
        </w:r>
        <w:r w:rsidR="005150E8">
          <w:rPr>
            <w:webHidden/>
          </w:rPr>
          <w:instrText xml:space="preserve"> PAGEREF _Toc52461223 \h </w:instrText>
        </w:r>
        <w:r w:rsidR="005150E8">
          <w:rPr>
            <w:webHidden/>
          </w:rPr>
        </w:r>
        <w:r w:rsidR="005150E8">
          <w:rPr>
            <w:webHidden/>
          </w:rPr>
          <w:fldChar w:fldCharType="separate"/>
        </w:r>
        <w:r w:rsidR="00AB38CE">
          <w:rPr>
            <w:webHidden/>
          </w:rPr>
          <w:t>17</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24" w:history="1">
        <w:r w:rsidR="005150E8">
          <w:rPr>
            <w:rStyle w:val="Hyperlink"/>
            <w:rFonts w:ascii="Times New Roman" w:hAnsi="Times New Roman"/>
          </w:rPr>
          <w:t>2.3.2.</w:t>
        </w:r>
        <w:r w:rsidR="005150E8">
          <w:tab/>
        </w:r>
        <w:r w:rsidR="005150E8">
          <w:rPr>
            <w:rStyle w:val="Hyperlink"/>
            <w:rFonts w:ascii="Times New Roman" w:hAnsi="Times New Roman"/>
          </w:rPr>
          <w:t>Instructions concerning specific rows</w:t>
        </w:r>
        <w:r w:rsidR="005150E8">
          <w:tab/>
        </w:r>
        <w:r w:rsidR="005150E8">
          <w:rPr>
            <w:webHidden/>
          </w:rPr>
          <w:fldChar w:fldCharType="begin"/>
        </w:r>
        <w:r w:rsidR="005150E8">
          <w:rPr>
            <w:webHidden/>
          </w:rPr>
          <w:instrText xml:space="preserve"> PAGEREF _Toc52461224 \h </w:instrText>
        </w:r>
        <w:r w:rsidR="005150E8">
          <w:rPr>
            <w:webHidden/>
          </w:rPr>
        </w:r>
        <w:r w:rsidR="005150E8">
          <w:rPr>
            <w:webHidden/>
          </w:rPr>
          <w:fldChar w:fldCharType="separate"/>
        </w:r>
        <w:r w:rsidR="00AB38CE">
          <w:rPr>
            <w:webHidden/>
          </w:rPr>
          <w:t>17</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25" w:history="1">
        <w:r w:rsidR="005150E8">
          <w:rPr>
            <w:rStyle w:val="Hyperlink"/>
            <w:rFonts w:ascii="Times New Roman" w:hAnsi="Times New Roman"/>
          </w:rPr>
          <w:t>2.3.3.</w:t>
        </w:r>
        <w:r w:rsidR="005150E8">
          <w:tab/>
        </w:r>
        <w:r w:rsidR="005150E8">
          <w:rPr>
            <w:rStyle w:val="Hyperlink"/>
            <w:rFonts w:ascii="Times New Roman" w:hAnsi="Times New Roman"/>
          </w:rPr>
          <w:t>Instructions concerning specific columns</w:t>
        </w:r>
        <w:r w:rsidR="005150E8">
          <w:tab/>
        </w:r>
        <w:r w:rsidR="005150E8">
          <w:rPr>
            <w:webHidden/>
          </w:rPr>
          <w:fldChar w:fldCharType="begin"/>
        </w:r>
        <w:r w:rsidR="005150E8">
          <w:rPr>
            <w:webHidden/>
          </w:rPr>
          <w:instrText xml:space="preserve"> PAGEREF _Toc52461225 \h </w:instrText>
        </w:r>
        <w:r w:rsidR="005150E8">
          <w:rPr>
            <w:webHidden/>
          </w:rPr>
        </w:r>
        <w:r w:rsidR="005150E8">
          <w:rPr>
            <w:webHidden/>
          </w:rPr>
          <w:fldChar w:fldCharType="separate"/>
        </w:r>
        <w:r w:rsidR="00AB38CE">
          <w:rPr>
            <w:webHidden/>
          </w:rPr>
          <w:t>18</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26" w:history="1">
        <w:r w:rsidR="005150E8">
          <w:rPr>
            <w:rStyle w:val="Hyperlink"/>
            <w:rFonts w:ascii="Times New Roman" w:hAnsi="Times New Roman"/>
          </w:rPr>
          <w:t>2.4.</w:t>
        </w:r>
        <w:r w:rsidR="005150E8">
          <w:tab/>
        </w:r>
        <w:r w:rsidR="005150E8">
          <w:rPr>
            <w:rStyle w:val="Hyperlink"/>
            <w:rFonts w:ascii="Times New Roman" w:hAnsi="Times New Roman"/>
          </w:rPr>
          <w:t>Template: AE-SOU. Sources of encumbrance</w:t>
        </w:r>
        <w:r w:rsidR="005150E8">
          <w:tab/>
        </w:r>
        <w:r w:rsidR="005150E8">
          <w:rPr>
            <w:webHidden/>
          </w:rPr>
          <w:fldChar w:fldCharType="begin"/>
        </w:r>
        <w:r w:rsidR="005150E8">
          <w:rPr>
            <w:webHidden/>
          </w:rPr>
          <w:instrText xml:space="preserve"> PAGEREF _Toc52461226 \h </w:instrText>
        </w:r>
        <w:r w:rsidR="005150E8">
          <w:rPr>
            <w:webHidden/>
          </w:rPr>
        </w:r>
        <w:r w:rsidR="005150E8">
          <w:rPr>
            <w:webHidden/>
          </w:rPr>
          <w:fldChar w:fldCharType="separate"/>
        </w:r>
        <w:r w:rsidR="00AB38CE">
          <w:rPr>
            <w:webHidden/>
          </w:rPr>
          <w:t>19</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27" w:history="1">
        <w:r w:rsidR="005150E8">
          <w:rPr>
            <w:rStyle w:val="Hyperlink"/>
            <w:rFonts w:ascii="Times New Roman" w:hAnsi="Times New Roman"/>
          </w:rPr>
          <w:t>2.4.1.</w:t>
        </w:r>
        <w:r w:rsidR="005150E8">
          <w:tab/>
        </w:r>
        <w:r w:rsidR="005150E8">
          <w:rPr>
            <w:rStyle w:val="Hyperlink"/>
            <w:rFonts w:ascii="Times New Roman" w:hAnsi="Times New Roman"/>
          </w:rPr>
          <w:t>General remarks</w:t>
        </w:r>
        <w:r w:rsidR="005150E8">
          <w:tab/>
        </w:r>
        <w:r w:rsidR="005150E8">
          <w:rPr>
            <w:webHidden/>
          </w:rPr>
          <w:fldChar w:fldCharType="begin"/>
        </w:r>
        <w:r w:rsidR="005150E8">
          <w:rPr>
            <w:webHidden/>
          </w:rPr>
          <w:instrText xml:space="preserve"> PAGEREF _Toc52461227 \h </w:instrText>
        </w:r>
        <w:r w:rsidR="005150E8">
          <w:rPr>
            <w:webHidden/>
          </w:rPr>
        </w:r>
        <w:r w:rsidR="005150E8">
          <w:rPr>
            <w:webHidden/>
          </w:rPr>
          <w:fldChar w:fldCharType="separate"/>
        </w:r>
        <w:r w:rsidR="00AB38CE">
          <w:rPr>
            <w:webHidden/>
          </w:rPr>
          <w:t>19</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28" w:history="1">
        <w:r w:rsidR="005150E8">
          <w:rPr>
            <w:rStyle w:val="Hyperlink"/>
            <w:rFonts w:ascii="Times New Roman" w:hAnsi="Times New Roman"/>
          </w:rPr>
          <w:t>2.4.2.</w:t>
        </w:r>
        <w:r w:rsidR="005150E8">
          <w:tab/>
        </w:r>
        <w:r w:rsidR="005150E8">
          <w:rPr>
            <w:rStyle w:val="Hyperlink"/>
            <w:rFonts w:ascii="Times New Roman" w:hAnsi="Times New Roman"/>
          </w:rPr>
          <w:t>Instructions concerning specific rows</w:t>
        </w:r>
        <w:r w:rsidR="005150E8">
          <w:tab/>
        </w:r>
        <w:r w:rsidR="005150E8">
          <w:rPr>
            <w:webHidden/>
          </w:rPr>
          <w:fldChar w:fldCharType="begin"/>
        </w:r>
        <w:r w:rsidR="005150E8">
          <w:rPr>
            <w:webHidden/>
          </w:rPr>
          <w:instrText xml:space="preserve"> PAGEREF _Toc52461228 \h </w:instrText>
        </w:r>
        <w:r w:rsidR="005150E8">
          <w:rPr>
            <w:webHidden/>
          </w:rPr>
        </w:r>
        <w:r w:rsidR="005150E8">
          <w:rPr>
            <w:webHidden/>
          </w:rPr>
          <w:fldChar w:fldCharType="separate"/>
        </w:r>
        <w:r w:rsidR="00AB38CE">
          <w:rPr>
            <w:webHidden/>
          </w:rPr>
          <w:t>20</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29" w:history="1">
        <w:r w:rsidR="005150E8">
          <w:rPr>
            <w:rStyle w:val="Hyperlink"/>
            <w:rFonts w:ascii="Times New Roman" w:hAnsi="Times New Roman"/>
          </w:rPr>
          <w:t>2.4.3.</w:t>
        </w:r>
        <w:r w:rsidR="005150E8">
          <w:tab/>
        </w:r>
        <w:r w:rsidR="005150E8">
          <w:rPr>
            <w:rStyle w:val="Hyperlink"/>
            <w:rFonts w:ascii="Times New Roman" w:hAnsi="Times New Roman"/>
          </w:rPr>
          <w:t>Instructions concerning specific columns</w:t>
        </w:r>
        <w:r w:rsidR="005150E8">
          <w:tab/>
        </w:r>
        <w:r w:rsidR="005150E8">
          <w:rPr>
            <w:webHidden/>
          </w:rPr>
          <w:fldChar w:fldCharType="begin"/>
        </w:r>
        <w:r w:rsidR="005150E8">
          <w:rPr>
            <w:webHidden/>
          </w:rPr>
          <w:instrText xml:space="preserve"> PAGEREF _Toc52461229 \h </w:instrText>
        </w:r>
        <w:r w:rsidR="005150E8">
          <w:rPr>
            <w:webHidden/>
          </w:rPr>
        </w:r>
        <w:r w:rsidR="005150E8">
          <w:rPr>
            <w:webHidden/>
          </w:rPr>
          <w:fldChar w:fldCharType="separate"/>
        </w:r>
        <w:r w:rsidR="00AB38CE">
          <w:rPr>
            <w:webHidden/>
          </w:rPr>
          <w:t>22</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30" w:history="1">
        <w:r w:rsidR="005150E8">
          <w:rPr>
            <w:rStyle w:val="Hyperlink"/>
            <w:rFonts w:ascii="Times New Roman" w:hAnsi="Times New Roman"/>
          </w:rPr>
          <w:t>3.</w:t>
        </w:r>
        <w:r w:rsidR="005150E8">
          <w:tab/>
        </w:r>
        <w:r w:rsidR="005150E8">
          <w:rPr>
            <w:rStyle w:val="Hyperlink"/>
            <w:rFonts w:ascii="Times New Roman" w:hAnsi="Times New Roman"/>
          </w:rPr>
          <w:t>Part B: Maturity data</w:t>
        </w:r>
        <w:r w:rsidR="005150E8">
          <w:tab/>
        </w:r>
        <w:r w:rsidR="005150E8">
          <w:rPr>
            <w:webHidden/>
          </w:rPr>
          <w:fldChar w:fldCharType="begin"/>
        </w:r>
        <w:r w:rsidR="005150E8">
          <w:rPr>
            <w:webHidden/>
          </w:rPr>
          <w:instrText xml:space="preserve"> PAGEREF _Toc52461230 \h </w:instrText>
        </w:r>
        <w:r w:rsidR="005150E8">
          <w:rPr>
            <w:webHidden/>
          </w:rPr>
        </w:r>
        <w:r w:rsidR="005150E8">
          <w:rPr>
            <w:webHidden/>
          </w:rPr>
          <w:fldChar w:fldCharType="separate"/>
        </w:r>
        <w:r w:rsidR="00AB38CE">
          <w:rPr>
            <w:webHidden/>
          </w:rPr>
          <w:t>23</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31" w:history="1">
        <w:r w:rsidR="005150E8">
          <w:rPr>
            <w:rStyle w:val="Hyperlink"/>
            <w:rFonts w:ascii="Times New Roman" w:hAnsi="Times New Roman"/>
          </w:rPr>
          <w:t>3.1.</w:t>
        </w:r>
        <w:r w:rsidR="005150E8">
          <w:tab/>
        </w:r>
        <w:r w:rsidR="005150E8">
          <w:rPr>
            <w:rStyle w:val="Hyperlink"/>
            <w:rFonts w:ascii="Times New Roman" w:hAnsi="Times New Roman"/>
          </w:rPr>
          <w:t>General remarks</w:t>
        </w:r>
        <w:r w:rsidR="005150E8">
          <w:tab/>
        </w:r>
        <w:r w:rsidR="005150E8">
          <w:rPr>
            <w:webHidden/>
          </w:rPr>
          <w:fldChar w:fldCharType="begin"/>
        </w:r>
        <w:r w:rsidR="005150E8">
          <w:rPr>
            <w:webHidden/>
          </w:rPr>
          <w:instrText xml:space="preserve"> PAGEREF _Toc52461231 \h </w:instrText>
        </w:r>
        <w:r w:rsidR="005150E8">
          <w:rPr>
            <w:webHidden/>
          </w:rPr>
        </w:r>
        <w:r w:rsidR="005150E8">
          <w:rPr>
            <w:webHidden/>
          </w:rPr>
          <w:fldChar w:fldCharType="separate"/>
        </w:r>
        <w:r w:rsidR="00AB38CE">
          <w:rPr>
            <w:webHidden/>
          </w:rPr>
          <w:t>23</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32" w:history="1">
        <w:r w:rsidR="005150E8">
          <w:rPr>
            <w:rStyle w:val="Hyperlink"/>
            <w:rFonts w:ascii="Times New Roman" w:hAnsi="Times New Roman"/>
          </w:rPr>
          <w:t>3.2.</w:t>
        </w:r>
        <w:r w:rsidR="005150E8">
          <w:tab/>
        </w:r>
        <w:r w:rsidR="005150E8">
          <w:rPr>
            <w:rStyle w:val="Hyperlink"/>
            <w:rFonts w:ascii="Times New Roman" w:hAnsi="Times New Roman"/>
          </w:rPr>
          <w:t>Template: AE-MAT. Maturity data</w:t>
        </w:r>
        <w:r w:rsidR="005150E8">
          <w:tab/>
        </w:r>
        <w:r w:rsidR="005150E8">
          <w:rPr>
            <w:webHidden/>
          </w:rPr>
          <w:fldChar w:fldCharType="begin"/>
        </w:r>
        <w:r w:rsidR="005150E8">
          <w:rPr>
            <w:webHidden/>
          </w:rPr>
          <w:instrText xml:space="preserve"> PAGEREF _Toc52461232 \h </w:instrText>
        </w:r>
        <w:r w:rsidR="005150E8">
          <w:rPr>
            <w:webHidden/>
          </w:rPr>
        </w:r>
        <w:r w:rsidR="005150E8">
          <w:rPr>
            <w:webHidden/>
          </w:rPr>
          <w:fldChar w:fldCharType="separate"/>
        </w:r>
        <w:r w:rsidR="00AB38CE">
          <w:rPr>
            <w:webHidden/>
          </w:rPr>
          <w:t>23</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33" w:history="1">
        <w:r w:rsidR="005150E8">
          <w:rPr>
            <w:rStyle w:val="Hyperlink"/>
            <w:rFonts w:ascii="Times New Roman" w:hAnsi="Times New Roman"/>
          </w:rPr>
          <w:t>3.2.1.</w:t>
        </w:r>
        <w:r w:rsidR="005150E8">
          <w:tab/>
        </w:r>
        <w:r w:rsidR="005150E8">
          <w:rPr>
            <w:rStyle w:val="Hyperlink"/>
            <w:rFonts w:ascii="Times New Roman" w:hAnsi="Times New Roman"/>
          </w:rPr>
          <w:t>Instructions concerning specific rows</w:t>
        </w:r>
        <w:r w:rsidR="005150E8">
          <w:tab/>
        </w:r>
        <w:r w:rsidR="005150E8">
          <w:rPr>
            <w:webHidden/>
          </w:rPr>
          <w:fldChar w:fldCharType="begin"/>
        </w:r>
        <w:r w:rsidR="005150E8">
          <w:rPr>
            <w:webHidden/>
          </w:rPr>
          <w:instrText xml:space="preserve"> PAGEREF _Toc52461233 \h </w:instrText>
        </w:r>
        <w:r w:rsidR="005150E8">
          <w:rPr>
            <w:webHidden/>
          </w:rPr>
        </w:r>
        <w:r w:rsidR="005150E8">
          <w:rPr>
            <w:webHidden/>
          </w:rPr>
          <w:fldChar w:fldCharType="separate"/>
        </w:r>
        <w:r w:rsidR="00AB38CE">
          <w:rPr>
            <w:webHidden/>
          </w:rPr>
          <w:t>23</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34" w:history="1">
        <w:r w:rsidR="005150E8">
          <w:rPr>
            <w:rStyle w:val="Hyperlink"/>
            <w:rFonts w:ascii="Times New Roman" w:hAnsi="Times New Roman"/>
          </w:rPr>
          <w:t>3.2.2.</w:t>
        </w:r>
        <w:r w:rsidR="005150E8">
          <w:tab/>
        </w:r>
        <w:r w:rsidR="005150E8">
          <w:rPr>
            <w:rStyle w:val="Hyperlink"/>
            <w:rFonts w:ascii="Times New Roman" w:hAnsi="Times New Roman"/>
          </w:rPr>
          <w:t>Instructions concerning specific columns</w:t>
        </w:r>
        <w:r w:rsidR="005150E8">
          <w:tab/>
        </w:r>
        <w:r w:rsidR="005150E8">
          <w:rPr>
            <w:webHidden/>
          </w:rPr>
          <w:fldChar w:fldCharType="begin"/>
        </w:r>
        <w:r w:rsidR="005150E8">
          <w:rPr>
            <w:webHidden/>
          </w:rPr>
          <w:instrText xml:space="preserve"> PAGEREF _Toc52461234 \h </w:instrText>
        </w:r>
        <w:r w:rsidR="005150E8">
          <w:rPr>
            <w:webHidden/>
          </w:rPr>
        </w:r>
        <w:r w:rsidR="005150E8">
          <w:rPr>
            <w:webHidden/>
          </w:rPr>
          <w:fldChar w:fldCharType="separate"/>
        </w:r>
        <w:r w:rsidR="00AB38CE">
          <w:rPr>
            <w:webHidden/>
          </w:rPr>
          <w:t>23</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35" w:history="1">
        <w:r w:rsidR="005150E8">
          <w:rPr>
            <w:rStyle w:val="Hyperlink"/>
            <w:rFonts w:ascii="Times New Roman" w:hAnsi="Times New Roman"/>
          </w:rPr>
          <w:t>4.</w:t>
        </w:r>
        <w:r w:rsidR="005150E8">
          <w:tab/>
        </w:r>
        <w:r w:rsidR="005150E8">
          <w:rPr>
            <w:rStyle w:val="Hyperlink"/>
            <w:rFonts w:ascii="Times New Roman" w:hAnsi="Times New Roman"/>
          </w:rPr>
          <w:t>Part C: Contingent encumbrance</w:t>
        </w:r>
        <w:r w:rsidR="005150E8">
          <w:tab/>
        </w:r>
        <w:r w:rsidR="005150E8">
          <w:rPr>
            <w:webHidden/>
          </w:rPr>
          <w:fldChar w:fldCharType="begin"/>
        </w:r>
        <w:r w:rsidR="005150E8">
          <w:rPr>
            <w:webHidden/>
          </w:rPr>
          <w:instrText xml:space="preserve"> PAGEREF _Toc52461235 \h </w:instrText>
        </w:r>
        <w:r w:rsidR="005150E8">
          <w:rPr>
            <w:webHidden/>
          </w:rPr>
        </w:r>
        <w:r w:rsidR="005150E8">
          <w:rPr>
            <w:webHidden/>
          </w:rPr>
          <w:fldChar w:fldCharType="separate"/>
        </w:r>
        <w:r w:rsidR="00AB38CE">
          <w:rPr>
            <w:webHidden/>
          </w:rPr>
          <w:t>24</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36" w:history="1">
        <w:r w:rsidR="005150E8">
          <w:rPr>
            <w:rStyle w:val="Hyperlink"/>
            <w:rFonts w:ascii="Times New Roman" w:hAnsi="Times New Roman"/>
          </w:rPr>
          <w:t>4.1.</w:t>
        </w:r>
        <w:r w:rsidR="005150E8">
          <w:tab/>
        </w:r>
        <w:r w:rsidR="005150E8">
          <w:rPr>
            <w:rStyle w:val="Hyperlink"/>
            <w:rFonts w:ascii="Times New Roman" w:hAnsi="Times New Roman"/>
          </w:rPr>
          <w:t>General remarks</w:t>
        </w:r>
        <w:r w:rsidR="005150E8">
          <w:tab/>
        </w:r>
        <w:r w:rsidR="005150E8">
          <w:rPr>
            <w:webHidden/>
          </w:rPr>
          <w:fldChar w:fldCharType="begin"/>
        </w:r>
        <w:r w:rsidR="005150E8">
          <w:rPr>
            <w:webHidden/>
          </w:rPr>
          <w:instrText xml:space="preserve"> PAGEREF _Toc52461236 \h </w:instrText>
        </w:r>
        <w:r w:rsidR="005150E8">
          <w:rPr>
            <w:webHidden/>
          </w:rPr>
        </w:r>
        <w:r w:rsidR="005150E8">
          <w:rPr>
            <w:webHidden/>
          </w:rPr>
          <w:fldChar w:fldCharType="separate"/>
        </w:r>
        <w:r w:rsidR="00AB38CE">
          <w:rPr>
            <w:webHidden/>
          </w:rPr>
          <w:t>24</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37" w:history="1">
        <w:r w:rsidR="005150E8">
          <w:rPr>
            <w:rStyle w:val="Hyperlink"/>
            <w:rFonts w:ascii="Times New Roman" w:hAnsi="Times New Roman"/>
          </w:rPr>
          <w:t>4.1.1.</w:t>
        </w:r>
        <w:r w:rsidR="005150E8">
          <w:tab/>
        </w:r>
        <w:r w:rsidR="005150E8">
          <w:rPr>
            <w:rStyle w:val="Hyperlink"/>
            <w:rFonts w:ascii="Times New Roman" w:hAnsi="Times New Roman"/>
          </w:rPr>
          <w:t>Scenario A: Decrease of 30% of encumbered assets</w:t>
        </w:r>
        <w:r w:rsidR="005150E8">
          <w:tab/>
        </w:r>
        <w:r w:rsidR="005150E8">
          <w:rPr>
            <w:webHidden/>
          </w:rPr>
          <w:fldChar w:fldCharType="begin"/>
        </w:r>
        <w:r w:rsidR="005150E8">
          <w:rPr>
            <w:webHidden/>
          </w:rPr>
          <w:instrText xml:space="preserve"> PAGEREF _Toc52461237 \h </w:instrText>
        </w:r>
        <w:r w:rsidR="005150E8">
          <w:rPr>
            <w:webHidden/>
          </w:rPr>
        </w:r>
        <w:r w:rsidR="005150E8">
          <w:rPr>
            <w:webHidden/>
          </w:rPr>
          <w:fldChar w:fldCharType="separate"/>
        </w:r>
        <w:r w:rsidR="00AB38CE">
          <w:rPr>
            <w:webHidden/>
          </w:rPr>
          <w:t>25</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38" w:history="1">
        <w:r w:rsidR="005150E8">
          <w:rPr>
            <w:rStyle w:val="Hyperlink"/>
            <w:rFonts w:ascii="Times New Roman" w:hAnsi="Times New Roman"/>
          </w:rPr>
          <w:t>4.1.2.</w:t>
        </w:r>
        <w:r w:rsidR="005150E8">
          <w:tab/>
        </w:r>
        <w:r w:rsidR="005150E8">
          <w:rPr>
            <w:rStyle w:val="Hyperlink"/>
            <w:rFonts w:ascii="Times New Roman" w:hAnsi="Times New Roman"/>
          </w:rPr>
          <w:t>Scenario B: Depreciation of 10% in significant currencies</w:t>
        </w:r>
        <w:r w:rsidR="005150E8">
          <w:tab/>
        </w:r>
        <w:r w:rsidR="005150E8">
          <w:rPr>
            <w:webHidden/>
          </w:rPr>
          <w:fldChar w:fldCharType="begin"/>
        </w:r>
        <w:r w:rsidR="005150E8">
          <w:rPr>
            <w:webHidden/>
          </w:rPr>
          <w:instrText xml:space="preserve"> PAGEREF _Toc52461238 \h </w:instrText>
        </w:r>
        <w:r w:rsidR="005150E8">
          <w:rPr>
            <w:webHidden/>
          </w:rPr>
        </w:r>
        <w:r w:rsidR="005150E8">
          <w:rPr>
            <w:webHidden/>
          </w:rPr>
          <w:fldChar w:fldCharType="separate"/>
        </w:r>
        <w:r w:rsidR="00AB38CE">
          <w:rPr>
            <w:webHidden/>
          </w:rPr>
          <w:t>25</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39" w:history="1">
        <w:r w:rsidR="005150E8">
          <w:rPr>
            <w:rStyle w:val="Hyperlink"/>
            <w:rFonts w:ascii="Times New Roman" w:hAnsi="Times New Roman"/>
          </w:rPr>
          <w:t>4.2.</w:t>
        </w:r>
        <w:r w:rsidR="005150E8">
          <w:tab/>
        </w:r>
        <w:r w:rsidR="005150E8">
          <w:rPr>
            <w:rStyle w:val="Hyperlink"/>
            <w:rFonts w:ascii="Times New Roman" w:hAnsi="Times New Roman"/>
          </w:rPr>
          <w:t>Template: AE-CONT. Contingent encumbrance</w:t>
        </w:r>
        <w:r w:rsidR="005150E8">
          <w:tab/>
        </w:r>
        <w:r w:rsidR="005150E8">
          <w:rPr>
            <w:webHidden/>
          </w:rPr>
          <w:fldChar w:fldCharType="begin"/>
        </w:r>
        <w:r w:rsidR="005150E8">
          <w:rPr>
            <w:webHidden/>
          </w:rPr>
          <w:instrText xml:space="preserve"> PAGEREF _Toc52461239 \h </w:instrText>
        </w:r>
        <w:r w:rsidR="005150E8">
          <w:rPr>
            <w:webHidden/>
          </w:rPr>
        </w:r>
        <w:r w:rsidR="005150E8">
          <w:rPr>
            <w:webHidden/>
          </w:rPr>
          <w:fldChar w:fldCharType="separate"/>
        </w:r>
        <w:r w:rsidR="00AB38CE">
          <w:rPr>
            <w:webHidden/>
          </w:rPr>
          <w:t>25</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40" w:history="1">
        <w:r w:rsidR="005150E8">
          <w:rPr>
            <w:rStyle w:val="Hyperlink"/>
            <w:rFonts w:ascii="Times New Roman" w:hAnsi="Times New Roman"/>
          </w:rPr>
          <w:t>4.2.1.</w:t>
        </w:r>
        <w:r w:rsidR="005150E8">
          <w:tab/>
        </w:r>
        <w:r w:rsidR="005150E8">
          <w:rPr>
            <w:rStyle w:val="Hyperlink"/>
            <w:rFonts w:ascii="Times New Roman" w:hAnsi="Times New Roman"/>
          </w:rPr>
          <w:t>Instructions concerning specific rows</w:t>
        </w:r>
        <w:r w:rsidR="005150E8">
          <w:tab/>
        </w:r>
        <w:r w:rsidR="005150E8">
          <w:rPr>
            <w:webHidden/>
          </w:rPr>
          <w:fldChar w:fldCharType="begin"/>
        </w:r>
        <w:r w:rsidR="005150E8">
          <w:rPr>
            <w:webHidden/>
          </w:rPr>
          <w:instrText xml:space="preserve"> PAGEREF _Toc52461240 \h </w:instrText>
        </w:r>
        <w:r w:rsidR="005150E8">
          <w:rPr>
            <w:webHidden/>
          </w:rPr>
        </w:r>
        <w:r w:rsidR="005150E8">
          <w:rPr>
            <w:webHidden/>
          </w:rPr>
          <w:fldChar w:fldCharType="separate"/>
        </w:r>
        <w:r w:rsidR="00AB38CE">
          <w:rPr>
            <w:webHidden/>
          </w:rPr>
          <w:t>25</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41" w:history="1">
        <w:r w:rsidR="005150E8">
          <w:rPr>
            <w:rStyle w:val="Hyperlink"/>
            <w:rFonts w:ascii="Times New Roman" w:hAnsi="Times New Roman"/>
          </w:rPr>
          <w:t>4.2.2.</w:t>
        </w:r>
        <w:r w:rsidR="005150E8">
          <w:tab/>
        </w:r>
        <w:r w:rsidR="005150E8">
          <w:rPr>
            <w:rStyle w:val="Hyperlink"/>
            <w:rFonts w:ascii="Times New Roman" w:hAnsi="Times New Roman"/>
          </w:rPr>
          <w:t>Instructions concerning specific columns</w:t>
        </w:r>
        <w:r w:rsidR="005150E8">
          <w:tab/>
        </w:r>
        <w:r w:rsidR="005150E8">
          <w:rPr>
            <w:webHidden/>
          </w:rPr>
          <w:fldChar w:fldCharType="begin"/>
        </w:r>
        <w:r w:rsidR="005150E8">
          <w:rPr>
            <w:webHidden/>
          </w:rPr>
          <w:instrText xml:space="preserve"> PAGEREF _Toc52461241 \h </w:instrText>
        </w:r>
        <w:r w:rsidR="005150E8">
          <w:rPr>
            <w:webHidden/>
          </w:rPr>
        </w:r>
        <w:r w:rsidR="005150E8">
          <w:rPr>
            <w:webHidden/>
          </w:rPr>
          <w:fldChar w:fldCharType="separate"/>
        </w:r>
        <w:r w:rsidR="00AB38CE">
          <w:rPr>
            <w:webHidden/>
          </w:rPr>
          <w:t>26</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42" w:history="1">
        <w:r w:rsidR="005150E8">
          <w:rPr>
            <w:rStyle w:val="Hyperlink"/>
            <w:rFonts w:ascii="Times New Roman" w:hAnsi="Times New Roman"/>
          </w:rPr>
          <w:t>5.</w:t>
        </w:r>
        <w:r w:rsidR="005150E8">
          <w:tab/>
        </w:r>
        <w:r w:rsidR="005150E8">
          <w:rPr>
            <w:rStyle w:val="Hyperlink"/>
            <w:rFonts w:ascii="Times New Roman" w:hAnsi="Times New Roman"/>
          </w:rPr>
          <w:t>Part D: Covered bonds</w:t>
        </w:r>
        <w:r w:rsidR="005150E8">
          <w:tab/>
        </w:r>
        <w:r w:rsidR="005150E8">
          <w:rPr>
            <w:webHidden/>
          </w:rPr>
          <w:fldChar w:fldCharType="begin"/>
        </w:r>
        <w:r w:rsidR="005150E8">
          <w:rPr>
            <w:webHidden/>
          </w:rPr>
          <w:instrText xml:space="preserve"> PAGEREF _Toc52461242 \h </w:instrText>
        </w:r>
        <w:r w:rsidR="005150E8">
          <w:rPr>
            <w:webHidden/>
          </w:rPr>
        </w:r>
        <w:r w:rsidR="005150E8">
          <w:rPr>
            <w:webHidden/>
          </w:rPr>
          <w:fldChar w:fldCharType="separate"/>
        </w:r>
        <w:r w:rsidR="00AB38CE">
          <w:rPr>
            <w:webHidden/>
          </w:rPr>
          <w:t>26</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43" w:history="1">
        <w:r w:rsidR="005150E8">
          <w:rPr>
            <w:rStyle w:val="Hyperlink"/>
            <w:rFonts w:ascii="Times New Roman" w:hAnsi="Times New Roman"/>
          </w:rPr>
          <w:t>5.1.</w:t>
        </w:r>
        <w:r w:rsidR="005150E8">
          <w:tab/>
        </w:r>
        <w:r w:rsidR="005150E8">
          <w:rPr>
            <w:rStyle w:val="Hyperlink"/>
            <w:rFonts w:ascii="Times New Roman" w:hAnsi="Times New Roman"/>
          </w:rPr>
          <w:t>General remarks</w:t>
        </w:r>
        <w:r w:rsidR="005150E8">
          <w:tab/>
        </w:r>
        <w:r w:rsidR="005150E8">
          <w:rPr>
            <w:webHidden/>
          </w:rPr>
          <w:fldChar w:fldCharType="begin"/>
        </w:r>
        <w:r w:rsidR="005150E8">
          <w:rPr>
            <w:webHidden/>
          </w:rPr>
          <w:instrText xml:space="preserve"> PAGEREF _Toc52461243 \h </w:instrText>
        </w:r>
        <w:r w:rsidR="005150E8">
          <w:rPr>
            <w:webHidden/>
          </w:rPr>
        </w:r>
        <w:r w:rsidR="005150E8">
          <w:rPr>
            <w:webHidden/>
          </w:rPr>
          <w:fldChar w:fldCharType="separate"/>
        </w:r>
        <w:r w:rsidR="00AB38CE">
          <w:rPr>
            <w:webHidden/>
          </w:rPr>
          <w:t>26</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44" w:history="1">
        <w:r w:rsidR="005150E8">
          <w:rPr>
            <w:rStyle w:val="Hyperlink"/>
            <w:rFonts w:ascii="Times New Roman" w:hAnsi="Times New Roman"/>
          </w:rPr>
          <w:t>5.2.</w:t>
        </w:r>
        <w:r w:rsidR="005150E8">
          <w:tab/>
        </w:r>
        <w:r w:rsidR="005150E8">
          <w:rPr>
            <w:rStyle w:val="Hyperlink"/>
            <w:rFonts w:ascii="Times New Roman" w:hAnsi="Times New Roman"/>
          </w:rPr>
          <w:t>Template: AE-CB. Covered bonds issuance</w:t>
        </w:r>
        <w:r w:rsidR="005150E8">
          <w:tab/>
        </w:r>
        <w:r w:rsidR="005150E8">
          <w:rPr>
            <w:webHidden/>
          </w:rPr>
          <w:fldChar w:fldCharType="begin"/>
        </w:r>
        <w:r w:rsidR="005150E8">
          <w:rPr>
            <w:webHidden/>
          </w:rPr>
          <w:instrText xml:space="preserve"> PAGEREF _Toc52461244 \h </w:instrText>
        </w:r>
        <w:r w:rsidR="005150E8">
          <w:rPr>
            <w:webHidden/>
          </w:rPr>
        </w:r>
        <w:r w:rsidR="005150E8">
          <w:rPr>
            <w:webHidden/>
          </w:rPr>
          <w:fldChar w:fldCharType="separate"/>
        </w:r>
        <w:r w:rsidR="00AB38CE">
          <w:rPr>
            <w:webHidden/>
          </w:rPr>
          <w:t>27</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45" w:history="1">
        <w:r w:rsidR="005150E8">
          <w:rPr>
            <w:rStyle w:val="Hyperlink"/>
            <w:rFonts w:ascii="Times New Roman" w:hAnsi="Times New Roman"/>
          </w:rPr>
          <w:t>5.2.1.</w:t>
        </w:r>
        <w:r w:rsidR="005150E8">
          <w:tab/>
        </w:r>
        <w:r w:rsidR="005150E8">
          <w:rPr>
            <w:rStyle w:val="Hyperlink"/>
            <w:rFonts w:ascii="Times New Roman" w:hAnsi="Times New Roman"/>
          </w:rPr>
          <w:t>Instructions concerning z-axis</w:t>
        </w:r>
        <w:r w:rsidR="005150E8">
          <w:tab/>
        </w:r>
        <w:r w:rsidR="005150E8">
          <w:rPr>
            <w:webHidden/>
          </w:rPr>
          <w:fldChar w:fldCharType="begin"/>
        </w:r>
        <w:r w:rsidR="005150E8">
          <w:rPr>
            <w:webHidden/>
          </w:rPr>
          <w:instrText xml:space="preserve"> PAGEREF _Toc52461245 \h </w:instrText>
        </w:r>
        <w:r w:rsidR="005150E8">
          <w:rPr>
            <w:webHidden/>
          </w:rPr>
        </w:r>
        <w:r w:rsidR="005150E8">
          <w:rPr>
            <w:webHidden/>
          </w:rPr>
          <w:fldChar w:fldCharType="separate"/>
        </w:r>
        <w:r w:rsidR="00AB38CE">
          <w:rPr>
            <w:webHidden/>
          </w:rPr>
          <w:t>27</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46" w:history="1">
        <w:r w:rsidR="005150E8">
          <w:rPr>
            <w:rStyle w:val="Hyperlink"/>
            <w:rFonts w:ascii="Times New Roman" w:hAnsi="Times New Roman"/>
          </w:rPr>
          <w:t>5.2.2.</w:t>
        </w:r>
        <w:r w:rsidR="005150E8">
          <w:tab/>
        </w:r>
        <w:r w:rsidR="005150E8">
          <w:rPr>
            <w:rStyle w:val="Hyperlink"/>
            <w:rFonts w:ascii="Times New Roman" w:hAnsi="Times New Roman"/>
          </w:rPr>
          <w:t>Instructions concerning specific rows</w:t>
        </w:r>
        <w:r w:rsidR="005150E8">
          <w:tab/>
        </w:r>
        <w:r w:rsidR="005150E8">
          <w:rPr>
            <w:webHidden/>
          </w:rPr>
          <w:fldChar w:fldCharType="begin"/>
        </w:r>
        <w:r w:rsidR="005150E8">
          <w:rPr>
            <w:webHidden/>
          </w:rPr>
          <w:instrText xml:space="preserve"> PAGEREF _Toc52461246 \h </w:instrText>
        </w:r>
        <w:r w:rsidR="005150E8">
          <w:rPr>
            <w:webHidden/>
          </w:rPr>
        </w:r>
        <w:r w:rsidR="005150E8">
          <w:rPr>
            <w:webHidden/>
          </w:rPr>
          <w:fldChar w:fldCharType="separate"/>
        </w:r>
        <w:r w:rsidR="00AB38CE">
          <w:rPr>
            <w:webHidden/>
          </w:rPr>
          <w:t>27</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47" w:history="1">
        <w:r w:rsidR="005150E8">
          <w:rPr>
            <w:rStyle w:val="Hyperlink"/>
            <w:rFonts w:ascii="Times New Roman" w:hAnsi="Times New Roman"/>
          </w:rPr>
          <w:t>5.2.3.</w:t>
        </w:r>
        <w:r w:rsidR="005150E8">
          <w:tab/>
        </w:r>
        <w:r w:rsidR="005150E8">
          <w:rPr>
            <w:rStyle w:val="Hyperlink"/>
            <w:rFonts w:ascii="Times New Roman" w:hAnsi="Times New Roman"/>
          </w:rPr>
          <w:t>Instructions concerning specific columns</w:t>
        </w:r>
        <w:r w:rsidR="005150E8">
          <w:tab/>
        </w:r>
        <w:r w:rsidR="005150E8">
          <w:rPr>
            <w:webHidden/>
          </w:rPr>
          <w:fldChar w:fldCharType="begin"/>
        </w:r>
        <w:r w:rsidR="005150E8">
          <w:rPr>
            <w:webHidden/>
          </w:rPr>
          <w:instrText xml:space="preserve"> PAGEREF _Toc52461247 \h </w:instrText>
        </w:r>
        <w:r w:rsidR="005150E8">
          <w:rPr>
            <w:webHidden/>
          </w:rPr>
        </w:r>
        <w:r w:rsidR="005150E8">
          <w:rPr>
            <w:webHidden/>
          </w:rPr>
          <w:fldChar w:fldCharType="separate"/>
        </w:r>
        <w:r w:rsidR="00AB38CE">
          <w:rPr>
            <w:webHidden/>
          </w:rPr>
          <w:t>28</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48" w:history="1">
        <w:r w:rsidR="005150E8">
          <w:rPr>
            <w:rStyle w:val="Hyperlink"/>
            <w:rFonts w:ascii="Times New Roman" w:hAnsi="Times New Roman"/>
          </w:rPr>
          <w:t>6.</w:t>
        </w:r>
        <w:r w:rsidR="005150E8">
          <w:tab/>
        </w:r>
        <w:r w:rsidR="005150E8">
          <w:rPr>
            <w:rStyle w:val="Hyperlink"/>
            <w:rFonts w:ascii="Times New Roman" w:hAnsi="Times New Roman"/>
          </w:rPr>
          <w:t>Part E: Advanced data</w:t>
        </w:r>
        <w:r w:rsidR="005150E8">
          <w:tab/>
        </w:r>
        <w:r w:rsidR="005150E8">
          <w:rPr>
            <w:webHidden/>
          </w:rPr>
          <w:fldChar w:fldCharType="begin"/>
        </w:r>
        <w:r w:rsidR="005150E8">
          <w:rPr>
            <w:webHidden/>
          </w:rPr>
          <w:instrText xml:space="preserve"> PAGEREF _Toc52461248 \h </w:instrText>
        </w:r>
        <w:r w:rsidR="005150E8">
          <w:rPr>
            <w:webHidden/>
          </w:rPr>
        </w:r>
        <w:r w:rsidR="005150E8">
          <w:rPr>
            <w:webHidden/>
          </w:rPr>
          <w:fldChar w:fldCharType="separate"/>
        </w:r>
        <w:r w:rsidR="00AB38CE">
          <w:rPr>
            <w:webHidden/>
          </w:rPr>
          <w:t>31</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49" w:history="1">
        <w:r w:rsidR="005150E8">
          <w:rPr>
            <w:rStyle w:val="Hyperlink"/>
            <w:rFonts w:ascii="Times New Roman" w:hAnsi="Times New Roman"/>
          </w:rPr>
          <w:t>6.1.</w:t>
        </w:r>
        <w:r w:rsidR="005150E8">
          <w:tab/>
        </w:r>
        <w:r w:rsidR="005150E8">
          <w:rPr>
            <w:rStyle w:val="Hyperlink"/>
            <w:rFonts w:ascii="Times New Roman" w:hAnsi="Times New Roman"/>
          </w:rPr>
          <w:t>General remarks</w:t>
        </w:r>
        <w:r w:rsidR="005150E8">
          <w:tab/>
        </w:r>
        <w:r w:rsidR="005150E8">
          <w:rPr>
            <w:webHidden/>
          </w:rPr>
          <w:fldChar w:fldCharType="begin"/>
        </w:r>
        <w:r w:rsidR="005150E8">
          <w:rPr>
            <w:webHidden/>
          </w:rPr>
          <w:instrText xml:space="preserve"> PAGEREF _Toc52461249 \h </w:instrText>
        </w:r>
        <w:r w:rsidR="005150E8">
          <w:rPr>
            <w:webHidden/>
          </w:rPr>
        </w:r>
        <w:r w:rsidR="005150E8">
          <w:rPr>
            <w:webHidden/>
          </w:rPr>
          <w:fldChar w:fldCharType="separate"/>
        </w:r>
        <w:r w:rsidR="00AB38CE">
          <w:rPr>
            <w:webHidden/>
          </w:rPr>
          <w:t>31</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50" w:history="1">
        <w:r w:rsidR="005150E8">
          <w:rPr>
            <w:rStyle w:val="Hyperlink"/>
            <w:rFonts w:ascii="Times New Roman" w:hAnsi="Times New Roman"/>
          </w:rPr>
          <w:t>6.2.</w:t>
        </w:r>
        <w:r w:rsidR="005150E8">
          <w:tab/>
        </w:r>
        <w:r w:rsidR="005150E8">
          <w:rPr>
            <w:rStyle w:val="Hyperlink"/>
            <w:rFonts w:ascii="Times New Roman" w:hAnsi="Times New Roman"/>
          </w:rPr>
          <w:t>Template: AE-ADV1. Advanced template for assets of the reporting institution</w:t>
        </w:r>
        <w:r w:rsidR="005150E8">
          <w:tab/>
        </w:r>
        <w:r w:rsidR="005150E8">
          <w:rPr>
            <w:webHidden/>
          </w:rPr>
          <w:fldChar w:fldCharType="begin"/>
        </w:r>
        <w:r w:rsidR="005150E8">
          <w:rPr>
            <w:webHidden/>
          </w:rPr>
          <w:instrText xml:space="preserve"> PAGEREF _Toc52461250 \h </w:instrText>
        </w:r>
        <w:r w:rsidR="005150E8">
          <w:rPr>
            <w:webHidden/>
          </w:rPr>
        </w:r>
        <w:r w:rsidR="005150E8">
          <w:rPr>
            <w:webHidden/>
          </w:rPr>
          <w:fldChar w:fldCharType="separate"/>
        </w:r>
        <w:r w:rsidR="00AB38CE">
          <w:rPr>
            <w:webHidden/>
          </w:rPr>
          <w:t>31</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51" w:history="1">
        <w:r w:rsidR="005150E8">
          <w:rPr>
            <w:rStyle w:val="Hyperlink"/>
            <w:rFonts w:ascii="Times New Roman" w:hAnsi="Times New Roman"/>
          </w:rPr>
          <w:t>6.2.1.</w:t>
        </w:r>
        <w:r w:rsidR="005150E8">
          <w:tab/>
        </w:r>
        <w:r w:rsidR="005150E8">
          <w:rPr>
            <w:rStyle w:val="Hyperlink"/>
            <w:rFonts w:ascii="Times New Roman" w:hAnsi="Times New Roman"/>
          </w:rPr>
          <w:t>Instructions concerning specific rows</w:t>
        </w:r>
        <w:r w:rsidR="005150E8">
          <w:tab/>
        </w:r>
        <w:r w:rsidR="005150E8">
          <w:rPr>
            <w:webHidden/>
          </w:rPr>
          <w:fldChar w:fldCharType="begin"/>
        </w:r>
        <w:r w:rsidR="005150E8">
          <w:rPr>
            <w:webHidden/>
          </w:rPr>
          <w:instrText xml:space="preserve"> PAGEREF _Toc52461251 \h </w:instrText>
        </w:r>
        <w:r w:rsidR="005150E8">
          <w:rPr>
            <w:webHidden/>
          </w:rPr>
        </w:r>
        <w:r w:rsidR="005150E8">
          <w:rPr>
            <w:webHidden/>
          </w:rPr>
          <w:fldChar w:fldCharType="separate"/>
        </w:r>
        <w:r w:rsidR="00AB38CE">
          <w:rPr>
            <w:webHidden/>
          </w:rPr>
          <w:t>31</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52" w:history="1">
        <w:r w:rsidR="005150E8">
          <w:rPr>
            <w:rStyle w:val="Hyperlink"/>
            <w:rFonts w:ascii="Times New Roman" w:hAnsi="Times New Roman"/>
          </w:rPr>
          <w:t>6.2.2.</w:t>
        </w:r>
        <w:r w:rsidR="005150E8">
          <w:tab/>
        </w:r>
        <w:r w:rsidR="005150E8">
          <w:rPr>
            <w:rStyle w:val="Hyperlink"/>
            <w:rFonts w:ascii="Times New Roman" w:hAnsi="Times New Roman"/>
          </w:rPr>
          <w:t>Instructions concerning specific columns</w:t>
        </w:r>
        <w:r w:rsidR="005150E8">
          <w:tab/>
        </w:r>
        <w:r w:rsidR="005150E8">
          <w:rPr>
            <w:webHidden/>
          </w:rPr>
          <w:fldChar w:fldCharType="begin"/>
        </w:r>
        <w:r w:rsidR="005150E8">
          <w:rPr>
            <w:webHidden/>
          </w:rPr>
          <w:instrText xml:space="preserve"> PAGEREF _Toc52461252 \h </w:instrText>
        </w:r>
        <w:r w:rsidR="005150E8">
          <w:rPr>
            <w:webHidden/>
          </w:rPr>
        </w:r>
        <w:r w:rsidR="005150E8">
          <w:rPr>
            <w:webHidden/>
          </w:rPr>
          <w:fldChar w:fldCharType="separate"/>
        </w:r>
        <w:r w:rsidR="00AB38CE">
          <w:rPr>
            <w:webHidden/>
          </w:rPr>
          <w:t>33</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53" w:history="1">
        <w:r w:rsidR="005150E8">
          <w:rPr>
            <w:rStyle w:val="Hyperlink"/>
            <w:rFonts w:ascii="Times New Roman" w:hAnsi="Times New Roman"/>
          </w:rPr>
          <w:t>6.3.</w:t>
        </w:r>
        <w:r w:rsidR="005150E8">
          <w:tab/>
        </w:r>
        <w:r w:rsidR="005150E8">
          <w:rPr>
            <w:rStyle w:val="Hyperlink"/>
            <w:rFonts w:ascii="Times New Roman" w:hAnsi="Times New Roman"/>
          </w:rPr>
          <w:t>Template: AE-ADV2. Advanced template for collateral received by the reporting institution</w:t>
        </w:r>
        <w:r w:rsidR="005150E8">
          <w:tab/>
        </w:r>
        <w:r w:rsidR="005150E8">
          <w:rPr>
            <w:webHidden/>
          </w:rPr>
          <w:fldChar w:fldCharType="begin"/>
        </w:r>
        <w:r w:rsidR="005150E8">
          <w:rPr>
            <w:webHidden/>
          </w:rPr>
          <w:instrText xml:space="preserve"> PAGEREF _Toc52461253 \h </w:instrText>
        </w:r>
        <w:r w:rsidR="005150E8">
          <w:rPr>
            <w:webHidden/>
          </w:rPr>
        </w:r>
        <w:r w:rsidR="005150E8">
          <w:rPr>
            <w:webHidden/>
          </w:rPr>
          <w:fldChar w:fldCharType="separate"/>
        </w:r>
        <w:r w:rsidR="00AB38CE">
          <w:rPr>
            <w:webHidden/>
          </w:rPr>
          <w:t>35</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54" w:history="1">
        <w:r w:rsidR="005150E8">
          <w:rPr>
            <w:rStyle w:val="Hyperlink"/>
            <w:rFonts w:ascii="Times New Roman" w:hAnsi="Times New Roman"/>
          </w:rPr>
          <w:t>6.3.1.</w:t>
        </w:r>
        <w:r w:rsidR="005150E8">
          <w:tab/>
        </w:r>
        <w:r w:rsidR="005150E8">
          <w:rPr>
            <w:rStyle w:val="Hyperlink"/>
            <w:rFonts w:ascii="Times New Roman" w:hAnsi="Times New Roman"/>
          </w:rPr>
          <w:t>Instructions concerning specific rows</w:t>
        </w:r>
        <w:r w:rsidR="005150E8">
          <w:tab/>
        </w:r>
        <w:r w:rsidR="005150E8">
          <w:rPr>
            <w:webHidden/>
          </w:rPr>
          <w:fldChar w:fldCharType="begin"/>
        </w:r>
        <w:r w:rsidR="005150E8">
          <w:rPr>
            <w:webHidden/>
          </w:rPr>
          <w:instrText xml:space="preserve"> PAGEREF _Toc52461254 \h </w:instrText>
        </w:r>
        <w:r w:rsidR="005150E8">
          <w:rPr>
            <w:webHidden/>
          </w:rPr>
        </w:r>
        <w:r w:rsidR="005150E8">
          <w:rPr>
            <w:webHidden/>
          </w:rPr>
          <w:fldChar w:fldCharType="separate"/>
        </w:r>
        <w:r w:rsidR="00AB38CE">
          <w:rPr>
            <w:webHidden/>
          </w:rPr>
          <w:t>35</w:t>
        </w:r>
        <w:r w:rsidR="005150E8">
          <w:rPr>
            <w:webHidden/>
          </w:rPr>
          <w:fldChar w:fldCharType="end"/>
        </w:r>
      </w:hyperlink>
    </w:p>
    <w:p w:rsidR="00941FAE" w:rsidRDefault="009602B8" w:rsidP="00941FAE">
      <w:pPr>
        <w:pStyle w:val="TOC2"/>
        <w:rPr>
          <w:rFonts w:asciiTheme="minorHAnsi" w:eastAsiaTheme="minorEastAsia" w:hAnsiTheme="minorHAnsi" w:cstheme="minorBidi"/>
          <w:b w:val="0"/>
          <w:smallCaps w:val="0"/>
          <w:sz w:val="22"/>
        </w:rPr>
      </w:pPr>
      <w:hyperlink w:anchor="_Toc52461255" w:history="1">
        <w:r w:rsidR="005150E8">
          <w:rPr>
            <w:rStyle w:val="Hyperlink"/>
            <w:rFonts w:ascii="Times New Roman" w:hAnsi="Times New Roman"/>
          </w:rPr>
          <w:t>6.3.2.</w:t>
        </w:r>
        <w:r w:rsidR="005150E8">
          <w:tab/>
        </w:r>
        <w:r w:rsidR="005150E8">
          <w:rPr>
            <w:rStyle w:val="Hyperlink"/>
            <w:rFonts w:ascii="Times New Roman" w:hAnsi="Times New Roman"/>
          </w:rPr>
          <w:t>Instructions concerning specific columns</w:t>
        </w:r>
        <w:r w:rsidR="005150E8">
          <w:tab/>
        </w:r>
        <w:r w:rsidR="005150E8">
          <w:rPr>
            <w:webHidden/>
          </w:rPr>
          <w:fldChar w:fldCharType="begin"/>
        </w:r>
        <w:r w:rsidR="005150E8">
          <w:rPr>
            <w:webHidden/>
          </w:rPr>
          <w:instrText xml:space="preserve"> PAGEREF _Toc52461255 \h </w:instrText>
        </w:r>
        <w:r w:rsidR="005150E8">
          <w:rPr>
            <w:webHidden/>
          </w:rPr>
        </w:r>
        <w:r w:rsidR="005150E8">
          <w:rPr>
            <w:webHidden/>
          </w:rPr>
          <w:fldChar w:fldCharType="separate"/>
        </w:r>
        <w:r w:rsidR="00AB38CE">
          <w:rPr>
            <w:webHidden/>
          </w:rPr>
          <w:t>35</w:t>
        </w:r>
        <w:r w:rsidR="005150E8">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default" r:id="rId7"/>
          <w:footerReference w:type="default" r:id="rId8"/>
          <w:headerReference w:type="firs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2" w:name="_Toc322687864"/>
      <w:bookmarkStart w:id="3" w:name="_Toc52461203"/>
      <w:r>
        <w:rPr>
          <w:rFonts w:ascii="Times New Roman" w:hAnsi="Times New Roman"/>
        </w:rPr>
        <w:lastRenderedPageBreak/>
        <w:t>ÁLTALÁNOS ÚTMUTATÓ</w:t>
      </w:r>
      <w:bookmarkStart w:id="4" w:name="_Toc322687865"/>
      <w:bookmarkEnd w:id="2"/>
      <w:bookmarkEnd w:id="3"/>
    </w:p>
    <w:p w:rsidR="00941FAE" w:rsidRPr="00361B13" w:rsidRDefault="00941FAE" w:rsidP="00941FAE">
      <w:pPr>
        <w:pStyle w:val="Heading2"/>
        <w:spacing w:before="0"/>
        <w:rPr>
          <w:rFonts w:ascii="Times New Roman" w:hAnsi="Times New Roman"/>
        </w:rPr>
      </w:pPr>
      <w:bookmarkStart w:id="5" w:name="_Toc52461204"/>
      <w:r>
        <w:rPr>
          <w:rFonts w:ascii="Times New Roman" w:hAnsi="Times New Roman"/>
        </w:rPr>
        <w:t>1. Felépítés és szabályok</w:t>
      </w:r>
      <w:bookmarkEnd w:id="4"/>
      <w:bookmarkEnd w:id="5"/>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52461205"/>
      <w:bookmarkStart w:id="8" w:name="_Toc264038399"/>
      <w:bookmarkStart w:id="9" w:name="_Toc294018834"/>
      <w:r>
        <w:rPr>
          <w:rFonts w:ascii="Times New Roman" w:hAnsi="Times New Roman"/>
          <w:sz w:val="24"/>
          <w:u w:val="none"/>
        </w:rPr>
        <w:t>Felépítés</w:t>
      </w:r>
      <w:bookmarkEnd w:id="6"/>
      <w:bookmarkEnd w:id="7"/>
    </w:p>
    <w:p w:rsidR="00941FAE" w:rsidRPr="00E6052D" w:rsidRDefault="00941FAE" w:rsidP="00941FAE">
      <w:pPr>
        <w:pStyle w:val="InstructionsText2"/>
        <w:shd w:val="clear" w:color="auto" w:fill="FFFFFF"/>
        <w:spacing w:after="120"/>
        <w:rPr>
          <w:sz w:val="24"/>
        </w:rPr>
      </w:pPr>
      <w:r>
        <w:rPr>
          <w:sz w:val="24"/>
        </w:rPr>
        <w:t>A keretrendszer öt táblacsoportból áll, ezek összesen kilenc táblát tartalmaznak a következő részletezéssel:</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A. rész: Megterhelés áttekintése:</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AE-ASS tábla. Az adatszolgáltató intézmény eszközei;</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AE-COL tábla. Az adatszolgáltató intézmény által kapott biztosíték;</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AE-NPL tábla. Még nem elzálogosított saját kibocsátású fedezett kötvények és értékpapírosítások;</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AE-SOU tábla. Megterhelés forrásai;</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B. rész: Lejárati adatok:</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AE-MAT tábla. Lejárati adatok;</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C. rész: Függő megterhelés:</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AE-CONT tábla. Függő megterhelés;</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 rész: Fedezett kötvények:</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AE-CB tábla. Fedezettkötvény-kibocsátás;</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E. rész: Részletes adatok:</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AE-ADV-1 tábla. Az adatszolgáltató intézmény eszközeire vonatkozó részletes tábla;</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 tábla. Az adatszolgáltató intézmény által kapott biztosítékra vonatkozó részletes tábla.</w:t>
      </w:r>
    </w:p>
    <w:p w:rsidR="00941FAE" w:rsidRPr="005F7E60" w:rsidRDefault="00941FAE" w:rsidP="00941FAE">
      <w:pPr>
        <w:pStyle w:val="InstructionsText2"/>
        <w:shd w:val="clear" w:color="auto" w:fill="FFFFFF"/>
        <w:spacing w:after="120"/>
        <w:rPr>
          <w:sz w:val="24"/>
        </w:rPr>
      </w:pPr>
      <w:r>
        <w:rPr>
          <w:sz w:val="24"/>
        </w:rPr>
        <w:t>Minden táblához biztosított a jogszabályi hivatkozás, valamint az adatszolgáltatás általánosabb szempontjaival kapcsolatos részletesebb információk.</w:t>
      </w:r>
    </w:p>
    <w:p w:rsidR="00941FAE" w:rsidRPr="000F059F" w:rsidRDefault="00941FAE" w:rsidP="00941FAE">
      <w:pPr>
        <w:pStyle w:val="Instructionsberschrift2"/>
        <w:numPr>
          <w:ilvl w:val="1"/>
          <w:numId w:val="3"/>
        </w:numPr>
        <w:shd w:val="clear" w:color="auto" w:fill="FFFFFF"/>
        <w:spacing w:before="0" w:after="120"/>
        <w:rPr>
          <w:sz w:val="24"/>
        </w:rPr>
      </w:pPr>
      <w:bookmarkStart w:id="10" w:name="_Toc52461206"/>
      <w:r>
        <w:rPr>
          <w:rFonts w:ascii="Times New Roman" w:hAnsi="Times New Roman"/>
          <w:sz w:val="24"/>
          <w:u w:val="none"/>
        </w:rPr>
        <w:t>Számviteli szabályok</w:t>
      </w:r>
      <w:bookmarkEnd w:id="10"/>
    </w:p>
    <w:p w:rsidR="00941FAE" w:rsidRPr="000F059F" w:rsidRDefault="00941FAE" w:rsidP="00941FAE">
      <w:pPr>
        <w:pStyle w:val="InstructionsText2"/>
        <w:shd w:val="clear" w:color="auto" w:fill="FFFFFF"/>
        <w:spacing w:after="120"/>
        <w:rPr>
          <w:sz w:val="24"/>
        </w:rPr>
      </w:pPr>
      <w:r>
        <w:rPr>
          <w:sz w:val="24"/>
        </w:rPr>
        <w:t>Az intézményeknek a könyv szerinti értékeket azon számviteli keretnek megfelelően kell az adatszolgáltatásba belefoglalniuk, amelyet a pénzügyi adatokról szóló beszámolóhoz használnak a 9–11. cikknek megfelelően. Azoknak az intézményeknek, amelyeknek nem kell pénzügyi adatokat szolgáltatniuk, saját számviteli keretüket kell használniuk. Az AE-SOU táblában az intézményeknek általában az esetleges számviteli nettósítás nélküli könyv szerinti értékeket kell feltüntetniük, az eszközök és biztosítékok megterhelésére vonatkozó bruttó alapú adatszolgáltatással összhangban.</w:t>
      </w:r>
    </w:p>
    <w:p w:rsidR="00941FAE" w:rsidRPr="000F059F" w:rsidRDefault="00941FAE" w:rsidP="00941FAE">
      <w:pPr>
        <w:pStyle w:val="InstructionsText2"/>
        <w:shd w:val="clear" w:color="auto" w:fill="FFFFFF"/>
        <w:spacing w:after="120"/>
        <w:rPr>
          <w:sz w:val="24"/>
        </w:rPr>
      </w:pPr>
      <w:r>
        <w:rPr>
          <w:sz w:val="24"/>
        </w:rPr>
        <w:t>E melléklet alkalmazásában az IAS és az IFRS rövidítés az 1606/2002/EK rendelet 2. cikkében meghatározott nemzetközi számviteli standardokra utal. Azon intézmények vonatkozásában, amelyek az IFRS standardoknak megfelelően szolgáltatnak adatot, az útmutató tartalmazza a megfelelő IF</w:t>
      </w:r>
      <w:r w:rsidR="009602B8">
        <w:rPr>
          <w:sz w:val="24"/>
        </w:rPr>
        <w:t>RS-standardra való hivatkozást.</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52461207"/>
      <w:bookmarkStart w:id="12" w:name="_Toc322687867"/>
      <w:r>
        <w:rPr>
          <w:rFonts w:ascii="Times New Roman" w:hAnsi="Times New Roman"/>
          <w:sz w:val="24"/>
          <w:u w:val="none"/>
        </w:rPr>
        <w:t>Számozási szabályok</w:t>
      </w:r>
      <w:bookmarkEnd w:id="11"/>
    </w:p>
    <w:p w:rsidR="00941FAE" w:rsidRPr="000F059F" w:rsidRDefault="00941FAE" w:rsidP="00941FAE">
      <w:pPr>
        <w:pStyle w:val="InstructionsText2"/>
        <w:shd w:val="clear" w:color="auto" w:fill="FFFFFF"/>
        <w:spacing w:after="120"/>
        <w:rPr>
          <w:sz w:val="24"/>
        </w:rPr>
      </w:pPr>
      <w:r>
        <w:rPr>
          <w:sz w:val="24"/>
        </w:rPr>
        <w:t xml:space="preserve">A táblák oszlopaira, soraira és celláira való hivatkozáskor az útmutató a következő általános jelölési szabályokat követi: {Tábla; Sor; Oszlop}. Csillag azt jelöli, hogy a </w:t>
      </w:r>
      <w:r w:rsidR="009030E5">
        <w:rPr>
          <w:sz w:val="24"/>
        </w:rPr>
        <w:t>validálás</w:t>
      </w:r>
      <w:r>
        <w:rPr>
          <w:sz w:val="24"/>
        </w:rPr>
        <w:t xml:space="preserve"> az egész sorra vagy oszlopra vonatkozik. Például {AE-ASS; *; 2} az AE-ASS tábla 2. oszlopának bármely sorában található adatra utal.</w:t>
      </w:r>
    </w:p>
    <w:p w:rsidR="00941FAE" w:rsidRPr="000F059F" w:rsidRDefault="00941FAE" w:rsidP="00941FAE">
      <w:pPr>
        <w:pStyle w:val="InstructionsText2"/>
        <w:shd w:val="clear" w:color="auto" w:fill="FFFFFF"/>
        <w:spacing w:after="120"/>
        <w:rPr>
          <w:sz w:val="24"/>
        </w:rPr>
      </w:pPr>
      <w:r>
        <w:rPr>
          <w:sz w:val="24"/>
        </w:rPr>
        <w:t xml:space="preserve">Az egy táblán belüli </w:t>
      </w:r>
      <w:r w:rsidR="009030E5">
        <w:rPr>
          <w:sz w:val="24"/>
        </w:rPr>
        <w:t>validálás</w:t>
      </w:r>
      <w:r>
        <w:rPr>
          <w:sz w:val="24"/>
        </w:rPr>
        <w:t xml:space="preserve"> esetén a szóban forgó táblában levő adatokra a következő jelölés utal: {Sor; Oszlop}.</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52461208"/>
      <w:r>
        <w:rPr>
          <w:rFonts w:ascii="Times New Roman" w:hAnsi="Times New Roman"/>
          <w:sz w:val="24"/>
          <w:u w:val="none"/>
        </w:rPr>
        <w:lastRenderedPageBreak/>
        <w:t>Előjelre vonatkozó szabályok</w:t>
      </w:r>
      <w:bookmarkEnd w:id="13"/>
      <w:bookmarkEnd w:id="14"/>
    </w:p>
    <w:p w:rsidR="00941FAE" w:rsidRPr="00361B13" w:rsidRDefault="00941FAE" w:rsidP="00941FAE">
      <w:pPr>
        <w:pStyle w:val="InstructionsText2"/>
        <w:shd w:val="clear" w:color="auto" w:fill="FFFFFF"/>
        <w:spacing w:after="120"/>
        <w:rPr>
          <w:sz w:val="24"/>
        </w:rPr>
      </w:pPr>
      <w:r>
        <w:rPr>
          <w:sz w:val="24"/>
        </w:rPr>
        <w:t>A XVI. melléklet tábláinak az V. melléklet 1. részének 9. és 10. pontjában leírt jelölési szabályokat kell követniük</w:t>
      </w:r>
      <w:bookmarkStart w:id="15" w:name="_Toc264033192"/>
      <w:bookmarkEnd w:id="15"/>
      <w:r>
        <w:rPr>
          <w:sz w:val="24"/>
        </w:rPr>
        <w:t>.</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2461209"/>
      <w:r>
        <w:rPr>
          <w:rFonts w:ascii="Times New Roman" w:hAnsi="Times New Roman"/>
          <w:sz w:val="24"/>
          <w:u w:val="none"/>
        </w:rPr>
        <w:t>Alkalmazás szintje</w:t>
      </w:r>
      <w:bookmarkEnd w:id="16"/>
    </w:p>
    <w:p w:rsidR="00941FAE" w:rsidRPr="000F059F" w:rsidRDefault="00941FAE" w:rsidP="00941FAE">
      <w:pPr>
        <w:pStyle w:val="InstructionsText2"/>
        <w:spacing w:after="120"/>
        <w:rPr>
          <w:sz w:val="24"/>
        </w:rPr>
      </w:pPr>
      <w:r>
        <w:rPr>
          <w:sz w:val="24"/>
        </w:rPr>
        <w:t>A megterhelt eszközökre vonatkozó adatszolgáltatás esetében az alkalmazás szintje követi a szavatolótőke-követelményekre vonatkozó, az 575/2013/EU rendelet (CRR) 99. cikke (1) bekezdése első albekezdésének megfelelő adatszolgáltatási követelményeket. Következésképpen azoknak az intézményeknek, amelyek nem tartoznak a CRR 7. cikke szerinti prudenciális követelmények hatálya alá, nem kell adatot szolgáltatniuk az megterhelt eszközökről.</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2461210"/>
      <w:r>
        <w:rPr>
          <w:rFonts w:ascii="Times New Roman" w:hAnsi="Times New Roman"/>
          <w:sz w:val="24"/>
          <w:u w:val="none"/>
        </w:rPr>
        <w:t>Arányosság</w:t>
      </w:r>
      <w:bookmarkEnd w:id="17"/>
    </w:p>
    <w:p w:rsidR="00941FAE" w:rsidRPr="000F059F" w:rsidRDefault="00941FAE" w:rsidP="00941FAE">
      <w:pPr>
        <w:pStyle w:val="InstructionsText2"/>
        <w:spacing w:after="120"/>
        <w:rPr>
          <w:sz w:val="24"/>
        </w:rPr>
      </w:pPr>
      <w:r>
        <w:rPr>
          <w:sz w:val="24"/>
        </w:rPr>
        <w:t>A 16a. cikk (2) bekezdése b) pontjának alkalmazásában a megterhelt eszközök szintjét a következőképpen kell kiszámítani:</w:t>
      </w:r>
    </w:p>
    <w:p w:rsidR="00941FAE" w:rsidRPr="00A67D5A" w:rsidRDefault="00941FAE" w:rsidP="00941FAE">
      <w:pPr>
        <w:pStyle w:val="InstructionsText2"/>
        <w:numPr>
          <w:ilvl w:val="1"/>
          <w:numId w:val="2"/>
        </w:numPr>
        <w:spacing w:after="120"/>
        <w:rPr>
          <w:sz w:val="24"/>
        </w:rPr>
      </w:pPr>
      <w:r>
        <w:rPr>
          <w:sz w:val="24"/>
        </w:rPr>
        <w:t>A megterhelt eszközök és biztosíték könyv szerinti értéke = {AE-ASS;010;010}+{AE-COL;130;010};</w:t>
      </w:r>
    </w:p>
    <w:p w:rsidR="00941FAE" w:rsidRPr="00A67D5A" w:rsidRDefault="00941FAE" w:rsidP="00941FAE">
      <w:pPr>
        <w:pStyle w:val="InstructionsText2"/>
        <w:numPr>
          <w:ilvl w:val="1"/>
          <w:numId w:val="2"/>
        </w:numPr>
        <w:spacing w:after="120"/>
        <w:rPr>
          <w:sz w:val="24"/>
        </w:rPr>
      </w:pPr>
      <w:r>
        <w:rPr>
          <w:sz w:val="24"/>
        </w:rPr>
        <w:t>Eszközök és biztosíték összesen = {AE-ASS;010;010} + {AE-ASS;010;060}+{AE-COL;130;010}+{AE-COL;130;040}</w:t>
      </w:r>
    </w:p>
    <w:p w:rsidR="00941FAE" w:rsidRPr="00A67D5A" w:rsidRDefault="00941FAE" w:rsidP="00941FAE">
      <w:pPr>
        <w:pStyle w:val="InstructionsText2"/>
        <w:numPr>
          <w:ilvl w:val="1"/>
          <w:numId w:val="2"/>
        </w:numPr>
        <w:spacing w:after="120"/>
        <w:rPr>
          <w:sz w:val="24"/>
        </w:rPr>
      </w:pPr>
      <w:r>
        <w:rPr>
          <w:sz w:val="24"/>
        </w:rPr>
        <w:t>Megterhelési arány = (a megterhelt eszközök és biztosítékok könyv szerinti értéke)/(eszközök és biztosítékok összesen).</w:t>
      </w:r>
    </w:p>
    <w:p w:rsidR="00941FAE" w:rsidRPr="00E6052D" w:rsidRDefault="00941FAE" w:rsidP="00941FAE">
      <w:pPr>
        <w:pStyle w:val="InstructionsText2"/>
        <w:spacing w:after="120"/>
        <w:rPr>
          <w:sz w:val="24"/>
        </w:rPr>
      </w:pPr>
      <w:r>
        <w:rPr>
          <w:sz w:val="24"/>
        </w:rPr>
        <w:t>A 16a. cikk (2) bekezdése a) pontjának alkalmazásában az összes eszköz összegének kiszámítása a következő:</w:t>
      </w:r>
    </w:p>
    <w:p w:rsidR="00941FAE" w:rsidRPr="005F7E60" w:rsidRDefault="00941FAE" w:rsidP="00941FAE">
      <w:pPr>
        <w:pStyle w:val="InstructionsText2"/>
        <w:numPr>
          <w:ilvl w:val="1"/>
          <w:numId w:val="2"/>
        </w:numPr>
        <w:spacing w:after="120"/>
        <w:rPr>
          <w:sz w:val="24"/>
        </w:rPr>
      </w:pPr>
      <w:r>
        <w:rPr>
          <w:sz w:val="24"/>
        </w:rPr>
        <w:t>Eszközök összesen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52461211"/>
      <w:r>
        <w:rPr>
          <w:rFonts w:ascii="Times New Roman" w:hAnsi="Times New Roman"/>
          <w:sz w:val="24"/>
          <w:u w:val="none"/>
        </w:rPr>
        <w:t>Megterhelt eszköz fogalommeghatározása</w:t>
      </w:r>
      <w:bookmarkEnd w:id="18"/>
    </w:p>
    <w:p w:rsidR="00941FAE" w:rsidRPr="000F059F" w:rsidRDefault="00941FAE" w:rsidP="00941FAE">
      <w:pPr>
        <w:pStyle w:val="InstructionsText2"/>
        <w:spacing w:after="120"/>
        <w:rPr>
          <w:sz w:val="24"/>
        </w:rPr>
      </w:pPr>
      <w:r>
        <w:rPr>
          <w:sz w:val="24"/>
        </w:rPr>
        <w:t>E melléklet és a XVI. melléklet alkalmazásában egy eszközt akkor kell megterheltként kezelni, ha elzálogosításra került, vagy ha valamely ügylet bármely formában létrejött megállapodás keretében történő biztosítására, fedezésére vagy hitelminőségének javítására használják fel és nem vonható ki tetszőlegesen.</w:t>
      </w:r>
    </w:p>
    <w:p w:rsidR="00941FAE" w:rsidRPr="000F059F" w:rsidRDefault="00941FAE" w:rsidP="00941FAE">
      <w:pPr>
        <w:pStyle w:val="InstructionsText2"/>
        <w:numPr>
          <w:ilvl w:val="0"/>
          <w:numId w:val="0"/>
        </w:numPr>
        <w:spacing w:after="120"/>
        <w:ind w:left="720"/>
        <w:rPr>
          <w:sz w:val="24"/>
        </w:rPr>
      </w:pPr>
      <w:r>
        <w:rPr>
          <w:sz w:val="24"/>
        </w:rPr>
        <w:t>Fontos megjegyezni, hogy megterhelt eszköznek kell tekinteni az olyan elzálogosított eszközöket, amelyekre a kivonás tekintetében korlátozás vonatkozik, például az olyan eszközöket, amelyek esetében a kivonáshoz vagy más eszközzel való helyettesítéshez előzetes jóváhagyás szükséges. A fogalommeghatározás nem explicit jogi meghatározáson alapul, mint például a tulajdonjog-átruházás esetében, hanem inkább gazdasági elveken, mivel az országokban alkalmazott jogi előírások e tekintetben eltérőek lehetnek. A fogalommeghatározás azonban szorosan kapcsolódik a szerződéses feltételekhez. Az EBH szerint a fogalommeghatározás a következő ügylettípusokat</w:t>
      </w:r>
      <w:r w:rsidR="009602B8">
        <w:rPr>
          <w:sz w:val="24"/>
        </w:rPr>
        <w:t xml:space="preserve"> jól fedi (a lista nem teljes):</w:t>
      </w:r>
    </w:p>
    <w:p w:rsidR="00941FAE" w:rsidRPr="000F059F" w:rsidRDefault="00941FAE" w:rsidP="00941FAE">
      <w:pPr>
        <w:pStyle w:val="InstructionsText2"/>
        <w:numPr>
          <w:ilvl w:val="0"/>
          <w:numId w:val="21"/>
        </w:numPr>
        <w:spacing w:after="120"/>
        <w:rPr>
          <w:sz w:val="24"/>
        </w:rPr>
      </w:pPr>
      <w:r>
        <w:rPr>
          <w:sz w:val="24"/>
        </w:rPr>
        <w:t>Biztosítékkal fedezett finanszírozási ügyletek, többek között a reposzerződések és -megállapodások, értékpapírok kölcsönbe adása, valamint a biztosítékkal fedezett kölcsönök egyéb formái.</w:t>
      </w:r>
    </w:p>
    <w:p w:rsidR="00941FAE" w:rsidRPr="000F059F" w:rsidRDefault="00941FAE" w:rsidP="00941FAE">
      <w:pPr>
        <w:pStyle w:val="InstructionsText2"/>
        <w:numPr>
          <w:ilvl w:val="0"/>
          <w:numId w:val="21"/>
        </w:numPr>
        <w:spacing w:after="120"/>
        <w:rPr>
          <w:sz w:val="24"/>
        </w:rPr>
      </w:pPr>
      <w:r>
        <w:rPr>
          <w:sz w:val="24"/>
        </w:rPr>
        <w:t>Különböző biztosítéki megállapodások, például a származtatott ügyletek piaci értékére letétbe helyezett biztosíték.</w:t>
      </w:r>
    </w:p>
    <w:p w:rsidR="00941FAE" w:rsidRPr="000F059F" w:rsidRDefault="00941FAE" w:rsidP="00941FAE">
      <w:pPr>
        <w:pStyle w:val="InstructionsText2"/>
        <w:numPr>
          <w:ilvl w:val="0"/>
          <w:numId w:val="21"/>
        </w:numPr>
        <w:spacing w:after="120"/>
        <w:rPr>
          <w:sz w:val="24"/>
        </w:rPr>
      </w:pPr>
      <w:r>
        <w:rPr>
          <w:sz w:val="24"/>
        </w:rPr>
        <w:t xml:space="preserve">Fedezett pénzügyi garanciák. Meg kell jegyezni, hogy azokban az esetekben, amikor a biztosíték kivonásának nincs akadálya (például a garancia fel nem </w:t>
      </w:r>
      <w:r>
        <w:rPr>
          <w:sz w:val="24"/>
        </w:rPr>
        <w:lastRenderedPageBreak/>
        <w:t>használt részére vonatkozó előzetes jóváhagyás) akkor csak a felhasznált összeget kell elosztani (arányos elosztás).</w:t>
      </w:r>
    </w:p>
    <w:p w:rsidR="00941FAE" w:rsidRPr="000F059F" w:rsidRDefault="00941FAE" w:rsidP="00941FAE">
      <w:pPr>
        <w:pStyle w:val="InstructionsText2"/>
        <w:numPr>
          <w:ilvl w:val="0"/>
          <w:numId w:val="21"/>
        </w:numPr>
        <w:spacing w:after="120"/>
        <w:rPr>
          <w:sz w:val="24"/>
        </w:rPr>
      </w:pPr>
      <w:r>
        <w:rPr>
          <w:sz w:val="24"/>
        </w:rPr>
        <w:t>Klíringrendszerekben, központi szerződő feleknél és egyéb, infrastruktúrát működtető intézményeknél a szolgáltatáshoz való hozzájutás feltételeként elhelyezett biztosíték. Idetartoznak a garanciaalapok és az alapletétek.</w:t>
      </w:r>
    </w:p>
    <w:p w:rsidR="00941FAE" w:rsidRPr="005F7E60" w:rsidRDefault="00941FAE" w:rsidP="00941FAE">
      <w:pPr>
        <w:pStyle w:val="InstructionsText2"/>
        <w:numPr>
          <w:ilvl w:val="0"/>
          <w:numId w:val="21"/>
        </w:numPr>
        <w:spacing w:after="120"/>
        <w:rPr>
          <w:sz w:val="24"/>
        </w:rPr>
      </w:pPr>
      <w:r>
        <w:rPr>
          <w:sz w:val="24"/>
        </w:rPr>
        <w:t>Központi banki keretek. A rendelkezésre álló eszközöket nem kell megterheltnek tekinteni, kivéve, ha a központi bank előzetes hozzájárulással teszi lehetővé az elhelyezett eszköz kivonását. Ahogy a fel nem használt pénzügyi garanciák esetében, a fel nem használt részt, vagyis a központi bank által előírt minimális összeg fölötti részt arányosan el kell osztani a központi banknál elhelyezett eszközök között.</w:t>
      </w:r>
    </w:p>
    <w:p w:rsidR="00941FAE" w:rsidRPr="000F059F" w:rsidRDefault="00941FAE" w:rsidP="00941FAE">
      <w:pPr>
        <w:pStyle w:val="InstructionsText2"/>
        <w:numPr>
          <w:ilvl w:val="0"/>
          <w:numId w:val="21"/>
        </w:numPr>
        <w:spacing w:after="120"/>
        <w:rPr>
          <w:sz w:val="24"/>
        </w:rPr>
      </w:pPr>
      <w:r>
        <w:rPr>
          <w:sz w:val="24"/>
        </w:rPr>
        <w:t>Az értékpapírosítási struktúrák mögöttes eszközei, amennyiben a pénzügyi eszközöket nem vonták ki az intézmény pénzügyi eszközei közül. Azok az eszközök, amelyek mögöttes, megtartott értékpapírok, nem számítanak megterheltnek, kivéve, ha ezeket az értékpapírokat egy ügylet fedezése céljából valamilyen módon elzálogosítják vagy biztosítékként nyújtják.</w:t>
      </w:r>
    </w:p>
    <w:p w:rsidR="00941FAE" w:rsidRPr="000F059F" w:rsidRDefault="00941FAE" w:rsidP="00941FAE">
      <w:pPr>
        <w:pStyle w:val="InstructionsText2"/>
        <w:numPr>
          <w:ilvl w:val="0"/>
          <w:numId w:val="21"/>
        </w:numPr>
        <w:spacing w:after="120"/>
        <w:rPr>
          <w:sz w:val="24"/>
        </w:rPr>
      </w:pPr>
      <w:r>
        <w:rPr>
          <w:sz w:val="24"/>
        </w:rPr>
        <w:t>A fedezettkötvény-kibocsátáshoz használt fedezeti halmazhoz (poolhoz) tartozó eszközök. Azok az eszközök, amelyek mögöttes fedezett kötvények, megterheltnek számítanak, kivéve egyes esetekben, amikor az intézmény tartja a megfelelő fedezett kötvényeket (saját kibocsátású kötvények).</w:t>
      </w:r>
    </w:p>
    <w:p w:rsidR="00941FAE" w:rsidRPr="00B93E25" w:rsidRDefault="00941FAE" w:rsidP="00941FAE">
      <w:pPr>
        <w:pStyle w:val="InstructionsText2"/>
        <w:numPr>
          <w:ilvl w:val="0"/>
          <w:numId w:val="21"/>
        </w:numPr>
        <w:spacing w:after="120"/>
        <w:rPr>
          <w:sz w:val="24"/>
        </w:rPr>
      </w:pPr>
      <w:r>
        <w:rPr>
          <w:sz w:val="24"/>
        </w:rPr>
        <w:t>Az általános elv az, hogy azokat az eszközöket, amelyek olyan keretekben kerülnek elhelyezésre, amelyeket nem használnak és szabadon kivonhatók, nem kell megterheltnek tekinteni.</w:t>
      </w:r>
    </w:p>
    <w:p w:rsidR="00941FAE" w:rsidRPr="000F059F" w:rsidRDefault="00941FAE" w:rsidP="00941FAE">
      <w:pPr>
        <w:pStyle w:val="Heading2"/>
        <w:spacing w:before="0"/>
        <w:rPr>
          <w:rFonts w:ascii="Times New Roman" w:hAnsi="Times New Roman"/>
        </w:rPr>
      </w:pPr>
      <w:bookmarkStart w:id="19" w:name="_Toc52461212"/>
      <w:bookmarkEnd w:id="8"/>
      <w:bookmarkEnd w:id="9"/>
      <w:bookmarkEnd w:id="12"/>
      <w:r>
        <w:rPr>
          <w:rFonts w:ascii="Times New Roman" w:hAnsi="Times New Roman"/>
        </w:rPr>
        <w:t>TÁBLÁKHOZ KAPCSOLÓDÓ ÚTMUTATÓ</w:t>
      </w:r>
      <w:bookmarkEnd w:id="0"/>
      <w:bookmarkEnd w:id="19"/>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20" w:name="_Toc52461213"/>
      <w:r>
        <w:rPr>
          <w:rFonts w:ascii="Times New Roman" w:hAnsi="Times New Roman"/>
          <w:b/>
          <w:sz w:val="24"/>
          <w:u w:val="none"/>
        </w:rPr>
        <w:t>A. rész: Megterhelés áttekintése</w:t>
      </w:r>
      <w:bookmarkEnd w:id="20"/>
    </w:p>
    <w:p w:rsidR="00941FAE" w:rsidRPr="000F059F" w:rsidRDefault="00941FAE" w:rsidP="00941FAE">
      <w:pPr>
        <w:pStyle w:val="InstructionsText2"/>
        <w:spacing w:after="120"/>
        <w:rPr>
          <w:sz w:val="24"/>
        </w:rPr>
      </w:pPr>
      <w:r>
        <w:rPr>
          <w:sz w:val="24"/>
        </w:rPr>
        <w:t>A „Megterhelés áttekintése” tábla megkülönbözteti azokat az eszközöket, amelyeket a mérlegkészítés időpontjában a finanszírozás vagy biztosítéknyújtási igény támogatásához használnak fel, és azokat az eszközöket, amelyek potenciális finanszírozási igény es</w:t>
      </w:r>
      <w:r w:rsidR="009602B8">
        <w:rPr>
          <w:sz w:val="24"/>
        </w:rPr>
        <w:t>etén felhasználhatók.</w:t>
      </w:r>
    </w:p>
    <w:p w:rsidR="00941FAE" w:rsidRPr="000F059F" w:rsidRDefault="00941FAE" w:rsidP="00941FAE">
      <w:pPr>
        <w:pStyle w:val="InstructionsText2"/>
        <w:spacing w:after="120"/>
        <w:rPr>
          <w:sz w:val="24"/>
        </w:rPr>
      </w:pPr>
      <w:r>
        <w:rPr>
          <w:sz w:val="24"/>
        </w:rPr>
        <w:t>Az áttekintő tábla táblázatos formában tartalmazza az adatszolgáltató intézmény megterhelt és meg nem terhelt eszközeinek összegét termékenként. Ugyanebben a bontásban kerülnek feltüntetésre a kapott biztosítékok, valamint a fedezett kötvényektől és az értékpapírosításoktól eltérő kibocsátott, hitelviszonyt megtestesítő saját értékpapírok.</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1" w:name="_Toc52461214"/>
      <w:r>
        <w:rPr>
          <w:rFonts w:ascii="Times New Roman" w:hAnsi="Times New Roman"/>
          <w:sz w:val="24"/>
          <w:u w:val="none"/>
        </w:rPr>
        <w:t>AE-ASS tábla. Az adatszolgáltató intézmény eszközei</w:t>
      </w:r>
      <w:bookmarkEnd w:id="2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52461215"/>
      <w:bookmarkStart w:id="25" w:name="_Toc348096564"/>
      <w:bookmarkStart w:id="26" w:name="_Toc348097325"/>
      <w:bookmarkStart w:id="27" w:name="_Toc348101345"/>
      <w:r>
        <w:rPr>
          <w:rFonts w:ascii="Times New Roman" w:hAnsi="Times New Roman"/>
          <w:sz w:val="24"/>
          <w:u w:val="none"/>
        </w:rPr>
        <w:t>Általános megjegyzések</w:t>
      </w:r>
      <w:bookmarkEnd w:id="22"/>
      <w:bookmarkEnd w:id="23"/>
      <w:bookmarkEnd w:id="24"/>
    </w:p>
    <w:p w:rsidR="00941FAE" w:rsidRPr="000F059F" w:rsidRDefault="00941FAE" w:rsidP="00941FAE">
      <w:pPr>
        <w:pStyle w:val="InstructionsText2"/>
        <w:shd w:val="clear" w:color="auto" w:fill="FFFFFF"/>
        <w:spacing w:after="120"/>
        <w:rPr>
          <w:sz w:val="24"/>
        </w:rPr>
      </w:pPr>
      <w:r>
        <w:rPr>
          <w:sz w:val="24"/>
        </w:rPr>
        <w:t>Ez a bekezdés tartalmazza az ügyletek fő típusaira vonatkozó és az AE táblák kitöltése szempontjából releváns útmutatót.</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Minden olyan ügyletnek, amely növeli egy intézmény megterhelési szintjét, két aspektusa van, ezeket egymástól függetlenül kell feltüntetni az AE-táblákban. Ezeket az ügyleteket egyrészt mint a megterhelés forrását, másrészt mint megterhelt eszközt vagy biztosítékot kell feltüntetni.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következő példák arra vonatkoznak, hogyan kell feltüntetni egy adott típusú ügyletet e </w:t>
            </w:r>
            <w:r>
              <w:rPr>
                <w:rStyle w:val="InstructionsTabelleberschrift"/>
                <w:rFonts w:ascii="Times New Roman" w:hAnsi="Times New Roman"/>
                <w:b w:val="0"/>
                <w:sz w:val="24"/>
                <w:u w:val="none"/>
              </w:rPr>
              <w:lastRenderedPageBreak/>
              <w:t>részben, de ugyanezek a szabályok alkalmazandók a többi AE táblára is.</w:t>
            </w:r>
          </w:p>
          <w:p w:rsidR="00941FAE" w:rsidRPr="000F059F" w:rsidRDefault="009602B8"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Fedezett betét</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fedezett betétet a következőképpen kell feltüntetni:</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betét könyv szerinti értéke a terhelés forrásaként kerül nyilvántartásra a következő mezőben: {AE-SOU; r070; c010};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fedezet az adatszolgáltató intézmény eszköze, könyv szerinti értékét a következő mezőben kell feltüntetni: {AE-ASS; *; c010} és {AE-SOU; r070; c030}; valós értékét pedig a következő mezőben kell feltüntetni: {AE-ASS; *;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az adatszolgáltató intézmény kapta a fedezetet, annak valós értékét a következő mezőkben kell feltüntetni: {AE-COL; *; c010}, {AE-SOU; r070; c030} és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Repoügyletek/fordított repoügyletek (matching repo)</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visszavásárlási (repo-) megállapodást (a továbbiakban: repoügylet) a következőképpen kell feltüntetni:</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repoügylet bruttó könyv szerinti értékét a megterhelés forrásaként a következő mezőben kell feltüntetni: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repoügylet biztosítékát a következőképpen kell feltüntetni:</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fedezet az adatszolgáltató intézmény eszköze, könyv szerinti értékét a következő mezőben kell feltüntetni: {AE-ASS; *; c010} és {AE-SOU; r050; c030}; valós értékét pedig a következő mezőben kell feltüntetni: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az adatszolgáltató intézmény korábbi fordított repoügylet révén (matching repo) kapta a fedezetet, annak valós értékét a következő mezőben kell feltüntetni: {AE-COL; *; c010}, {AE-SOU; r050; c030 és {AE-SOU;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Központi banki finanszírozás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fedezett központi banki finanszírozás csak a fedezett betétek vagy a repoügyletek egy olyan speciális esete, amelyben a szerződő fél központi bank, így a fenti i. és ii. szabály alkalmazandó.</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Azoknál az ügyleteknél, amelyeknél nem lehet azonosítani az egyes ügyletekhez nyújtott konkrét biztosítékot, mivel a biztosítékot egy halmazba (poolba) vonták össze, a biztosíték bontását a halmaz összetétele al</w:t>
            </w:r>
            <w:r w:rsidR="009602B8">
              <w:rPr>
                <w:rStyle w:val="InstructionsTabelleberschrift"/>
                <w:rFonts w:ascii="Times New Roman" w:hAnsi="Times New Roman"/>
                <w:b w:val="0"/>
                <w:sz w:val="24"/>
                <w:u w:val="none"/>
              </w:rPr>
              <w:t>apján arányosan kell elvégezni.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 nem terhelt eszközök a központi banknál előzetesen rendelkezésre bocsátott eszközök, kivéve, ha a központi bank csak előzetes jóváhagyás mellett engedélyezi az eszköz kivonását. A fel nem használt pénzügyi garanciáknál a fel nem használt részt, vagyis a központi bank által előírt minimális összeg fölötti részt arányosan el kell osztani a központi banknál elhelyezett eszközök között.</w:t>
            </w:r>
          </w:p>
          <w:p w:rsidR="00941FAE" w:rsidRPr="000F059F" w:rsidRDefault="009602B8"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Értékpapír kölcsönbe adása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készpénzbiztosíték mellett történő értékpapír kölcsönbe adásra a repoügyletekre/fordított repora vonatkozó szabályok alkalmazandók.</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készpénzbiztosíték nélküli értékpapír kölcsönbe adást a következőképpen kell feltüntetni:</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a kölcsönbe vett értékpapírok valós értékét a következő mezőben kell feltüntetni: {AE-SOU; r150; c010}. Amennyiben a kölcsönadó nem kap értékpapírt a kölcsönbe adott értékpapírokért, hanem ehelyett díjat kap, a következő mezőben: {AE-SOU; r150; c010} nullát kell feltüntetni;</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biztosítékként kölcsönbe adott értékpapírok az adatszolgáltató intézmény eszközei, azok könyv szerinti értékét a következő mezőben kell feltüntetni: {AE-ASS; *; c010} és {AE-SOU; r150; c030}; valós értéküket pedig a következő mezőben: {AE-ASS; *; c040};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a biztosítékként kölcsönbe adott értékpapírokat az adatszolgáltató intézmény kapja, azok valós értékét a következő mezőben kell feltüntetni: {AE-COL; *; c010}, {AE-SOU; r150; c030} és {AE-SOU; r150;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Származtatott ügyletek (kötelezettségek)</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negatív valós értékű fedezett derivatívákat a következőképpen kell feltüntetni:</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derivatíva könyv szerinti értékét a megterhelés forrásaként a következő mezőben kell feltüntetni: {AE-SOU;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biztosítékot (a pozíció megnyitásához szükséges alapletét és bármely, a származtatott ügyletek piaci értékére letett biztosíték) a következőképpen kell feltüntetni:</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az adatszolgáltató intézmény eszköze, könyv szerinti értékét a következő mezőben kell feltüntetni: {AE-ASS; *; c010} és {AE-SOU; r020; c030}; valós értékét pedig a következő mezőben kell feltüntetni: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biztosítékot az adatszolgáltató intézmény kapja, annak könyv szerinti értékét a következő mezőben kell feltüntetni: {AE-COL; *; c010}, {AE-SOU; r020; c030} és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Fedezett kötvények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megterhelt eszközökre vonatkozó adatszolgáltatás szempontjából fedezett kötvények a 2009/65/EU irányelv 52. cikke (4) bekezdésének első albekezdésében említett instrumentumok függetlenül attól, hogy azok jogi formája értékpapír vagy sem.</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Nem vonatkoznak speciális szabályok a fedezett kötvényekre, ha az adatszolgáltató intézmény által kibocsátott értékpapírok egy része nem megtartott.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kibocsátott értékpapírok egy részének megtartása esetén és a kétszeri beszámítás elkerülése érdekében a következő eljárás alkalmazása javasolt:</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saját fedezett kötvények nincsenek elzálogosítva, az említett megtartott és még nem elzálogosított értékpapírokat támogató fedezeti halmaz (pool) összegét az AE-ASS táblában meg nem terhelt eszközként kell feltüntetni. A megtartott és még nem elzálogosított fedezett kötvényekre vonatkozó további információt (mögöttes eszközök, a megterhelhető elemek valós értéke és elismerhetősége és a meg nem terhelhető elemek névértéke) az AE-NPL táblában kell feltüntetni;</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saját fedezett kötvényeket elzálogosítják, az említett megtartott és elzálogosított értékpapírokat támogató fedezeti halmaz (pool) összegét az AE-ASS táblában megterhelt eszközként kell feltüntetni.</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A következő tábla bemutatja, miként kell egy 100 EUR értékű fedezettkötvény-kibocsátásról adatot szolgáltatni, amennyiben e fedezett kötvények 15 %-át megtartják, és nem </w:t>
            </w:r>
            <w:r>
              <w:rPr>
                <w:rStyle w:val="InstructionsTabelleberschrift"/>
                <w:rFonts w:ascii="Times New Roman" w:hAnsi="Times New Roman"/>
                <w:b w:val="0"/>
                <w:sz w:val="24"/>
                <w:u w:val="none"/>
              </w:rPr>
              <w:lastRenderedPageBreak/>
              <w:t>zálogosítják el, 10 %-át pedig megtartják és egy, a központi bankkal végrehajtott 11 EUR összegű repoügyletben biztosítékként használják fel, amelynek során a fedezeti halmaz (pool) fedezetlen kölcsönöket tartalmaz és a kölcsönök könyv szerinti értéke 150 EUR.</w:t>
            </w:r>
          </w:p>
          <w:p w:rsidR="00941FAE" w:rsidRPr="00A67D5A"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lang w:val="en-GB" w:eastAsia="en-GB"/>
              </w:rPr>
              <w:drawing>
                <wp:inline distT="0" distB="0" distL="0" distR="0" wp14:anchorId="5DCB2BF7" wp14:editId="56628662">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rsidR="00941FAE" w:rsidRPr="00361B13" w:rsidRDefault="00941FAE"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Értékpapírosítás</w:t>
            </w:r>
          </w:p>
          <w:p w:rsidR="00941FAE" w:rsidRPr="009602B8" w:rsidRDefault="00941FAE" w:rsidP="005150E8">
            <w:pPr>
              <w:spacing w:before="0"/>
            </w:pPr>
            <w:r>
              <w:rPr>
                <w:rStyle w:val="InstructionsTabelleberschrift"/>
                <w:rFonts w:ascii="Times New Roman" w:hAnsi="Times New Roman"/>
                <w:b w:val="0"/>
                <w:sz w:val="24"/>
                <w:u w:val="none"/>
              </w:rPr>
              <w:t>Az értékpapírosítás olyan, az adatszolgáltató intézmény által tartott, hitelviszonyt megtestesítő értékpapír, amelyet a CRR 4. cikkének 61. pontja szerinti értékpapírosítási ügyletben kezdeményeztek.</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olyan értékpapírosításra, amely a mérlegben marad (nem kivezetett) a fedezett kötvényekre vonatkozó szabályok alkalmazandók.</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kivezetett értékpapírosítás esetében nincs megterhelés, amikor az intézmény egyes értékpapírokat megtart. Az említett értékpapírok harmadik fél által kibocsátott egyéb értékpapírként jelennek meg az adatszolgáltató intézmények kereskedési könyvében vagy banki könyvében.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52461216"/>
      <w:r>
        <w:rPr>
          <w:rFonts w:ascii="Times New Roman" w:hAnsi="Times New Roman"/>
          <w:sz w:val="24"/>
          <w:u w:val="none"/>
        </w:rPr>
        <w:lastRenderedPageBreak/>
        <w:t>A tábla egyes soraira vonatkozó útmutató</w:t>
      </w:r>
      <w:bookmarkEnd w:id="25"/>
      <w:bookmarkEnd w:id="26"/>
      <w:bookmarkEnd w:id="27"/>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Az adatszolgáltató intézmény eszközei</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 9. bekezdésének a) pontja, végrehajtási útmutató (Implementation Guidance) IG6; az adatszolgáltató intézmény mérlegben nyilvántartott összes eszköze.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Látra szóló követelések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 54. bekezdésének i) pontja</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Az intézményeknek a központi bankoknál és egyéb intézményeknél levő látra szóló követeléseket kell feltüntetniük. A pénzeszközöket vagyis a forgalomban levő nemzeti és külföldi bankjegyeket és érméket, amelyeket általában fizetésre használnak, az </w:t>
            </w:r>
            <w:r>
              <w:rPr>
                <w:rStyle w:val="InstructionsTabelleberschrift"/>
                <w:rFonts w:ascii="Times New Roman" w:hAnsi="Times New Roman"/>
                <w:b w:val="0"/>
                <w:bCs w:val="0"/>
                <w:sz w:val="24"/>
                <w:u w:val="none"/>
              </w:rPr>
              <w:t>„Egyéb eszközök” sorban</w:t>
            </w:r>
            <w:r>
              <w:rPr>
                <w:rStyle w:val="InstructionsTabelleberschrift"/>
                <w:rFonts w:ascii="Times New Roman" w:hAnsi="Times New Roman"/>
                <w:b w:val="0"/>
                <w:sz w:val="24"/>
                <w:u w:val="none"/>
              </w:rPr>
              <w:t xml:space="preserve"> kell feltüntetni.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Tőkeinstrumentumok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IAS 32 1. bekezdésében meghatározott, az adatszolgáltató intézmény által tartott tőkeinstrumentumok.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Hitelviszonyt megtestesítő értékpapírok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melléklet, 1. </w:t>
            </w:r>
            <w:r>
              <w:rPr>
                <w:rStyle w:val="InstructionsTabelleberschrift"/>
                <w:rFonts w:ascii="Times New Roman" w:hAnsi="Times New Roman"/>
                <w:b w:val="0"/>
                <w:bCs w:val="0"/>
                <w:sz w:val="24"/>
                <w:u w:val="none"/>
              </w:rPr>
              <w:t>rész</w:t>
            </w:r>
            <w:r>
              <w:rPr>
                <w:rStyle w:val="InstructionsTabelleberschrift"/>
                <w:rFonts w:ascii="Times New Roman" w:hAnsi="Times New Roman"/>
                <w:b w:val="0"/>
                <w:sz w:val="24"/>
                <w:u w:val="none"/>
              </w:rPr>
              <w:t xml:space="preserve"> 31. </w:t>
            </w:r>
            <w:r>
              <w:rPr>
                <w:rStyle w:val="InstructionsTabelleberschrift"/>
                <w:rFonts w:ascii="Times New Roman" w:hAnsi="Times New Roman"/>
                <w:b w:val="0"/>
                <w:bCs w:val="0"/>
                <w:sz w:val="24"/>
                <w:u w:val="none"/>
              </w:rPr>
              <w:t>pont</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Az intézményeknek azokat az adatszolgáltató intézmény által tartott, értékpapírként kibocsátott, hitelviszonyt megtestesítő értékpapírokat kell feltüntetniük, amelyek a monetáris pénzügyi intézmények ágazati mérlegéről szóló EKB-rendeletnek megfelelően nem kölcsönök.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fedezett kötvények</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Az adatszolgáltató intézmény által tartott, hitelviszonyt megtestesítő értékpapírok, amelyek a 2009/65/EK irányelv 52. cikke (4) bekezdésének első albekezdése szerinti kötvények.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értékpapírosítások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tartott, hitelviszonyt megtestesítő értékpapírok, amelyek a CRR 4. cikkének 61. pontjában meghatározott értékpapírosítások.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ebből: központi kormányzatok által kibocsátott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Központi kormányzatok által kibocsátott, az adatszolgáltató intézmény által tartott, hitelviszonyt megtestesítő értékpapírok.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pénzügyi vállalatok által kibocsátott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tartott, hitelviszonyt megtestesítő értékpapírok, amelyeket az V. melléklet 1. része 42. c) és d) pontjában meghatározott pénzügyi vállalatok bocsátottak ki.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nem pénzügyi vállalatok által kibocsátott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tartott, hitelviszonyt megtestesítő értékpapírok, amelyeket az V. melléklet 1. része 42. e) pontjában meghatározott nem pénzügyi vállalatok bocsátottak ki.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Látra szóló követelésektől eltérő hitelek és előlegek</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Hitelek és előlegek, amelyek az adatszolgáltató intézmény által tartott, értékpapíroktól eltérő, hitelviszonyt megtestesítő instrumentumok; kivéve a látra szóló követelés.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w:t>
            </w:r>
            <w:r w:rsidR="009602B8">
              <w:rPr>
                <w:rStyle w:val="InstructionsTabelleberschrift"/>
                <w:rFonts w:ascii="Times New Roman" w:hAnsi="Times New Roman"/>
                <w:sz w:val="24"/>
              </w:rPr>
              <w:t>l: Ingatlannal fedezett hitelek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látra szóló követelésektől eltérő hitelek és előlegek, amelyek az V. melléklet 2. részének 86. pontja szerint ingatlannal fedezettek.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Egyéb eszközök</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mérlegben szereplő egyéb eszközei, a fenti sorokban említettek, továbbá a hitelviszonyt megtestesítő saját értékpapírok, valamint a tulajdoni részesedést megtestesítő saját instrumentumok kivételével. Az utóbbi eszközök az IFRS hatálya alá nem tartozó intézmények esetében</w:t>
            </w:r>
            <w:r w:rsidR="009602B8">
              <w:rPr>
                <w:rStyle w:val="InstructionsTabelleberschrift"/>
                <w:rFonts w:ascii="Times New Roman" w:hAnsi="Times New Roman"/>
                <w:b w:val="0"/>
                <w:sz w:val="24"/>
                <w:u w:val="none"/>
              </w:rPr>
              <w:t xml:space="preserve"> nem vezethetők ki a mérlegből.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Ebben az esetben a hitelviszonyt megtestesítő saját értékpapírokat az AE-COL tábla 240-es sorában kell feltüntetni, míg a saját tőkeinstrumentumokat ki kell zárni a megterhelt eszközökre vonatkozó adatszolgáltatásból.</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9" w:name="_Toc348096565"/>
      <w:bookmarkStart w:id="30" w:name="_Toc348097326"/>
      <w:bookmarkStart w:id="31" w:name="_Toc348101346"/>
      <w:bookmarkStart w:id="32" w:name="_Toc52461217"/>
      <w:r>
        <w:rPr>
          <w:rFonts w:ascii="Times New Roman" w:hAnsi="Times New Roman"/>
          <w:sz w:val="24"/>
          <w:u w:val="none"/>
        </w:rPr>
        <w:lastRenderedPageBreak/>
        <w:t>Az egyes oszlopokra vonatkozó útmutató</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343923"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m</w:t>
            </w:r>
            <w:r w:rsidR="00941FAE">
              <w:rPr>
                <w:rStyle w:val="InstructionsTabelleberschrift"/>
                <w:rFonts w:ascii="Times New Roman" w:hAnsi="Times New Roman"/>
                <w:sz w:val="24"/>
              </w:rPr>
              <w:t>egterhelt eszközök könyv szerinti értéke</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 az eszközterhelés e melléklet 11. pontjában említett fogalommeghatározása szerint megterhelt eszközeik könyv szerinti értékét kell feltüntetniük.</w:t>
            </w:r>
            <w:r>
              <w:rPr>
                <w:rStyle w:val="InstructionsTabelleberschrift"/>
                <w:rFonts w:ascii="Times New Roman" w:hAnsi="Times New Roman"/>
                <w:b w:val="0"/>
                <w:color w:val="auto"/>
                <w:sz w:val="24"/>
                <w:u w:val="none"/>
              </w:rPr>
              <w:t xml:space="preserve"> A könyv szerinti érték a mérleg eszközoldalán feltüntetett összeget jelenti.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olyan megterhelt eszközök könyv szerinti értéke, amelyeket a prudenciális konszolidáció körébe tartozó vállalkozás bocsátott ki.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olyan megterhelt eszközök könyv szerinti értéke, amelyek elismerhetők azon központi bankokkal végrehajtott ügyletekben, amelyekhez az adatszolgáltat</w:t>
            </w:r>
            <w:r w:rsidR="009602B8">
              <w:rPr>
                <w:rStyle w:val="InstructionsTabelleberschrift"/>
                <w:rFonts w:ascii="Times New Roman" w:hAnsi="Times New Roman"/>
                <w:b w:val="0"/>
                <w:sz w:val="24"/>
                <w:u w:val="none"/>
              </w:rPr>
              <w:t>ó intézménynek hozzáférése van.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 kapcsolódó összeg feltüntetésétől,</w:t>
            </w:r>
            <w:r>
              <w:rPr>
                <w:rFonts w:ascii="Times New Roman" w:hAnsi="Times New Roman"/>
                <w:sz w:val="24"/>
              </w:rPr>
              <w:t xml:space="preserve"> </w:t>
            </w:r>
            <w:r>
              <w:rPr>
                <w:rStyle w:val="instructionstabelleberschrift0"/>
                <w:rFonts w:ascii="Times New Roman" w:hAnsi="Times New Roman"/>
                <w:sz w:val="24"/>
              </w:rPr>
              <w:t>vagyis üresen hagyhatják a megfelelő mezőt</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EHQLA-ként és HQLA-ként elvileg elismerhető</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elvileg rendkívül magas likviditású és hitelminőségű eszközöknek (EHQLA) és elvileg magas likviditású és hitelminőségű eszközöknek (HQLA) tekinthető megterhelt </w:t>
            </w:r>
            <w:r w:rsidR="009602B8">
              <w:rPr>
                <w:rStyle w:val="InstructionsTabelleberschrift"/>
                <w:rFonts w:ascii="Times New Roman" w:hAnsi="Times New Roman"/>
                <w:b w:val="0"/>
                <w:sz w:val="24"/>
                <w:u w:val="none"/>
              </w:rPr>
              <w:t>eszközök könyv szerinti értéke.</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 rendelet alkalmazásában az (EU) 2015/61 felhatalmazáson alapuló rendelet 10., 11., 12. és 13. cikkében felsorolt azon eszközök minősülnek EHQLA-ként és HQLA-ként elvileg elismerhető megterhelt eszközöknek, amelyek – ha nem lennének a 680/2014/EU végrehajtási rendelet XVII. melléklete szerint megterhelt eszközök – megfelelnének az említett felhatalmazáson alapuló rendelet 7. és 8. cikkében meghatározott általáno</w:t>
            </w:r>
            <w:r w:rsidR="009602B8">
              <w:rPr>
                <w:rStyle w:val="InstructionsTabelleberschrift"/>
                <w:rFonts w:ascii="Times New Roman" w:hAnsi="Times New Roman"/>
                <w:b w:val="0"/>
                <w:sz w:val="24"/>
                <w:u w:val="none"/>
              </w:rPr>
              <w:t>s és operatív követelményeknek.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EHQLA-ként és HQLA-ként elvileg elismerhető megterhelt eszközöknek meg kell felelniük az (EU) 2015/61 felhatalmazáson alapuló rendelet 10–16. cikkében és 35–37. cikkében meghatározott, kitettségiosztály-specifikus követelményeknek is. Az EHQLA-ként és HQLA-ként elvileg elismerhető megterhelt eszközök könyv szerinti értéke az (EU) 2015/61 felhatalmazáson alapuló rendelet 10–16. cikkében meghatározott haircutok alkalmazása előtti könyv szerinti érték.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343923"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m</w:t>
            </w:r>
            <w:r w:rsidR="00941FAE">
              <w:rPr>
                <w:rStyle w:val="InstructionsTabelleberschrift"/>
                <w:rFonts w:ascii="Times New Roman" w:hAnsi="Times New Roman"/>
                <w:sz w:val="24"/>
              </w:rPr>
              <w:t>egterhelt eszközök valós értéke</w:t>
            </w:r>
          </w:p>
          <w:p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IFRS 13 és az IFRS alá nem tartozó vállalatok esetében a 2013/34/EU európai parlamenti és tanácsi irányelv</w:t>
            </w:r>
            <w:r>
              <w:rPr>
                <w:rStyle w:val="FootnoteReference"/>
                <w:rFonts w:ascii="Times New Roman" w:hAnsi="Times New Roman"/>
                <w:sz w:val="24"/>
                <w:lang w:eastAsia="de-DE"/>
              </w:rPr>
              <w:footnoteReference w:id="1"/>
            </w:r>
            <w:r>
              <w:rPr>
                <w:rStyle w:val="InstructionsTabelleberschrift"/>
                <w:rFonts w:ascii="Times New Roman" w:hAnsi="Times New Roman"/>
                <w:b w:val="0"/>
                <w:sz w:val="24"/>
                <w:u w:val="none"/>
              </w:rPr>
              <w:t xml:space="preserve"> 8. cikke.</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 az eszközterhelés e melléklet 11. pontjában említett fogalommeghatározása szerint megterhelt, hitelviszonyt megtestesítő értékpapírjaik va</w:t>
            </w:r>
            <w:r w:rsidR="009602B8">
              <w:rPr>
                <w:rStyle w:val="InstructionsTabelleberschrift"/>
                <w:rFonts w:ascii="Times New Roman" w:hAnsi="Times New Roman"/>
                <w:b w:val="0"/>
                <w:sz w:val="24"/>
                <w:u w:val="none"/>
              </w:rPr>
              <w:t>lós értékét kell feltüntetniük.</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pénzügyi instrumentum valós értéke az az ár, amelyet egy eszköz értékesítésekor kapnának, illetve egy kötelezettség átruházásakor kifizetnének egy piaci szereplők között létrejött szabályos ügylet alapján az értékelés időpontjában (lásd: IFRS 13 Valós értéken történő értékelés).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olyan megterhelt, hitelviszonyt megtestesítő értékpapírok valós értéke, amelyek elismerhetők azon központi bankokkal végrehajtott ügyletekben, amelyekhez az adatszolgáltat</w:t>
            </w:r>
            <w:r w:rsidR="009602B8">
              <w:rPr>
                <w:rStyle w:val="InstructionsTabelleberschrift"/>
                <w:rFonts w:ascii="Times New Roman" w:hAnsi="Times New Roman"/>
                <w:b w:val="0"/>
                <w:sz w:val="24"/>
                <w:u w:val="none"/>
              </w:rPr>
              <w:t>ó intézménynek hozzáférése van.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 kapcsolódó összeg feltüntetésétől,</w:t>
            </w:r>
            <w:r>
              <w:rPr>
                <w:rFonts w:ascii="Times New Roman" w:hAnsi="Times New Roman"/>
                <w:sz w:val="24"/>
              </w:rPr>
              <w:t xml:space="preserve"> </w:t>
            </w:r>
            <w:r>
              <w:rPr>
                <w:rStyle w:val="instructionstabelleberschrift0"/>
                <w:rFonts w:ascii="Times New Roman" w:hAnsi="Times New Roman"/>
                <w:sz w:val="24"/>
              </w:rPr>
              <w:t>vagyis üresen hagyhatják a megfelelő mezőt</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EHQLA-ként és HQLA-ként elvileg elismerhető</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Olyan megterhelt eszközök valós értéke, amelyek EHQLA-ként és </w:t>
            </w:r>
            <w:r w:rsidR="009602B8">
              <w:rPr>
                <w:rStyle w:val="TeksttreciTimesNewRoman105ptOdstpy0pt"/>
                <w:sz w:val="24"/>
              </w:rPr>
              <w:t>HQLA-ként elvileg elismerhetők.</w:t>
            </w:r>
          </w:p>
          <w:p w:rsidR="00941FAE" w:rsidRPr="00A67D5A" w:rsidRDefault="00941FAE" w:rsidP="005150E8">
            <w:pPr>
              <w:spacing w:before="0"/>
              <w:rPr>
                <w:rStyle w:val="InstructionsTabelleberschrift"/>
                <w:b w:val="0"/>
                <w:bCs w:val="0"/>
                <w:u w:val="none"/>
              </w:rPr>
            </w:pPr>
            <w:r>
              <w:rPr>
                <w:rStyle w:val="TeksttreciTimesNewRoman105ptOdstpy0pt"/>
                <w:sz w:val="24"/>
              </w:rPr>
              <w:t>E rendelet alkalmazásában az (EU) 2015/61 felhatalmazáson alapuló rendelet 10., 11., 12. és 13. cikkében felsorolt azon eszközök minősülnek EHQLA-ként és HQLA-ként elvileg elismerhető megterhelt eszközöknek, amelyek – ha nem lennének a 680/2014/EU végrehajtási rendelet XVII. melléklete szerint megterhelt eszközök – megfelelnének az említett felhatalmazáson alapuló rendelet 7. és 8. cikkében meghatározott általános és operatív követelményeknek. Az EHQLA-ként és HQLA-ként elvileg elismerhető megterhelt eszközöknek meg kell felelniük az (EU) 2015/61 felhatalmazáson alapuló rendelet 10–16. cikkében és 35–37. cikkében meghatározott, kitettségiosztály-specifikus követelményeknek is. Az EHQLA-ként és HQLA-ként elvileg elismerhető megterhelt eszközök valós értéke az (EU) 2015/61 felhatalmazáson alapuló rendelet 10–16. cikkében meghatározott haircutok alkalmazása előtti valós érték.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terhelt eszközök könyv szerinti értéke</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intézményeknek az eszközterhelés e melléklet 11. pontjában említett fogalommeghatározása szerint meg nem terhelt eszközeik könyv szerinti értékét </w:t>
            </w:r>
            <w:r>
              <w:rPr>
                <w:rStyle w:val="InstructionsTabelleberschrift"/>
                <w:rFonts w:ascii="Times New Roman" w:hAnsi="Times New Roman"/>
                <w:b w:val="0"/>
                <w:sz w:val="24"/>
                <w:u w:val="none"/>
              </w:rPr>
              <w:lastRenderedPageBreak/>
              <w:t>kell feltüntetniük.</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A könyv szerinti érték a mérleg eszközoldalán feltüntetett összeg.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olyan meg nem terhelt eszközök könyv szerinti értéke, amelyeket a prudenciális konszolidáció körébe tartozó vállalkozás bocsátott ki.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olyan meg nem terhelt eszközök könyv szerinti értéke, amelyek elismerhetők azon központi bankokkal végrehajtott ügyletekben, amelyekhez az adatszolgáltat</w:t>
            </w:r>
            <w:r w:rsidR="003D6C84">
              <w:rPr>
                <w:rStyle w:val="InstructionsTabelleberschrift"/>
                <w:rFonts w:ascii="Times New Roman" w:hAnsi="Times New Roman"/>
                <w:b w:val="0"/>
                <w:sz w:val="24"/>
                <w:u w:val="none"/>
              </w:rPr>
              <w:t>ó intézménynek hozzáférése van.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 kapcsolódó összeg feltüntetésétől,</w:t>
            </w:r>
            <w:r>
              <w:rPr>
                <w:rFonts w:ascii="Times New Roman" w:hAnsi="Times New Roman"/>
                <w:sz w:val="24"/>
              </w:rPr>
              <w:t xml:space="preserve"> </w:t>
            </w:r>
            <w:r>
              <w:rPr>
                <w:rStyle w:val="instructionstabelleberschrift0"/>
                <w:rFonts w:ascii="Times New Roman" w:hAnsi="Times New Roman"/>
                <w:sz w:val="24"/>
              </w:rPr>
              <w:t>vagyis üresen hagyhatják a megfelelő mezőt</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 és HQLA</w:t>
            </w:r>
          </w:p>
          <w:p w:rsidR="00941FAE" w:rsidRDefault="00941FAE" w:rsidP="005150E8">
            <w:pPr>
              <w:spacing w:before="0"/>
              <w:rPr>
                <w:rStyle w:val="TeksttreciTimesNewRoman105ptOdstpy0pt"/>
                <w:rFonts w:eastAsia="Calibri"/>
                <w:sz w:val="24"/>
              </w:rPr>
            </w:pPr>
            <w:r>
              <w:rPr>
                <w:rStyle w:val="TeksttreciTimesNewRoman105ptOdstpy0pt"/>
                <w:sz w:val="24"/>
              </w:rPr>
              <w:t>Az (EU) 2015/61 felhatalmazáson alapuló rendelet 10., 11., 12. és 13. cikkében felsorolt meg nem terhelt azon EHQLA és HQLA könyv szerinti értéke, amelyek megfelelnek az említett felhatalmazáson alapuló rendelet 7. és 8. cikkében meghatározott általános és operatív követelményeknek, továbbá az említett felhatalmazáson alapuló rendelet 10–16. cikkében és 35–37. cikkében meghatározott, kitettségiosztály-specifikus követelményeknek.</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Az EHQLA és HQLA könyv szerinti értéke az (EU) 2015/61 felhatalmazáson alapuló rendelet 10–16. cikkében meghatározott haircutok alkalmazása előtti könyv szerinti érték.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terhelt eszközök valós értéke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IFRS 13 és az IFRS alá nem tartozó intézmények esetében a 2013/34/EU irányelv 8. cikke.</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 az eszközterhelés e melléklet 11. pontjában említett fogalommeghatározása szerint meg nem terhelt, hitelviszonyt megtestesítő értékpapírjaik valós értékét kell feltüntetniük.</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pénzügyi instrumentum valós értéke az az ár, amelyet egy eszköz értékesítésekor kapnának, illetve egy kötelezettség átruházásakor kifizetnének egy piaci szereplők között létrejött szabályos ügylet alapján az értékelés időpontjában (lásd: IFRS 13 Valós értéken történő értékelés).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olyan meg nem terhelt, hitelviszonyt megtestesítő értékpapírok valós értéke, amelyek elismerhetők azon központi bankokkal végrehajtott ügyletekben, amelyekhez az adatszolgáltat</w:t>
            </w:r>
            <w:r w:rsidR="003D6C84">
              <w:rPr>
                <w:rStyle w:val="InstructionsTabelleberschrift"/>
                <w:rFonts w:ascii="Times New Roman" w:hAnsi="Times New Roman"/>
                <w:b w:val="0"/>
                <w:sz w:val="24"/>
                <w:u w:val="none"/>
              </w:rPr>
              <w:t>ó intézménynek hozzáférése van.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Azok az adatszolgáltató intézmények, amelyek egy eszköz esetében nem tudják </w:t>
            </w:r>
            <w:r>
              <w:rPr>
                <w:rStyle w:val="InstructionsTabelleberschrift"/>
                <w:rFonts w:ascii="Times New Roman" w:hAnsi="Times New Roman"/>
                <w:b w:val="0"/>
                <w:sz w:val="24"/>
                <w:u w:val="none"/>
              </w:rPr>
              <w:lastRenderedPageBreak/>
              <w:t>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 kapcsolódó összeg feltüntetésétől,</w:t>
            </w:r>
            <w:r>
              <w:rPr>
                <w:rFonts w:ascii="Times New Roman" w:hAnsi="Times New Roman"/>
                <w:sz w:val="24"/>
              </w:rPr>
              <w:t xml:space="preserve"> </w:t>
            </w:r>
            <w:r>
              <w:rPr>
                <w:rStyle w:val="instructionstabelleberschrift0"/>
                <w:rFonts w:ascii="Times New Roman" w:hAnsi="Times New Roman"/>
                <w:sz w:val="24"/>
              </w:rPr>
              <w:t>vagyis üresen hagyhatják a megfelelő mezőt</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 és HQLA</w:t>
            </w:r>
          </w:p>
          <w:p w:rsidR="00941FAE" w:rsidRDefault="00941FAE" w:rsidP="005150E8">
            <w:pPr>
              <w:spacing w:before="0"/>
              <w:rPr>
                <w:rStyle w:val="TeksttreciTimesNewRoman105ptOdstpy0pt"/>
                <w:rFonts w:eastAsia="Calibri"/>
                <w:sz w:val="24"/>
              </w:rPr>
            </w:pPr>
            <w:r>
              <w:rPr>
                <w:rStyle w:val="TeksttreciTimesNewRoman105ptOdstpy0pt"/>
                <w:sz w:val="24"/>
              </w:rPr>
              <w:t>Az (EU) 2015/61 felhatalmazáson alapuló rendelet 10., 11., 12. és 13. cikkében felsorolt meg nem terhelt azon EHQLA és HQLA valós értéke, amelyek megfelelnek az említett felhatalmazáson alapuló rendelet 7. és 8. cikkében meghatározott általános és operatív követelményeknek, továbbá az említett felhatalmazáson alapuló rendelet 10–16. cikkében és 35–37. cikkében meghatározott, kitettségiosztály-specifikus követelményeknek.</w:t>
            </w:r>
          </w:p>
          <w:p w:rsidR="00941FAE" w:rsidRPr="00A67D5A" w:rsidRDefault="00941FAE" w:rsidP="00317AC4">
            <w:pPr>
              <w:spacing w:before="0"/>
              <w:rPr>
                <w:rStyle w:val="InstructionsTabelleberschrift"/>
                <w:rFonts w:ascii="Times New Roman" w:hAnsi="Times New Roman"/>
                <w:sz w:val="24"/>
              </w:rPr>
            </w:pPr>
            <w:r>
              <w:rPr>
                <w:rStyle w:val="TeksttreciTimesNewRoman105ptOdstpy0pt"/>
                <w:sz w:val="24"/>
              </w:rPr>
              <w:t>Az EHQLA és HQLA valós értéke az (EU) 2015/61 felhatalmazáson alapuló rendelet 10–16. cikkében meghatározott haircutok alkalmazása előtti valós érték.</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52461218"/>
      <w:r>
        <w:rPr>
          <w:rFonts w:ascii="Times New Roman" w:hAnsi="Times New Roman"/>
          <w:sz w:val="24"/>
          <w:u w:val="none"/>
        </w:rPr>
        <w:t>Tábla: AE-COL. Az adatszolgáltató intézmény által kapott biztosíték</w:t>
      </w:r>
      <w:bookmarkEnd w:id="33"/>
      <w:bookmarkEnd w:id="3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5" w:name="_Toc52461219"/>
      <w:bookmarkStart w:id="36" w:name="_Toc348096567"/>
      <w:bookmarkStart w:id="37" w:name="_Toc348097328"/>
      <w:r>
        <w:rPr>
          <w:rFonts w:ascii="Times New Roman" w:hAnsi="Times New Roman"/>
          <w:sz w:val="24"/>
          <w:u w:val="none"/>
        </w:rPr>
        <w:t>Általános megjegyzések</w:t>
      </w:r>
      <w:bookmarkEnd w:id="35"/>
    </w:p>
    <w:p w:rsidR="00941FAE" w:rsidRPr="000F059F" w:rsidRDefault="00941FAE" w:rsidP="00941FAE">
      <w:pPr>
        <w:pStyle w:val="InstructionsText2"/>
        <w:shd w:val="clear" w:color="auto" w:fill="FFFFFF"/>
        <w:spacing w:after="120"/>
        <w:rPr>
          <w:sz w:val="24"/>
        </w:rPr>
      </w:pPr>
      <w:r>
        <w:rPr>
          <w:sz w:val="24"/>
        </w:rPr>
        <w:t>Az adatszolgáltató intézmény által kapott biztosítékok, valamint a saját fedezett kötvényektől vagy az értékpapírosításoktól eltérő kibocsátott, hitelviszonyt megtestesítő saját értékpapírok esetében a „meg nem terhelt” eszközök kategóriája két részből áll: „megterhelhető” vagy potenciálisan elismerhető megterheltnek, valamint „meg nem terhelhető”.</w:t>
      </w:r>
    </w:p>
    <w:p w:rsidR="00941FAE" w:rsidRPr="000F059F" w:rsidRDefault="00941FAE" w:rsidP="00941FAE">
      <w:pPr>
        <w:pStyle w:val="InstructionsText2"/>
        <w:shd w:val="clear" w:color="auto" w:fill="FFFFFF"/>
        <w:spacing w:after="120"/>
        <w:rPr>
          <w:sz w:val="24"/>
        </w:rPr>
      </w:pPr>
      <w:r>
        <w:rPr>
          <w:sz w:val="24"/>
        </w:rPr>
        <w:t>Egy eszköz akkor „meg nem terhelhető”, ha azt az adatszolgáltató intézmény biztosítékként kapta és nem megengedett számára a biztosíték értékesítése vagy újbóli elzálogosítása, kivéve a biztosíték tulajdonosának nemteljesítése esetét. A saját fedezett kötvényektől vagy az értékpapírosításoktól eltérő saját kibocsátású, hitelviszonyt megtestesítő értékpapírok meg nem terhelhetők, ha a kibocsátással összefüggésben van korlátozás a tartott értékpapírok értékesítésére vagy újbóli elzálogosítására vonatkozóan.</w:t>
      </w:r>
    </w:p>
    <w:p w:rsidR="00941FAE" w:rsidRPr="005F7E60" w:rsidRDefault="00941FAE" w:rsidP="00941FAE">
      <w:pPr>
        <w:pStyle w:val="InstructionsText2"/>
        <w:shd w:val="clear" w:color="auto" w:fill="FFFFFF"/>
        <w:spacing w:after="120"/>
        <w:rPr>
          <w:sz w:val="24"/>
        </w:rPr>
      </w:pPr>
      <w:r>
        <w:rPr>
          <w:sz w:val="24"/>
        </w:rPr>
        <w:t>A megterhelt eszközökre vonatkozó adatszolgáltatás céljából a díjért, készpénzbiztosíték vagy nem készpénzbiztosíték nyújtása nélkül kölcsönbe vett értékpapírokat kapott biztosítékként kell feltüntetni.</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52461220"/>
      <w:r>
        <w:rPr>
          <w:rFonts w:ascii="Times New Roman" w:hAnsi="Times New Roman"/>
          <w:sz w:val="24"/>
          <w:u w:val="none"/>
        </w:rPr>
        <w:t>A tábla egyes soraira vonatkozó útmutató</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Az adatszolgáltató intézmény által kapott biztosíték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biztosíték valamennyi osztálya.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Látra szóló követelések</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látra szóló követelést tartalmaz.</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020-as sorára vonatkozó jogi hivatkozásokat és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Tőkeinstrumentumok</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tőkeinstrumentumot tartalmaz.</w:t>
            </w:r>
          </w:p>
          <w:p w:rsidR="00941FAE" w:rsidRPr="009030E5" w:rsidRDefault="00941FAE" w:rsidP="005150E8">
            <w:pPr>
              <w:spacing w:before="0"/>
              <w:rPr>
                <w:rStyle w:val="InstructionsTabelleberschrift"/>
                <w:rFonts w:ascii="Times New Roman" w:hAnsi="Times New Roman"/>
                <w:sz w:val="24"/>
              </w:rPr>
            </w:pPr>
            <w:r w:rsidRPr="009030E5">
              <w:rPr>
                <w:rStyle w:val="InstructionsTabelleberschrift"/>
                <w:rFonts w:ascii="Times New Roman" w:hAnsi="Times New Roman"/>
                <w:b w:val="0"/>
                <w:sz w:val="24"/>
                <w:u w:val="none"/>
              </w:rPr>
              <w:t>Lásd az AE-ASS tábla 030-as sorára vonatkozó jogi hivatkozásokat és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Hitelviszonyt megtestesítő értékpapírok</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hitelviszonyt megtestesítő értékpapírt tartalmaz.</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040-es sorára vonatkozó jogi hivatkozásokat és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fedezett kötvények</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fedezett kötvényeket tartalmaz.</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050-es sorára vonatkozó jogi hivatkozásokat és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értékpapírosítások</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értékpapírosításokat tartalmaz.</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060-as sorára vonatkozó jogi hivatkozásokat és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kormányzatok által kibocsátott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központi kormányzat által kibocsátott, hitelviszonyt megtestesítő értékpapírt tartalmaz.</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070-es sorára vonatkozó jogi hivatkozásokat és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pénzügyi vállalatok által kibocsátott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pénzügyi vállalat által kibocsátott, hitelviszonyt megtestesítő értékpapírt tartalmaz.</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080-as sorára vonatkozó jogi hivatkozásokat és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nem pénzügyi vállalatok által kibocsátott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nem pénzügyi vállalat által kibocsátott, hitelviszonyt megtestesítő értékpapírt tartalmaz.</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090-es sorára vonatkozó jogi hivatkozásokat és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Látra szóló követelésektől eltérő hitelek és előlegek</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látra szóló követeléseken kívüli hiteleket és előlegeket tartalmaz.</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100-as sorára vonatkozó jogi hivatkozásokat és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Egyéb kapott biztosítékok</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egyéb eszközt tartalmaz.</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120-as sorára vonatkozó jogi hivatkozásokat és útmutatót.</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Saját fedezett kötvénytől vagy értékpapírosítástól eltérő, kibocsátott, </w:t>
            </w:r>
            <w:r>
              <w:rPr>
                <w:rStyle w:val="InstructionsTabelleberschrift"/>
                <w:rFonts w:ascii="Times New Roman" w:hAnsi="Times New Roman"/>
                <w:sz w:val="24"/>
              </w:rPr>
              <w:lastRenderedPageBreak/>
              <w:t>hitelviszonyt megtestesítő saját értékpapírok</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kibocsátott és megtartott, a saját kibocsátású fedezett kötvényektől vagy értékpapírosításoktól eltérő, hitelviszonyt m</w:t>
            </w:r>
            <w:r w:rsidR="003D6C84">
              <w:rPr>
                <w:rStyle w:val="InstructionsTabelleberschrift"/>
                <w:rFonts w:ascii="Times New Roman" w:hAnsi="Times New Roman"/>
                <w:b w:val="0"/>
                <w:sz w:val="24"/>
                <w:u w:val="none"/>
              </w:rPr>
              <w:t>egtestesítő saját értékpapírok.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Mivel a kibocsátott és megtartott vagy visszavásárolt hitelviszonyt megtestesítő saját értékpapírok az IAS 39 42. bekezdésének megfelelően csökkentik a kapcsolódó pénzügyi kötelezettségeket, ezek az értékpapírok nem tartoznak az adatszolgáltató intézmény eszközei közé (az AE-ASS tábla 010-es sora). Azokat a saját, hitelviszonyt megtestesítő értékpapírokat, amelyek az IFRS alá nem tartozó intézmények esetében nem vezethetők ki a mérlegből, fel kell tüntetni ebben a sorban.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saját kibocsátású fedezett kötvények vagy az értékpapírosítások nem kerülnek be ebbe a kategóriába, mivel a kétszeri beszámítás elkerülése érdekében ezekben az esetekben más szabályok alkalmazandók:</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a hitelviszonyt megtestesítő saját értékpapírokat elzálogosítják, az említett megtartott és elzálogosított értékpapírokat támogató fedezeti halmaz (pool), illetve mögöttes eszközök összegét az AE-ASS táblában megterhelt eszközként kell feltüntetni;</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amennyiben a saját, hitelviszonyt megtestesítő értékpapírokat még nem zálogosították el, az említett megtartott és még nem elzálogosított értékpapírokat támogató fedezeti halmaz (pool), illetve mögöttes eszközök összegét az AE-ASS táblában meg nem terhelt eszközként kell feltüntetni. A még nem elzálogosított saját, hitelviszonyt megtestesítő értékpapírok ezen második típusára vonatkozó további információt (mögöttes eszközök, a megterhelhető elemek valós értéke és elismerhetősége és a meg nem terhelhető elemek névértéke) az AE-NPL táblában kell feltüntetni.</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Még nem elzálogosított saját kibocsátású fedezett kötvények és értékpapírosítások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Saját kibocsátású fedezett kötvények és értékpapírosítások, amelyeket az adatszolgáltató intézmény megtartott és még meg nem terheltek.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kétszeri beszámítás elkerülése érdekében a következő szabályok alkalmazandók az adatszolgáltató intézmény által kibocsátott és megtartott saját fedezett kötvényekkel és értékpapírosításokkal kapcsolatban:</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amennyiben az említett értékpapírokat elzálogosítják, az azokat támogató fedezeti halmaz (pool), illetve mögöttes eszközök összegét az AE-ASS táblában megterhelt eszközként kell feltüntetni. A saját fedezett kötvények és értékpapírosítások elzálogosítása esetén a finanszírozás forrása nem a fedezett kötvények vagy az értékpapírosítás eredeti kibocsátása, hanem az az új ügylet, amelynek keretében az értékpapírokat elzálogosítják (központi banki finanszírozás vagy más típusú fedezett finanszírozás).</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 amennyiben az említett értékpapírokat még nem zálogosították el, az említett értékpapírokat támogató fedezeti halmaz (pool), illetve mögöttes eszközök összegét az AE-ASS táblában (F32.01) meg nem terhelt </w:t>
            </w:r>
            <w:r>
              <w:rPr>
                <w:rStyle w:val="InstructionsTabelleberschrift"/>
                <w:rFonts w:ascii="Times New Roman" w:hAnsi="Times New Roman"/>
                <w:b w:val="0"/>
                <w:sz w:val="24"/>
                <w:u w:val="none"/>
              </w:rPr>
              <w:lastRenderedPageBreak/>
              <w:t>eszközként kell feltüntetni.</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ESZKÖZÖK, KAPOTT BIZTOSÍTÉKOK ÉS KIBOCSÁTOTT, HITELVISZONYT MEGTESTESÍTŐ SAJÁT ÉRTÉKPAPÍROK ÖSSZESEN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mérlegben nyilvántartott összes eszköze, az adatszolgáltató intézmény által kapott biztosíték valamennyi típusa és az adatszolgáltató intézmény által kibocsátott és megtartott, a saját kibocsátású fedezett kötvényektől vagy értékpapírosításoktól eltérő kibocsátott, hitelviszonyt megtestesítő saját értékpapírok.</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52461221"/>
      <w:r>
        <w:rPr>
          <w:rFonts w:ascii="Times New Roman" w:hAnsi="Times New Roman"/>
          <w:sz w:val="24"/>
          <w:u w:val="none"/>
        </w:rPr>
        <w:t>Az egyes oszlopokra vonatkozó útmutató</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megterhelt biztosíték vagy kibocsátott, hitelviszonyt megtestesítő saját értékpapír valós értéke</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 az eszközterhelés e melléklet 11. pontjában említett fogalommeghatározása szerint megterhelt kapott biztosíték vagy általuk tartott/megtartott hitelviszonyt megtestesítő saját értékpapírok valós értékét kell feltüntetniük.</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pénzügyi instrumentum valós értéke az az ár, amelyet egy eszköz értékesítésekor kapnának, illetve egy kötelezettség átruházásakor kifizetnének egy piaci szereplők között létrejött szabályos ügylet alapján az értékelés időpontjában (lásd: IFRS 13 Valós értéken történő értékelés).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illetve a kibocsátott általa tartott vagy megtartott, saját, hitelviszonyt megtestesítő olyan értékpapírok valós értéke, amelyeket a prudenciális konszolidáció körébe tartozó vállalkozás bocsátott ki.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illetve a kibocsátott általa tartott vagy megtartott, saját, hitelviszonyt megtestesítő olyan értékpapírok valós értéke, amelyek elismerhetők azon központi bankokkal végrehajtott ügyletekben, amelyekhez az adatszolgáltató intézménynek hozzáférése van.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 kapcsolódó összeg feltüntetésétől,</w:t>
            </w:r>
            <w:r>
              <w:rPr>
                <w:rFonts w:ascii="Times New Roman" w:hAnsi="Times New Roman"/>
                <w:sz w:val="24"/>
              </w:rPr>
              <w:t xml:space="preserve"> </w:t>
            </w:r>
            <w:r>
              <w:rPr>
                <w:rStyle w:val="instructionstabelleberschrift0"/>
                <w:rFonts w:ascii="Times New Roman" w:hAnsi="Times New Roman"/>
                <w:sz w:val="24"/>
              </w:rPr>
              <w:t>vagyis üresen hagyhatják a megfelelő mezőt</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EHQLA-ként és HQLA-ként elvileg elismerhető</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Az EHQLA-ként és HQLA-ként elvileg elismerhető, kapott, megterhelt biztosíték, ideértve az értékpapír-kölcsönvételi ügyletekben kapott </w:t>
            </w:r>
            <w:r>
              <w:rPr>
                <w:rStyle w:val="TeksttreciTimesNewRoman105ptOdstpy0pt"/>
                <w:sz w:val="24"/>
              </w:rPr>
              <w:lastRenderedPageBreak/>
              <w:t>biztosítékokat is, vagy az EHQLA-ként és HQLA-ként elvileg elismerhető, az intézmény által tartott/megtartott, kibocsátott, megterhelt hitelviszonyt megtestesítő saját értékpapírok valós értéke.</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E rendelet alkalmazásában az (EU) 2015/61 felhatalmazáson alapuló rendelet 10., 11., 12. és 13. cikkében felsorolt azon kapott biztosítékok vagy az ott felsorolt, az intézmény által tartott/megtartott azon kibocsátott, hitelviszonyt megtestesítő saját értékpapírok minősülnek EHQLA-ként és HQLA-ként elvileg elismerhető megterhelt eszközöknek, amelyek – ha nem lennének a 680/2014/EU végrehajtási rendelet XVII. melléklete szerint megterhelt eszközök – megfelelnének az említett felhatalmazáson alapuló rendelet 7. és 8. cikkében meghatározott általános és operatív követelményeknek. Az EHQLA-ként és HQLA-ként elvileg elismerhető megterhelt eszközöknek meg kell felelniük az (EU) 2015/61 felhatalmazáson alapuló rendelet 10–16. cikkében és 35–37. cikkében meghatározott, kitettségiosztály-specifikus követelményeknek is. Az EHQLA-ként és HQLA-ként elvileg elismerhető megterhelt eszközök valós értéke az (EU) 2015/61 felhatalmazáson alapuló rendelet 10–16. cikkében meghatározott haircutok alkalmazása előtti valós érték.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Megterhelhető, kapott biztosíték vagy kibocsátott, hitelviszonyt megtestesítő saját értékpapír valós értéke</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meg nem terhelt, de megterhelhető, mivel az intézmény számára megengedett a biztosíték értékesítése vagy újbóli elzálogosítása a biztosíték tulajdonosának nemteljesítése hiányában. Tartalmazza a saját fedezett kötvényektől vagy értékpapírosításoktól eltérő kibocsátott, hitelviszonyt megtestesítő saját értékpapírok valós értékét is, mely értékpapírok meg nem terheltek, de megterhelhetők.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a csoporthoz tartozó más vállalkozások által kibocsátott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kapott biztosítékok vagy a saját fedezett kötvényektől vagy értékpapírosításoktól eltérő, megterhelhető, kibocsátott, hitelviszonyt megtestesítő saját értékpapírok valós értéke, amelyeket a prudenciális konszolidáció körébe tartozó vállalkozás bocsátott ki.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központi bank által elismert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megterhelhető biztosíték vagy saját fedezett kötvénytől vagy értékpapírosítástól eltérő, kibocsátott, hitelviszonyt megtestesítő saját értékpapír valós értéke, amely elismerhető azon központi bankokkal végrehajtott ügyletekben, amelyekhez az adatszolgáltat</w:t>
            </w:r>
            <w:r w:rsidR="003D6C84">
              <w:rPr>
                <w:rStyle w:val="InstructionsTabelleberschrift"/>
                <w:rFonts w:ascii="Times New Roman" w:hAnsi="Times New Roman"/>
                <w:b w:val="0"/>
                <w:sz w:val="24"/>
                <w:u w:val="none"/>
              </w:rPr>
              <w:t>ó intézménynek hozzáférése van.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 kapcsolódó összeg feltüntetésétől,</w:t>
            </w:r>
            <w:r>
              <w:rPr>
                <w:rFonts w:ascii="Times New Roman" w:hAnsi="Times New Roman"/>
                <w:sz w:val="24"/>
              </w:rPr>
              <w:t xml:space="preserve"> </w:t>
            </w:r>
            <w:r>
              <w:rPr>
                <w:rStyle w:val="instructionstabelleberschrift0"/>
                <w:rFonts w:ascii="Times New Roman" w:hAnsi="Times New Roman"/>
                <w:sz w:val="24"/>
              </w:rPr>
              <w:t>vagyis üresen hagyhatják a megfelelő mezőt</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 és HQLA</w:t>
            </w:r>
          </w:p>
          <w:p w:rsidR="00941FAE" w:rsidRDefault="00941FAE" w:rsidP="005150E8">
            <w:pPr>
              <w:spacing w:before="0"/>
              <w:rPr>
                <w:rStyle w:val="TeksttreciTimesNewRoman105ptOdstpy0pt"/>
                <w:rFonts w:eastAsia="Calibri"/>
                <w:sz w:val="24"/>
              </w:rPr>
            </w:pPr>
            <w:r>
              <w:rPr>
                <w:rStyle w:val="TeksttreciTimesNewRoman105ptOdstpy0pt"/>
                <w:sz w:val="24"/>
              </w:rPr>
              <w:lastRenderedPageBreak/>
              <w:t>Az intézmény által kapott, meg nem terhelt, de megterhelhető azon biztosíték és az intézmény által kibocsátott és tartott/megtartott, a saját kibocsátású fedezett kötvényektől vagy értékpapírosítási pozícióktól eltérő meg nem terhelt, de megterhelhető, azon hitelviszonyt megtestesítő saját értékpapírok valós értéke, amelyek az (EU) 2015/61 felhatalmazáson alapuló rendelet 10., 11., 12. és 13. cikkében felsorolt EHQLA-nak és HQLA-nak minősülnek, és amelyek megfelelnek az említett felhatalmazáson alapuló rendelet 7. és 8. cikkében meghatározott általános és operatív követelményeknek, továbbá az említett felhatalmazáson alapuló rendelet 10–16. cikkében és 35–37. cikkében meghatározott, kitettségiosztá</w:t>
            </w:r>
            <w:r w:rsidR="003D6C84">
              <w:rPr>
                <w:rStyle w:val="TeksttreciTimesNewRoman105ptOdstpy0pt"/>
                <w:sz w:val="24"/>
              </w:rPr>
              <w:t>ly-specifikus követelményeknek.</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Az EHQLA és HQLA valós értéke az (EU) 2015/61 felhatalmazáson alapuló rendelet 10–16. cikkében meghatározott haircutok alkalmazása előtti valós érték.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terhelhető kapott biztosíték vagy kibocsátott, hitelviszonyt megtestesítő saját értékpapír névértéke</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meg nem terhelt és meg nem terhelhe</w:t>
            </w:r>
            <w:r w:rsidR="003D6C84">
              <w:rPr>
                <w:rStyle w:val="InstructionsTabelleberschrift"/>
                <w:rFonts w:ascii="Times New Roman" w:hAnsi="Times New Roman"/>
                <w:b w:val="0"/>
                <w:sz w:val="24"/>
                <w:u w:val="none"/>
              </w:rPr>
              <w:t>tő kapott biztosíték névértéke.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Tartalmazza a saját fedezett kötvényektől vagy értékpapírosításoktól eltérő azon kibocsátott, hitelviszonyt megtestesítő, az adatszolgáltató intézmény által megtartott saját értékpapírok névértékét is, amelyek meg nem terheltek, és nem terhelhetők meg.</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4" w:name="_Toc52461222"/>
      <w:r>
        <w:rPr>
          <w:rFonts w:ascii="Times New Roman" w:hAnsi="Times New Roman"/>
          <w:sz w:val="24"/>
          <w:u w:val="none"/>
        </w:rPr>
        <w:t>Tábla: AE-NPL tábla. Még nem elzálogosított saját kibocsátású fedezett kötvények és értékpapírosítások</w:t>
      </w:r>
      <w:bookmarkEnd w:id="4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52461223"/>
      <w:r>
        <w:rPr>
          <w:rFonts w:ascii="Times New Roman" w:hAnsi="Times New Roman"/>
          <w:sz w:val="24"/>
          <w:u w:val="none"/>
        </w:rPr>
        <w:t>Általános megjegyzések</w:t>
      </w:r>
      <w:bookmarkEnd w:id="45"/>
    </w:p>
    <w:p w:rsidR="00941FAE" w:rsidRPr="000F059F" w:rsidRDefault="00941FAE" w:rsidP="00941FAE">
      <w:pPr>
        <w:pStyle w:val="InstructionsText2"/>
        <w:shd w:val="clear" w:color="auto" w:fill="FFFFFF"/>
        <w:spacing w:after="120"/>
        <w:rPr>
          <w:sz w:val="24"/>
        </w:rPr>
      </w:pPr>
      <w:r>
        <w:rPr>
          <w:sz w:val="24"/>
        </w:rPr>
        <w:t>A kétszeri beszámítás elkerülése érdekében a következő szabályok alkalmazandók az adatszolgáltató intézmény által kibocsátott és megtartott saját fedezett kötvényekkel és értékpapírosításokkal kapcsolatban:</w:t>
      </w:r>
    </w:p>
    <w:p w:rsidR="00941FAE" w:rsidRPr="000F059F" w:rsidRDefault="00941FAE" w:rsidP="00941FAE">
      <w:pPr>
        <w:pStyle w:val="InstructionsText2"/>
        <w:numPr>
          <w:ilvl w:val="0"/>
          <w:numId w:val="5"/>
        </w:numPr>
        <w:shd w:val="clear" w:color="auto" w:fill="FFFFFF"/>
        <w:spacing w:after="120"/>
        <w:rPr>
          <w:sz w:val="24"/>
        </w:rPr>
      </w:pPr>
      <w:r>
        <w:rPr>
          <w:sz w:val="24"/>
        </w:rPr>
        <w:t>amennyiben az említett értékpapírokat elzálogosítják, az azokat támogató fedezeti halmaz (pool), illetve mögöttes eszközök összegét az AE-ASS táblában megterhelt eszközként kell feltüntetni. A saját fedezett kötvények és értékpapírosítások elzálogosítása esetén a finanszírozás forrása nem a fedezett kötvények vagy az értékpapírosítás eredeti kibocsátása, hanem az az új ügylet, amelynek keretében az értékpapírokat elzálogosítják (központi banki finanszírozás vagy más típusú fedezett finanszírozás);</w:t>
      </w:r>
    </w:p>
    <w:p w:rsidR="00941FAE" w:rsidRPr="000F059F" w:rsidRDefault="00941FAE" w:rsidP="00941FAE">
      <w:pPr>
        <w:pStyle w:val="InstructionsText2"/>
        <w:numPr>
          <w:ilvl w:val="0"/>
          <w:numId w:val="5"/>
        </w:numPr>
        <w:shd w:val="clear" w:color="auto" w:fill="FFFFFF"/>
        <w:spacing w:after="120"/>
        <w:rPr>
          <w:sz w:val="24"/>
        </w:rPr>
      </w:pPr>
      <w:r>
        <w:rPr>
          <w:sz w:val="24"/>
        </w:rPr>
        <w:t>amennyiben az említett értékpapírokat még nem zálogosították el, az említett értékpapírokat támogató fedezeti halmaz (pool), illetve mögöttes eszközök összegét az AE-ASS táblában meg nem terhe</w:t>
      </w:r>
      <w:r w:rsidR="003D6C84">
        <w:rPr>
          <w:sz w:val="24"/>
        </w:rPr>
        <w:t>lt eszközként kell feltüntetni.</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52461224"/>
      <w:r>
        <w:rPr>
          <w:rFonts w:ascii="Times New Roman" w:hAnsi="Times New Roman"/>
          <w:sz w:val="24"/>
          <w:u w:val="none"/>
        </w:rPr>
        <w:t>A tábla egyes soraira vonatkozó útmutató</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Még nem elzálogosított saját kibocsátású fedezett kötvények és értékpapírosítások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Saját kibocsátású fedezett kötvények és értékpapírosítások, amelyeket az adatszolgáltató intézmény megtartott és még meg nem terheltek.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megtartott, fedezett kötvények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Kibocsátott saját fedezett kötvények, amelyeket az adatszolgáltató intézmény megtartott és amelyek meg nem terheltek.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megtartott értékpapírosítások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Kibocsátott saját értékpapírosítások, amelyeket az adatszolgáltató intézmény megtartott, és amelyek meg nem terheltek.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Előre sorolt ügyletrészsorozat</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Kibocsátott saját értékpapírosítások előre sorolt ügyletrészsorozatai, amelyeket az adatszolgáltató intézmény megtartott és amelyek meg nem terheltek.</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Lásd a CRR 4. cikkének 67. pontját.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Köztes ügyletrészsorozat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Kibocsátott saját értékpapírosítások köztes ügyletrészsorozatai, amelyeket az adatszolgáltató intézmény megtartot</w:t>
            </w:r>
            <w:r w:rsidR="003D6C84">
              <w:rPr>
                <w:rStyle w:val="InstructionsTabelleberschrift"/>
                <w:rFonts w:ascii="Times New Roman" w:hAnsi="Times New Roman"/>
                <w:b w:val="0"/>
                <w:sz w:val="24"/>
                <w:u w:val="none"/>
              </w:rPr>
              <w:t>t és amelyek meg nem terheltek.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Köztes ügyletrészsorozatnak kell tekinteni az összes nem előre sorolt ügyletrészsorozatot, vagyis azokat, amelyek az utolsóként viselik a veszteséget vagy első veszteségviselő ügyletrészsorozatok.</w:t>
            </w:r>
            <w:r>
              <w:rPr>
                <w:rStyle w:val="InstructionsTabelleberschrift"/>
                <w:rFonts w:ascii="Times New Roman" w:hAnsi="Times New Roman"/>
                <w:b w:val="0"/>
                <w:bCs w:val="0"/>
                <w:sz w:val="24"/>
                <w:u w:val="none"/>
              </w:rPr>
              <w:t xml:space="preserve"> Lásd a CRR 4. cikkének 67. pontját.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Első veszteségviselő ügyletrészsorozat</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Kibocsátott saját értékpapírosítások első veszteségviselő ügyletrészsorozatai, amelyeket az adatszolgáltató intézmény megtartott, és amelyek meg nem terheltek.</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Lásd a CRR 4. cikkének 67. pontját.</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52461225"/>
      <w:r>
        <w:rPr>
          <w:rFonts w:ascii="Times New Roman" w:hAnsi="Times New Roman"/>
          <w:sz w:val="24"/>
          <w:u w:val="none"/>
        </w:rPr>
        <w:t>Az egyes oszlopokra vonatkozó útmutató</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Oszlopok</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mögöttes eszközhalmaz (pool) könyv szerinti értéke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megtartott és még el nem zálogosított saját fedezett kötvényeket és értékpapírosításokat támogató fedezeti halmaz (pool), illetve mögöttes eszközök könyv szerinti értéke.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Megterhelhető, kibocsátott, hitelviszonyt megtestesítő értékpapírok valós értéke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Megtartott, meg nem terhelt, de megterhelhető saját fedezett kötvények és saját értékpapírosítások valós értéke.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központi bank által elismert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Megtartott olyan saját fedezett kötvények és saját értékpapírosítások valós értéke, amelyek megfelelnek a következő feltételek mindegyikének:</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 nem terheltek;</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megterhelhetők;</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elismerhetők azon központi bankokkal végrehajtott ügyletekben, </w:t>
            </w:r>
            <w:r>
              <w:rPr>
                <w:rStyle w:val="InstructionsTabelleberschrift"/>
                <w:rFonts w:ascii="Times New Roman" w:hAnsi="Times New Roman"/>
                <w:b w:val="0"/>
                <w:sz w:val="24"/>
                <w:u w:val="none"/>
              </w:rPr>
              <w:lastRenderedPageBreak/>
              <w:t>amelyekhez az adatszolgáltató intézménynek hozzáférése van.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 kapcsolódó összeg feltüntetésétől,</w:t>
            </w:r>
            <w:r>
              <w:rPr>
                <w:rFonts w:ascii="Times New Roman" w:hAnsi="Times New Roman"/>
                <w:sz w:val="24"/>
              </w:rPr>
              <w:t xml:space="preserve"> </w:t>
            </w:r>
            <w:r>
              <w:rPr>
                <w:rStyle w:val="instructionstabelleberschrift0"/>
                <w:rFonts w:ascii="Times New Roman" w:hAnsi="Times New Roman"/>
                <w:sz w:val="24"/>
              </w:rPr>
              <w:t>vagyis üresen hagyhatják a megfelelő mezőt</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EHQLA-ként és HQLA-ként elvileg elismerhető</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EHQLA-ként és HQLA-ként elvileg elismerhető, kapott, megterhelt biztosíték, ideértve az értékpapír-kölcsönvételi ügyletekben kapott biztosítékokat is, vagy az EHQLA-ként és HQLA-ként elvileg elismerhető, az intézmény által tartott/megtartott, kibocsátott, megterhelt, hitelviszonyt megtestesítő saját értékpapírok valós értéke.</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 rendelet alkalmazásában az (EU) 2015/61 felhatalmazáson alapuló rendelet 10., 11., 12. és 13. cikkében felsorolt azon kapott biztosítékok vagy az ott felsorolt, az intézmény által tartott/megtartott azon kibocsátott hitelviszonyt megtestesítő saját értékpapírok minősülnek EHQLA-ként és HQLA-ként elvileg elismerhető megterhelt eszközöknek, amelyek – ha nem lennének a 680/2014/EU végrehajtási rendelet XVII. melléklete szerint megterhelt eszközök – megfelelnének az említett felhatalmazáson alapuló rendelet 7. és 8. cikkében meghatározott általános és operatív követelményeknek. Az EHQLA-ként és HQLA-ként elvileg elismerhető megterhelt eszközöknek meg kell felelniük az (EU) 2015/61 felhatalmazáson alapuló rendelet 10–16. cikkében és 35–37. cikkében meghatározott, kitettségiosztály-specifikus követelményeknek is. Az EHQLA-ként és HQLA-ként elvileg elismerhető megterhelt eszközök valós értéke az (EU) 2015/61 felhatalmazáson alapuló rendelet 10–16. cikkében meghatározott haircutok alkalmazása előtti valós érték.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terhelhető, kibocsátott, saját, hitelviszonyt megtestesítő értékpapírok névértéke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Megtartott, meg nem terhelt és meg nem terhelhető saját fedezett kötvények és saját értékpapírosítások névértéke.</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4" w:name="_Toc52461226"/>
      <w:r>
        <w:rPr>
          <w:rFonts w:ascii="Times New Roman" w:hAnsi="Times New Roman"/>
          <w:sz w:val="24"/>
          <w:u w:val="none"/>
        </w:rPr>
        <w:t>Tábla: AE-SOU tábla. Megterhelés forrásai</w:t>
      </w:r>
      <w:bookmarkEnd w:id="5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5" w:name="_Toc52461227"/>
      <w:bookmarkStart w:id="56" w:name="_Toc348096573"/>
      <w:bookmarkStart w:id="57" w:name="_Toc348097334"/>
      <w:bookmarkStart w:id="58" w:name="_Toc348101355"/>
      <w:r>
        <w:rPr>
          <w:rFonts w:ascii="Times New Roman" w:hAnsi="Times New Roman"/>
          <w:sz w:val="24"/>
          <w:u w:val="none"/>
        </w:rPr>
        <w:t>Általános megjegyzések</w:t>
      </w:r>
      <w:bookmarkEnd w:id="55"/>
    </w:p>
    <w:p w:rsidR="00941FAE" w:rsidRPr="000F059F" w:rsidRDefault="00941FAE" w:rsidP="00941FAE">
      <w:pPr>
        <w:pStyle w:val="InstructionsText2"/>
        <w:shd w:val="clear" w:color="auto" w:fill="FFFFFF"/>
        <w:spacing w:after="120"/>
        <w:rPr>
          <w:sz w:val="24"/>
        </w:rPr>
      </w:pPr>
      <w:r>
        <w:rPr>
          <w:sz w:val="24"/>
        </w:rPr>
        <w:t>Ez a tábla információt ad arról, hogy az adatszolgáltató intézmény számára milyen jelentőséggel bírnak a megterhelés különböző forrásai, többek között azok, amelyekhez nem kapcsolódik finanszírozás, például a hitelnyújtási kötelezettségvállalások vagy a kapott pénzügyi garanciák, illetve a nem készpénzbiztosíték mellett végrehajtott értékpapír kölcsönbe adás.</w:t>
      </w:r>
    </w:p>
    <w:p w:rsidR="00941FAE" w:rsidRPr="000F059F" w:rsidRDefault="00941FAE" w:rsidP="00941FAE">
      <w:pPr>
        <w:pStyle w:val="InstructionsText2"/>
        <w:shd w:val="clear" w:color="auto" w:fill="FFFFFF"/>
        <w:spacing w:after="120"/>
        <w:rPr>
          <w:sz w:val="24"/>
        </w:rPr>
      </w:pPr>
      <w:r>
        <w:rPr>
          <w:rStyle w:val="InstructionsTabelleberschrift"/>
          <w:rFonts w:ascii="Times New Roman" w:hAnsi="Times New Roman"/>
          <w:b w:val="0"/>
          <w:bCs w:val="0"/>
          <w:sz w:val="24"/>
          <w:u w:val="none"/>
        </w:rPr>
        <w:t>Az</w:t>
      </w:r>
      <w:r>
        <w:rPr>
          <w:sz w:val="24"/>
        </w:rPr>
        <w:t xml:space="preserve"> AE-ASS és AE-COL táblákban az eszközök és kapott biztosítékok teljes összegére vonatkozó adatok a következő </w:t>
      </w:r>
      <w:r w:rsidR="009030E5">
        <w:rPr>
          <w:sz w:val="24"/>
        </w:rPr>
        <w:t>validálási</w:t>
      </w:r>
      <w:r>
        <w:rPr>
          <w:sz w:val="24"/>
        </w:rPr>
        <w:t xml:space="preserve"> szabálynak felelnek meg: {AE-SOU; r170; c030} = {AE-ASS; r010; c010} + {AE-COL; r130</w:t>
      </w:r>
      <w:r w:rsidR="003D6C84">
        <w:rPr>
          <w:sz w:val="24"/>
        </w:rPr>
        <w:t>; c010} + {AE-COL; r240; c010}.</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9" w:name="_Toc52461228"/>
      <w:r>
        <w:rPr>
          <w:rFonts w:ascii="Times New Roman" w:hAnsi="Times New Roman"/>
          <w:sz w:val="24"/>
          <w:u w:val="none"/>
        </w:rPr>
        <w:lastRenderedPageBreak/>
        <w:t>A tábla egyes soraira vonatkozó útmutató</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Megterhelés forrásaként meghatározott pénzügyi kötelezettségek könyv szerinti értéke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megterhelés forrásaként meghatározott, fedezett pénzügyi kötelezettségeinek könyv szerinti értéke, amennyiben ezek a kötelezettségek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Származtatott ügyletek</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olyan fedezett derivatíváinak könyv szerinti értéke, amelyek pénzügyi kötelezettségek, vagyis negatív valós értékű kötelezettségek amennyiben ezek a derivatívák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ebből: </w:t>
            </w:r>
            <w:r w:rsidR="003D6C84">
              <w:rPr>
                <w:rStyle w:val="InstructionsTabelleberschrift"/>
                <w:rFonts w:ascii="Times New Roman" w:hAnsi="Times New Roman"/>
                <w:bCs w:val="0"/>
                <w:sz w:val="24"/>
              </w:rPr>
              <w:t>tőzsdén kívüli</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olyan fedezett derivatíváinak könyv szerinti értéke, amelyek tőzsdén kívül forgalmazott pénzügyi kötelezettségek, amennyiben ezek a derivatívák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Betétek</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fedezett betéteinek könyv szerinti értéke, amennyiben ezek a betétek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Visszavásárlási (repo-) megállapodások</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repomegállapodásainak bruttó könyv szerinti értéke</w:t>
            </w:r>
            <w:r>
              <w:t xml:space="preserve"> (a számviteli keretben engedélyezett nettósítás nélkül), </w:t>
            </w:r>
            <w:r>
              <w:rPr>
                <w:rStyle w:val="InstructionsTabelleberschrift"/>
                <w:rFonts w:ascii="Times New Roman" w:hAnsi="Times New Roman"/>
                <w:b w:val="0"/>
                <w:sz w:val="24"/>
                <w:u w:val="none"/>
              </w:rPr>
              <w:t>amennyiben ezek az ügyletek az intézmény számára eszközterhelést jelentenek</w:t>
            </w:r>
            <w:r>
              <w:t>.</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visszavásárlási (repo-) megállapodások olyan ügyletek, amelyek keretében az adatszolgáltató intézmény készpénzt kap adott áron és azon elkötelezettség mellett eladott pénzügyi eszközökért, hogy ezeket (vagy ezekkel azonos eszközöket) egy meghatározott jövőbeli időpontban rögzített áron visszavásárolja. A repo típusú műveletek valamennyi következő változatát repomegállapodásként kell feltüntetni: – értékpapírok készpénzbiztosíték ellenében történő kölcsönzése formájában ideiglenesen harmadik félnek átadott értékpapírokért cserébe kapott összegek, valamint – eladási/visszavásárlási megállapodás formájában ideiglenesen harmadik félnek átadott értékpapírokért cserébe kapott összegek.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bankok</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központi bankkal kötött repomegállapodásainak könyv szerinti értéke, amennyiben ezek az ügyletek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Repomegállapodásoktól eltérő fedezett betétek</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repomegállapodásaitól eltérő fedezett betétek könyv szerinti értéke, amennyiben ezek a betétek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bankok</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Az adatszolgáltató intézmény központi bankkal kötött repomegállapodásaitól </w:t>
            </w:r>
            <w:r>
              <w:rPr>
                <w:rStyle w:val="InstructionsTabelleberschrift"/>
                <w:rFonts w:ascii="Times New Roman" w:hAnsi="Times New Roman"/>
                <w:b w:val="0"/>
                <w:sz w:val="24"/>
                <w:u w:val="none"/>
              </w:rPr>
              <w:lastRenderedPageBreak/>
              <w:t>eltérő fedezett betétek könyv szerinti értéke, amennyiben ezek a betétek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hitelviszonyt megtestesítő értékpapírok</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kibocsátott, hitelviszonyt megtestesítő értékpapírok könyv szerinti értéke, amennyiben ezek a kibocsátott értékpapírok az intézmény számára eszközterhelést jelentenek.</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A kibocsátás megtartott része esetében az A. rész 15. pontjának vi. alpontjában meghatározott eljárást kell követni úgy, hogy ebbe a kategóriába csak a csoport vállalkozásain kívül elhelyezett, hitelviszonyt megtestesítő értékpapírok hányadát kell belefoglalni.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kibocsátott fedezett kötvények</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Azon fedezett kötvények könyv szerinti értéke, amelyek eszközei esetében az adatszolgáltató intézmény a kezdeményező, amennyiben ezek a kibocsátott értékpapírok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kibocsátott értékpapírosítások</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kibocsátott értékpapírosítások könyv szerinti értéke, amennyiben ezek a kibocsátott értékpapírok az intézmény számára eszközterhelést jelentenek.</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Megterhelés egyéb, kapcsolódó forrásai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pénzügyi kötelezettségektől eltérő fedezett ügyleteinek összege, amennyiben ezek az ügyletek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hitelnyújtási elkötelezettségek névértéke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hitelnyújtási elkötelezettségek névértéke, amennyiben ezek az elkötelezettségek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pénzügyi garanciák névértéke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pénzügyi garanciák névértéke, amennyiben ezek a garanciák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Nem készpénzbiztosíték mellett kölcsönvett értékpapírok valós értéke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kölcsönbe vett értékpapírok valós értéke, amennyiben ezek az ügyletek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Egyéb</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pénzügyi kötelezettségektől eltérő, a fenti tételekhez nem tartozó fedezett ügyleteinek összege, amennyiben ezek az ügyletek az intézmény számára eszközterhelést jelentenek.</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MEGTERHELÉS FORRÁSAI ÖSSZESEN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valamennyi fedezett ügyletének összege, amennyiben ezek az ügyletek az intézmény számára eszközterhelést jelentenek.</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52461229"/>
      <w:r>
        <w:rPr>
          <w:rFonts w:ascii="Times New Roman" w:hAnsi="Times New Roman"/>
          <w:sz w:val="24"/>
          <w:u w:val="none"/>
        </w:rPr>
        <w:lastRenderedPageBreak/>
        <w:t>Az egyes oszlopokra vonatkozó útmutató</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Megfeleltetett kötelezettségek, függő kötelezettségek vagy kölcsönbe adott értékpapírok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Megfeleltetett kötelezettségek, függő kötelezettségek (a kapott hitelnyújtási elkötelezettségek vagy a kapott pénzügyi garanciák) vagy nem készpénzbiztosíték mellett kölcsönbe adott értékpapírok összege, amennyiben ezek az ügyletek az intézmény számára eszközterhelést jelentenek.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pénzügyi kötelezettségeket könyv szerinti értékükön; a függő kötelezettségeket névértékükön; a nem készpénzbiztosíték mellett kölcsönbe adott értékpapírokat pedig valós értékükön kell feltüntetni.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 más vállalkozásaitól</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Megfeleltetett kötelezettségek, függő kötelezettségek (a kapott hitelnyújtási elkötelezettségek vagy a kapott pénzügyi garanciák) vagy nem készpénzbiztosíték mellett kölcsönbe adott értékpapírok összege, amennyiben a szerződő fél a prudenciális konszolidáció körébe tartozó másik vállalkozás és az ügylet az intézmény számára eszközterhelést jelent.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értéktípusokra vonatkozó szabályokkal kapcsolatban lásd a 010-es oszlopra vonatkozó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Eszközök, kapott biztosítékok és a megterhelt, fedezett kötvénytől vagy értékpapírosítástól eltérő kibocsátott, hitelviszonyt megtestesítő saját értékpapírok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eszközök, kapott biztosítékok és a fedezett kötvényektől vagy értékpapírosításoktól eltérő olyan kibocsátott, hitelviszonyt megtestesítő saját értékpapírok összege, amelyeket a sorokban meghatározott különböző típusú ügyletek eredményeként megterheltek.</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AE-ASS és az AE-COL táblákban található kritériumokkal való összhang biztosítása céljából az adatszolgáltató intézmény mérlegben nyilvántartott eszközei könyv szerinti értéken kerülnek feltüntetésre, a kapott, újrafelhasznált biztosítékok, valamint a fedezett kötvényektől és az értékpapírosításoktól eltérő megterhelt saját kibocsátású értékpapírok pedig valós értéken.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kapott és újrafelhasznált biztosíték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olyan kapott biztosíték valós értéke, amelyet a sorokban meghatározott különböző típusú ügyletek eredményeként újra felhasználtak vagy megterheltek.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megterhelt, saját hitelviszonyt megtestesítő értékpapírok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fedezett kötvényektől vagy értékpapírosításoktól eltérő olyan kibocsátott, hitelviszonyt megtestesítő értékpapírok valós értéke, amelyeket a sorokban meghatározott különböző típusú ügyletek eredményeként megterheltek.</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4" w:name="_Toc52461230"/>
      <w:r>
        <w:rPr>
          <w:rFonts w:ascii="Times New Roman" w:hAnsi="Times New Roman"/>
          <w:b/>
          <w:sz w:val="24"/>
          <w:u w:val="none"/>
        </w:rPr>
        <w:lastRenderedPageBreak/>
        <w:t>B. rész: Lejárati adatok</w:t>
      </w:r>
      <w:bookmarkEnd w:id="6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52461231"/>
      <w:r>
        <w:rPr>
          <w:rFonts w:ascii="Times New Roman" w:hAnsi="Times New Roman"/>
          <w:sz w:val="24"/>
          <w:u w:val="none"/>
        </w:rPr>
        <w:t>Általános megjegyzések</w:t>
      </w:r>
      <w:bookmarkEnd w:id="65"/>
    </w:p>
    <w:p w:rsidR="00941FAE" w:rsidRPr="000F059F" w:rsidRDefault="00941FAE" w:rsidP="00941FAE">
      <w:pPr>
        <w:pStyle w:val="InstructionsText2"/>
        <w:shd w:val="clear" w:color="auto" w:fill="FFFFFF"/>
        <w:spacing w:after="120"/>
        <w:rPr>
          <w:sz w:val="24"/>
        </w:rPr>
      </w:pPr>
      <w:r>
        <w:rPr>
          <w:sz w:val="24"/>
        </w:rPr>
        <w:t>A B. részben található tábla általános áttekintést ad azokról a megterhelt eszközökről és kapott, újrafelhasznált biztosítékokról, amelyek a megfelelő kötelezettségek hátralévő futamidejére vonatkozóan meghatározott intervallumokba tartoznak.</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6" w:name="_Toc52461232"/>
      <w:r>
        <w:rPr>
          <w:rFonts w:ascii="Times New Roman" w:hAnsi="Times New Roman"/>
          <w:sz w:val="24"/>
          <w:u w:val="none"/>
        </w:rPr>
        <w:t>Tábla: AE-MAT. Lejárati adatok</w:t>
      </w:r>
      <w:bookmarkEnd w:id="66"/>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52461233"/>
      <w:r>
        <w:rPr>
          <w:rFonts w:ascii="Times New Roman" w:hAnsi="Times New Roman"/>
          <w:sz w:val="24"/>
          <w:u w:val="none"/>
        </w:rPr>
        <w:t>A tábla egyes soraira vonatkozó útmutató</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Megterhelt eszközök</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 tábla alkalmazásában a megterhelt eszközöknek az alábbiak mindegyikét tartalmazniuk kell:</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eszközei (lásd az AE-ASS tábla 010-es sorára vonatkozó előírást), amelyeket könyv szerinti értéken kell feltüntetni;</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fedezett kötvényektől vagy értékpapírosításoktól eltérő, kibocsátott, hitelviszonyt megtestesítő saját értékpapírok, amelyeket valós értéken kell feltüntetni (lásd az AE-COL tábla 240-es sorára vonatkozó előírást).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Ezeket az összegeket a megterhelés forrásának (megfeleltetett kötelezettség, függő kötelezettség vagy kölcsönbe adott értékpapír) a hátralévő futamideje szerint kell elosztani az oszlopokban a hátralévő futamidőre meghatározott időtartamok között.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újrafelhasznált biztosíték (átvevői oldal)</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Lásd az AE-COL tábla 130-as sorára vonatkozó útmutatót és az AE-SOU tábla 040-es oszlopát.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intézményeknek az összegeket valós értéken kell feltüntetniük és annak az ügyletnek a hátralévő futamideje szerint kell elosztaniuk az oszlopokban a hátralévő futamidőre meghatározott időtartamok között, amelyhez kapcsolódóan a gazdálkodó egység az újrafelhasznált biztosítékot átvette (átvevői oldal).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újrafelhasznált biztosíték (újrafelhasználói oldal)</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Lásd az AE-COL tábla 130-as sorára vonatkozó útmutatót és az AE-SOU tábla 040-es oszlopát.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intézményeknek az összegeket valós értéken kell feltüntetniük és a megterhelés forrásának (újrafelhasználói oldal – megfeleltetett kötelezettség, függő kötelezettség vagy kölcsönbe adott értékpapír) a hátralévő futamideje szerint kerülnek elosztásra az oszlopokban a hátralévő futamidőre meghatározott időtartamok között.</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52461234"/>
      <w:r>
        <w:rPr>
          <w:rFonts w:ascii="Times New Roman" w:hAnsi="Times New Roman"/>
          <w:sz w:val="24"/>
          <w:u w:val="none"/>
        </w:rPr>
        <w:t>Az egyes oszlopokra vonatkozó útmutató</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Lejárat nélküli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Látra szóló, meghatározott lejárati időpont nélkül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Egynapos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Egynapos vagy azon belüli lejárat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nap &lt;= 1 hét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egy napnál hosszabb és legfeljebb egy hét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hét&lt;=2 hét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egy hétnél hosszabb és legfeljebb két hét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hét &lt;=1 hónap</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két hétnél hosszabb és legfeljebb egy hónap</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hónap &lt;=3 hónap</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egy hónapnál hosszabb és legfeljebb három hónap</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hónap &lt;=6 hónap</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három hónapnál hosszabb és legfeljebb hat hónap</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hónap&lt;=1 év</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hat hónapnál hosszabb és legfeljebb egy év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év &lt;=2 év</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egy évnél hosszabb és legfeljebb két év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év &lt;=3 év</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két évnél hosszabb és legfeljebb három év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év &lt;=5 év</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három évnél hosszabb és legfeljebb öt év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év &lt;=10 év</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öt évnél hosszabb és legfeljebb tíz év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év</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időpontja 10 évnél későbbi</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5" w:name="_Toc52461235"/>
      <w:r>
        <w:rPr>
          <w:rFonts w:ascii="Times New Roman" w:hAnsi="Times New Roman"/>
          <w:b/>
          <w:sz w:val="24"/>
          <w:u w:val="none"/>
        </w:rPr>
        <w:t>C. rész: Függő megterhelés</w:t>
      </w:r>
      <w:bookmarkEnd w:id="75"/>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52461236"/>
      <w:r>
        <w:rPr>
          <w:rFonts w:ascii="Times New Roman" w:hAnsi="Times New Roman"/>
          <w:sz w:val="24"/>
          <w:u w:val="none"/>
        </w:rPr>
        <w:t>Általános megjegyzések</w:t>
      </w:r>
      <w:bookmarkEnd w:id="76"/>
    </w:p>
    <w:p w:rsidR="00941FAE" w:rsidRPr="000F059F" w:rsidRDefault="00941FAE" w:rsidP="00941FAE">
      <w:pPr>
        <w:pStyle w:val="InstructionsText2"/>
        <w:shd w:val="clear" w:color="auto" w:fill="FFFFFF"/>
        <w:spacing w:after="120"/>
        <w:rPr>
          <w:sz w:val="24"/>
        </w:rPr>
      </w:pPr>
      <w:r>
        <w:rPr>
          <w:sz w:val="24"/>
        </w:rPr>
        <w:t>Ebben a táblában az intézménynek a megterhelt eszközök szintjét kell kiszámítania különböző stresszhelyzeti forgatókönyvek esetére.</w:t>
      </w:r>
    </w:p>
    <w:p w:rsidR="00941FAE" w:rsidRPr="000F059F" w:rsidRDefault="00941FAE" w:rsidP="00941FAE">
      <w:pPr>
        <w:pStyle w:val="InstructionsText2"/>
        <w:shd w:val="clear" w:color="auto" w:fill="FFFFFF"/>
        <w:spacing w:after="120"/>
        <w:rPr>
          <w:sz w:val="24"/>
        </w:rPr>
      </w:pPr>
      <w:r>
        <w:rPr>
          <w:sz w:val="24"/>
        </w:rPr>
        <w:t>A függő megterhelés azokra a további eszközökre vonatkozik, amelyeket esetleg meg kell terhelni, amennyiben az adatszolgáltató intézmény az ellenőrzésén kívül álló külső események miatti kedvezőtlen fejleményekkel kerül szembe (ideértve a leminősítést, a megterhelt eszköz valós értékének csökkenését vagy általános bizalomvesztést). Ilyen esetben az adatszolgáltató intézménynek a már folyamatban levő ügyletekre tekintettel további eszközöket kell megterhelnie. A megterhelt eszközök pótlólagos összegét az intézmény által a fent említett stresszhelyzeti forgatókönyvekben leírt események következtében végrehajtott fedezeti ügyletek hatásának figyelembevétele nélkül kell megállapítani.</w:t>
      </w:r>
    </w:p>
    <w:p w:rsidR="00941FAE" w:rsidRPr="000F059F" w:rsidRDefault="00941FAE" w:rsidP="00941FAE">
      <w:pPr>
        <w:pStyle w:val="InstructionsText2"/>
        <w:shd w:val="clear" w:color="auto" w:fill="FFFFFF"/>
        <w:spacing w:after="120"/>
        <w:rPr>
          <w:sz w:val="24"/>
        </w:rPr>
      </w:pPr>
      <w:r>
        <w:rPr>
          <w:sz w:val="24"/>
        </w:rPr>
        <w:lastRenderedPageBreak/>
        <w:t>A tábla a következő két (a 4.1.1. és a 4.1.2. pontban részletesen ismertetett) forgatókönyvet tartalmazza a függő megterhelésre vonatkozó adatszolgáltatásra. A feltüntetett adat az intézmény észszerű, a legjobb rendelkezésre álló adatokon alapuló becslése.</w:t>
      </w:r>
    </w:p>
    <w:p w:rsidR="00941FAE" w:rsidRPr="000F059F" w:rsidRDefault="00941FAE" w:rsidP="00941FAE">
      <w:pPr>
        <w:pStyle w:val="InstructionsText2"/>
        <w:numPr>
          <w:ilvl w:val="0"/>
          <w:numId w:val="7"/>
        </w:numPr>
        <w:shd w:val="clear" w:color="auto" w:fill="FFFFFF"/>
        <w:spacing w:after="120"/>
        <w:rPr>
          <w:sz w:val="24"/>
        </w:rPr>
      </w:pPr>
      <w:r>
        <w:rPr>
          <w:sz w:val="24"/>
        </w:rPr>
        <w:t>A megterhelt eszközök valós értékének 30 %-os csökkenése. Ez a forgatókönyv csak az eszközök mögöttes valós értékének változására terjed ki, más, a könyv szerinti értéket érintő változásra – például árfolyamnyereség vagy -veszteség, illetve esetleges értékvesztés – nem. Ekkor az adatszolgáltató intézmény a biztosíték értékének megtartása érdekében esetleg további biztosíték nyújtására kényszerülhet.</w:t>
      </w:r>
    </w:p>
    <w:p w:rsidR="00941FAE" w:rsidRPr="000F059F" w:rsidRDefault="00941FAE" w:rsidP="00941FAE">
      <w:pPr>
        <w:pStyle w:val="InstructionsText2"/>
        <w:numPr>
          <w:ilvl w:val="0"/>
          <w:numId w:val="7"/>
        </w:numPr>
        <w:shd w:val="clear" w:color="auto" w:fill="FFFFFF"/>
        <w:spacing w:after="120"/>
        <w:rPr>
          <w:sz w:val="24"/>
        </w:rPr>
      </w:pPr>
      <w:r>
        <w:rPr>
          <w:sz w:val="24"/>
        </w:rPr>
        <w:t>Azon pénznemek mindegyikének 10 %-os leértékelődése, amelyekben az intézménynek az összes kötelezettség 5 %-át kitevő vagy azt meghaladó aggregált kötelezettségei vannak.</w:t>
      </w:r>
    </w:p>
    <w:p w:rsidR="00941FAE" w:rsidRPr="000F059F" w:rsidRDefault="00941FAE" w:rsidP="00941FAE">
      <w:pPr>
        <w:pStyle w:val="InstructionsText2"/>
        <w:spacing w:after="120"/>
        <w:rPr>
          <w:sz w:val="24"/>
        </w:rPr>
      </w:pPr>
      <w:bookmarkStart w:id="77" w:name="_Toc348096583"/>
      <w:bookmarkStart w:id="78" w:name="_Toc348097344"/>
      <w:bookmarkStart w:id="79" w:name="_Toc348101365"/>
      <w:r>
        <w:rPr>
          <w:sz w:val="24"/>
        </w:rPr>
        <w:t>A forgatókönyvek tekintetében külön kell adatot szolgáltatni és a jelentős pénznemek leértékelődését is fel kell tüntetni, függetlenül a többi jelentős pénznem leértékelődésétől. Következésképpen az intézmények nem vehetik figyelembe a forgatókönyvek közötti korrelációt.</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2461237"/>
      <w:r>
        <w:rPr>
          <w:rFonts w:ascii="Times New Roman" w:hAnsi="Times New Roman"/>
          <w:sz w:val="24"/>
          <w:u w:val="none"/>
        </w:rPr>
        <w:t>„A” forgatókönyv: A megterhelt eszközök 30 %-os csökkentése</w:t>
      </w:r>
      <w:bookmarkEnd w:id="80"/>
    </w:p>
    <w:p w:rsidR="00941FAE" w:rsidRPr="000F059F" w:rsidRDefault="00941FAE" w:rsidP="00941FAE">
      <w:pPr>
        <w:pStyle w:val="InstructionsText2"/>
        <w:spacing w:after="120"/>
        <w:rPr>
          <w:sz w:val="24"/>
        </w:rPr>
      </w:pPr>
      <w:r>
        <w:rPr>
          <w:sz w:val="24"/>
        </w:rPr>
        <w:t>A feltételezés szerint valamennyi megterhelt eszköz értéke 30 %-kal csökken. A csökkenésből eredő további biztosítékigény megállapítása során úgy kell figyelembe venni a túlzott fedezettség aktuális szintjét, hogy csak a minimális fedezettségi szint maradjon meg. A további biztosítékigény megállapítása során figyelembe kell venni továbbá az érintett szerződések és megállapodások szerződéses előírásait, többek között a határértékeket.</w:t>
      </w:r>
    </w:p>
    <w:p w:rsidR="00941FAE" w:rsidRPr="000F059F" w:rsidRDefault="00941FAE" w:rsidP="00941FAE">
      <w:pPr>
        <w:pStyle w:val="InstructionsText2"/>
        <w:spacing w:after="120"/>
        <w:rPr>
          <w:sz w:val="24"/>
        </w:rPr>
      </w:pPr>
      <w:r>
        <w:rPr>
          <w:sz w:val="24"/>
        </w:rPr>
        <w:t>Csak azokat a szerződéseket és megállapodásokat kell figyelembe venni, amelyek esetében további biztosíték nyújtására vonatkozó jogi kötelezettség áll fenn. Ide tartoznak a fedezettkötvény-kibocsátások, amelyek esetében jogi előírás a túlzott fedezettség minimumszintjének fenntartása, de nem szükséges fenntartani a fedezett kötvényekre vonatkozó meglévő minősítést.</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2461238"/>
      <w:r>
        <w:rPr>
          <w:rFonts w:ascii="Times New Roman" w:hAnsi="Times New Roman"/>
          <w:sz w:val="24"/>
          <w:u w:val="none"/>
        </w:rPr>
        <w:t>„B” forgatókönyv: A jelentős pénznemek 10 %-os leértékelődése</w:t>
      </w:r>
      <w:bookmarkEnd w:id="81"/>
    </w:p>
    <w:p w:rsidR="00941FAE" w:rsidRPr="00B93E25" w:rsidRDefault="00941FAE" w:rsidP="00941FAE">
      <w:pPr>
        <w:pStyle w:val="InstructionsText2"/>
        <w:spacing w:after="120"/>
        <w:rPr>
          <w:sz w:val="24"/>
        </w:rPr>
      </w:pPr>
      <w:r>
        <w:rPr>
          <w:sz w:val="24"/>
        </w:rPr>
        <w:t>Egy pénznemet akkor kell jelentősnek tekinteni, ha az adatszolgáltató intézmény szóban forgó pénznemben levő aggregált kötelezettségei az intézmény összes kötelezettségének 5 %-át teszik ki vagy meghaladják azt.</w:t>
      </w:r>
    </w:p>
    <w:p w:rsidR="00941FAE" w:rsidRPr="000F059F" w:rsidRDefault="00941FAE" w:rsidP="00941FAE">
      <w:pPr>
        <w:pStyle w:val="InstructionsText2"/>
        <w:spacing w:after="120"/>
        <w:rPr>
          <w:sz w:val="24"/>
        </w:rPr>
      </w:pPr>
      <w:r>
        <w:rPr>
          <w:sz w:val="24"/>
        </w:rPr>
        <w:t>A 10 %-os leértékelődés kiszámításakor mind az eszköz-, mind a kötelezettségoldali változásokat figyelembe kell venni, vagyis az eszközök és kötelezettségek közötti eltérésre kell összpontosítani. Például az USD-ben levő eszközökön alapuló USD-repoügyletek nem eredményeznek további megterhelést, míg egy EUR-ban levő eszközökön alapuló USD-repoügylet esetében további megterhelésre van szükség.</w:t>
      </w:r>
    </w:p>
    <w:p w:rsidR="00941FAE" w:rsidRPr="000F059F" w:rsidRDefault="00941FAE" w:rsidP="00941FAE">
      <w:pPr>
        <w:pStyle w:val="InstructionsText2"/>
        <w:spacing w:after="120"/>
        <w:rPr>
          <w:sz w:val="24"/>
        </w:rPr>
      </w:pPr>
      <w:r>
        <w:rPr>
          <w:sz w:val="24"/>
        </w:rPr>
        <w:t>A számítás során figyelembe kell venni minden, keresztdevizás elemet tartalmazó ügyletet.</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2" w:name="_Toc52461239"/>
      <w:r>
        <w:rPr>
          <w:rFonts w:ascii="Times New Roman" w:hAnsi="Times New Roman"/>
          <w:sz w:val="24"/>
          <w:u w:val="none"/>
        </w:rPr>
        <w:t>Tábla: AE-CONT. Függő megterhelés</w:t>
      </w:r>
      <w:bookmarkEnd w:id="8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2461240"/>
      <w:r>
        <w:rPr>
          <w:rFonts w:ascii="Times New Roman" w:hAnsi="Times New Roman"/>
          <w:sz w:val="24"/>
          <w:u w:val="none"/>
        </w:rPr>
        <w:t>A tábla egyes soraira vonatkozó útmutató</w:t>
      </w:r>
      <w:bookmarkEnd w:id="77"/>
      <w:bookmarkEnd w:id="78"/>
      <w:bookmarkEnd w:id="79"/>
      <w:bookmarkEnd w:id="83"/>
    </w:p>
    <w:p w:rsidR="00941FAE" w:rsidRPr="000F059F" w:rsidRDefault="00941FAE" w:rsidP="00941FAE">
      <w:pPr>
        <w:pStyle w:val="InstructionsText2"/>
        <w:shd w:val="clear" w:color="auto" w:fill="FFFFFF"/>
        <w:spacing w:after="120"/>
        <w:rPr>
          <w:sz w:val="24"/>
        </w:rPr>
      </w:pPr>
      <w:bookmarkStart w:id="84" w:name="_Toc348096584"/>
      <w:r>
        <w:rPr>
          <w:sz w:val="24"/>
        </w:rPr>
        <w:t>Lásd az AE-SOU tábla egyes soraira vonatkozó útmutatót a 2.4.2. pontban.Az AE-CONT táblában levő sorok tartalma nem tér el az AE-SOU táblától.</w:t>
      </w:r>
      <w:bookmarkEnd w:id="8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2461241"/>
      <w:r>
        <w:rPr>
          <w:rFonts w:ascii="Times New Roman" w:hAnsi="Times New Roman"/>
          <w:sz w:val="24"/>
          <w:u w:val="none"/>
        </w:rPr>
        <w:lastRenderedPageBreak/>
        <w:t>Az egyes oszlopokra vonatkozó útmutató</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Megfeleltetett kötelezettségek, függő kötelezettségek vagy kölcsönbe adott értékpapírok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vonatkozó útmutató és az adatok megegyeznek az AE-SOU tábla 010-es sorára vonatkozó útmutatóval és adatokkal: megfeleltetett kötelezettségek, függő kötelezettségek (a kapott hitelnyújtási elkötelezettségek vagy a kapott pénzügyi garanciák) vagy nem készpénzbiztosíték mellett kölcsönbe adott értékpapírok, összege, amennyiben ezek az ügyletek az intézmény számára eszközterhelést jelentenek.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táblázat valamennyi sorára vonatkozó útmutatónak megfelelően az intézményeknek a pénzügyi kötelezettségeket könyv szerinti értékükön, a függő kötelezettségeket névértékükön, a nem készpénzbiztosíték mellett kölcsönbe adott értékpapírokat pedig valós értékükön kell feltüntetniük.</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Megterhelt eszközök pótlólagos összege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további eszközök összege, amelyek az A forgatókönyv bekövetkezése esetén érvényesülő jogi, szabályozási vagy szerződéses előírások következtében megterheltté válhatnak.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e melléklet A. részében meghatározott útmutató alapján ezeket az eszközöket könyv szerinti értékükön kell feltüntetni, amennyiben az összeg az adatszolgáltató intézmény eszközéhez kapcsolódik, és valós értékükön, ha kapott biztosítékhoz kapcsolódik. Az intézmény meg nem terhelt eszközeit és biztosítékait meghaladó összegeket valós értéken kell feltüntetni.</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 Megterhelt eszközök pótlólagos összege. 1. jelentős pénznem</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további eszközök összege, amelyek a B forgatókönyv szerint az első számú jelentős pénznem leértékelődése esetén érvényesülő jogi, szabályozási vagy szerződéses előírások következtében megterheltté válhatnak.</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Lásd a 020-as sorban található összegtípusokra vonatkozó szabályokat.</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Megterhelt eszközök pótlólagos összege. 2. jelentős pénznem</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további eszközök összege, amelyek a B forgatókönyv szerint a második számú jelentős pénznem leértékelődése esetén érvényesülő jogi, szabályozási vagy szerződéses előírások következtében megterheltté válhatnak.</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Lásd a 020-as sorban található összegtípusokra vonatkozó szabályokat.</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9" w:name="_Toc52461242"/>
      <w:r>
        <w:rPr>
          <w:rFonts w:ascii="Times New Roman" w:hAnsi="Times New Roman"/>
          <w:b/>
          <w:sz w:val="24"/>
          <w:u w:val="none"/>
        </w:rPr>
        <w:t>D. rész: Fedezett kötvények</w:t>
      </w:r>
      <w:bookmarkEnd w:id="89"/>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2461243"/>
      <w:r>
        <w:rPr>
          <w:rFonts w:ascii="Times New Roman" w:hAnsi="Times New Roman"/>
          <w:sz w:val="24"/>
          <w:u w:val="none"/>
        </w:rPr>
        <w:t>Általános megjegyzések</w:t>
      </w:r>
      <w:bookmarkEnd w:id="90"/>
    </w:p>
    <w:p w:rsidR="00941FAE" w:rsidRPr="000F059F" w:rsidRDefault="00941FAE" w:rsidP="00941FAE">
      <w:pPr>
        <w:pStyle w:val="InstructionsText2"/>
        <w:shd w:val="clear" w:color="auto" w:fill="FFFFFF"/>
        <w:spacing w:after="120"/>
        <w:rPr>
          <w:sz w:val="24"/>
        </w:rPr>
      </w:pPr>
      <w:r>
        <w:rPr>
          <w:sz w:val="24"/>
        </w:rPr>
        <w:t xml:space="preserve">Az e táblában levő adatokat valamennyi, az adatszolgáltató intézmény által kibocsátott, ÁÉKBV-nak megfelelő fedezett kötvényre vonatkozóan fel kell tüntetni. Az ÁÉKBV-nak megfelelő fedezett kötvények a 2009/65/EK irányelv 52. cikke (4) bekezdésének első albekezdése szerinti kötvények. Ezek az adatszolgáltató intézmény által kibocsátott olyan fedezett kötvények, amelyek esetében az adatszolgáltató intézmény a fedezett kötvénnyel összefüggésben a kötvénytulajdonosok érdekeinek </w:t>
      </w:r>
      <w:r>
        <w:rPr>
          <w:sz w:val="24"/>
        </w:rPr>
        <w:lastRenderedPageBreak/>
        <w:t>védelmére létrehozott speciális állami felügyelet hatálya alá tartozik, továbbá az előírás szerint az ilyen kötvények kibocsátásából befolyt összegeket a jogszabályokkal összhangban olyan eszközökbe kell befektetni, amelyek a kötvények futamideje alatt mindvégig alkalmasak a kötvényekhez rendelt követelések kielégítésére, és amelyeket a kibocsátó csődje esetén első helyen a tőke visszatérítésére és a felhalmozott kamat kifizetésére kell felhasználni.</w:t>
      </w:r>
    </w:p>
    <w:p w:rsidR="00941FAE" w:rsidRPr="000F059F" w:rsidRDefault="00941FAE" w:rsidP="00941FAE">
      <w:pPr>
        <w:pStyle w:val="InstructionsText2"/>
        <w:shd w:val="clear" w:color="auto" w:fill="FFFFFF"/>
        <w:spacing w:after="120"/>
        <w:rPr>
          <w:sz w:val="24"/>
        </w:rPr>
      </w:pPr>
      <w:r>
        <w:rPr>
          <w:sz w:val="24"/>
        </w:rPr>
        <w:t>Az adatszolgáltató intézmény által vagy a nevében kibocsátott olyan fedezett kötvényeket, amelyek nem felelnek meg az ÁÉKBV-nak, nem kell feltüntetni az AE-CB táblákban.</w:t>
      </w:r>
    </w:p>
    <w:p w:rsidR="00941FAE" w:rsidRPr="000F059F" w:rsidRDefault="00941FAE" w:rsidP="00941FAE">
      <w:pPr>
        <w:pStyle w:val="InstructionsText2"/>
        <w:shd w:val="clear" w:color="auto" w:fill="FFFFFF"/>
        <w:spacing w:after="120"/>
        <w:rPr>
          <w:sz w:val="24"/>
        </w:rPr>
      </w:pPr>
      <w:r>
        <w:rPr>
          <w:sz w:val="24"/>
        </w:rPr>
        <w:t>Az adatszolgáltatásnak a fedezett kötvényekre vonatkozó kötelező szabályokon, vagyis a fedezettkötvény-programra alkalmazandó jogi kereten kell alapulnia.</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1" w:name="_Toc52461244"/>
      <w:r>
        <w:rPr>
          <w:rFonts w:ascii="Times New Roman" w:hAnsi="Times New Roman"/>
          <w:sz w:val="24"/>
          <w:u w:val="none"/>
        </w:rPr>
        <w:t>Tábla: AE-CB. Fedezettkötvény-kibocsátás</w:t>
      </w:r>
      <w:bookmarkEnd w:id="9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2" w:name="_Toc52461245"/>
      <w:bookmarkStart w:id="93" w:name="_Toc348096589"/>
      <w:bookmarkStart w:id="94" w:name="_Toc348097349"/>
      <w:bookmarkStart w:id="95" w:name="_Toc348101370"/>
      <w:r>
        <w:rPr>
          <w:rFonts w:ascii="Times New Roman" w:hAnsi="Times New Roman"/>
          <w:sz w:val="24"/>
          <w:u w:val="none"/>
        </w:rPr>
        <w:t>A z-tengelyre vonatkozó útmutató</w:t>
      </w:r>
      <w:bookmarkEnd w:id="9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z-tengely</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Fedezeti halmaz (pool) azonosítója (nyitott)</w:t>
            </w:r>
          </w:p>
          <w:p w:rsidR="00941FAE" w:rsidRPr="00B93E25" w:rsidRDefault="00941FAE" w:rsidP="005150E8">
            <w:pPr>
              <w:spacing w:before="0"/>
              <w:rPr>
                <w:rFonts w:ascii="Times New Roman" w:hAnsi="Times New Roman"/>
                <w:sz w:val="24"/>
              </w:rPr>
            </w:pPr>
            <w:r>
              <w:rPr>
                <w:rFonts w:ascii="Times New Roman" w:hAnsi="Times New Roman"/>
                <w:sz w:val="24"/>
              </w:rPr>
              <w:t>A fedezeti halmaz (pool) azonosítójának a fedezeti halmazt kibocsátó gazdálkodó egység nevéből vagy egyértelmű rövidítéséből és azon fedezeti halmaz (pool) megjelöléséből kell állnia, amely egyedileg a fedezett kötvényekre vonatkozó releváns védelmi intézkedések hatálya alá tartozik.</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52461246"/>
      <w:r>
        <w:rPr>
          <w:rFonts w:ascii="Times New Roman" w:hAnsi="Times New Roman"/>
          <w:sz w:val="24"/>
          <w:u w:val="none"/>
        </w:rPr>
        <w:t>A tábla egyes soraira vonatkozó útmutató</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Névérték</w:t>
            </w:r>
          </w:p>
          <w:p w:rsidR="00941FAE" w:rsidRPr="000F059F" w:rsidRDefault="00941FAE" w:rsidP="005150E8">
            <w:pPr>
              <w:spacing w:before="0"/>
              <w:rPr>
                <w:rFonts w:ascii="Times New Roman" w:hAnsi="Times New Roman"/>
                <w:sz w:val="24"/>
              </w:rPr>
            </w:pPr>
            <w:r>
              <w:rPr>
                <w:rFonts w:ascii="Times New Roman" w:hAnsi="Times New Roman"/>
                <w:sz w:val="24"/>
              </w:rPr>
              <w:t>A névérték a tőke visszafizetésére vonatkozó követelések összege, amelynek meghatározása a fedezett kötvényekre vonatkozó azon releváns kötelező szabályok szerint történik, amelyek a megfelelő fedezettség megállapítására alkalmazandók.</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Jelenérték (swap)/Piaci érték</w:t>
            </w:r>
          </w:p>
          <w:p w:rsidR="00941FAE" w:rsidRPr="000F059F" w:rsidRDefault="00941FAE" w:rsidP="005150E8">
            <w:pPr>
              <w:spacing w:before="0"/>
              <w:rPr>
                <w:rFonts w:ascii="Times New Roman" w:hAnsi="Times New Roman"/>
                <w:sz w:val="24"/>
              </w:rPr>
            </w:pPr>
            <w:r>
              <w:rPr>
                <w:rFonts w:ascii="Times New Roman" w:hAnsi="Times New Roman"/>
                <w:sz w:val="24"/>
              </w:rPr>
              <w:t>A jelenérték (swap) a tőke és az árfolyamfüggő kockázatmentes hozamgörbe alapján diszkontált kamat fizetésére vonatkozó követelések összege, amelynek meghatározása a fedezett kötvényekre vonatkozó azon releváns kötelező szabályok szerint történik, amelyek a megfelelő fedezettség megállapítására alkalmazandók.</w:t>
            </w:r>
          </w:p>
          <w:p w:rsidR="00941FAE" w:rsidRPr="000F059F" w:rsidRDefault="00941FAE" w:rsidP="005150E8">
            <w:pPr>
              <w:spacing w:before="0"/>
              <w:rPr>
                <w:rFonts w:ascii="Times New Roman" w:hAnsi="Times New Roman"/>
                <w:sz w:val="24"/>
              </w:rPr>
            </w:pPr>
            <w:r>
              <w:rPr>
                <w:rFonts w:ascii="Times New Roman" w:hAnsi="Times New Roman"/>
                <w:sz w:val="24"/>
              </w:rPr>
              <w:t>A fedezeti halmazba (poolba) tartozó származtatott pozíciókra vonatkozó 080-as és 210-es oszlopokban a piaci értéket kell feltüntetni.</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Eszközspecifikus érték</w:t>
            </w:r>
          </w:p>
          <w:p w:rsidR="00941FAE" w:rsidRPr="000F059F" w:rsidRDefault="00941FAE" w:rsidP="005150E8">
            <w:pPr>
              <w:spacing w:before="0"/>
              <w:rPr>
                <w:rFonts w:ascii="Times New Roman" w:hAnsi="Times New Roman"/>
                <w:sz w:val="24"/>
              </w:rPr>
            </w:pPr>
            <w:r>
              <w:rPr>
                <w:rFonts w:ascii="Times New Roman" w:hAnsi="Times New Roman"/>
                <w:sz w:val="24"/>
              </w:rPr>
              <w:t>Az eszközspecifikus érték a fedezeti halmazba (poolba) tartozó eszközök gazdasági értéke, amely az IFRS 13 szerinti valós értékként határozható meg, vagyis a likvid piacokon végrehajtott ügyletekben megfigyelhető piaci értékként, vagy olyan jelenértékként, amely egy eszköz jövőbeli cash-flowját diszkontálná egy eszközspecifikus kamatlábgörbe alkalmazásával.</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Könyv szerinti érték</w:t>
            </w:r>
          </w:p>
          <w:p w:rsidR="00941FAE" w:rsidRPr="005F7E60" w:rsidRDefault="00941FAE" w:rsidP="005150E8">
            <w:pPr>
              <w:spacing w:before="0"/>
              <w:rPr>
                <w:rFonts w:ascii="Times New Roman" w:hAnsi="Times New Roman"/>
                <w:sz w:val="24"/>
              </w:rPr>
            </w:pPr>
            <w:r>
              <w:rPr>
                <w:rFonts w:ascii="Times New Roman" w:hAnsi="Times New Roman"/>
                <w:sz w:val="24"/>
              </w:rPr>
              <w:t>A fedezettkötvény-kötelezettségek vagy a fedezeti halmazba (poolba) tartozó eszközök könyv szerinti értéke a számviteli érték a fedezett kötvényt kibocsátó intézménynél.</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2461247"/>
      <w:r>
        <w:rPr>
          <w:rFonts w:ascii="Times New Roman" w:hAnsi="Times New Roman"/>
          <w:sz w:val="24"/>
          <w:u w:val="none"/>
        </w:rPr>
        <w:t>Az egyes oszlopokra vonatkozó útmutató</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Megfelel a CRR 129. cikkének? [IGEN/NEM]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intézménynek jelölnie kell, hogy a fedezeti halmaz (pool) megfelel-e a CRR 129. cikkében meghatározott követelményeknek, hogy az említett rendelet 129. cikkének (4) és (5) bekezdése szerinti kedvezményes kezelésre jogosult legyen.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Amennyiben IGEN, jelölje a fedezeti halmaz (pool) elsődleges eszközosztályát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Ha a fedezeti halmaz (pool) jogosult a CRR 129. cikkének (4) és (5) bekezdése szerinti kedvezményes kezelésre (a 011. oszlopban IGEN a válasz), ebben a mezőben fel kell tüntetni a fedezeti halmaz (pool) elsődleges eszközosztályát. E célból az említett rendelet 129. cikkének (1) bekezdésében levő besorolást kell alkalmazni és megfelelően fel kell tüntetni az „a”, „b”, „c”, „d”, „e”, „f” és „g” jelzést. A „h” jelzést akkor kell használni, ha a fedezeti halmaz (pool) elsődleges eszközosztálya nem tartozik bele az előző kategóriák egyikébe sem.</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Fedezettkötvény-kötelezettségek</w:t>
            </w:r>
          </w:p>
          <w:p w:rsidR="00941FAE" w:rsidRPr="000F059F" w:rsidRDefault="00941FAE" w:rsidP="005150E8">
            <w:pPr>
              <w:spacing w:before="0"/>
              <w:rPr>
                <w:rFonts w:ascii="Times New Roman" w:hAnsi="Times New Roman"/>
                <w:sz w:val="24"/>
              </w:rPr>
            </w:pPr>
            <w:r>
              <w:rPr>
                <w:rFonts w:ascii="Times New Roman" w:hAnsi="Times New Roman"/>
                <w:sz w:val="24"/>
              </w:rPr>
              <w:t>A fedezettkötvény-kötelezettségek a kibocsátó gazdálkodó egység fedezett kötvények kibocsátása során létrejött kötelezettségei és a fedezett kötvényekre vonatkozó releváns kötelező szabályok szerint meghatározott valamennyi olyan pozíciót jelentik, amelyek a fedezett kötvényekre vonatkozó releváns védelmi intézkedések hatálya alá tartoznak (ide tartozhatnak például a forgalomban levő értékpapírok, valamint a fedezettkötvény-kibocsátók szerződő feleinek pozíciói egy olyan származtatott ügyletben, amelynek a piaci értéke a fedezett kötvény kibocsátója szempontjából negatív és amely egy fedezeti halmazhoz (poolhoz) tartozik és a fedezett kötvényekre vonatkozó releváns kötelező szabályok szerint fedezettkötvény-kötelezettségként kezelt).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Jelentendő adat az adatszolgáltatás időpontjában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Fedezettkötvény-kötelezettségek összegei, kivéve a fedezeti halmaz (pool) származtatott pozícióit, a különböző jövőbeli időtartamoknak megfelelően.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hónap</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„+ 6 hónap” az adatszolgáltatási vonatkozási időpontot követő hat hónapnak megfelelő időpontot jelzi. Az összegeket annak feltételezésével kell feltüntetni, hogy az adatszolgáltatási vonatkozási időponthoz képest az amortizációt kivéve nem volt változás a fedezettkötvény-kötelezettségekben. Rögzített kifizetési ütemterv hiányában a jövőbeli időpontban fennálló összegekre következetesen a tervezett lejárati időt kell alkalmazni.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hónap – + 10 év</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Ahogy a „+ 6 hónap” esetében (030-as oszlop), az adatszolgáltatási vonatkozási </w:t>
            </w:r>
            <w:r>
              <w:rPr>
                <w:rStyle w:val="InstructionsTabelleberschrift"/>
                <w:rFonts w:ascii="Times New Roman" w:hAnsi="Times New Roman"/>
                <w:b w:val="0"/>
                <w:sz w:val="24"/>
                <w:u w:val="none"/>
              </w:rPr>
              <w:lastRenderedPageBreak/>
              <w:t>időpontot követő megfelelő időpont.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fedezeti halmazba (poolba) tartozó, negatív nettó piaci értékű származtatott pozíciók</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fedezeti halmazba (poolba) tartozó azon származtatott pozíciók negatív nettó piaci értéke, amelyeknek a nettó piaci értéke a fedezett kötvény kibocsátója szempontjából negatív.</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fedezeti halmazba (poolba) tartozó származtatott pozíciók azok a nettó származtatott pozíciók, amelyeket a fedezett kötvényekre vonatkozó releváns kötelező szabályok szerint belefoglaltak a fedezeti összetevők körébe és amelyek a fedezett kötvényekre vonatkozó releváns védelmi intézkedések hatálya alá tartoznak, mivel ezen negatív nettó piaci értékű származtatott pozíciók esetében az elismert fedezeti összetevők általi fedezettségre van szükség.</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negatív nettó piaci értéket csak az adatszolgáltatási vonatkozási időpont tekintetében kell feltüntetni.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Fedezett kötvények külső hitelminősítése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Az intézményeknek információt kell adniuk a megfelelő fedezett kötvényre vonatkozó, az adatszolgáltatás időpontjában meglévő külső hitelminősítésről, amennyiben van.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hitelminősítő intézet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Amennyiben az adatszolgáltatás időpontjában legalább egy hitelminősítő intézet hitelminősítése rendelkezésre áll, az intézményeknek meg kell adniuk a hitelminősítő intézetek egyikének nevét. Amennyiben az adatszolgáltatás időpontjában háromnál több hitelminősítő intézet készített hitelminősítést, a piaci súly alapján kell kiválasztani azt a három hitelminősítőt, amelyeknek adatot kell szolgáltatni.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hitelminősítés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hitelminősítő intézet által a fedezett kötvényre kiadott, a 090-es oszlopban feltüntetett hitelminősítés az adatszolgáltatási vonatkozási időpontban.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Amennyiben ugyanaz a hitelminősítő intézet hosszú és rövid távú hitelminősítést is kiadott, a hosszú távú minősítést kell megadni. A feltüntetendő hitelminősítésnek tartalmaznia kell az esetleges módosítókat.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2. hitelminősítő intézet és 3. hitelminősítő intézet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Mint az első hitelminősítő intézetnél (090-es oszlop), a további hitelminősítő intézetek által a fedezett kötvényekre kiadott hitelminősítések az adatszolgáltatási vonatkozási időpontban.</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2. hitelminősítés és 3. hitelminősítés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Mint az első hitelminősítésnél (100-as oszlop), a második és a harmadik hitelminősítő intézet által a fedezett kötvényekre kiadott hitelminősítések az adatszolgáltatási vonatkozási időpontban.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Fedezeti halmaz (pool)</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A fedezeti halmazt (poolt) alkotó valamennyi, a fedezett kötvényekre vonatkozó releváns intézkedések hatálya alá tartozó pozíció, többek között azok a </w:t>
            </w:r>
            <w:r>
              <w:rPr>
                <w:rStyle w:val="InstructionsTabelleberschrift"/>
                <w:rFonts w:ascii="Times New Roman" w:hAnsi="Times New Roman"/>
                <w:b w:val="0"/>
                <w:sz w:val="24"/>
                <w:u w:val="none"/>
              </w:rPr>
              <w:lastRenderedPageBreak/>
              <w:t>származtatott pozíciók, amelyek nettó piaci értéke a fedezett kötvény kibocsátója szempontjából pozitív.</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Jelentendő adat az adatszolgáltatás időpontjában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fedezeti halmazba (poolba) tartozó eszközök összege, kivéve a fedezeti halmazba ta</w:t>
            </w:r>
            <w:r w:rsidR="003D6C84">
              <w:rPr>
                <w:rStyle w:val="InstructionsTabelleberschrift"/>
                <w:rFonts w:ascii="Times New Roman" w:hAnsi="Times New Roman"/>
                <w:b w:val="0"/>
                <w:sz w:val="24"/>
                <w:u w:val="none"/>
              </w:rPr>
              <w:t>rtozó származtatott pozíciókat.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Ez az összeg megfelel a túlzott fedezettség minimumszintjére vonatkozó előírásnak és tartalmazza a minimumot meghaladó esetleges további túlzott fedezettséget, amennyiben a fedezett kötvényekre vonatkozó releváns védelmi intézkedések hatálya alá tartozik.</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hónap</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Az adatszolgáltatási időpont „+ 6 hónap” az adatszolgáltatási vonatkozási időpontot követő hat hónapnak megfelelő időpontot jelzi. Az intézményeknek az összegeket annak feltételezésével kell feltüntetniük, hogy az adatszolgáltatás időpontjához képest az amortizációt kivéve nem volt változás a fedezeti halmazban (poolban). Rögzített kifizetési ütemterv hiányában a jövőbeli időpontban fennálló összegekre következetesen a tervezett lejárati időt kell alkalmazni.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hónap – + 10 év</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Ahogy a „+ 6 hónap” esetében (160-as oszlop), az adatszolgáltatási vonatkozási időpontot követő megfelelő időpont.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fedezeti halmazba (poolba) tartozó, pozitív nettó piaci értékű származtatott pozíciók</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fedezeti halmazba (poolba) tartozó azon származtatott pozíciók pozitív nettó piaci értéke, amelyeknek a nettó piaci értéke a fedezett kötvény kib</w:t>
            </w:r>
            <w:r w:rsidR="003D6C84">
              <w:rPr>
                <w:rStyle w:val="InstructionsTabelleberschrift"/>
                <w:rFonts w:ascii="Times New Roman" w:hAnsi="Times New Roman"/>
                <w:b w:val="0"/>
                <w:sz w:val="24"/>
                <w:u w:val="none"/>
              </w:rPr>
              <w:t>ocsátója szempontjából pozitív.</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fedezeti halmazba (poolba) tartozó származtatott pozíciók azok a nettó származtatott pozíciók, amelyeket a fedezett kötvényekre vonatkozó releváns kötelező szabályok szerint belefoglaltak a fedezeti összetevők körébe és amely a fedezett kötvényekre vonatkozó releváns védelmi intézkedések hatálya alá tartoznak, mivel ezen pozitív nettó piaci értékű származtatott pozíciók nem képezik részét a fedezettkötvény-kibocsátó általános csődvagyonának.</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pozitív nettó piaci értéket csak az adatszolgáltatási vonatkozási időpont tekintetében kell feltüntetni.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fedezeti minimumkövetelményeket meghaladó fedezeti halmazok (pool) összege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pozitív nettó piaci értékű származtatott pozíciókat is tartalmazó fedezeti halmaznak a minimumfedezettségre vonatkozó előírásokat meghaladó összege (túlzott fedezettség).</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fedezett kötvényekre vonatkozó releváns kötelező szabályok szerint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túlzott fedezettség összege a fedezett kötvényekre vonatkozó releváns kötelező szabályokban előírt minimális fedezettséghez képest.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r>
              <w:rPr>
                <w:rStyle w:val="InstructionsTabelleberschrift"/>
                <w:rFonts w:ascii="Times New Roman" w:hAnsi="Times New Roman"/>
                <w:b w:val="0"/>
                <w:sz w:val="24"/>
                <w:u w:val="none"/>
              </w:rPr>
              <w:lastRenderedPageBreak/>
              <w:t>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a hitelminősítők által a fedezett kötvény aktuális külső hitelminősítésének </w:t>
            </w:r>
            <w:r>
              <w:rPr>
                <w:rStyle w:val="InstructionsTabelleberschrift"/>
                <w:rFonts w:ascii="Times New Roman" w:hAnsi="Times New Roman"/>
                <w:sz w:val="24"/>
              </w:rPr>
              <w:lastRenderedPageBreak/>
              <w:t>fenntartására alkalmazott módszertan szerint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túlzott fedezettség összege ahhoz a szinthez képest, amelyre – a megfelelő hitelminősítő intézeti módszertanra vonatkozó, a fedezett kötvény kibocsátójának rendelkezésére álló információ szerint – minimálisan szükség lenne a vonatkozó hitelminősítő intézet által kiadott aktuális hitelminősítés támogatásához.</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hitelminősítő intézet</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túlzott fedezettség összege ahhoz a szinthez képest, amelyre – az első hitelminősítő intézet (090-es oszlop) módszertanára vonatkozó, a fedezett kötvény kibocsátójának rendelkezésére álló információ szerint – minimálisan szükség lenne az első hitelminősítés (100-es oszlop) támogatásához.</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2. hitelminősítő intézet és 3. hitelminősítő intézet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Az első hitelminősítő intézetre (230-as oszlop) vonatkozó útmutató alkalmazandó a második (110-es oszlop) és a harmadik (130-as oszlop) hitelminősítő intézet esetében.</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2461248"/>
      <w:bookmarkEnd w:id="101"/>
      <w:bookmarkEnd w:id="102"/>
      <w:bookmarkEnd w:id="103"/>
      <w:bookmarkEnd w:id="104"/>
      <w:bookmarkEnd w:id="105"/>
      <w:bookmarkEnd w:id="106"/>
      <w:r>
        <w:rPr>
          <w:rFonts w:ascii="Times New Roman" w:hAnsi="Times New Roman"/>
          <w:b/>
          <w:sz w:val="24"/>
          <w:u w:val="none"/>
        </w:rPr>
        <w:t>E. rész: Részletes adatok</w:t>
      </w:r>
      <w:bookmarkEnd w:id="107"/>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2461249"/>
      <w:r>
        <w:rPr>
          <w:rFonts w:ascii="Times New Roman" w:hAnsi="Times New Roman"/>
          <w:sz w:val="24"/>
          <w:u w:val="none"/>
        </w:rPr>
        <w:t>Általános megjegyzések</w:t>
      </w:r>
      <w:bookmarkEnd w:id="108"/>
    </w:p>
    <w:p w:rsidR="00941FAE" w:rsidRPr="000F059F" w:rsidRDefault="00941FAE" w:rsidP="00941FAE">
      <w:pPr>
        <w:pStyle w:val="InstructionsText2"/>
        <w:shd w:val="clear" w:color="auto" w:fill="FFFFFF"/>
        <w:spacing w:after="120"/>
        <w:rPr>
          <w:sz w:val="24"/>
        </w:rPr>
      </w:pPr>
      <w:r>
        <w:rPr>
          <w:sz w:val="24"/>
        </w:rPr>
        <w:t>Az E. rész felépítése megfelel az A. részben található „eszközök megterhelése” áttekintő táblákénak, de az adatszolgáltató intézmény eszközeinek megterhelésére és a kapott biztosítékra vonatkozó AE-ADV1 és AE-ADV2 táblák eltérnek. Következésképpen a megfeleltetett kötelezettségek megfelelnek azoknak a kötelezettségeknek, amelyeket a megterhelt eszközök fedeznek és nem kell közvetlen kapcsolatnak lennie.</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9" w:name="_Toc52461250"/>
      <w:r>
        <w:rPr>
          <w:rFonts w:ascii="Times New Roman" w:hAnsi="Times New Roman"/>
          <w:sz w:val="24"/>
          <w:u w:val="none"/>
        </w:rPr>
        <w:t>Tábla: AE-ADV1. Az adatszolgáltató intézmény eszközeire vonatkozó részletes tábla</w:t>
      </w:r>
      <w:bookmarkEnd w:id="10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2461251"/>
      <w:r>
        <w:rPr>
          <w:rFonts w:ascii="Times New Roman" w:hAnsi="Times New Roman"/>
          <w:sz w:val="24"/>
          <w:u w:val="none"/>
        </w:rPr>
        <w:t>A tábla egyes soraira vonatkozó útmutató</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Központi banki finanszírozás (bármely típusú, ideértve a repot)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minden olyan típusú kötelezettsége, amely esetében az ügylet szerződő fele központi bank.</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központi banknál előre rendelkezésre bocsátott eszközt nem kell megterhelt eszközként kezelni, kivéve, ha a központi bank csak előzetes hozzájárulással teszi lehetővé az elhelyezett eszköz kivonását. A fel nem használt pénzügyi garanciáknál a fel nem használt részt, vagyis a központi bank által előírt minimális összeg fölötti részt arányosan el kell osztani a központi banknál elhelyezett eszközök között.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Tőzsdén forgalmazott derivatívák</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olyan fedezett derivatíváinak könyv szerinti értéke, amelyek pénzügyi kötelezettségek, amennyiben ezek elismert vagy kijelölt tőzsdén jegyzett vagy kereskedett derivatívák és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Tőzsdén kívüli derivatívák</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Az adatszolgáltató intézmény olyan fedezett derivatíváinak könyv szerinti értéke, </w:t>
            </w:r>
            <w:r>
              <w:rPr>
                <w:rStyle w:val="InstructionsTabelleberschrift"/>
                <w:rFonts w:ascii="Times New Roman" w:hAnsi="Times New Roman"/>
                <w:b w:val="0"/>
                <w:sz w:val="24"/>
                <w:u w:val="none"/>
              </w:rPr>
              <w:lastRenderedPageBreak/>
              <w:t>amelyek pénzügyi kötelezettségek, amennyiben ezen derivatívák kereskedése tőzsdén kívül történik és azok az intézmény számára eszközterhelést jelentenek; az AE-SOU tábla 030-as sorára vonatkozóval megegyező útmutató.</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Visszavásárlási (repo-) megállapodások</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Az adatszolgáltató intézmény olyan repomegállapodásainak könyv szerinti értéke, amelyek esetében az ügylet szerződő fele nem központi bank, amennyiben ezek a betétek az intézmény számára eszközterhelést jelentenek.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 háromoldalú repomegállapodások esetében ugyanazt az eljárást kell követni, mint a repomegállapodásoknál, amennyiben azok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Repomegállapodásoktól eltérő fedezett betétek</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repomegállapodásaitól eltérő olyan fedezett betéteinek könyv szerinti értéke, amelyek esetében az ügylet szerződő fele nem központi bank, amennyiben ezek a betétek az intézmény számára eszközterhelést jelentenek.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fedezettkötvény-értékpapírok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AE-SOU tábla 100-as sorára vonatkozó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értékpapírosítások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AE-SOU tábla 110-es sorára vonatkozó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Fedezett kötvénytől vagy értékpapírosítástól eltérő kibocsátott, hitelviszonyt megtestesítő értékpapírok</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Fedezett kötvényektől vagy értékpapírosítástól eltérő, az adatszolgáltató intézmény által kibocsátott hitelviszonyt megtestesítő értékpapírok könyv szerinti értéke, amennyiben ezek a kibocsátott értékpapírok az intézmény számára eszközterhelést jelentenek.</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Abban az esetben, ha az adatszolgáltató intézmény a kibocsátott, hitelviszonyt megtestesítő értékpapírok egy részét repo eredményeként megtartja vagy a kibocsátás időpontjában vagy azt követően, ezeket a megtartott részvényeket nem kell belefoglalni ebbe a tételbe. Emellett az ezekhez kapcsolódó biztosítékokat e tábla alkalmazásában meg nem terheltként kell besorolni.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Megterhelés egyéb, kapcsolódó forrásai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AE-SOU tábla 120-as sorára vonatkozó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Megterhelt eszközök összesen</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AE-ADV1 tábla soraiban meghatározott mindegyik típusú eszközre vonatkozóan az adatszolgáltató intézmény által tartott, megterhelt eszközök könyv szerinti értéke.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AE-ADV1 tábla soraiban meghatározott mindegyik típusú eszközre vonatkozóan az adatszolgáltató intézmény által tartott olyan megterhelt eszközök könyv szerinti értéke, amelyek elismerhetők azon központi bankokkal végrehajtott ügyletekben, amelyekhez az adatszolgáltató intézménynek </w:t>
            </w:r>
            <w:r>
              <w:rPr>
                <w:rStyle w:val="InstructionsTabelleberschrift"/>
                <w:rFonts w:ascii="Times New Roman" w:hAnsi="Times New Roman"/>
                <w:b w:val="0"/>
                <w:sz w:val="24"/>
                <w:u w:val="none"/>
              </w:rPr>
              <w:lastRenderedPageBreak/>
              <w:t>hozzáférése van.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 kapcsolódó összeg feltüntetésétől,</w:t>
            </w:r>
            <w:r>
              <w:rPr>
                <w:rFonts w:ascii="Times New Roman" w:hAnsi="Times New Roman"/>
                <w:sz w:val="24"/>
              </w:rPr>
              <w:t xml:space="preserve"> </w:t>
            </w:r>
            <w:r>
              <w:rPr>
                <w:rStyle w:val="instructionstabelleberschrift0"/>
                <w:rFonts w:ascii="Times New Roman" w:hAnsi="Times New Roman"/>
                <w:sz w:val="24"/>
              </w:rPr>
              <w:t>vagyis üresen hagyhatják a megfelelő mezőt</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terhelt eszközök összesen</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Az AE-ADV1 tábla soraiban meghatározott mindegyik típusú eszközre vonatkozóan az adatszolgáltató intézmény által tartott, meg nem terhelt eszközök könyv szerinti értéke.</w:t>
            </w:r>
          </w:p>
          <w:p w:rsidR="00941FAE" w:rsidRPr="005F7E60" w:rsidRDefault="00941FAE" w:rsidP="005150E8">
            <w:pPr>
              <w:pStyle w:val="Default"/>
              <w:spacing w:after="120"/>
              <w:jc w:val="both"/>
              <w:rPr>
                <w:rStyle w:val="InstructionsTabelleberschrift"/>
                <w:rFonts w:ascii="Times New Roman" w:hAnsi="Times New Roman"/>
                <w:sz w:val="24"/>
              </w:rPr>
            </w:pPr>
            <w:r>
              <w:rPr>
                <w:rStyle w:val="shorttext"/>
              </w:rPr>
              <w:t>A</w:t>
            </w:r>
            <w:r>
              <w:rPr>
                <w:rStyle w:val="InstructionsTabelleberschrift"/>
                <w:rFonts w:ascii="Times New Roman" w:hAnsi="Times New Roman"/>
                <w:b w:val="0"/>
                <w:color w:val="auto"/>
                <w:sz w:val="24"/>
                <w:u w:val="none"/>
              </w:rPr>
              <w:t xml:space="preserve"> könyv szerinti érték a mérleg eszközoldalán feltüntetett összeget jelenti.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AE-ADV1 tábla soraiban meghatározott mindegyik típusú eszközre vonatkozóan az adatszolgáltató intézmény által tartott olyan meg nem terhelt eszközök könyv szerinti értéke, amelyek elismerhetők azon központi bankokkal végrehajtott ügyletekben, amelyekhez az adatszolgáltat</w:t>
            </w:r>
            <w:r w:rsidR="003D6C84">
              <w:rPr>
                <w:rStyle w:val="InstructionsTabelleberschrift"/>
                <w:rFonts w:ascii="Times New Roman" w:hAnsi="Times New Roman"/>
                <w:b w:val="0"/>
                <w:sz w:val="24"/>
                <w:u w:val="none"/>
              </w:rPr>
              <w:t>ó intézménynek hozzáférése van.</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 kapcsolódó összeg feltüntetésétől,</w:t>
            </w:r>
            <w:r>
              <w:rPr>
                <w:rFonts w:ascii="Times New Roman" w:hAnsi="Times New Roman"/>
                <w:sz w:val="24"/>
              </w:rPr>
              <w:t xml:space="preserve"> </w:t>
            </w:r>
            <w:r>
              <w:rPr>
                <w:rStyle w:val="instructionstabelleberschrift0"/>
                <w:rFonts w:ascii="Times New Roman" w:hAnsi="Times New Roman"/>
                <w:sz w:val="24"/>
              </w:rPr>
              <w:t>vagyis üresen hagyhatják a megfelelő mezőt</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Megterhelt + meg nem terhelt eszközök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AE-ADV1 tábla soraiban meghatározott mindegyik típusú eszközre vonatkozóan az adatszolgáltató intézmény által tartott eszközök könyv szerinti értéke.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2461252"/>
      <w:r>
        <w:rPr>
          <w:rFonts w:ascii="Times New Roman" w:hAnsi="Times New Roman"/>
          <w:sz w:val="24"/>
          <w:u w:val="none"/>
        </w:rPr>
        <w:t>Az egyes oszlopokra vonatkozó útmutató</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Látra szóló követelések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020-as sorára vonatkozó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Tőkeinstrumentumok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030-as sorára vonatkozó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Összesen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040-es sorára vonatkozó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fedezett kötvények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Lásd az AE-ASS tábla 050-es sorára vonatkozó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a csoporthoz tartozó más vállalkozások által kibocsátott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AE-ASS tábla 050-es sorára vonatkozó útmutatóban megadott fedezett kötvények, amelyeket a prudenciális konszolidáció körébe tartozó vállalkozás bocsátott ki.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értékpapírosítások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060-as sorára vonatkozó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AE-ASS tábla 060-as sorára vonatkozó útmutatóban megadott értékpapírosítások, amelyeket a prudenciális konszolidáció körébe tartozó vállalkozás bocsátott ki.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kormányzatok által kibocsátott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070-es sorára vonatkozó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pénzügyi vállalatok által kibocsátott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080-as sorára vonatkozó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nem pénzügyi vállalatok által kibocsátott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090-es sorára vonatkozó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Központi bankok és központi kormányzat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központi bankoknak és a központi kormányzatnak nyújtott, látra szóló követelésektől eltérő hitelek és előlegek.</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Pénzügyi vállalatok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pénzügyi vállalatoknak nyújtott, látra szóló követelésektől eltérő hitelek és előlegek.</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Nem pénzügyi vállalatok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nem pénzügyi vállalatoknak nyújtott, látra szóló követelésektől eltérő hitelek és előlegek.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3D6C84"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ebből: </w:t>
            </w:r>
            <w:r w:rsidR="00941FAE">
              <w:rPr>
                <w:rStyle w:val="InstructionsTabelleberschrift"/>
                <w:rFonts w:ascii="Times New Roman" w:hAnsi="Times New Roman"/>
                <w:sz w:val="24"/>
              </w:rPr>
              <w:t>Ingatlannal fedezett hitelek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nem pénzügyi vállalatoknak nyújtott, ingatlannal fedezett hitelekkel garantált, látra szóló követelésektől eltérő hitelek és előlegek.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Háztartások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háztartásoknak nyújtott, látra szóló követelésektől eltérő hitelek és előlegek.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Ingatlannal fedezett hitelek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háztartásoknak nyújtott, ingatlannal fedezett hitelekkel garantált, látra szóló követelésektől eltérő hitelek és előlegek.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Egyéb eszközök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120-as sorára vonatkozó útmutatót.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Összesen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Lásd az AE-ASS tábla 010-es sorára vonatkozó útmutatót.</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8" w:name="_Toc52461253"/>
      <w:r>
        <w:rPr>
          <w:rFonts w:ascii="Times New Roman" w:hAnsi="Times New Roman"/>
          <w:sz w:val="24"/>
          <w:u w:val="none"/>
        </w:rPr>
        <w:lastRenderedPageBreak/>
        <w:t>Tábla: AE-ADV2. Az adatszolgáltató intézmény által kapott biztosítékra vonatkozó részletes tábla</w:t>
      </w:r>
      <w:bookmarkEnd w:id="11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2461254"/>
      <w:r>
        <w:rPr>
          <w:rFonts w:ascii="Times New Roman" w:hAnsi="Times New Roman"/>
          <w:sz w:val="24"/>
          <w:u w:val="none"/>
        </w:rPr>
        <w:t>A tábla egyes soraira vonatkozó útmutató</w:t>
      </w:r>
      <w:bookmarkEnd w:id="119"/>
      <w:bookmarkEnd w:id="120"/>
      <w:bookmarkEnd w:id="121"/>
      <w:bookmarkEnd w:id="122"/>
    </w:p>
    <w:p w:rsidR="00941FAE" w:rsidRPr="000F059F" w:rsidRDefault="00941FAE" w:rsidP="00941FAE">
      <w:pPr>
        <w:pStyle w:val="InstructionsText2"/>
        <w:shd w:val="clear" w:color="auto" w:fill="FFFFFF"/>
        <w:spacing w:after="120"/>
        <w:rPr>
          <w:sz w:val="24"/>
        </w:rPr>
      </w:pPr>
      <w:r>
        <w:rPr>
          <w:sz w:val="24"/>
        </w:rPr>
        <w:t>Lásd a 6.2.1. pontot, mivel az útmutató hasonló a két táblára vonatkozóan.</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2461255"/>
      <w:r>
        <w:rPr>
          <w:rFonts w:ascii="Times New Roman" w:hAnsi="Times New Roman"/>
          <w:sz w:val="24"/>
          <w:u w:val="none"/>
        </w:rPr>
        <w:t>Az egyes oszlopokra vonatkozó útmutató</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Jogi hivatkozások és útmutató</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Látra szóló követelések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140-es sorára vonatkozó útmutatót.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Tőkeinstrumentumok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150-es sorára vonatkozó útmutatót.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Összesen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160-as sorára vonatkozó útmutatót.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fedezett kötvények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170-es sorára vonatkozó útmutatót.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biztosítékok, amelyek a prudenciális konszolidáció körébe tartozó vállalkozás által kibocsátott fedezett kötvények.</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értékpapírosítások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180-as sorára vonatkozó útmutatót.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biztosítékok, amelyek a prudenciális konszolidáció körébe tartozó vállalkozás által kibocsátott értékpapírosítások.</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kormányzatok által kibocsátott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190-es sorára vonatkozó útmutatót.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pénzügyi vállalatok által kibocsátott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200-as sorára vonatkozó útmutatót.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nem pénzügyi vállalatok által kibocsátott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210-es sorára vonatkozó útmutatót.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Központi bankok és központi kormányzat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biztosítékok, amelyek a központi bankoknak és a központi kormányzatnak nyújtott látra szóló követelésektől eltérő hitelek és előlegek.</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Pénzügyi vállalatok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Az adatszolgáltató intézmény által kapott olyan biztosítékok, amelyek a pénzügyi </w:t>
            </w:r>
            <w:r>
              <w:rPr>
                <w:rStyle w:val="InstructionsTabelleberschrift"/>
                <w:rFonts w:ascii="Times New Roman" w:hAnsi="Times New Roman"/>
                <w:b w:val="0"/>
                <w:sz w:val="24"/>
                <w:u w:val="none"/>
              </w:rPr>
              <w:lastRenderedPageBreak/>
              <w:t>vállalatoknak nyújtott, látra szóló követelésektől eltérő hitelek és előlegek.</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Nem pénzügyi vállalatok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a nem pénzügyi vállalatoknak nyújtott, látra szóló követelésektől eltérő hitelek és előlegek.</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Ingatlannal fedezett hitelek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látra szóló követelésektől eltérő, nem pénzügyi vállalatoknak nyújtott, ingatlannal fedezett hitelek és előlegek.</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Háztartások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a háztartásoknak nyújtott, látra szóló követelésektől eltérő hitelek és előlegek.</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ebből: Ingatlannal fedezett hitelek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a háztartásoknak nyújtott, ingatlannal fedezett hitelekkel garantált látra szóló követelésektől eltérő hitelek és előlegek.</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Egyéb eszközök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230-as sorára vonatkozó útmutatót.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Saját fedezett kötvénytől vagy értékpapírosítástól eltérő, kibocsátott, hitelviszonyt megtestesítő saját értékpapírok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240-es sorára vonatkozó útmutatót.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Összesen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130-as és 140-es sorára vonatkozó útmutatót.</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A78" w:rsidRDefault="000A3A78" w:rsidP="00941FAE">
      <w:pPr>
        <w:spacing w:before="0" w:after="0"/>
      </w:pPr>
      <w:r>
        <w:separator/>
      </w:r>
    </w:p>
  </w:endnote>
  <w:endnote w:type="continuationSeparator" w:id="0">
    <w:p w:rsidR="000A3A78" w:rsidRDefault="000A3A78"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2B8" w:rsidRDefault="009602B8">
    <w:pPr>
      <w:pStyle w:val="Footer"/>
      <w:jc w:val="center"/>
    </w:pPr>
    <w:r>
      <w:fldChar w:fldCharType="begin"/>
    </w:r>
    <w:r>
      <w:instrText xml:space="preserve"> PAGE   \* MERGEFORMAT </w:instrText>
    </w:r>
    <w:r>
      <w:fldChar w:fldCharType="separate"/>
    </w:r>
    <w:r w:rsidR="00AB38CE">
      <w:rPr>
        <w:noProof/>
      </w:rPr>
      <w:t>21</w:t>
    </w:r>
    <w:r>
      <w:fldChar w:fldCharType="end"/>
    </w:r>
  </w:p>
  <w:p w:rsidR="009602B8" w:rsidRDefault="009602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2B8" w:rsidRDefault="009602B8">
    <w:pPr>
      <w:pStyle w:val="Footer"/>
      <w:jc w:val="center"/>
    </w:pPr>
    <w:r>
      <w:fldChar w:fldCharType="begin"/>
    </w:r>
    <w:r>
      <w:instrText xml:space="preserve"> PAGE   \* MERGEFORMAT </w:instrText>
    </w:r>
    <w:r>
      <w:fldChar w:fldCharType="separate"/>
    </w:r>
    <w:r w:rsidR="00AB38CE">
      <w:rPr>
        <w:noProof/>
      </w:rPr>
      <w:t>1</w:t>
    </w:r>
    <w:r>
      <w:fldChar w:fldCharType="end"/>
    </w:r>
  </w:p>
  <w:p w:rsidR="009602B8" w:rsidRDefault="009602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A78" w:rsidRDefault="000A3A78" w:rsidP="00941FAE">
      <w:pPr>
        <w:spacing w:before="0" w:after="0"/>
      </w:pPr>
      <w:r>
        <w:separator/>
      </w:r>
    </w:p>
  </w:footnote>
  <w:footnote w:type="continuationSeparator" w:id="0">
    <w:p w:rsidR="000A3A78" w:rsidRDefault="000A3A78" w:rsidP="00941FAE">
      <w:pPr>
        <w:spacing w:before="0" w:after="0"/>
      </w:pPr>
      <w:r>
        <w:continuationSeparator/>
      </w:r>
    </w:p>
  </w:footnote>
  <w:footnote w:id="1">
    <w:p w:rsidR="009602B8" w:rsidRPr="00C87407" w:rsidRDefault="009602B8" w:rsidP="00941FAE">
      <w:pPr>
        <w:pStyle w:val="FootnoteText"/>
      </w:pPr>
      <w:r>
        <w:rPr>
          <w:rStyle w:val="FootnoteReference"/>
        </w:rPr>
        <w:footnoteRef/>
      </w:r>
      <w:r>
        <w:tab/>
      </w:r>
      <w:r>
        <w:rPr>
          <w:rFonts w:ascii="Times New Roman" w:hAnsi="Times New Roman"/>
        </w:rPr>
        <w:t>Az Európai Parlament és a Tanács 2013/34/EU irányelve (2013. június 26.)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2B8" w:rsidRPr="00D862D4" w:rsidRDefault="009602B8" w:rsidP="005150E8">
    <w:pPr>
      <w:spacing w:before="0" w:after="0"/>
      <w:jc w:val="center"/>
      <w:rPr>
        <w:rFonts w:ascii="Times New Roman" w:hAnsi="Times New Roman"/>
        <w:sz w:val="22"/>
        <w:szCs w:val="22"/>
      </w:rPr>
    </w:pPr>
  </w:p>
  <w:p w:rsidR="009602B8" w:rsidRDefault="009602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2B8" w:rsidRPr="00EE37DC" w:rsidRDefault="009602B8">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F334D99C"/>
    <w:lvl w:ilvl="0" w:tplc="08090017">
      <w:start w:val="1"/>
      <w:numFmt w:val="lowerLetter"/>
      <w:lvlText w:val="%1)"/>
      <w:lvlJc w:val="left"/>
      <w:pPr>
        <w:ind w:left="360" w:hanging="360"/>
      </w:pPr>
      <w:rPr>
        <w:rFonts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C22EDF80"/>
    <w:lvl w:ilvl="0" w:tplc="08090017">
      <w:start w:val="1"/>
      <w:numFmt w:val="lowerLetter"/>
      <w:lvlText w:val="%1)"/>
      <w:lvlJc w:val="left"/>
      <w:pPr>
        <w:tabs>
          <w:tab w:val="num" w:pos="1440"/>
        </w:tabs>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80082258"/>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66A68562"/>
    <w:lvl w:ilvl="0" w:tplc="08090017">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B521374"/>
    <w:lvl w:ilvl="0" w:tplc="0809001B">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53123828"/>
    <w:lvl w:ilvl="0" w:tplc="0809001B">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3A728B64"/>
    <w:lvl w:ilvl="0" w:tplc="08090017">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3238FB04"/>
    <w:lvl w:ilvl="0" w:tplc="08090017">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F0C200CA"/>
    <w:lvl w:ilvl="0" w:tplc="0809001B">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0DF4B6DC"/>
    <w:lvl w:ilvl="0" w:tplc="0809001B">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4FF4B288"/>
    <w:lvl w:ilvl="0" w:tplc="04070005">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3370DEA2"/>
    <w:lvl w:ilvl="0" w:tplc="08090017">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0A3A78"/>
    <w:rsid w:val="00317AC4"/>
    <w:rsid w:val="00343923"/>
    <w:rsid w:val="003D6C84"/>
    <w:rsid w:val="00494FE0"/>
    <w:rsid w:val="004F759E"/>
    <w:rsid w:val="005150E8"/>
    <w:rsid w:val="0063019A"/>
    <w:rsid w:val="009030E5"/>
    <w:rsid w:val="00941FAE"/>
    <w:rsid w:val="009602B8"/>
    <w:rsid w:val="00AB38CE"/>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CF1FA"/>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hu-HU"/>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36</Pages>
  <Words>11056</Words>
  <Characters>79942</Characters>
  <Application>Microsoft Office Word</Application>
  <DocSecurity>0</DocSecurity>
  <Lines>1776</Lines>
  <Paragraphs>1011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VAMOSI Krisztian (DGT)</cp:lastModifiedBy>
  <cp:revision>7</cp:revision>
  <dcterms:created xsi:type="dcterms:W3CDTF">2020-12-02T17:28:00Z</dcterms:created>
  <dcterms:modified xsi:type="dcterms:W3CDTF">2020-12-14T22:09:00Z</dcterms:modified>
</cp:coreProperties>
</file>