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0478E9" w:rsidTr="002714DC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0A1D68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be</w:t>
            </w:r>
            <w:r w:rsidR="00B8581C"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Question</w:t>
            </w:r>
            <w:proofErr w:type="spellEnd"/>
            <w:r w:rsidR="00B8581C"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 xml:space="preserve"> ID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</w:tcPr>
          <w:p w:rsidR="00F1160A" w:rsidRDefault="00F116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Status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F116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 xml:space="preserve">Legal act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Regulation (EU) No 575/2013 (CRR)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 xml:space="preserve">Topic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Supervisory reporting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Article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BD43"/>
            <w:vAlign w:val="center"/>
            <w:hideMark/>
          </w:tcPr>
          <w:p w:rsidR="00F1160A" w:rsidRDefault="00F116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Paragraph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F116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Subparagraph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F116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EBA technical standards &amp; guidelines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7C092A" w:rsidP="006A08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Regulation (</w:t>
            </w:r>
            <w:r w:rsidR="006A0862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U) No 680/2014 </w:t>
            </w:r>
            <w:r w:rsidR="00B8581C">
              <w:rPr>
                <w:rFonts w:ascii="Arial" w:eastAsia="Times New Roman" w:hAnsi="Arial" w:cs="Arial"/>
                <w:sz w:val="18"/>
                <w:szCs w:val="18"/>
              </w:rPr>
              <w:t>ITS on Supervisory Reporting</w:t>
            </w:r>
            <w:r w:rsidR="006A0862">
              <w:rPr>
                <w:rFonts w:ascii="Arial" w:eastAsia="Times New Roman" w:hAnsi="Arial" w:cs="Arial"/>
                <w:sz w:val="18"/>
                <w:szCs w:val="18"/>
              </w:rPr>
              <w:t xml:space="preserve"> of institutions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 xml:space="preserve">Article/Paragraph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0E4ED3" w:rsidP="0006170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Annex </w:t>
            </w:r>
            <w:r w:rsidR="002714DC">
              <w:rPr>
                <w:rFonts w:ascii="Arial" w:eastAsia="Times New Roman" w:hAnsi="Arial" w:cs="Arial"/>
                <w:sz w:val="18"/>
                <w:szCs w:val="18"/>
              </w:rPr>
              <w:t>XXV</w:t>
            </w:r>
            <w:r w:rsidR="008C2AD7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2714DC">
              <w:rPr>
                <w:rFonts w:ascii="Arial" w:eastAsia="Times New Roman" w:hAnsi="Arial" w:cs="Arial"/>
                <w:sz w:val="18"/>
                <w:szCs w:val="18"/>
              </w:rPr>
              <w:t>C_66.01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Date of submission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F1160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Name of institution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8C2AD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Magyar Nemzeti Bank</w:t>
            </w:r>
            <w:r w:rsidR="00E77D9B">
              <w:rPr>
                <w:rFonts w:ascii="Arial" w:eastAsia="Times New Roman" w:hAnsi="Arial" w:cs="Arial"/>
                <w:sz w:val="18"/>
                <w:szCs w:val="18"/>
              </w:rPr>
              <w:t xml:space="preserve"> (The Central Bank of Hungary)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Country of incorporation / residence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8C2AD7" w:rsidP="008C2AD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Hungary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Email address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1827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ebaits@mnb.hu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 xml:space="preserve">Disclose name of institution / entity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E77D9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 xml:space="preserve">Subject matter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2D5" w:rsidRDefault="00242957" w:rsidP="009A42D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Presentation of cash flows related to non performing exposures in the template</w:t>
            </w:r>
            <w:r w:rsidR="008306D1">
              <w:rPr>
                <w:rFonts w:ascii="Arial" w:eastAsia="Times New Roman" w:hAnsi="Arial" w:cs="Arial"/>
                <w:sz w:val="18"/>
                <w:szCs w:val="18"/>
              </w:rPr>
              <w:t xml:space="preserve"> (C_66.01</w:t>
            </w:r>
            <w:r w:rsidR="00A52B32">
              <w:rPr>
                <w:rFonts w:ascii="Arial" w:eastAsia="Times New Roman" w:hAnsi="Arial" w:cs="Arial"/>
                <w:sz w:val="18"/>
                <w:szCs w:val="18"/>
              </w:rPr>
              <w:t>.a</w:t>
            </w:r>
            <w:bookmarkStart w:id="0" w:name="_GoBack"/>
            <w:bookmarkEnd w:id="0"/>
            <w:r w:rsidR="008306D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0478E9" w:rsidTr="009443E6">
        <w:trPr>
          <w:trHeight w:val="758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Question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3E6" w:rsidRDefault="009443E6" w:rsidP="00944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2738B1" w:rsidRDefault="009A42D5" w:rsidP="009A42D5">
            <w:pPr>
              <w:rPr>
                <w:rFonts w:ascii="Arial" w:hAnsi="Arial" w:cs="Arial"/>
                <w:sz w:val="18"/>
                <w:szCs w:val="18"/>
              </w:rPr>
            </w:pPr>
            <w:r w:rsidRPr="009443E6">
              <w:rPr>
                <w:rFonts w:ascii="Arial" w:hAnsi="Arial" w:cs="Arial"/>
                <w:sz w:val="18"/>
                <w:szCs w:val="18"/>
              </w:rPr>
              <w:t xml:space="preserve">It is not clear </w:t>
            </w:r>
            <w:r w:rsidR="00242957">
              <w:rPr>
                <w:rFonts w:ascii="Arial" w:hAnsi="Arial" w:cs="Arial"/>
                <w:sz w:val="18"/>
                <w:szCs w:val="18"/>
              </w:rPr>
              <w:t xml:space="preserve">how to interpret the following </w:t>
            </w:r>
            <w:proofErr w:type="gramStart"/>
            <w:r w:rsidR="00242957">
              <w:rPr>
                <w:rFonts w:ascii="Arial" w:hAnsi="Arial" w:cs="Arial"/>
                <w:sz w:val="18"/>
                <w:szCs w:val="18"/>
              </w:rPr>
              <w:t>instruction:</w:t>
            </w:r>
            <w:r w:rsidR="00FA5AE6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  <w:p w:rsidR="002738B1" w:rsidRDefault="002738B1" w:rsidP="002738B1">
            <w:pPr>
              <w:rPr>
                <w:rFonts w:ascii="Arial" w:hAnsi="Arial" w:cs="Arial"/>
                <w:sz w:val="18"/>
                <w:szCs w:val="18"/>
              </w:rPr>
            </w:pPr>
            <w:r>
              <w:t>“</w:t>
            </w:r>
            <w:r w:rsidRPr="009443E6">
              <w:rPr>
                <w:rFonts w:ascii="Arial" w:hAnsi="Arial" w:cs="Arial"/>
                <w:sz w:val="18"/>
                <w:szCs w:val="18"/>
              </w:rPr>
              <w:t>17. Past due items and items for which the institution has a reason to expect non- performance shall not be reported.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2738B1" w:rsidRDefault="002738B1" w:rsidP="009A42D5">
            <w:pPr>
              <w:rPr>
                <w:rFonts w:ascii="Arial" w:hAnsi="Arial" w:cs="Arial"/>
                <w:sz w:val="18"/>
                <w:szCs w:val="18"/>
              </w:rPr>
            </w:pPr>
          </w:p>
          <w:p w:rsidR="004059F1" w:rsidRDefault="004059F1" w:rsidP="002429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478E9" w:rsidTr="009443E6">
        <w:trPr>
          <w:trHeight w:val="2219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Pr="009443E6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43E6"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Background on the question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3E6" w:rsidRDefault="009443E6" w:rsidP="009443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42D5" w:rsidRDefault="009443E6" w:rsidP="009443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maturity ladder template (C_66.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A52B32">
              <w:rPr>
                <w:rFonts w:ascii="Arial" w:hAnsi="Arial" w:cs="Arial"/>
                <w:sz w:val="18"/>
                <w:szCs w:val="18"/>
              </w:rPr>
              <w:t>.a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443E6">
              <w:rPr>
                <w:rFonts w:ascii="Arial" w:hAnsi="Arial" w:cs="Arial"/>
                <w:sz w:val="18"/>
                <w:szCs w:val="18"/>
              </w:rPr>
              <w:t xml:space="preserve"> the cash-flow elements </w:t>
            </w:r>
            <w:r w:rsidR="009A42D5">
              <w:rPr>
                <w:rFonts w:ascii="Arial" w:hAnsi="Arial" w:cs="Arial"/>
                <w:sz w:val="18"/>
                <w:szCs w:val="18"/>
              </w:rPr>
              <w:t>shall be</w:t>
            </w:r>
            <w:r w:rsidRPr="009443E6">
              <w:rPr>
                <w:rFonts w:ascii="Arial" w:hAnsi="Arial" w:cs="Arial"/>
                <w:sz w:val="18"/>
                <w:szCs w:val="18"/>
              </w:rPr>
              <w:t xml:space="preserve"> reported according to the</w:t>
            </w:r>
            <w:r w:rsidR="009A42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2D5" w:rsidRPr="00242957">
              <w:rPr>
                <w:rFonts w:ascii="Arial" w:hAnsi="Arial" w:cs="Arial"/>
                <w:b/>
                <w:sz w:val="18"/>
                <w:szCs w:val="18"/>
                <w:u w:val="single"/>
              </w:rPr>
              <w:t>contractual</w:t>
            </w:r>
            <w:r w:rsidRPr="009443E6">
              <w:rPr>
                <w:rFonts w:ascii="Arial" w:hAnsi="Arial" w:cs="Arial"/>
                <w:sz w:val="18"/>
                <w:szCs w:val="18"/>
              </w:rPr>
              <w:t xml:space="preserve"> repayment schedule. </w:t>
            </w:r>
          </w:p>
          <w:p w:rsidR="009A42D5" w:rsidRDefault="009A42D5" w:rsidP="009443E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43E6" w:rsidRPr="009443E6" w:rsidRDefault="006D7CBB" w:rsidP="009443E6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deed the n</w:t>
            </w:r>
            <w:r w:rsidR="009443E6" w:rsidRPr="009443E6">
              <w:rPr>
                <w:rFonts w:ascii="Arial" w:hAnsi="Arial" w:cs="Arial"/>
                <w:sz w:val="18"/>
                <w:szCs w:val="18"/>
              </w:rPr>
              <w:t>on-performing loans are kept in the portfolio at a reduced value,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 w:rsidR="009443E6" w:rsidRPr="009443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D7CBB">
              <w:rPr>
                <w:rFonts w:ascii="Arial" w:hAnsi="Arial" w:cs="Arial"/>
                <w:sz w:val="18"/>
                <w:szCs w:val="18"/>
              </w:rPr>
              <w:t>orrespond</w:t>
            </w:r>
            <w:r w:rsidR="00242957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6D7CBB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D41057">
              <w:rPr>
                <w:rFonts w:ascii="Arial" w:hAnsi="Arial" w:cs="Arial"/>
                <w:sz w:val="18"/>
                <w:szCs w:val="18"/>
              </w:rPr>
              <w:t xml:space="preserve"> the expectation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5DA">
              <w:rPr>
                <w:rFonts w:ascii="Arial" w:hAnsi="Arial" w:cs="Arial"/>
                <w:sz w:val="18"/>
                <w:szCs w:val="18"/>
              </w:rPr>
              <w:t>on recovery</w:t>
            </w:r>
            <w:r w:rsidR="00242957">
              <w:rPr>
                <w:rFonts w:ascii="Arial" w:hAnsi="Arial" w:cs="Arial"/>
                <w:sz w:val="18"/>
                <w:szCs w:val="18"/>
              </w:rPr>
              <w:t>, based on the expectation of future cash flows that is lower than the contractual</w:t>
            </w:r>
            <w:r w:rsidR="00627F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957">
              <w:rPr>
                <w:rFonts w:ascii="Arial" w:hAnsi="Arial" w:cs="Arial"/>
                <w:sz w:val="18"/>
                <w:szCs w:val="18"/>
              </w:rPr>
              <w:t xml:space="preserve">ones. Should the institution report </w:t>
            </w:r>
            <w:r w:rsidR="00627F95">
              <w:rPr>
                <w:rFonts w:ascii="Arial" w:hAnsi="Arial" w:cs="Arial"/>
                <w:sz w:val="18"/>
                <w:szCs w:val="18"/>
              </w:rPr>
              <w:t xml:space="preserve">the expected cash flows used for </w:t>
            </w:r>
            <w:proofErr w:type="spellStart"/>
            <w:r w:rsidR="00627F95">
              <w:rPr>
                <w:rFonts w:ascii="Arial" w:hAnsi="Arial" w:cs="Arial"/>
                <w:sz w:val="18"/>
                <w:szCs w:val="18"/>
              </w:rPr>
              <w:t>impairement</w:t>
            </w:r>
            <w:proofErr w:type="spellEnd"/>
            <w:r w:rsidR="00627F95">
              <w:rPr>
                <w:rFonts w:ascii="Arial" w:hAnsi="Arial" w:cs="Arial"/>
                <w:sz w:val="18"/>
                <w:szCs w:val="18"/>
              </w:rPr>
              <w:t xml:space="preserve"> calculation instead of the contractual ones for non performing </w:t>
            </w:r>
            <w:proofErr w:type="gramStart"/>
            <w:r w:rsidR="00627F95">
              <w:rPr>
                <w:rFonts w:ascii="Arial" w:hAnsi="Arial" w:cs="Arial"/>
                <w:sz w:val="18"/>
                <w:szCs w:val="18"/>
              </w:rPr>
              <w:t>exposures ?</w:t>
            </w:r>
            <w:proofErr w:type="gramEnd"/>
            <w:r w:rsidR="00627F95">
              <w:rPr>
                <w:rFonts w:ascii="Arial" w:hAnsi="Arial" w:cs="Arial"/>
                <w:sz w:val="18"/>
                <w:szCs w:val="18"/>
              </w:rPr>
              <w:t xml:space="preserve">  Or the</w:t>
            </w:r>
            <w:r w:rsidR="00FA5AE6">
              <w:rPr>
                <w:rFonts w:ascii="Arial" w:hAnsi="Arial" w:cs="Arial"/>
                <w:sz w:val="18"/>
                <w:szCs w:val="18"/>
              </w:rPr>
              <w:t xml:space="preserve"> above mentioned</w:t>
            </w:r>
            <w:r w:rsidR="009443E6" w:rsidRPr="009443E6">
              <w:rPr>
                <w:rFonts w:ascii="Arial" w:hAnsi="Arial" w:cs="Arial"/>
                <w:sz w:val="18"/>
                <w:szCs w:val="18"/>
              </w:rPr>
              <w:t xml:space="preserve"> provision</w:t>
            </w:r>
            <w:r w:rsidR="00627F95">
              <w:rPr>
                <w:rFonts w:ascii="Arial" w:hAnsi="Arial" w:cs="Arial"/>
                <w:sz w:val="18"/>
                <w:szCs w:val="18"/>
              </w:rPr>
              <w:t xml:space="preserve"> requires the </w:t>
            </w:r>
            <w:r w:rsidR="009443E6" w:rsidRPr="009443E6">
              <w:rPr>
                <w:rFonts w:ascii="Arial" w:hAnsi="Arial" w:cs="Arial"/>
                <w:sz w:val="18"/>
                <w:szCs w:val="18"/>
              </w:rPr>
              <w:t>complete omi</w:t>
            </w:r>
            <w:r w:rsidR="00627F95">
              <w:rPr>
                <w:rFonts w:ascii="Arial" w:hAnsi="Arial" w:cs="Arial"/>
                <w:sz w:val="18"/>
                <w:szCs w:val="18"/>
              </w:rPr>
              <w:t>ssion of</w:t>
            </w:r>
            <w:r w:rsidR="008A6528">
              <w:rPr>
                <w:rFonts w:ascii="Arial" w:hAnsi="Arial" w:cs="Arial"/>
                <w:sz w:val="18"/>
                <w:szCs w:val="18"/>
              </w:rPr>
              <w:t xml:space="preserve"> future</w:t>
            </w:r>
            <w:r w:rsidR="00627F95">
              <w:rPr>
                <w:rFonts w:ascii="Arial" w:hAnsi="Arial" w:cs="Arial"/>
                <w:sz w:val="18"/>
                <w:szCs w:val="18"/>
              </w:rPr>
              <w:t xml:space="preserve"> cash flows related to</w:t>
            </w:r>
            <w:r w:rsidR="009443E6" w:rsidRPr="009443E6">
              <w:rPr>
                <w:rFonts w:ascii="Arial" w:hAnsi="Arial" w:cs="Arial"/>
                <w:sz w:val="18"/>
                <w:szCs w:val="18"/>
              </w:rPr>
              <w:t xml:space="preserve"> the default portfolio in the calculation of</w:t>
            </w:r>
            <w:r w:rsidR="00A03D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03D5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9443E6" w:rsidRPr="009443E6">
              <w:rPr>
                <w:rFonts w:ascii="Arial" w:hAnsi="Arial" w:cs="Arial"/>
                <w:sz w:val="18"/>
                <w:szCs w:val="18"/>
              </w:rPr>
              <w:t xml:space="preserve"> funding</w:t>
            </w:r>
            <w:proofErr w:type="gramEnd"/>
            <w:r w:rsidR="009443E6" w:rsidRPr="009443E6">
              <w:rPr>
                <w:rFonts w:ascii="Arial" w:hAnsi="Arial" w:cs="Arial"/>
                <w:sz w:val="18"/>
                <w:szCs w:val="18"/>
              </w:rPr>
              <w:t xml:space="preserve"> gaps?</w:t>
            </w:r>
          </w:p>
          <w:p w:rsidR="009443E6" w:rsidRPr="009443E6" w:rsidRDefault="009443E6" w:rsidP="009443E6">
            <w:pPr>
              <w:rPr>
                <w:rFonts w:ascii="Arial" w:hAnsi="Arial" w:cs="Arial"/>
                <w:sz w:val="18"/>
                <w:szCs w:val="18"/>
              </w:rPr>
            </w:pPr>
          </w:p>
          <w:p w:rsidR="002C1589" w:rsidRPr="009443E6" w:rsidRDefault="00133435" w:rsidP="0088308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43E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 xml:space="preserve">Proposed answer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685" w:rsidRDefault="00627F95" w:rsidP="00CD18A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Either possibilities have pros and cons, plus the contractual approach is in contradiction with the exceptional handling of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non performing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items or exposures.</w:t>
            </w:r>
          </w:p>
          <w:p w:rsidR="00F1160A" w:rsidRDefault="00CD18A4" w:rsidP="00CD18A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60A" w:rsidRDefault="00B8581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Answer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879" w:rsidRPr="00746879" w:rsidRDefault="00746879" w:rsidP="00746879">
            <w:pPr>
              <w:autoSpaceDE w:val="0"/>
              <w:autoSpaceDN w:val="0"/>
              <w:adjustRightInd w:val="0"/>
              <w:rPr>
                <w:rFonts w:ascii="SwiftLTPro-Regular" w:eastAsia="Times New Roman" w:hAnsi="SwiftLTPro-Regular" w:cs="SwiftLTPro-Regular"/>
                <w:sz w:val="17"/>
                <w:szCs w:val="17"/>
              </w:rPr>
            </w:pPr>
          </w:p>
        </w:tc>
      </w:tr>
      <w:tr w:rsidR="000478E9" w:rsidTr="006E154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AE9" w:rsidRDefault="00593AE9">
            <w:pPr>
              <w:rPr>
                <w:rStyle w:val="Kiemels2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Kiemels2"/>
                <w:rFonts w:ascii="Arial" w:eastAsia="Times New Roman" w:hAnsi="Arial" w:cs="Arial"/>
                <w:sz w:val="18"/>
                <w:szCs w:val="18"/>
              </w:rPr>
              <w:t>Internal comment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D53" w:rsidRDefault="007E4D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1160A" w:rsidRDefault="00F1160A">
      <w:pPr>
        <w:rPr>
          <w:rFonts w:eastAsia="Times New Roman"/>
        </w:rPr>
      </w:pPr>
    </w:p>
    <w:sectPr w:rsidR="00F1160A" w:rsidSect="00282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ftLT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5E13"/>
    <w:multiLevelType w:val="hybridMultilevel"/>
    <w:tmpl w:val="74A07BEC"/>
    <w:lvl w:ilvl="0" w:tplc="8B84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3B30"/>
    <w:multiLevelType w:val="hybridMultilevel"/>
    <w:tmpl w:val="1F60ED04"/>
    <w:lvl w:ilvl="0" w:tplc="52060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1C"/>
    <w:rsid w:val="00000E53"/>
    <w:rsid w:val="00021924"/>
    <w:rsid w:val="00026F59"/>
    <w:rsid w:val="00031C22"/>
    <w:rsid w:val="000478E9"/>
    <w:rsid w:val="0005495C"/>
    <w:rsid w:val="0006170E"/>
    <w:rsid w:val="0006418B"/>
    <w:rsid w:val="000A1D68"/>
    <w:rsid w:val="000E4ED3"/>
    <w:rsid w:val="00102989"/>
    <w:rsid w:val="00133435"/>
    <w:rsid w:val="00155208"/>
    <w:rsid w:val="001805DA"/>
    <w:rsid w:val="00182783"/>
    <w:rsid w:val="00197DDD"/>
    <w:rsid w:val="001C121E"/>
    <w:rsid w:val="00200754"/>
    <w:rsid w:val="00242781"/>
    <w:rsid w:val="00242957"/>
    <w:rsid w:val="002714DC"/>
    <w:rsid w:val="002738B1"/>
    <w:rsid w:val="00280751"/>
    <w:rsid w:val="002823C6"/>
    <w:rsid w:val="002A4685"/>
    <w:rsid w:val="002C1589"/>
    <w:rsid w:val="002F4E53"/>
    <w:rsid w:val="002F4F5C"/>
    <w:rsid w:val="002F760E"/>
    <w:rsid w:val="00313C4E"/>
    <w:rsid w:val="00315E9E"/>
    <w:rsid w:val="00325B45"/>
    <w:rsid w:val="003644B6"/>
    <w:rsid w:val="00374AB5"/>
    <w:rsid w:val="003838D5"/>
    <w:rsid w:val="0039101F"/>
    <w:rsid w:val="003947A1"/>
    <w:rsid w:val="003B6559"/>
    <w:rsid w:val="004016F2"/>
    <w:rsid w:val="004059F1"/>
    <w:rsid w:val="004205D5"/>
    <w:rsid w:val="00426C89"/>
    <w:rsid w:val="0044628C"/>
    <w:rsid w:val="004B1705"/>
    <w:rsid w:val="004B37AC"/>
    <w:rsid w:val="004B5E59"/>
    <w:rsid w:val="004E5778"/>
    <w:rsid w:val="004E7771"/>
    <w:rsid w:val="004F5BBA"/>
    <w:rsid w:val="00593AE9"/>
    <w:rsid w:val="005A149C"/>
    <w:rsid w:val="005C32E9"/>
    <w:rsid w:val="00627F95"/>
    <w:rsid w:val="00634008"/>
    <w:rsid w:val="00634AA0"/>
    <w:rsid w:val="00652B85"/>
    <w:rsid w:val="00690F4E"/>
    <w:rsid w:val="00692D8B"/>
    <w:rsid w:val="006A0862"/>
    <w:rsid w:val="006D71C5"/>
    <w:rsid w:val="006D7CBB"/>
    <w:rsid w:val="006E1542"/>
    <w:rsid w:val="00711E8E"/>
    <w:rsid w:val="00746879"/>
    <w:rsid w:val="00751B99"/>
    <w:rsid w:val="007C092A"/>
    <w:rsid w:val="007E4D53"/>
    <w:rsid w:val="007F634E"/>
    <w:rsid w:val="00820FCB"/>
    <w:rsid w:val="0082454A"/>
    <w:rsid w:val="008306D1"/>
    <w:rsid w:val="00847FCB"/>
    <w:rsid w:val="00881EAF"/>
    <w:rsid w:val="00883085"/>
    <w:rsid w:val="00894AA3"/>
    <w:rsid w:val="008A4CBD"/>
    <w:rsid w:val="008A6528"/>
    <w:rsid w:val="008C2AD7"/>
    <w:rsid w:val="008D61B3"/>
    <w:rsid w:val="008E36BB"/>
    <w:rsid w:val="00900395"/>
    <w:rsid w:val="0090310C"/>
    <w:rsid w:val="00903A37"/>
    <w:rsid w:val="009077D6"/>
    <w:rsid w:val="0091368A"/>
    <w:rsid w:val="00913F21"/>
    <w:rsid w:val="009443E6"/>
    <w:rsid w:val="00974C47"/>
    <w:rsid w:val="00995CF7"/>
    <w:rsid w:val="009A42D5"/>
    <w:rsid w:val="009B7B29"/>
    <w:rsid w:val="009E3A91"/>
    <w:rsid w:val="009E7FB3"/>
    <w:rsid w:val="009F6CA4"/>
    <w:rsid w:val="00A03D52"/>
    <w:rsid w:val="00A06591"/>
    <w:rsid w:val="00A52198"/>
    <w:rsid w:val="00A52B32"/>
    <w:rsid w:val="00A92934"/>
    <w:rsid w:val="00AC7FA3"/>
    <w:rsid w:val="00B34E31"/>
    <w:rsid w:val="00B459CE"/>
    <w:rsid w:val="00B51C4C"/>
    <w:rsid w:val="00B8581C"/>
    <w:rsid w:val="00B975DD"/>
    <w:rsid w:val="00BB3C8C"/>
    <w:rsid w:val="00BF7C9E"/>
    <w:rsid w:val="00C42201"/>
    <w:rsid w:val="00C74629"/>
    <w:rsid w:val="00C82DD6"/>
    <w:rsid w:val="00CA3329"/>
    <w:rsid w:val="00CD18A4"/>
    <w:rsid w:val="00D05611"/>
    <w:rsid w:val="00D14A7A"/>
    <w:rsid w:val="00D20B33"/>
    <w:rsid w:val="00D41057"/>
    <w:rsid w:val="00D45E31"/>
    <w:rsid w:val="00D561E2"/>
    <w:rsid w:val="00D62464"/>
    <w:rsid w:val="00D85189"/>
    <w:rsid w:val="00D954FB"/>
    <w:rsid w:val="00DC173C"/>
    <w:rsid w:val="00E03604"/>
    <w:rsid w:val="00E57059"/>
    <w:rsid w:val="00E60AA3"/>
    <w:rsid w:val="00E61881"/>
    <w:rsid w:val="00E6664D"/>
    <w:rsid w:val="00E77D9B"/>
    <w:rsid w:val="00E959E5"/>
    <w:rsid w:val="00F1160A"/>
    <w:rsid w:val="00F24B1D"/>
    <w:rsid w:val="00F27F37"/>
    <w:rsid w:val="00F314E8"/>
    <w:rsid w:val="00F44E17"/>
    <w:rsid w:val="00F81212"/>
    <w:rsid w:val="00F90170"/>
    <w:rsid w:val="00F91ADF"/>
    <w:rsid w:val="00FA5AE6"/>
    <w:rsid w:val="00FC0B5C"/>
    <w:rsid w:val="00FD3FBB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D1E03"/>
  <w15:docId w15:val="{5A55A09E-64BE-454F-A747-5B47F83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23C6"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823C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CF7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malba</dc:creator>
  <cp:lastModifiedBy>Szabóné Kovács Krisztina</cp:lastModifiedBy>
  <cp:revision>4</cp:revision>
  <cp:lastPrinted>2013-09-09T14:44:00Z</cp:lastPrinted>
  <dcterms:created xsi:type="dcterms:W3CDTF">2018-04-05T11:13:00Z</dcterms:created>
  <dcterms:modified xsi:type="dcterms:W3CDTF">2018-04-05T11:19:00Z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